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ind w:right="40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212121"/>
        </w:rPr>
        <w:t>Compensatory Arrangements of Certain Officers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212121"/>
        </w:rPr>
        <w:t xml:space="preserve">On June 20, 2018, the Compensation Committee of the Board of Directors of Destination XL Group, Inc. (the “Company”) approved the Destination XL Group, Inc. Second Amended and Restated Long-Term </w:t>
      </w:r>
      <w:r>
        <w:rPr>
          <w:rFonts w:ascii="Arial" w:cs="Arial" w:eastAsia="Arial" w:hAnsi="Arial"/>
          <w:sz w:val="22"/>
          <w:szCs w:val="22"/>
          <w:color w:val="252525"/>
        </w:rPr>
        <w:t>Incentive Plan</w:t>
      </w:r>
      <w:r>
        <w:rPr>
          <w:rFonts w:ascii="Arial" w:cs="Arial" w:eastAsia="Arial" w:hAnsi="Arial"/>
          <w:sz w:val="22"/>
          <w:szCs w:val="22"/>
          <w:color w:val="212121"/>
        </w:rPr>
        <w:t xml:space="preserve"> (the “LTIP”), in which the Company’s executives (including its Named Executive Officers) and certain other members of management are eligible to participate.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212121"/>
        </w:rPr>
        <w:t>The amended LTIP, among other things:</w:t>
      </w:r>
    </w:p>
    <w:p>
      <w:pPr>
        <w:spacing w:after="0" w:line="206" w:lineRule="exact"/>
        <w:rPr>
          <w:sz w:val="20"/>
          <w:szCs w:val="20"/>
          <w:color w:val="auto"/>
        </w:rPr>
      </w:pPr>
    </w:p>
    <w:p>
      <w:pPr>
        <w:jc w:val="both"/>
        <w:ind w:left="840" w:hanging="413"/>
        <w:spacing w:after="0"/>
        <w:tabs>
          <w:tab w:leader="none" w:pos="840" w:val="left"/>
        </w:tabs>
        <w:numPr>
          <w:ilvl w:val="0"/>
          <w:numId w:val="2"/>
        </w:numPr>
        <w:rPr>
          <w:rFonts w:ascii="Arial" w:cs="Arial" w:eastAsia="Arial" w:hAnsi="Arial"/>
          <w:sz w:val="22"/>
          <w:szCs w:val="22"/>
          <w:color w:val="212121"/>
        </w:rPr>
      </w:pPr>
      <w:r>
        <w:rPr>
          <w:rFonts w:ascii="Arial" w:cs="Arial" w:eastAsia="Arial" w:hAnsi="Arial"/>
          <w:sz w:val="22"/>
          <w:szCs w:val="22"/>
          <w:color w:val="212121"/>
        </w:rPr>
        <w:t>extends the performance period from two years to three years for grants beginning in fiscal 2018, and requires that performance targets must be established by the Compensation Committee no later than the expiration of 25% of the applicable performance period;</w:t>
      </w:r>
    </w:p>
    <w:p>
      <w:pPr>
        <w:spacing w:after="0" w:line="186" w:lineRule="exact"/>
        <w:rPr>
          <w:rFonts w:ascii="Arial" w:cs="Arial" w:eastAsia="Arial" w:hAnsi="Arial"/>
          <w:sz w:val="22"/>
          <w:szCs w:val="22"/>
          <w:color w:val="212121"/>
        </w:rPr>
      </w:pPr>
    </w:p>
    <w:p>
      <w:pPr>
        <w:jc w:val="both"/>
        <w:ind w:left="840" w:hanging="413"/>
        <w:spacing w:after="0" w:line="297" w:lineRule="auto"/>
        <w:tabs>
          <w:tab w:leader="none" w:pos="840" w:val="left"/>
        </w:tabs>
        <w:numPr>
          <w:ilvl w:val="0"/>
          <w:numId w:val="2"/>
        </w:numPr>
        <w:rPr>
          <w:rFonts w:ascii="Arial" w:cs="Arial" w:eastAsia="Arial" w:hAnsi="Arial"/>
          <w:sz w:val="19"/>
          <w:szCs w:val="19"/>
          <w:color w:val="212121"/>
        </w:rPr>
      </w:pPr>
      <w:r>
        <w:rPr>
          <w:rFonts w:ascii="Arial" w:cs="Arial" w:eastAsia="Arial" w:hAnsi="Arial"/>
          <w:sz w:val="19"/>
          <w:szCs w:val="19"/>
          <w:color w:val="212121"/>
        </w:rPr>
        <w:t>modifies the vesting period of time-based awards granted beginning in fiscal 2018 such that the awards will vest in four equal installments, with the first 25% vesting on the latter of one year from the date of grant or April 1 following the end of the first year of the applicable performance period, and each subsequent tranche vesting annually on April 1 thereafter.</w:t>
      </w:r>
    </w:p>
    <w:p>
      <w:pPr>
        <w:spacing w:after="0" w:line="134" w:lineRule="exact"/>
        <w:rPr>
          <w:rFonts w:ascii="Arial" w:cs="Arial" w:eastAsia="Arial" w:hAnsi="Arial"/>
          <w:sz w:val="19"/>
          <w:szCs w:val="19"/>
          <w:color w:val="212121"/>
        </w:rPr>
      </w:pPr>
    </w:p>
    <w:p>
      <w:pPr>
        <w:jc w:val="both"/>
        <w:ind w:left="840" w:hanging="413"/>
        <w:spacing w:after="0" w:line="236" w:lineRule="auto"/>
        <w:tabs>
          <w:tab w:leader="none" w:pos="840" w:val="left"/>
        </w:tabs>
        <w:numPr>
          <w:ilvl w:val="0"/>
          <w:numId w:val="2"/>
        </w:numPr>
        <w:rPr>
          <w:rFonts w:ascii="Arial" w:cs="Arial" w:eastAsia="Arial" w:hAnsi="Arial"/>
          <w:sz w:val="22"/>
          <w:szCs w:val="22"/>
          <w:color w:val="212121"/>
        </w:rPr>
      </w:pPr>
      <w:r>
        <w:rPr>
          <w:rFonts w:ascii="Arial" w:cs="Arial" w:eastAsia="Arial" w:hAnsi="Arial"/>
          <w:sz w:val="22"/>
          <w:szCs w:val="22"/>
          <w:color w:val="212121"/>
        </w:rPr>
        <w:t>modifies the vesting of time-based awards and performance-based awards in connection with a termination without cause or a resignation for good reason such that (i) if the participant’s employment is terminated in the first year of a performance period, the award is forfeited, and (ii) if the participant’s employment is terminated during the second or third year of a performance period, the participant shall receive a pro-rata portion of the time-based and performance-based awards;</w:t>
      </w:r>
    </w:p>
    <w:p>
      <w:pPr>
        <w:spacing w:after="0" w:line="187" w:lineRule="exact"/>
        <w:rPr>
          <w:rFonts w:ascii="Arial" w:cs="Arial" w:eastAsia="Arial" w:hAnsi="Arial"/>
          <w:sz w:val="22"/>
          <w:szCs w:val="22"/>
          <w:color w:val="212121"/>
        </w:rPr>
      </w:pPr>
    </w:p>
    <w:p>
      <w:pPr>
        <w:jc w:val="both"/>
        <w:ind w:left="840" w:hanging="413"/>
        <w:spacing w:after="0" w:line="236" w:lineRule="auto"/>
        <w:tabs>
          <w:tab w:leader="none" w:pos="840" w:val="left"/>
        </w:tabs>
        <w:numPr>
          <w:ilvl w:val="0"/>
          <w:numId w:val="2"/>
        </w:numPr>
        <w:rPr>
          <w:rFonts w:ascii="Arial" w:cs="Arial" w:eastAsia="Arial" w:hAnsi="Arial"/>
          <w:sz w:val="22"/>
          <w:szCs w:val="22"/>
          <w:color w:val="212121"/>
        </w:rPr>
      </w:pPr>
      <w:r>
        <w:rPr>
          <w:rFonts w:ascii="Arial" w:cs="Arial" w:eastAsia="Arial" w:hAnsi="Arial"/>
          <w:sz w:val="22"/>
          <w:szCs w:val="22"/>
          <w:color w:val="212121"/>
        </w:rPr>
        <w:t>modifies the vesting of time-based awards and performance-based awards with respect to a termination without cause or a resignation for good reason that occurs in connection with a change in control so that, with respect to any ongoing performance period at the time of termination, the vesting of time-based awards would be pro-rated for the applicable performance period and performance-based awards would be pro-rated at target for the applicable performance period; and</w:t>
      </w:r>
    </w:p>
    <w:p>
      <w:pPr>
        <w:spacing w:after="0" w:line="187" w:lineRule="exact"/>
        <w:rPr>
          <w:rFonts w:ascii="Arial" w:cs="Arial" w:eastAsia="Arial" w:hAnsi="Arial"/>
          <w:sz w:val="22"/>
          <w:szCs w:val="22"/>
          <w:color w:val="212121"/>
        </w:rPr>
      </w:pPr>
    </w:p>
    <w:p>
      <w:pPr>
        <w:ind w:left="840" w:hanging="413"/>
        <w:spacing w:after="0" w:line="251" w:lineRule="auto"/>
        <w:tabs>
          <w:tab w:leader="none" w:pos="840" w:val="left"/>
        </w:tabs>
        <w:numPr>
          <w:ilvl w:val="0"/>
          <w:numId w:val="2"/>
        </w:numPr>
        <w:rPr>
          <w:rFonts w:ascii="Arial" w:cs="Arial" w:eastAsia="Arial" w:hAnsi="Arial"/>
          <w:sz w:val="22"/>
          <w:szCs w:val="22"/>
          <w:color w:val="212121"/>
        </w:rPr>
      </w:pPr>
      <w:r>
        <w:rPr>
          <w:rFonts w:ascii="Arial" w:cs="Arial" w:eastAsia="Arial" w:hAnsi="Arial"/>
          <w:sz w:val="22"/>
          <w:szCs w:val="22"/>
          <w:color w:val="212121"/>
        </w:rPr>
        <w:t>provides for a clawback from participants of gains resulting from the grant, vesting, exercise or payment of any award in the 12-month period preceding a termination of the participant for justifiable cause.</w:t>
      </w:r>
    </w:p>
    <w:p>
      <w:pPr>
        <w:spacing w:after="0" w:line="173"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212121"/>
        </w:rPr>
        <w:t xml:space="preserve">The foregoing description of the LTIP is qualified in its entirety by reference to the full text of the </w:t>
      </w:r>
      <w:r>
        <w:rPr>
          <w:rFonts w:ascii="Arial" w:cs="Arial" w:eastAsia="Arial" w:hAnsi="Arial"/>
          <w:sz w:val="22"/>
          <w:szCs w:val="22"/>
          <w:color w:val="252525"/>
        </w:rPr>
        <w:t>plan as amended</w:t>
      </w:r>
      <w:r>
        <w:rPr>
          <w:rFonts w:ascii="Arial" w:cs="Arial" w:eastAsia="Arial" w:hAnsi="Arial"/>
          <w:sz w:val="22"/>
          <w:szCs w:val="22"/>
          <w:color w:val="212121"/>
        </w:rPr>
        <w:t>, which is filed herewith as Exhibit 10.1 and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2"/>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10.1</w:t>
            </w:r>
          </w:p>
        </w:tc>
        <w:tc>
          <w:tcPr>
            <w:tcW w:w="680" w:type="dxa"/>
            <w:vAlign w:val="bottom"/>
          </w:tcPr>
          <w:p>
            <w:pPr>
              <w:spacing w:after="0"/>
              <w:rPr>
                <w:sz w:val="24"/>
                <w:szCs w:val="24"/>
                <w:color w:val="auto"/>
              </w:rPr>
            </w:pPr>
          </w:p>
        </w:tc>
        <w:tc>
          <w:tcPr>
            <w:tcW w:w="9740" w:type="dxa"/>
            <w:vAlign w:val="bottom"/>
            <w:gridSpan w:val="4"/>
          </w:tcPr>
          <w:p>
            <w:pPr>
              <w:spacing w:after="0"/>
              <w:rPr>
                <w:rFonts w:ascii="Arial" w:cs="Arial" w:eastAsia="Arial" w:hAnsi="Arial"/>
                <w:sz w:val="22"/>
                <w:szCs w:val="22"/>
                <w:color w:val="0000EE"/>
              </w:rPr>
            </w:pPr>
            <w:hyperlink w:anchor="page5">
              <w:r>
                <w:rPr>
                  <w:rFonts w:ascii="Arial" w:cs="Arial" w:eastAsia="Arial" w:hAnsi="Arial"/>
                  <w:sz w:val="22"/>
                  <w:szCs w:val="22"/>
                  <w:color w:val="0000EE"/>
                </w:rPr>
                <w:t>Second Amended and Restated Destination XL Group, Inc. Long-Term Incentive Plan.</w:t>
              </w:r>
            </w:hyperlink>
          </w:p>
        </w:tc>
      </w:tr>
      <w:tr>
        <w:trPr>
          <w:trHeight w:val="1729"/>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5340" w:type="dxa"/>
            <w:vAlign w:val="bottom"/>
            <w:tcBorders>
              <w:top w:val="single" w:sz="8" w:color="0000EE"/>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June 22,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20"/>
        <w:spacing w:after="0"/>
        <w:rPr>
          <w:sz w:val="20"/>
          <w:szCs w:val="20"/>
          <w:color w:val="auto"/>
        </w:rPr>
      </w:pPr>
      <w:r>
        <w:rPr>
          <w:rFonts w:ascii="Arial" w:cs="Arial" w:eastAsia="Arial" w:hAnsi="Arial"/>
          <w:sz w:val="14"/>
          <w:szCs w:val="14"/>
          <w:b w:val="1"/>
          <w:bCs w:val="1"/>
          <w:color w:val="auto"/>
        </w:rPr>
        <w:t>Robert S. Molloy</w:t>
      </w:r>
    </w:p>
    <w:p>
      <w:pPr>
        <w:jc w:val="center"/>
        <w:ind w:left="662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2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280"/>
          </w:cols>
          <w:pgMar w:left="240" w:top="33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10.1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DXL GROUP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Destination XL Group, Inc.</w:t>
      </w:r>
    </w:p>
    <w:p>
      <w:pPr>
        <w:jc w:val="center"/>
        <w:spacing w:after="0"/>
        <w:rPr>
          <w:sz w:val="20"/>
          <w:szCs w:val="20"/>
          <w:color w:val="auto"/>
        </w:rPr>
      </w:pPr>
      <w:r>
        <w:rPr>
          <w:rFonts w:ascii="Arial" w:cs="Arial" w:eastAsia="Arial" w:hAnsi="Arial"/>
          <w:sz w:val="20"/>
          <w:szCs w:val="20"/>
          <w:b w:val="1"/>
          <w:bCs w:val="1"/>
          <w:color w:val="auto"/>
        </w:rPr>
        <w:t>Long-Term Incentive Plan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Establishment and Purpose</w:t>
      </w:r>
    </w:p>
    <w:p>
      <w:pPr>
        <w:spacing w:after="0" w:line="206" w:lineRule="exact"/>
        <w:rPr>
          <w:sz w:val="20"/>
          <w:szCs w:val="20"/>
          <w:color w:val="auto"/>
        </w:rPr>
      </w:pPr>
    </w:p>
    <w:p>
      <w:pPr>
        <w:jc w:val="both"/>
        <w:ind w:firstLine="8"/>
        <w:spacing w:after="0" w:line="238" w:lineRule="auto"/>
        <w:tabs>
          <w:tab w:leader="none" w:pos="177" w:val="left"/>
        </w:tabs>
        <w:numPr>
          <w:ilvl w:val="0"/>
          <w:numId w:val="3"/>
        </w:numPr>
        <w:rPr>
          <w:rFonts w:ascii="Arial" w:cs="Arial" w:eastAsia="Arial" w:hAnsi="Arial"/>
          <w:sz w:val="22"/>
          <w:szCs w:val="22"/>
          <w:color w:val="auto"/>
        </w:rPr>
      </w:pPr>
      <w:r>
        <w:rPr>
          <w:rFonts w:ascii="Arial" w:cs="Arial" w:eastAsia="Arial" w:hAnsi="Arial"/>
          <w:sz w:val="22"/>
          <w:szCs w:val="22"/>
          <w:color w:val="auto"/>
        </w:rPr>
        <w:t>Destination XL Group, Inc. (the “Company”) hereby establishes this Second Amended and Restated Destination XL Group, Inc. Long-Term Incentive Plan (the “Plan”) for the purpose of supporting the Company’s ongoing efforts to attract, retain and develop exceptional talent and enable the Company to provide incentives directly linked to the Company’s short and long-term objectives and increases in shareholder value.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jc w:val="both"/>
        <w:ind w:firstLine="8"/>
        <w:spacing w:after="0"/>
        <w:tabs>
          <w:tab w:leader="none" w:pos="173" w:val="left"/>
        </w:tabs>
        <w:numPr>
          <w:ilvl w:val="0"/>
          <w:numId w:val="4"/>
        </w:numPr>
        <w:rPr>
          <w:rFonts w:ascii="Arial" w:cs="Arial" w:eastAsia="Arial" w:hAnsi="Arial"/>
          <w:sz w:val="22"/>
          <w:szCs w:val="22"/>
          <w:color w:val="auto"/>
        </w:rPr>
      </w:pPr>
      <w:r>
        <w:rPr>
          <w:rFonts w:ascii="Arial" w:cs="Arial" w:eastAsia="Arial" w:hAnsi="Arial"/>
          <w:sz w:val="22"/>
          <w:szCs w:val="22"/>
          <w:color w:val="auto"/>
        </w:rPr>
        <w:t>When used herein, the following capitalized terms shall have the meanings assigned to them, unless the context clearly indicates otherwise. Capitalized terms used herein and not defined shall have the meanings assigned to them in the Incentive Compensation Plan, as defined below.</w:t>
      </w:r>
    </w:p>
    <w:p>
      <w:pPr>
        <w:spacing w:after="0" w:line="186"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b w:val="1"/>
          <w:bCs w:val="1"/>
          <w:i w:val="1"/>
          <w:iCs w:val="1"/>
          <w:u w:val="single" w:color="auto"/>
          <w:color w:val="auto"/>
        </w:rPr>
        <w:t>Affiliate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any entity that controls, is controlled by, or is under common control with,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88" w:lineRule="exact"/>
        <w:rPr>
          <w:sz w:val="20"/>
          <w:szCs w:val="20"/>
          <w:color w:val="auto"/>
        </w:rPr>
      </w:pPr>
    </w:p>
    <w:p>
      <w:pPr>
        <w:ind w:firstLine="914"/>
        <w:spacing w:after="0" w:line="251" w:lineRule="auto"/>
        <w:tabs>
          <w:tab w:leader="none" w:pos="2454" w:val="left"/>
        </w:tabs>
        <w:numPr>
          <w:ilvl w:val="0"/>
          <w:numId w:val="5"/>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Applicable Performance Target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Performance Target(s) selected by the Committee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Board to be met during a Performance Period pursuant to the Plan.</w:t>
      </w:r>
    </w:p>
    <w:p>
      <w:pPr>
        <w:spacing w:after="0" w:line="173" w:lineRule="exact"/>
        <w:rPr>
          <w:sz w:val="20"/>
          <w:szCs w:val="20"/>
          <w:color w:val="auto"/>
        </w:rPr>
      </w:pPr>
    </w:p>
    <w:p>
      <w:pPr>
        <w:jc w:val="both"/>
        <w:ind w:firstLine="914"/>
        <w:spacing w:after="0"/>
        <w:tabs>
          <w:tab w:leader="none" w:pos="2442" w:val="left"/>
        </w:tabs>
        <w:numPr>
          <w:ilvl w:val="0"/>
          <w:numId w:val="6"/>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Award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an award under the Plan that is payable in the form of Cash, Options, Restricted Stock,</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Restricted Stock Units or any other form of Award available under the Company’s Incentive Compensation Plan, pursuant to the terms and conditions set forth in this Plan.</w:t>
      </w:r>
    </w:p>
    <w:p>
      <w:pPr>
        <w:spacing w:after="0" w:line="186" w:lineRule="exact"/>
        <w:rPr>
          <w:sz w:val="20"/>
          <w:szCs w:val="20"/>
          <w:color w:val="auto"/>
        </w:rPr>
      </w:pPr>
    </w:p>
    <w:p>
      <w:pPr>
        <w:jc w:val="both"/>
        <w:ind w:firstLine="914"/>
        <w:spacing w:after="0" w:line="258" w:lineRule="auto"/>
        <w:tabs>
          <w:tab w:leader="none" w:pos="2454" w:val="left"/>
        </w:tabs>
        <w:numPr>
          <w:ilvl w:val="0"/>
          <w:numId w:val="7"/>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Black-Scholes Value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the value of an Option as of the date of the valuation calculated utilizing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same formula and assumptions as the Company utilized for the purpose of valuing outstanding options in its most recently (meaning at the time of the valuation) prepared audited annual financial statement.</w:t>
      </w:r>
    </w:p>
    <w:p>
      <w:pPr>
        <w:spacing w:after="0" w:line="167" w:lineRule="exact"/>
        <w:rPr>
          <w:sz w:val="20"/>
          <w:szCs w:val="20"/>
          <w:color w:val="auto"/>
        </w:rPr>
      </w:pPr>
    </w:p>
    <w:p>
      <w:pPr>
        <w:ind w:left="2460" w:hanging="1546"/>
        <w:spacing w:after="0"/>
        <w:tabs>
          <w:tab w:leader="none" w:pos="2460" w:val="left"/>
        </w:tabs>
        <w:numPr>
          <w:ilvl w:val="0"/>
          <w:numId w:val="8"/>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Board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Board of Directors of the Company.</w:t>
      </w:r>
    </w:p>
    <w:p>
      <w:pPr>
        <w:spacing w:after="0" w:line="206" w:lineRule="exact"/>
        <w:rPr>
          <w:sz w:val="20"/>
          <w:szCs w:val="20"/>
          <w:color w:val="auto"/>
        </w:rPr>
      </w:pPr>
    </w:p>
    <w:p>
      <w:pPr>
        <w:ind w:left="2420" w:hanging="1506"/>
        <w:spacing w:after="0"/>
        <w:tabs>
          <w:tab w:leader="none" w:pos="2420" w:val="left"/>
        </w:tabs>
        <w:numPr>
          <w:ilvl w:val="0"/>
          <w:numId w:val="9"/>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Cash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U.S. dollars.</w:t>
      </w:r>
    </w:p>
    <w:p>
      <w:pPr>
        <w:spacing w:after="0" w:line="206" w:lineRule="exact"/>
        <w:rPr>
          <w:sz w:val="20"/>
          <w:szCs w:val="20"/>
          <w:color w:val="auto"/>
        </w:rPr>
      </w:pPr>
    </w:p>
    <w:p>
      <w:pPr>
        <w:ind w:left="2460" w:hanging="1546"/>
        <w:spacing w:after="0"/>
        <w:tabs>
          <w:tab w:leader="none" w:pos="2460" w:val="left"/>
        </w:tabs>
        <w:numPr>
          <w:ilvl w:val="0"/>
          <w:numId w:val="10"/>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Committee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Compensation Committee of the Board.</w:t>
      </w:r>
    </w:p>
    <w:p>
      <w:pPr>
        <w:spacing w:after="0" w:line="206" w:lineRule="exact"/>
        <w:rPr>
          <w:sz w:val="20"/>
          <w:szCs w:val="20"/>
          <w:color w:val="auto"/>
        </w:rPr>
      </w:pPr>
    </w:p>
    <w:p>
      <w:pPr>
        <w:ind w:firstLine="914"/>
        <w:spacing w:after="0" w:line="251" w:lineRule="auto"/>
        <w:tabs>
          <w:tab w:leader="none" w:pos="2454" w:val="left"/>
        </w:tabs>
        <w:numPr>
          <w:ilvl w:val="0"/>
          <w:numId w:val="11"/>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Effective Date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date on which the metrics for a Performance Period have been finally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approved by the Committee, or such later date as shall be designated by the Committee.</w:t>
      </w:r>
    </w:p>
    <w:p>
      <w:pPr>
        <w:spacing w:after="0" w:line="173" w:lineRule="exact"/>
        <w:rPr>
          <w:sz w:val="20"/>
          <w:szCs w:val="20"/>
          <w:color w:val="auto"/>
        </w:rPr>
      </w:pPr>
    </w:p>
    <w:p>
      <w:pPr>
        <w:ind w:firstLine="914"/>
        <w:spacing w:after="0" w:line="251" w:lineRule="auto"/>
        <w:tabs>
          <w:tab w:leader="none" w:pos="2406" w:val="left"/>
        </w:tabs>
        <w:numPr>
          <w:ilvl w:val="0"/>
          <w:numId w:val="12"/>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Effective Date of Participation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date on which a Participant became a Participant in the Plan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respect to a Performance Period.</w:t>
      </w:r>
    </w:p>
    <w:p>
      <w:pPr>
        <w:spacing w:after="0" w:line="173" w:lineRule="exact"/>
        <w:rPr>
          <w:sz w:val="20"/>
          <w:szCs w:val="20"/>
          <w:color w:val="auto"/>
        </w:rPr>
      </w:pPr>
    </w:p>
    <w:p>
      <w:pPr>
        <w:ind w:left="2420" w:hanging="1506"/>
        <w:spacing w:after="0"/>
        <w:tabs>
          <w:tab w:leader="none" w:pos="2420" w:val="left"/>
        </w:tabs>
        <w:numPr>
          <w:ilvl w:val="0"/>
          <w:numId w:val="13"/>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Fiscal Quarter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each fiscal quarter that ends within a fiscal year of the Company.</w:t>
      </w:r>
    </w:p>
    <w:p>
      <w:pPr>
        <w:spacing w:after="0" w:line="206" w:lineRule="exact"/>
        <w:rPr>
          <w:sz w:val="20"/>
          <w:szCs w:val="20"/>
          <w:color w:val="auto"/>
        </w:rPr>
      </w:pPr>
    </w:p>
    <w:p>
      <w:pPr>
        <w:ind w:left="5580" w:right="3780" w:hanging="4666"/>
        <w:spacing w:after="0" w:line="456" w:lineRule="auto"/>
        <w:tabs>
          <w:tab w:leader="none" w:pos="2454" w:val="left"/>
        </w:tabs>
        <w:numPr>
          <w:ilvl w:val="0"/>
          <w:numId w:val="14"/>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FYE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last day of each fiscal year of the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 w:name="page6"/>
    <w:bookmarkEnd w:id="5"/>
    <w:p>
      <w:pPr>
        <w:jc w:val="both"/>
        <w:ind w:firstLine="914"/>
        <w:spacing w:after="0" w:line="274" w:lineRule="auto"/>
        <w:tabs>
          <w:tab w:leader="none" w:pos="2406" w:val="left"/>
        </w:tabs>
        <w:numPr>
          <w:ilvl w:val="0"/>
          <w:numId w:val="15"/>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Gain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(i) to the extent that the Award was satisfied with a grant of Options, the amount by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Fair Market Value per share of the Shares underlying such Option as of the date on which the Participant exercised the Option exceeded the exercise price of the Option; (ii) to the extent that the Award was satisfied by the grant of Restricted Stock that became vested, the Fair Market Value of those vested Shares on the earlier of the date on which the Participant incurred a Termination of Employment or the date on which the Participant sold those Shares; (iii) to the extent that the Award was satisfied by the grant of Restricted Stock Units that became vested, the Fair Market Value of the vested Shares on the earlier of the date on which the Participant incurred a Termination of Employment or the date on which the Participant sold the Shares; (iv) to the extent that the Award was satisfied in Cash, the amount of Cash paid to satisfy the Award; or (v) to the extent that the Award is satisfied in some other form, the value of the amount used to satisfy the Award (as determined by the Committee).</w:t>
      </w:r>
    </w:p>
    <w:p>
      <w:pPr>
        <w:spacing w:after="0" w:line="159" w:lineRule="exact"/>
        <w:rPr>
          <w:sz w:val="20"/>
          <w:szCs w:val="20"/>
          <w:color w:val="auto"/>
        </w:rPr>
      </w:pPr>
    </w:p>
    <w:p>
      <w:pPr>
        <w:jc w:val="both"/>
        <w:ind w:firstLine="914"/>
        <w:spacing w:after="0" w:line="270" w:lineRule="auto"/>
        <w:tabs>
          <w:tab w:leader="none" w:pos="2514" w:val="left"/>
        </w:tabs>
        <w:numPr>
          <w:ilvl w:val="0"/>
          <w:numId w:val="16"/>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Good Reason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the same definition of Good Reason, or any substantially similar term,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pursuant to a Termination of Employment by a Participant for Good Reason would not be treated as a right to a payment or benefit pursuant to an involuntary separation from service for purposes of Section 409A (as defined in Section 16(a) of this Plan) if the definition of Good Reason, or any substantially similar term, in the Participant’s employment agreement at that time is applied to the Participant’s Termination of Employment,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Employment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200" w:lineRule="exact"/>
        <w:rPr>
          <w:sz w:val="20"/>
          <w:szCs w:val="20"/>
          <w:color w:val="auto"/>
        </w:rPr>
      </w:pPr>
    </w:p>
    <w:p>
      <w:pPr>
        <w:spacing w:after="0" w:line="211" w:lineRule="exact"/>
        <w:rPr>
          <w:sz w:val="20"/>
          <w:szCs w:val="20"/>
          <w:color w:val="auto"/>
        </w:rPr>
      </w:pPr>
    </w:p>
    <w:p>
      <w:pPr>
        <w:ind w:firstLine="914"/>
        <w:spacing w:after="0" w:line="251" w:lineRule="auto"/>
        <w:tabs>
          <w:tab w:leader="none" w:pos="2454" w:val="left"/>
        </w:tabs>
        <w:numPr>
          <w:ilvl w:val="0"/>
          <w:numId w:val="17"/>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Grant Date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date on which an Award is granted to a Participant under the Plan, or such later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date as shall be determined by the Committee.</w:t>
      </w:r>
    </w:p>
    <w:p>
      <w:pPr>
        <w:spacing w:after="0" w:line="173" w:lineRule="exact"/>
        <w:rPr>
          <w:sz w:val="20"/>
          <w:szCs w:val="20"/>
          <w:color w:val="auto"/>
        </w:rPr>
      </w:pPr>
    </w:p>
    <w:p>
      <w:pPr>
        <w:ind w:firstLine="914"/>
        <w:spacing w:after="0" w:line="251" w:lineRule="auto"/>
        <w:tabs>
          <w:tab w:leader="none" w:pos="2454" w:val="left"/>
        </w:tabs>
        <w:numPr>
          <w:ilvl w:val="0"/>
          <w:numId w:val="18"/>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Incentive Compensation Plan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Company’s 2016 Incentive Compensation Plan or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shareholder-approved successor plan to the Company’s 2016 Incentive Compensation Plan.</w:t>
      </w:r>
    </w:p>
    <w:p>
      <w:pPr>
        <w:spacing w:after="0" w:line="173" w:lineRule="exact"/>
        <w:rPr>
          <w:sz w:val="20"/>
          <w:szCs w:val="20"/>
          <w:color w:val="auto"/>
        </w:rPr>
      </w:pPr>
    </w:p>
    <w:p>
      <w:pPr>
        <w:jc w:val="both"/>
        <w:ind w:firstLine="914"/>
        <w:spacing w:after="0"/>
        <w:tabs>
          <w:tab w:leader="none" w:pos="2454" w:val="left"/>
        </w:tabs>
        <w:numPr>
          <w:ilvl w:val="0"/>
          <w:numId w:val="19"/>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Justifiable Cause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same definition as used in the Participant’s employment agreement, if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is in effect at the time the determination is being made. If the Participant does not have an employment agreement at that time, or there is no definition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 w:name="page7"/>
    <w:bookmarkEnd w:id="6"/>
    <w:p>
      <w:pPr>
        <w:jc w:val="both"/>
        <w:spacing w:after="0" w:line="244" w:lineRule="auto"/>
        <w:rPr>
          <w:sz w:val="20"/>
          <w:szCs w:val="20"/>
          <w:color w:val="auto"/>
        </w:rPr>
      </w:pPr>
      <w:r>
        <w:rPr>
          <w:rFonts w:ascii="Arial" w:cs="Arial" w:eastAsia="Arial" w:hAnsi="Arial"/>
          <w:sz w:val="21"/>
          <w:szCs w:val="21"/>
          <w:color w:val="auto"/>
        </w:rPr>
        <w:t>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were prosecuted and convicted, a crime or offense involving money or property of the Company or its Subsidiaries or Affiliates, or a crime or offense constituting a felony in the jurisdiction involved, would have occurred; the Participant’s embezzlement of funds or assets of the Company or any of its Subsidiaries or Affiliates; the Participant’s conviction of, plea of guilty to, or plea of nolo contendere to any felony; the Participant’s unauthorized disclosure to any person, firm or corporation of any confidential information of the Company or any of its Subsidiaries or Affiliates; the Participant’s usurpation of a corporate opportunity of the Company or any of its Subsidiaries or Affiliates; or the Participant’s engaging in any business other than the business of the Company or its Subsidiaries or Affiliates which materially interferes with the performance of his or her duties.</w:t>
      </w:r>
    </w:p>
    <w:p>
      <w:pPr>
        <w:spacing w:after="0" w:line="190" w:lineRule="exact"/>
        <w:rPr>
          <w:sz w:val="20"/>
          <w:szCs w:val="20"/>
          <w:color w:val="auto"/>
        </w:rPr>
      </w:pPr>
    </w:p>
    <w:p>
      <w:pPr>
        <w:ind w:firstLine="914"/>
        <w:spacing w:after="0" w:line="251" w:lineRule="auto"/>
        <w:tabs>
          <w:tab w:leader="none" w:pos="2454" w:val="left"/>
        </w:tabs>
        <w:numPr>
          <w:ilvl w:val="0"/>
          <w:numId w:val="20"/>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Operating Margin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any period means the Company’s operating income, as reported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Company’s consolidated financial statements for that period, divided by Sales for that period.</w:t>
      </w:r>
    </w:p>
    <w:p>
      <w:pPr>
        <w:spacing w:after="0" w:line="173" w:lineRule="exact"/>
        <w:rPr>
          <w:sz w:val="20"/>
          <w:szCs w:val="20"/>
          <w:color w:val="auto"/>
        </w:rPr>
      </w:pPr>
    </w:p>
    <w:p>
      <w:pPr>
        <w:ind w:firstLine="914"/>
        <w:spacing w:after="0" w:line="251" w:lineRule="auto"/>
        <w:tabs>
          <w:tab w:leader="none" w:pos="2418" w:val="left"/>
        </w:tabs>
        <w:numPr>
          <w:ilvl w:val="0"/>
          <w:numId w:val="21"/>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Performance-Vesting Benefit Amount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has the meaning given to that term in Section 6(b) hereof,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includes not only its dollar value but also any Awards made with respect thereto.</w:t>
      </w:r>
    </w:p>
    <w:p>
      <w:pPr>
        <w:spacing w:after="0" w:line="173" w:lineRule="exact"/>
        <w:rPr>
          <w:sz w:val="20"/>
          <w:szCs w:val="20"/>
          <w:color w:val="auto"/>
        </w:rPr>
      </w:pPr>
    </w:p>
    <w:p>
      <w:pPr>
        <w:jc w:val="both"/>
        <w:ind w:firstLine="914"/>
        <w:spacing w:after="0"/>
        <w:tabs>
          <w:tab w:leader="none" w:pos="2430" w:val="left"/>
        </w:tabs>
        <w:numPr>
          <w:ilvl w:val="0"/>
          <w:numId w:val="22"/>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Performance Period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each three-year fiscal period which begins on the first day of the fiscal year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which an Effective Date occurs and ends at FYE of the third fiscal year. For example, if the Effective Date is April 1, 2018, the Performance Period would be February 4, 2018 to January 30, 2021.</w:t>
      </w:r>
    </w:p>
    <w:p>
      <w:pPr>
        <w:spacing w:after="0" w:line="186" w:lineRule="exact"/>
        <w:rPr>
          <w:sz w:val="20"/>
          <w:szCs w:val="20"/>
          <w:color w:val="auto"/>
        </w:rPr>
      </w:pPr>
    </w:p>
    <w:p>
      <w:pPr>
        <w:jc w:val="both"/>
        <w:ind w:firstLine="914"/>
        <w:spacing w:after="0" w:line="273" w:lineRule="auto"/>
        <w:tabs>
          <w:tab w:leader="none" w:pos="2406" w:val="left"/>
        </w:tabs>
        <w:numPr>
          <w:ilvl w:val="0"/>
          <w:numId w:val="23"/>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Performance Target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any business criteria for the Company, on a consolidated basis, and/or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Related Entities, or for business or geographical units of the Company and/or a Related Entity that the Committee, in its sole discretion, uses to establish performance goals for Awards. Any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As set forth in Section 3, the Committee may establish threshold, target and maximum goals for each Performance Target.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62" w:lineRule="exact"/>
        <w:rPr>
          <w:sz w:val="20"/>
          <w:szCs w:val="20"/>
          <w:color w:val="auto"/>
        </w:rPr>
      </w:pPr>
    </w:p>
    <w:p>
      <w:pPr>
        <w:ind w:left="2460" w:hanging="1546"/>
        <w:spacing w:after="0"/>
        <w:tabs>
          <w:tab w:leader="none" w:pos="2460" w:val="left"/>
        </w:tabs>
        <w:numPr>
          <w:ilvl w:val="0"/>
          <w:numId w:val="24"/>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Plan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this Destination XL Group, Inc. Long-Term Incentive Plan, as it may be amended from</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 to time.</w:t>
      </w:r>
    </w:p>
    <w:p>
      <w:pPr>
        <w:spacing w:after="0" w:line="188" w:lineRule="exact"/>
        <w:rPr>
          <w:sz w:val="20"/>
          <w:szCs w:val="20"/>
          <w:color w:val="auto"/>
        </w:rPr>
      </w:pPr>
    </w:p>
    <w:p>
      <w:pPr>
        <w:ind w:left="5580" w:right="1860" w:hanging="4666"/>
        <w:spacing w:after="0" w:line="456" w:lineRule="auto"/>
        <w:tabs>
          <w:tab w:leader="none" w:pos="2454" w:val="left"/>
        </w:tabs>
        <w:numPr>
          <w:ilvl w:val="0"/>
          <w:numId w:val="25"/>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Projected Benefit Amount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has the meaning given to that term in Section 5 hereof.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 w:name="page8"/>
    <w:bookmarkEnd w:id="7"/>
    <w:p>
      <w:pPr>
        <w:jc w:val="both"/>
        <w:ind w:firstLine="914"/>
        <w:spacing w:after="0" w:line="279" w:lineRule="auto"/>
        <w:tabs>
          <w:tab w:leader="none" w:pos="2502" w:val="left"/>
        </w:tabs>
        <w:numPr>
          <w:ilvl w:val="0"/>
          <w:numId w:val="26"/>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Pro-Rata Vesting Percentage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the percentage that (1) the number of days from the Participant’s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Effective Date of Participation until the date of the Participant’s Termination of Employment bears to (2) the number of days from the Participant’s Effective Date of Participation until the end of the Performance Period. If the Participant receives more than one Award pursuant to Section 6(c) hereof, then the Pro-Rata Percentage shall be determined separately with respect to each separate Award based upon the particular Grant Date (which is to be treated as the Participant’s Effective Date of Participation with respect to that Award) and Performance-Vesting Benefit Amount for each such Award.</w:t>
      </w:r>
    </w:p>
    <w:p>
      <w:pPr>
        <w:spacing w:after="0" w:line="151" w:lineRule="exact"/>
        <w:rPr>
          <w:sz w:val="20"/>
          <w:szCs w:val="20"/>
          <w:color w:val="auto"/>
        </w:rPr>
      </w:pPr>
    </w:p>
    <w:p>
      <w:pPr>
        <w:jc w:val="both"/>
        <w:ind w:firstLine="914"/>
        <w:spacing w:after="0" w:line="238" w:lineRule="auto"/>
        <w:tabs>
          <w:tab w:leader="none" w:pos="2454" w:val="left"/>
        </w:tabs>
        <w:numPr>
          <w:ilvl w:val="0"/>
          <w:numId w:val="27"/>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Retirement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Termination of Employment of the Participant, other than by reason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Participant’s death or Disability and other than by the Company for Justifiable Cause or by the Participant for Good Reason, after the Participant has attained age 65 and completed at least 5 years of employment with the Company and its Subsidiaries and Affiliates.</w:t>
      </w:r>
    </w:p>
    <w:p>
      <w:pPr>
        <w:spacing w:after="0" w:line="185" w:lineRule="exact"/>
        <w:rPr>
          <w:sz w:val="20"/>
          <w:szCs w:val="20"/>
          <w:color w:val="auto"/>
        </w:rPr>
      </w:pPr>
    </w:p>
    <w:p>
      <w:pPr>
        <w:ind w:firstLine="914"/>
        <w:spacing w:after="0" w:line="251" w:lineRule="auto"/>
        <w:tabs>
          <w:tab w:leader="none" w:pos="2454" w:val="left"/>
        </w:tabs>
        <w:numPr>
          <w:ilvl w:val="0"/>
          <w:numId w:val="28"/>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Sales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any period mean the sales of the Company consistent with the calculation as reported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Company’s consolidated financial statements for that period.</w:t>
      </w:r>
    </w:p>
    <w:p>
      <w:pPr>
        <w:spacing w:after="0" w:line="173" w:lineRule="exact"/>
        <w:rPr>
          <w:sz w:val="20"/>
          <w:szCs w:val="20"/>
          <w:color w:val="auto"/>
        </w:rPr>
      </w:pPr>
    </w:p>
    <w:p>
      <w:pPr>
        <w:ind w:firstLine="914"/>
        <w:spacing w:after="0" w:line="251" w:lineRule="auto"/>
        <w:tabs>
          <w:tab w:leader="none" w:pos="2442" w:val="left"/>
        </w:tabs>
        <w:numPr>
          <w:ilvl w:val="0"/>
          <w:numId w:val="29"/>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Section 16 Officer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an officer of the Company who is subject to the requirements of Section 16</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Securities and Exchange Act of 1934.</w:t>
      </w:r>
    </w:p>
    <w:p>
      <w:pPr>
        <w:spacing w:after="0" w:line="173" w:lineRule="exact"/>
        <w:rPr>
          <w:sz w:val="20"/>
          <w:szCs w:val="20"/>
          <w:color w:val="auto"/>
        </w:rPr>
      </w:pPr>
    </w:p>
    <w:p>
      <w:pPr>
        <w:jc w:val="both"/>
        <w:ind w:firstLine="914"/>
        <w:spacing w:after="0" w:line="252" w:lineRule="auto"/>
        <w:tabs>
          <w:tab w:leader="none" w:pos="2538" w:val="left"/>
        </w:tabs>
        <w:numPr>
          <w:ilvl w:val="0"/>
          <w:numId w:val="30"/>
        </w:numPr>
        <w:rPr>
          <w:rFonts w:ascii="Arial" w:cs="Arial" w:eastAsia="Arial" w:hAnsi="Arial"/>
          <w:sz w:val="21"/>
          <w:szCs w:val="21"/>
          <w:color w:val="auto"/>
        </w:rPr>
      </w:pPr>
      <w:r>
        <w:rPr>
          <w:rFonts w:ascii="Arial" w:cs="Arial" w:eastAsia="Arial" w:hAnsi="Arial"/>
          <w:sz w:val="21"/>
          <w:szCs w:val="21"/>
          <w:b w:val="1"/>
          <w:bCs w:val="1"/>
          <w:i w:val="1"/>
          <w:iCs w:val="1"/>
          <w:u w:val="single" w:color="auto"/>
          <w:color w:val="auto"/>
        </w:rPr>
        <w:t>Subsidiary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means any corporation or other entity in which the Company has a direct or indirect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74" w:lineRule="exact"/>
        <w:rPr>
          <w:sz w:val="20"/>
          <w:szCs w:val="20"/>
          <w:color w:val="auto"/>
        </w:rPr>
      </w:pPr>
    </w:p>
    <w:p>
      <w:pPr>
        <w:jc w:val="both"/>
        <w:ind w:firstLine="914"/>
        <w:spacing w:after="0" w:line="287" w:lineRule="auto"/>
        <w:tabs>
          <w:tab w:leader="none" w:pos="2562" w:val="left"/>
        </w:tabs>
        <w:numPr>
          <w:ilvl w:val="0"/>
          <w:numId w:val="31"/>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Target Cash Value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means the amount in U.S. dollars determined by: multiplying (i) the Participant’s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annual base salary in effect on the Participant’s Effective Date of Participation by (ii) the long-term incentive program percentage designated in the Participant’s executed employment agreement with the Company (or the percentage as otherwise designated in the Company’s records) or such other amount as shall be determined by the Committee.</w:t>
      </w:r>
    </w:p>
    <w:p>
      <w:pPr>
        <w:spacing w:after="0" w:line="143" w:lineRule="exact"/>
        <w:rPr>
          <w:sz w:val="20"/>
          <w:szCs w:val="20"/>
          <w:color w:val="auto"/>
        </w:rPr>
      </w:pPr>
    </w:p>
    <w:p>
      <w:pPr>
        <w:ind w:right="20" w:firstLine="914"/>
        <w:spacing w:after="0" w:line="251" w:lineRule="auto"/>
        <w:tabs>
          <w:tab w:leader="none" w:pos="2538" w:val="left"/>
        </w:tabs>
        <w:numPr>
          <w:ilvl w:val="0"/>
          <w:numId w:val="32"/>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Termination of Employment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means the termination of the Participant’s employment with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and its Subsidiaries and Affiliates for any reason.</w:t>
      </w:r>
    </w:p>
    <w:p>
      <w:pPr>
        <w:spacing w:after="0" w:line="173" w:lineRule="exact"/>
        <w:rPr>
          <w:sz w:val="20"/>
          <w:szCs w:val="20"/>
          <w:color w:val="auto"/>
        </w:rPr>
      </w:pPr>
    </w:p>
    <w:p>
      <w:pPr>
        <w:ind w:firstLine="914"/>
        <w:spacing w:after="0" w:line="251" w:lineRule="auto"/>
        <w:tabs>
          <w:tab w:leader="none" w:pos="2562" w:val="left"/>
        </w:tabs>
        <w:numPr>
          <w:ilvl w:val="0"/>
          <w:numId w:val="33"/>
        </w:numPr>
        <w:rPr>
          <w:rFonts w:ascii="Arial" w:cs="Arial" w:eastAsia="Arial" w:hAnsi="Arial"/>
          <w:sz w:val="22"/>
          <w:szCs w:val="22"/>
          <w:color w:val="auto"/>
        </w:rPr>
      </w:pPr>
      <w:r>
        <w:rPr>
          <w:rFonts w:ascii="Arial" w:cs="Arial" w:eastAsia="Arial" w:hAnsi="Arial"/>
          <w:sz w:val="22"/>
          <w:szCs w:val="22"/>
          <w:b w:val="1"/>
          <w:bCs w:val="1"/>
          <w:i w:val="1"/>
          <w:iCs w:val="1"/>
          <w:u w:val="single" w:color="auto"/>
          <w:color w:val="auto"/>
        </w:rPr>
        <w:t>Time-Vesting Benefit Amount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has the meaning given to that term in Section 6(a) hereof, and includes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not only its dollar value but also any Awards made with respect thereto.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 w:name="page9"/>
    <w:bookmarkEnd w:id="8"/>
    <w:p>
      <w:pPr>
        <w:jc w:val="both"/>
        <w:ind w:firstLine="8"/>
        <w:spacing w:after="0" w:line="248" w:lineRule="auto"/>
        <w:tabs>
          <w:tab w:leader="none" w:pos="810" w:val="left"/>
        </w:tabs>
        <w:numPr>
          <w:ilvl w:val="0"/>
          <w:numId w:val="3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Establishment of Fiscal Year Applicable Performance Target and Awards. </w:t>
      </w:r>
      <w:r>
        <w:rPr>
          <w:rFonts w:ascii="Arial" w:cs="Arial" w:eastAsia="Arial" w:hAnsi="Arial"/>
          <w:sz w:val="21"/>
          <w:szCs w:val="21"/>
          <w:color w:val="auto"/>
        </w:rPr>
        <w:t>The Committee will establish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Performance Target(s) (in the aggregate, the Applicable Performance Target) in no event later than the expiration of 25% of the applicable performance period. The Committee may establish threshold, target and maximum goals for each Performance Target and the weight of each Performance Target may vary and may be dependent on achievement of another Performance Target. At that time, the Committee will establish whether Awards will be granted in Cash, a form of equity (for example, Restricted Stock, Restricted Stock Units and/or Options), or a combination thereof.</w:t>
      </w:r>
    </w:p>
    <w:p>
      <w:pPr>
        <w:spacing w:after="0" w:line="177" w:lineRule="exact"/>
        <w:rPr>
          <w:rFonts w:ascii="Arial" w:cs="Arial" w:eastAsia="Arial" w:hAnsi="Arial"/>
          <w:sz w:val="21"/>
          <w:szCs w:val="21"/>
          <w:color w:val="auto"/>
        </w:rPr>
      </w:pPr>
    </w:p>
    <w:p>
      <w:pPr>
        <w:jc w:val="both"/>
        <w:ind w:firstLine="8"/>
        <w:spacing w:after="0" w:line="246" w:lineRule="auto"/>
        <w:tabs>
          <w:tab w:leader="none" w:pos="810" w:val="left"/>
        </w:tabs>
        <w:numPr>
          <w:ilvl w:val="0"/>
          <w:numId w:val="3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Eligibility. </w:t>
      </w:r>
      <w:r>
        <w:rPr>
          <w:rFonts w:ascii="Arial" w:cs="Arial" w:eastAsia="Arial" w:hAnsi="Arial"/>
          <w:sz w:val="21"/>
          <w:szCs w:val="21"/>
          <w:color w:val="auto"/>
        </w:rPr>
        <w:t>The Committee shall designate those employees of the Company and its Subsidiaries and Affiliates who shall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be eligible to become Participants in the Plan and the date during the Performance Period on which they shall become Participants. The initial Participants shall become Participants on the Effective Date for the Performance Period that begins February 4, 2018. Except as otherwise provided in Section 7(d) hereof, unless otherwise determined by the Committee, no portion of any Award shall become vested pursuant to Section 7 hereof, unless and until a Participant has completed at least 1 year of employment with the Company and its Subsidiaries and Affiliates. No one shall be eligible to be a Participant during an existing Performance Period unless he or she was employed by, or is promoted by, the Company by the first day of the fourth fiscal quarter in the third year of a Performance Period.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Amount of Benefit</w:t>
      </w:r>
    </w:p>
    <w:p>
      <w:pPr>
        <w:spacing w:after="0" w:line="206" w:lineRule="exact"/>
        <w:rPr>
          <w:sz w:val="20"/>
          <w:szCs w:val="20"/>
          <w:color w:val="auto"/>
        </w:rPr>
      </w:pPr>
    </w:p>
    <w:p>
      <w:pPr>
        <w:jc w:val="both"/>
        <w:ind w:firstLine="8"/>
        <w:spacing w:after="0" w:line="277" w:lineRule="auto"/>
        <w:tabs>
          <w:tab w:leader="none" w:pos="171"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benefit payable to a Participant pursuant to an Award under this Plan shall be equal to the sum of the vested portions, if any, of the Participant’s Time-Vesting Benefit Amount and Performance-Vesting Benefit Amount. Those amounts shall be determined in accordance with Section 7 of this Plan, based upon the Participant’s Target Cash Value for the Performance Period (or, in the case of an individual that becomes a Participant after the Effective Date of a Performance Period, an amount (the “Projected Benefit Amount”) equal to the Target Cash Value for the Performance Period multiplied by a fraction, the numerator of which shall be the number of calendar days from the Participant’s Effective Date of Participation to the end of the Performance Period and the denominator of which shall be the total number of days in Performance Period).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Form of Payment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914"/>
        <w:spacing w:after="0" w:line="275" w:lineRule="auto"/>
        <w:tabs>
          <w:tab w:leader="none" w:pos="2442" w:val="left"/>
        </w:tabs>
        <w:numPr>
          <w:ilvl w:val="0"/>
          <w:numId w:val="3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Grant of Time-Based Awards. </w:t>
      </w:r>
      <w:r>
        <w:rPr>
          <w:rFonts w:ascii="Arial" w:cs="Arial" w:eastAsia="Arial" w:hAnsi="Arial"/>
          <w:sz w:val="19"/>
          <w:szCs w:val="19"/>
          <w:color w:val="auto"/>
        </w:rPr>
        <w:t>Upon a Participant’s Effective Date of Participation, the Committee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shall grant to the Participant the portion of the Award having a total dollar value equal to 50% of the Participant’s Projected Benefit Amount for the Performance Period (the “Time-Vesting Benefit Amount”) which shall vest over time. In the event all or a portion of the Award will be Restricted Stock or a Restricted Stock Unit, the number of shares to be granted will be determined by taking the dollar value of the Restricted Stock or Restricted Stock Unit Award and dividing by the closing price of the Company’s common stock on Grant Date. In the event all or a portion of the Award will be Options, then the number of options to be granted will be determined by taking the dollar value of the Stock Option Award and dividing by the Black-Scholes Value on the Grant Date, each with an exercise price equal to the closing price of the Company’s common stock on the Grant Date.</w:t>
      </w:r>
    </w:p>
    <w:p>
      <w:pPr>
        <w:spacing w:after="0" w:line="158" w:lineRule="exact"/>
        <w:rPr>
          <w:sz w:val="20"/>
          <w:szCs w:val="20"/>
          <w:color w:val="auto"/>
        </w:rPr>
      </w:pPr>
    </w:p>
    <w:p>
      <w:pPr>
        <w:jc w:val="both"/>
        <w:ind w:firstLine="906"/>
        <w:spacing w:after="0"/>
        <w:rPr>
          <w:sz w:val="20"/>
          <w:szCs w:val="20"/>
          <w:color w:val="auto"/>
        </w:rPr>
      </w:pPr>
      <w:r>
        <w:rPr>
          <w:rFonts w:ascii="Arial" w:cs="Arial" w:eastAsia="Arial" w:hAnsi="Arial"/>
          <w:sz w:val="22"/>
          <w:szCs w:val="22"/>
          <w:color w:val="auto"/>
        </w:rPr>
        <w:t>Subject to continued employment with the Company, time-vested RSUs granted with respect to a Performance Period will vest 25% a year over a four-year period beginning on April 1 of the immediately following fiscal year in accordance with Section 7(b).</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 w:name="page10"/>
    <w:bookmarkEnd w:id="9"/>
    <w:p>
      <w:pPr>
        <w:jc w:val="both"/>
        <w:ind w:firstLine="914"/>
        <w:spacing w:after="0" w:line="272" w:lineRule="auto"/>
        <w:tabs>
          <w:tab w:leader="none" w:pos="2454" w:val="left"/>
        </w:tabs>
        <w:numPr>
          <w:ilvl w:val="0"/>
          <w:numId w:val="37"/>
        </w:numPr>
        <w:rPr>
          <w:rFonts w:ascii="Arial" w:cs="Arial" w:eastAsia="Arial" w:hAnsi="Arial"/>
          <w:sz w:val="19"/>
          <w:szCs w:val="19"/>
          <w:color w:val="auto"/>
        </w:rPr>
      </w:pPr>
      <w:r>
        <w:rPr>
          <w:rFonts w:ascii="Arial" w:cs="Arial" w:eastAsia="Arial" w:hAnsi="Arial"/>
          <w:sz w:val="19"/>
          <w:szCs w:val="19"/>
          <w:b w:val="1"/>
          <w:bCs w:val="1"/>
          <w:i w:val="1"/>
          <w:iCs w:val="1"/>
          <w:color w:val="auto"/>
        </w:rPr>
        <w:t>Grant of Performance-Based Awards</w:t>
      </w:r>
      <w:r>
        <w:rPr>
          <w:rFonts w:ascii="Arial" w:cs="Arial" w:eastAsia="Arial" w:hAnsi="Arial"/>
          <w:sz w:val="19"/>
          <w:szCs w:val="19"/>
          <w:color w:val="auto"/>
        </w:rPr>
        <w:t>. 50% of the Projected Benefit Amount shall be converted into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dollar value in accordance with Section 7(b), based upon the achievement of performance criteria during the Performance Period, which dollar value is sometimes hereinafter referred to as the “Performance-Vesting Benefit Amount”. After completion of an audit of the Company’s financial statements after the respective Performance Period ends and the Committee’s review and approval that the Applicable Performance Targets were met the Committee shall grant to the Participant one or more Awards having an aggregate dollar value equal to the Performance-Vesting Benefit Amount as so calculated. All grants of performance-based awards are subject to a post-grant vesting period, as set forth in Section 7(b). In the event all or a portion of the Award will be Restricted Stock or Restricted Stock Units, the number of shares or units to be granted will be determined by taking the dollar value of the Restricted Stock or Restricted Stock Unit Award and dividing by the closing price of the Company’s common stock on the Grant Date. In the event all or a portion of the Award will be Options, then the number of options to be granted will be determined by taking the dollar value of the Stock Option Award and dividing by the Black-Scholes Value on the Grant Date, each with an exercise price equal to the closing price of the Company’s common stock on the Grant Date.</w:t>
      </w:r>
    </w:p>
    <w:p>
      <w:pPr>
        <w:spacing w:after="0" w:line="162" w:lineRule="exact"/>
        <w:rPr>
          <w:sz w:val="20"/>
          <w:szCs w:val="20"/>
          <w:color w:val="auto"/>
        </w:rPr>
      </w:pPr>
    </w:p>
    <w:p>
      <w:pPr>
        <w:jc w:val="both"/>
        <w:ind w:firstLine="914"/>
        <w:spacing w:after="0" w:line="273" w:lineRule="auto"/>
        <w:tabs>
          <w:tab w:leader="none" w:pos="2442" w:val="left"/>
        </w:tabs>
        <w:numPr>
          <w:ilvl w:val="0"/>
          <w:numId w:val="3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Additional Grants for Promotions. </w:t>
      </w:r>
      <w:r>
        <w:rPr>
          <w:rFonts w:ascii="Arial" w:cs="Arial" w:eastAsia="Arial" w:hAnsi="Arial"/>
          <w:sz w:val="19"/>
          <w:szCs w:val="19"/>
          <w:color w:val="auto"/>
        </w:rPr>
        <w:t>If a Participant is promoted during the Performance Period (prior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the 1</w:t>
      </w:r>
      <w:r>
        <w:rPr>
          <w:rFonts w:ascii="Arial" w:cs="Arial" w:eastAsia="Arial" w:hAnsi="Arial"/>
          <w:sz w:val="16"/>
          <w:szCs w:val="16"/>
          <w:color w:val="auto"/>
        </w:rPr>
        <w:t>st</w:t>
      </w:r>
      <w:r>
        <w:rPr>
          <w:rFonts w:ascii="Arial" w:cs="Arial" w:eastAsia="Arial" w:hAnsi="Arial"/>
          <w:sz w:val="19"/>
          <w:szCs w:val="19"/>
          <w:color w:val="auto"/>
        </w:rPr>
        <w:t xml:space="preserve"> day of the fourth quarter of the third fiscal year) and entitled to a higher long-term incentive program percentage as a result of such promotion, then the Committee shall grant the Participant an additional Award determined as if the Participant had become a Participant on the Grant Date of the additional Award, with the amount of the additional Award being equal to the excess, if any, of (i) Participant’s Projected Benefit Amount determined as if the Participant had become a Participant on the Grant Date of the additional Award, over (ii) the Participant’s original Projected Benefit Amount multiplied by a fraction, the numerator of which shall be equal to the total number of calendar days from the Grant Date of the additional Award to the last day of the Performance Period and the denominator of which shall be the total number of days from the Participant’s Effective Date of Participation to the last day of the Performance Period. In the event that a Participant is promoted and entitled to a higher long-term incentive program percentage as a result of such promotion more than once during the Performance Period, each additional Award shall be determined by the Committee, in its sole and absolute discretion, under the principles set forth above in this Section 6(c).</w:t>
      </w:r>
    </w:p>
    <w:p>
      <w:pPr>
        <w:spacing w:after="0" w:line="156" w:lineRule="exact"/>
        <w:rPr>
          <w:sz w:val="20"/>
          <w:szCs w:val="20"/>
          <w:color w:val="auto"/>
        </w:rPr>
      </w:pPr>
    </w:p>
    <w:p>
      <w:pPr>
        <w:jc w:val="both"/>
        <w:ind w:firstLine="914"/>
        <w:spacing w:after="0" w:line="238" w:lineRule="auto"/>
        <w:tabs>
          <w:tab w:leader="none" w:pos="2454" w:val="left"/>
        </w:tabs>
        <w:numPr>
          <w:ilvl w:val="0"/>
          <w:numId w:val="39"/>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Forms of Award Agreements. </w:t>
      </w:r>
      <w:r>
        <w:rPr>
          <w:rFonts w:ascii="Arial" w:cs="Arial" w:eastAsia="Arial" w:hAnsi="Arial"/>
          <w:sz w:val="22"/>
          <w:szCs w:val="22"/>
          <w:color w:val="auto"/>
        </w:rPr>
        <w:t>The Restricted Stock, Restricted Stock Units and Options granted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pursuant to the Plan shall be made pursuant to the forms of Restricted Stock Agreement, Restricted Stock Unit and Stock Option Agreement, respectively, attached as Exhibits A, B and C hereto (with such modifications as the Committee may deem to be appropriate).</w:t>
      </w:r>
    </w:p>
    <w:p>
      <w:pPr>
        <w:spacing w:after="0" w:line="185" w:lineRule="exact"/>
        <w:rPr>
          <w:sz w:val="20"/>
          <w:szCs w:val="20"/>
          <w:color w:val="auto"/>
        </w:rPr>
      </w:pPr>
    </w:p>
    <w:p>
      <w:pPr>
        <w:jc w:val="both"/>
        <w:ind w:firstLine="914"/>
        <w:spacing w:after="0" w:line="236" w:lineRule="auto"/>
        <w:tabs>
          <w:tab w:leader="none" w:pos="2442" w:val="left"/>
        </w:tabs>
        <w:numPr>
          <w:ilvl w:val="0"/>
          <w:numId w:val="40"/>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Payment of Cash. </w:t>
      </w:r>
      <w:r>
        <w:rPr>
          <w:rFonts w:ascii="Arial" w:cs="Arial" w:eastAsia="Arial" w:hAnsi="Arial"/>
          <w:sz w:val="22"/>
          <w:szCs w:val="22"/>
          <w:color w:val="auto"/>
        </w:rPr>
        <w:t>The portion of any Projected Benefit Amount that vests and is payable in Cash shall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 payable as soon as practicable after the date on which that portion of the benefit vests and, in the case of the Cash attributable to the Performance-Based Vesting Award, the Committee certifies in writing that the Applicable Performance Target has been met (but in either case, in no event more than 2 1/2 months after the end of the calendar year in which the portion of the Projected Benefit Amount vests).</w:t>
      </w:r>
    </w:p>
    <w:p>
      <w:pPr>
        <w:spacing w:after="0" w:line="188" w:lineRule="exact"/>
        <w:rPr>
          <w:sz w:val="20"/>
          <w:szCs w:val="20"/>
          <w:color w:val="auto"/>
        </w:rPr>
      </w:pPr>
    </w:p>
    <w:p>
      <w:pPr>
        <w:jc w:val="both"/>
        <w:ind w:firstLine="914"/>
        <w:spacing w:after="0"/>
        <w:tabs>
          <w:tab w:leader="none" w:pos="2418" w:val="left"/>
        </w:tabs>
        <w:numPr>
          <w:ilvl w:val="0"/>
          <w:numId w:val="41"/>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If Insufficient Shares Available. </w:t>
      </w:r>
      <w:r>
        <w:rPr>
          <w:rFonts w:ascii="Arial" w:cs="Arial" w:eastAsia="Arial" w:hAnsi="Arial"/>
          <w:sz w:val="22"/>
          <w:szCs w:val="22"/>
          <w:color w:val="auto"/>
        </w:rPr>
        <w:t>Notwithstanding the foregoing, if and to the extent that, at the time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 Award is granted, the Company does not have a sufficient number of Shares remaining available for Awards under the Incentive Compensation Plan to issue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 w:name="page11"/>
    <w:bookmarkEnd w:id="10"/>
    <w:p>
      <w:pPr>
        <w:jc w:val="both"/>
        <w:spacing w:after="0" w:line="238" w:lineRule="auto"/>
        <w:rPr>
          <w:sz w:val="20"/>
          <w:szCs w:val="20"/>
          <w:color w:val="auto"/>
        </w:rPr>
      </w:pPr>
      <w:r>
        <w:rPr>
          <w:rFonts w:ascii="Arial" w:cs="Arial" w:eastAsia="Arial" w:hAnsi="Arial"/>
          <w:sz w:val="22"/>
          <w:szCs w:val="22"/>
          <w:color w:val="auto"/>
        </w:rPr>
        <w:t>such Award in the form of Restricted Stock, Restricted Stock Units and/or Options, or the Shares are available for Awards under the Incentive Compensation Plan subject to shareholder approval, and such approval is not obtained and the grant of Restricted Stock, Restricted Stock Units and/or Options therefore are cancelled, then such Award shall be settled in Cash to the extent of such insufficiency.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Vesting of Benefit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2460" w:hanging="1546"/>
        <w:spacing w:after="0"/>
        <w:tabs>
          <w:tab w:leader="none" w:pos="2460" w:val="left"/>
        </w:tabs>
        <w:numPr>
          <w:ilvl w:val="0"/>
          <w:numId w:val="42"/>
        </w:numPr>
        <w:rPr>
          <w:rFonts w:ascii="Arial" w:cs="Arial" w:eastAsia="Arial" w:hAnsi="Arial"/>
          <w:sz w:val="22"/>
          <w:szCs w:val="22"/>
          <w:color w:val="auto"/>
        </w:rPr>
      </w:pPr>
      <w:r>
        <w:rPr>
          <w:rFonts w:ascii="Arial" w:cs="Arial" w:eastAsia="Arial" w:hAnsi="Arial"/>
          <w:sz w:val="22"/>
          <w:szCs w:val="22"/>
          <w:b w:val="1"/>
          <w:bCs w:val="1"/>
          <w:i w:val="1"/>
          <w:iCs w:val="1"/>
          <w:color w:val="auto"/>
        </w:rPr>
        <w:t>Vesting of Time-Vesting Benefit Amount</w:t>
      </w:r>
      <w:r>
        <w:rPr>
          <w:rFonts w:ascii="Arial" w:cs="Arial" w:eastAsia="Arial" w:hAnsi="Arial"/>
          <w:sz w:val="22"/>
          <w:szCs w:val="22"/>
          <w:color w:val="auto"/>
        </w:rPr>
        <w:t>:</w:t>
      </w:r>
    </w:p>
    <w:p>
      <w:pPr>
        <w:spacing w:after="0" w:line="206" w:lineRule="exact"/>
        <w:rPr>
          <w:sz w:val="20"/>
          <w:szCs w:val="20"/>
          <w:color w:val="auto"/>
        </w:rPr>
      </w:pPr>
    </w:p>
    <w:p>
      <w:pPr>
        <w:jc w:val="both"/>
        <w:ind w:firstLine="1811"/>
        <w:spacing w:after="0"/>
        <w:rPr>
          <w:sz w:val="20"/>
          <w:szCs w:val="20"/>
          <w:color w:val="auto"/>
        </w:rPr>
      </w:pPr>
      <w:r>
        <w:rPr>
          <w:rFonts w:ascii="Arial" w:cs="Arial" w:eastAsia="Arial" w:hAnsi="Arial"/>
          <w:sz w:val="22"/>
          <w:szCs w:val="22"/>
          <w:color w:val="auto"/>
        </w:rPr>
        <w:t>(i) The Time-Vesting Benefit Amount shall vest according to the following four-year vesting schedule, provided that the Participant does not have a Termination of Employment on or before the applicable vesting date:</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22"/>
                <w:szCs w:val="22"/>
                <w:color w:val="auto"/>
                <w:w w:val="87"/>
              </w:rPr>
              <w:t>Vesting Date</w:t>
            </w:r>
          </w:p>
        </w:tc>
        <w:tc>
          <w:tcPr>
            <w:tcW w:w="2340" w:type="dxa"/>
            <w:vAlign w:val="bottom"/>
          </w:tcPr>
          <w:p>
            <w:pPr>
              <w:spacing w:after="0"/>
              <w:rPr>
                <w:sz w:val="21"/>
                <w:szCs w:val="21"/>
                <w:color w:val="auto"/>
              </w:rPr>
            </w:pPr>
          </w:p>
        </w:tc>
        <w:tc>
          <w:tcPr>
            <w:tcW w:w="5160" w:type="dxa"/>
            <w:vAlign w:val="bottom"/>
            <w:gridSpan w:val="2"/>
          </w:tcPr>
          <w:p>
            <w:pPr>
              <w:jc w:val="center"/>
              <w:ind w:right="400"/>
              <w:spacing w:after="0"/>
              <w:rPr>
                <w:sz w:val="20"/>
                <w:szCs w:val="20"/>
                <w:color w:val="auto"/>
              </w:rPr>
            </w:pPr>
            <w:r>
              <w:rPr>
                <w:rFonts w:ascii="Arial" w:cs="Arial" w:eastAsia="Arial" w:hAnsi="Arial"/>
                <w:sz w:val="22"/>
                <w:szCs w:val="22"/>
                <w:color w:val="auto"/>
                <w:w w:val="89"/>
              </w:rPr>
              <w:t>Percentage of Time-Vesting Benefit Amount that Vests</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220" w:type="dxa"/>
            <w:vAlign w:val="bottom"/>
            <w:gridSpan w:val="4"/>
          </w:tcPr>
          <w:p>
            <w:pPr>
              <w:jc w:val="center"/>
              <w:ind w:right="332"/>
              <w:spacing w:after="0" w:line="242" w:lineRule="exact"/>
              <w:rPr>
                <w:sz w:val="20"/>
                <w:szCs w:val="20"/>
                <w:color w:val="auto"/>
              </w:rPr>
            </w:pPr>
            <w:r>
              <w:rPr>
                <w:rFonts w:ascii="Arial" w:cs="Arial" w:eastAsia="Arial" w:hAnsi="Arial"/>
                <w:sz w:val="22"/>
                <w:szCs w:val="22"/>
                <w:color w:val="auto"/>
                <w:w w:val="91"/>
              </w:rPr>
              <w:t>The latter of one year from the Grant Date or April 1 following the</w:t>
            </w:r>
          </w:p>
        </w:tc>
        <w:tc>
          <w:tcPr>
            <w:tcW w:w="4760" w:type="dxa"/>
            <w:vAlign w:val="bottom"/>
          </w:tcPr>
          <w:p>
            <w:pPr>
              <w:jc w:val="center"/>
              <w:spacing w:after="0" w:line="242" w:lineRule="exact"/>
              <w:rPr>
                <w:sz w:val="20"/>
                <w:szCs w:val="20"/>
                <w:color w:val="auto"/>
              </w:rPr>
            </w:pPr>
            <w:r>
              <w:rPr>
                <w:rFonts w:ascii="Arial" w:cs="Arial" w:eastAsia="Arial" w:hAnsi="Arial"/>
                <w:sz w:val="22"/>
                <w:szCs w:val="22"/>
                <w:color w:val="auto"/>
                <w:w w:val="90"/>
              </w:rPr>
              <w:t>25%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jc w:val="center"/>
              <w:ind w:right="332"/>
              <w:spacing w:after="0" w:line="243" w:lineRule="exact"/>
              <w:rPr>
                <w:sz w:val="20"/>
                <w:szCs w:val="20"/>
                <w:color w:val="auto"/>
              </w:rPr>
            </w:pPr>
            <w:r>
              <w:rPr>
                <w:rFonts w:ascii="Arial" w:cs="Arial" w:eastAsia="Arial" w:hAnsi="Arial"/>
                <w:sz w:val="22"/>
                <w:szCs w:val="22"/>
                <w:color w:val="auto"/>
                <w:w w:val="89"/>
              </w:rPr>
              <w:t>FYE which marks the end of the first year of the Performance</w:t>
            </w:r>
          </w:p>
        </w:tc>
        <w:tc>
          <w:tcPr>
            <w:tcW w:w="4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340" w:type="dxa"/>
            <w:vAlign w:val="bottom"/>
          </w:tcPr>
          <w:p>
            <w:pPr>
              <w:spacing w:after="0"/>
              <w:rPr>
                <w:sz w:val="23"/>
                <w:szCs w:val="23"/>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22"/>
                <w:szCs w:val="22"/>
                <w:color w:val="auto"/>
                <w:w w:val="91"/>
              </w:rPr>
              <w:t>Period</w:t>
            </w:r>
          </w:p>
        </w:tc>
        <w:tc>
          <w:tcPr>
            <w:tcW w:w="234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6220" w:type="dxa"/>
            <w:vAlign w:val="bottom"/>
            <w:gridSpan w:val="4"/>
          </w:tcPr>
          <w:p>
            <w:pPr>
              <w:jc w:val="center"/>
              <w:ind w:right="332"/>
              <w:spacing w:after="0"/>
              <w:rPr>
                <w:sz w:val="20"/>
                <w:szCs w:val="20"/>
                <w:color w:val="auto"/>
              </w:rPr>
            </w:pPr>
            <w:r>
              <w:rPr>
                <w:rFonts w:ascii="Arial" w:cs="Arial" w:eastAsia="Arial" w:hAnsi="Arial"/>
                <w:sz w:val="22"/>
                <w:szCs w:val="22"/>
                <w:color w:val="auto"/>
                <w:w w:val="91"/>
              </w:rPr>
              <w:t>April 1 following the FYE which marks the end of the second year</w:t>
            </w:r>
          </w:p>
        </w:tc>
        <w:tc>
          <w:tcPr>
            <w:tcW w:w="4760" w:type="dxa"/>
            <w:vAlign w:val="bottom"/>
          </w:tcPr>
          <w:p>
            <w:pPr>
              <w:jc w:val="center"/>
              <w:spacing w:after="0"/>
              <w:rPr>
                <w:sz w:val="20"/>
                <w:szCs w:val="20"/>
                <w:color w:val="auto"/>
              </w:rPr>
            </w:pPr>
            <w:r>
              <w:rPr>
                <w:rFonts w:ascii="Arial" w:cs="Arial" w:eastAsia="Arial" w:hAnsi="Arial"/>
                <w:sz w:val="22"/>
                <w:szCs w:val="22"/>
                <w:color w:val="auto"/>
                <w:w w:val="90"/>
              </w:rPr>
              <w:t>25%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220" w:type="dxa"/>
            <w:vAlign w:val="bottom"/>
            <w:gridSpan w:val="4"/>
          </w:tcPr>
          <w:p>
            <w:pPr>
              <w:jc w:val="center"/>
              <w:ind w:right="332"/>
              <w:spacing w:after="0"/>
              <w:rPr>
                <w:sz w:val="20"/>
                <w:szCs w:val="20"/>
                <w:color w:val="auto"/>
              </w:rPr>
            </w:pPr>
            <w:r>
              <w:rPr>
                <w:rFonts w:ascii="Arial" w:cs="Arial" w:eastAsia="Arial" w:hAnsi="Arial"/>
                <w:sz w:val="22"/>
                <w:szCs w:val="22"/>
                <w:color w:val="auto"/>
                <w:w w:val="87"/>
              </w:rPr>
              <w:t>of the Performance Period</w:t>
            </w:r>
          </w:p>
        </w:tc>
        <w:tc>
          <w:tcPr>
            <w:tcW w:w="4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6220" w:type="dxa"/>
            <w:vAlign w:val="bottom"/>
            <w:gridSpan w:val="4"/>
          </w:tcPr>
          <w:p>
            <w:pPr>
              <w:jc w:val="center"/>
              <w:ind w:right="332"/>
              <w:spacing w:after="0"/>
              <w:rPr>
                <w:sz w:val="20"/>
                <w:szCs w:val="20"/>
                <w:color w:val="auto"/>
              </w:rPr>
            </w:pPr>
            <w:r>
              <w:rPr>
                <w:rFonts w:ascii="Arial" w:cs="Arial" w:eastAsia="Arial" w:hAnsi="Arial"/>
                <w:sz w:val="22"/>
                <w:szCs w:val="22"/>
                <w:color w:val="auto"/>
                <w:w w:val="92"/>
              </w:rPr>
              <w:t>April 1 following the FYE which marks the end of the</w:t>
            </w:r>
          </w:p>
        </w:tc>
        <w:tc>
          <w:tcPr>
            <w:tcW w:w="4760" w:type="dxa"/>
            <w:vAlign w:val="bottom"/>
            <w:vMerge w:val="restart"/>
          </w:tcPr>
          <w:p>
            <w:pPr>
              <w:jc w:val="center"/>
              <w:spacing w:after="0"/>
              <w:rPr>
                <w:sz w:val="20"/>
                <w:szCs w:val="20"/>
                <w:color w:val="auto"/>
              </w:rPr>
            </w:pPr>
            <w:r>
              <w:rPr>
                <w:rFonts w:ascii="Arial" w:cs="Arial" w:eastAsia="Arial" w:hAnsi="Arial"/>
                <w:sz w:val="22"/>
                <w:szCs w:val="22"/>
                <w:color w:val="auto"/>
                <w:w w:val="90"/>
              </w:rPr>
              <w:t>25%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880" w:type="dxa"/>
            <w:vAlign w:val="bottom"/>
            <w:gridSpan w:val="3"/>
          </w:tcPr>
          <w:p>
            <w:pPr>
              <w:jc w:val="center"/>
              <w:ind w:left="1812"/>
              <w:spacing w:after="0"/>
              <w:rPr>
                <w:sz w:val="20"/>
                <w:szCs w:val="20"/>
                <w:color w:val="auto"/>
              </w:rPr>
            </w:pPr>
            <w:r>
              <w:rPr>
                <w:rFonts w:ascii="Arial" w:cs="Arial" w:eastAsia="Arial" w:hAnsi="Arial"/>
                <w:sz w:val="22"/>
                <w:szCs w:val="22"/>
                <w:color w:val="auto"/>
                <w:w w:val="87"/>
              </w:rPr>
              <w:t>Performance Period</w:t>
            </w:r>
          </w:p>
        </w:tc>
        <w:tc>
          <w:tcPr>
            <w:tcW w:w="2340" w:type="dxa"/>
            <w:vAlign w:val="bottom"/>
          </w:tcPr>
          <w:p>
            <w:pPr>
              <w:spacing w:after="0"/>
              <w:rPr>
                <w:sz w:val="23"/>
                <w:szCs w:val="23"/>
                <w:color w:val="auto"/>
              </w:rPr>
            </w:pPr>
          </w:p>
        </w:tc>
        <w:tc>
          <w:tcPr>
            <w:tcW w:w="4760" w:type="dxa"/>
            <w:vAlign w:val="bottom"/>
            <w:vMerge w:val="continue"/>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6220" w:type="dxa"/>
            <w:vAlign w:val="bottom"/>
            <w:gridSpan w:val="4"/>
          </w:tcPr>
          <w:p>
            <w:pPr>
              <w:jc w:val="center"/>
              <w:ind w:right="332"/>
              <w:spacing w:after="0"/>
              <w:rPr>
                <w:sz w:val="20"/>
                <w:szCs w:val="20"/>
                <w:color w:val="auto"/>
              </w:rPr>
            </w:pPr>
            <w:r>
              <w:rPr>
                <w:rFonts w:ascii="Arial" w:cs="Arial" w:eastAsia="Arial" w:hAnsi="Arial"/>
                <w:sz w:val="22"/>
                <w:szCs w:val="22"/>
                <w:color w:val="auto"/>
                <w:w w:val="89"/>
              </w:rPr>
              <w:t>April 1 in the succeeding year (meaning, one year after the third</w:t>
            </w:r>
          </w:p>
        </w:tc>
        <w:tc>
          <w:tcPr>
            <w:tcW w:w="4760" w:type="dxa"/>
            <w:vAlign w:val="bottom"/>
            <w:vMerge w:val="restart"/>
          </w:tcPr>
          <w:p>
            <w:pPr>
              <w:jc w:val="center"/>
              <w:spacing w:after="0"/>
              <w:rPr>
                <w:sz w:val="20"/>
                <w:szCs w:val="20"/>
                <w:color w:val="auto"/>
              </w:rPr>
            </w:pPr>
            <w:r>
              <w:rPr>
                <w:rFonts w:ascii="Arial" w:cs="Arial" w:eastAsia="Arial" w:hAnsi="Arial"/>
                <w:sz w:val="22"/>
                <w:szCs w:val="22"/>
                <w:color w:val="auto"/>
                <w:w w:val="90"/>
              </w:rPr>
              <w:t>25%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880" w:type="dxa"/>
            <w:vAlign w:val="bottom"/>
            <w:gridSpan w:val="3"/>
            <w:vMerge w:val="restart"/>
          </w:tcPr>
          <w:p>
            <w:pPr>
              <w:jc w:val="center"/>
              <w:ind w:left="1792"/>
              <w:spacing w:after="0"/>
              <w:rPr>
                <w:sz w:val="20"/>
                <w:szCs w:val="20"/>
                <w:color w:val="auto"/>
              </w:rPr>
            </w:pPr>
            <w:r>
              <w:rPr>
                <w:rFonts w:ascii="Arial" w:cs="Arial" w:eastAsia="Arial" w:hAnsi="Arial"/>
                <w:sz w:val="22"/>
                <w:szCs w:val="22"/>
                <w:color w:val="auto"/>
                <w:w w:val="85"/>
              </w:rPr>
              <w:t>tranche vests)</w:t>
            </w:r>
          </w:p>
        </w:tc>
        <w:tc>
          <w:tcPr>
            <w:tcW w:w="2340" w:type="dxa"/>
            <w:vAlign w:val="bottom"/>
          </w:tcPr>
          <w:p>
            <w:pPr>
              <w:spacing w:after="0"/>
              <w:rPr>
                <w:sz w:val="16"/>
                <w:szCs w:val="16"/>
                <w:color w:val="auto"/>
              </w:rPr>
            </w:pPr>
          </w:p>
        </w:tc>
        <w:tc>
          <w:tcPr>
            <w:tcW w:w="47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80" w:type="dxa"/>
            <w:vAlign w:val="bottom"/>
            <w:gridSpan w:val="3"/>
            <w:vMerge w:val="continue"/>
          </w:tcPr>
          <w:p>
            <w:pPr>
              <w:spacing w:after="0"/>
              <w:rPr>
                <w:sz w:val="7"/>
                <w:szCs w:val="7"/>
                <w:color w:val="auto"/>
              </w:rPr>
            </w:pPr>
          </w:p>
        </w:tc>
        <w:tc>
          <w:tcPr>
            <w:tcW w:w="2340" w:type="dxa"/>
            <w:vAlign w:val="bottom"/>
          </w:tcPr>
          <w:p>
            <w:pPr>
              <w:spacing w:after="0"/>
              <w:rPr>
                <w:sz w:val="7"/>
                <w:szCs w:val="7"/>
                <w:color w:val="auto"/>
              </w:rPr>
            </w:pPr>
          </w:p>
        </w:tc>
        <w:tc>
          <w:tcPr>
            <w:tcW w:w="4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2"/>
        </w:trPr>
        <w:tc>
          <w:tcPr>
            <w:tcW w:w="3880" w:type="dxa"/>
            <w:vAlign w:val="bottom"/>
            <w:gridSpan w:val="3"/>
          </w:tcPr>
          <w:p>
            <w:pPr>
              <w:ind w:left="1780"/>
              <w:spacing w:after="0"/>
              <w:rPr>
                <w:sz w:val="20"/>
                <w:szCs w:val="20"/>
                <w:color w:val="auto"/>
              </w:rPr>
            </w:pPr>
            <w:r>
              <w:rPr>
                <w:rFonts w:ascii="Arial" w:cs="Arial" w:eastAsia="Arial" w:hAnsi="Arial"/>
                <w:sz w:val="22"/>
                <w:szCs w:val="22"/>
                <w:color w:val="auto"/>
              </w:rPr>
              <w:t>(ii)</w:t>
            </w:r>
          </w:p>
        </w:tc>
        <w:tc>
          <w:tcPr>
            <w:tcW w:w="7500" w:type="dxa"/>
            <w:vAlign w:val="bottom"/>
            <w:gridSpan w:val="3"/>
          </w:tcPr>
          <w:p>
            <w:pPr>
              <w:ind w:left="100"/>
              <w:spacing w:after="0"/>
              <w:rPr>
                <w:sz w:val="20"/>
                <w:szCs w:val="20"/>
                <w:color w:val="auto"/>
              </w:rPr>
            </w:pPr>
            <w:r>
              <w:rPr>
                <w:rFonts w:ascii="Arial" w:cs="Arial" w:eastAsia="Arial" w:hAnsi="Arial"/>
                <w:sz w:val="22"/>
                <w:szCs w:val="22"/>
                <w:color w:val="auto"/>
                <w:w w:val="94"/>
              </w:rPr>
              <w:t>Notwithstanding the foregoing, if a Participant has a Termination of Employment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9"/>
          <w:szCs w:val="19"/>
          <w:color w:val="auto"/>
        </w:rPr>
        <w:t>during a Performance Period, then notwithstanding anything to the contrary in the Participant’s employment agreement, if any:</w:t>
      </w:r>
    </w:p>
    <w:p>
      <w:pPr>
        <w:spacing w:after="0" w:line="223" w:lineRule="exact"/>
        <w:rPr>
          <w:sz w:val="20"/>
          <w:szCs w:val="20"/>
          <w:color w:val="auto"/>
        </w:rPr>
      </w:pPr>
    </w:p>
    <w:p>
      <w:pPr>
        <w:jc w:val="both"/>
        <w:ind w:firstLine="2725"/>
        <w:spacing w:after="0" w:line="236" w:lineRule="auto"/>
        <w:tabs>
          <w:tab w:leader="none" w:pos="3647" w:val="left"/>
        </w:tabs>
        <w:numPr>
          <w:ilvl w:val="1"/>
          <w:numId w:val="43"/>
        </w:numPr>
        <w:rPr>
          <w:rFonts w:ascii="Arial" w:cs="Arial" w:eastAsia="Arial" w:hAnsi="Arial"/>
          <w:sz w:val="22"/>
          <w:szCs w:val="22"/>
          <w:color w:val="auto"/>
        </w:rPr>
      </w:pPr>
      <w:r>
        <w:rPr>
          <w:rFonts w:ascii="Arial" w:cs="Arial" w:eastAsia="Arial" w:hAnsi="Arial"/>
          <w:sz w:val="22"/>
          <w:szCs w:val="22"/>
          <w:color w:val="auto"/>
        </w:rPr>
        <w:t>If such Termination of Employment is by reason of the Participant’s death or Disability, then the Participant shall, upon such Termination of Employment, (x) become fully vested in the entire Time-Vesting Benefit Amount for any Performance Period that ended on or before such Termination of Employment but that had not yet vested or been paid and (y) become vested in the Pro-Rata Vesting Percentage of the Time-Vesting Benefit Amount for any Performance Period(s) in which such Termination of Employment occurs;</w:t>
      </w:r>
    </w:p>
    <w:p>
      <w:pPr>
        <w:spacing w:after="0" w:line="187" w:lineRule="exact"/>
        <w:rPr>
          <w:rFonts w:ascii="Arial" w:cs="Arial" w:eastAsia="Arial" w:hAnsi="Arial"/>
          <w:sz w:val="22"/>
          <w:szCs w:val="22"/>
          <w:color w:val="auto"/>
        </w:rPr>
      </w:pPr>
    </w:p>
    <w:p>
      <w:pPr>
        <w:jc w:val="both"/>
        <w:ind w:firstLine="2710"/>
        <w:spacing w:after="0" w:line="236" w:lineRule="auto"/>
        <w:tabs>
          <w:tab w:leader="none" w:pos="36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If such Termination of Employment is by reason of the Participant’s Retirement, then the Participant shall, upon such Termination of Employment, (x) become fully vested in the entire Time-Vesting Benefit Amount for Performance Period ended before such Termination of Employment that has not yet vested or been paid and (y) become vested in the Pro-Rata Vesting Percentage of the portion of the Time-Vesting Benefit Amount determined as if the Participant had continued to be employed by the Company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its Subsidiaries until the last day of the fiscal year in which such Termination of Employment occurs; and</w:t>
      </w:r>
    </w:p>
    <w:p>
      <w:pPr>
        <w:spacing w:after="0" w:line="206" w:lineRule="exact"/>
        <w:rPr>
          <w:sz w:val="20"/>
          <w:szCs w:val="20"/>
          <w:color w:val="auto"/>
        </w:rPr>
      </w:pPr>
    </w:p>
    <w:p>
      <w:pPr>
        <w:jc w:val="both"/>
        <w:ind w:firstLine="2710"/>
        <w:spacing w:after="0" w:line="258" w:lineRule="auto"/>
        <w:tabs>
          <w:tab w:leader="none" w:pos="3620" w:val="left"/>
        </w:tabs>
        <w:numPr>
          <w:ilvl w:val="0"/>
          <w:numId w:val="45"/>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a termination by the Company without Justifiable Cause (and other than by reason of the Participant’s Disability) or is by the Participant for Good Reason, then, without including any time for a Notification Period (as that term is defined in an employment agreement):</w:t>
      </w:r>
    </w:p>
    <w:p>
      <w:pPr>
        <w:spacing w:after="0" w:line="166" w:lineRule="exact"/>
        <w:rPr>
          <w:rFonts w:ascii="Arial" w:cs="Arial" w:eastAsia="Arial" w:hAnsi="Arial"/>
          <w:sz w:val="21"/>
          <w:szCs w:val="21"/>
          <w:color w:val="auto"/>
        </w:rPr>
      </w:pPr>
    </w:p>
    <w:p>
      <w:pPr>
        <w:ind w:left="3920" w:hanging="320"/>
        <w:spacing w:after="0"/>
        <w:tabs>
          <w:tab w:leader="none" w:pos="392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Participant shall become fully vested in any Time-Vesting Benefit Amount for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entire Performance Period that ended on or before such Termination of Employment that has not yet vested or been paid; and</w:t>
      </w:r>
    </w:p>
    <w:p>
      <w:pPr>
        <w:spacing w:after="0" w:line="222" w:lineRule="exact"/>
        <w:rPr>
          <w:rFonts w:ascii="Arial" w:cs="Arial" w:eastAsia="Arial" w:hAnsi="Arial"/>
          <w:sz w:val="19"/>
          <w:szCs w:val="19"/>
          <w:color w:val="auto"/>
        </w:rPr>
      </w:pPr>
    </w:p>
    <w:p>
      <w:pPr>
        <w:jc w:val="both"/>
        <w:ind w:firstLine="3600"/>
        <w:spacing w:after="0"/>
        <w:tabs>
          <w:tab w:leader="none" w:pos="3924" w:val="left"/>
        </w:tabs>
        <w:numPr>
          <w:ilvl w:val="1"/>
          <w:numId w:val="45"/>
        </w:numPr>
        <w:rPr>
          <w:rFonts w:ascii="Arial" w:cs="Arial" w:eastAsia="Arial" w:hAnsi="Arial"/>
          <w:sz w:val="22"/>
          <w:szCs w:val="22"/>
          <w:color w:val="auto"/>
        </w:rPr>
      </w:pPr>
      <w:r>
        <w:rPr>
          <w:rFonts w:ascii="Arial" w:cs="Arial" w:eastAsia="Arial" w:hAnsi="Arial"/>
          <w:sz w:val="22"/>
          <w:szCs w:val="22"/>
          <w:color w:val="auto"/>
        </w:rPr>
        <w:t>for any Performance Period that is in its first year of the Performance Period when such Termination of Employment occurs, the Participant shall forfeit the Time-Vesting Benefit Amount for that Performance Period; and</w:t>
      </w:r>
    </w:p>
    <w:p>
      <w:pPr>
        <w:spacing w:after="0" w:line="186" w:lineRule="exact"/>
        <w:rPr>
          <w:rFonts w:ascii="Arial" w:cs="Arial" w:eastAsia="Arial" w:hAnsi="Arial"/>
          <w:sz w:val="22"/>
          <w:szCs w:val="22"/>
          <w:color w:val="auto"/>
        </w:rPr>
      </w:pPr>
    </w:p>
    <w:p>
      <w:pPr>
        <w:jc w:val="both"/>
        <w:ind w:firstLine="3600"/>
        <w:spacing w:after="0"/>
        <w:tabs>
          <w:tab w:leader="none" w:pos="3936" w:val="left"/>
        </w:tabs>
        <w:numPr>
          <w:ilvl w:val="1"/>
          <w:numId w:val="45"/>
        </w:numPr>
        <w:rPr>
          <w:rFonts w:ascii="Arial" w:cs="Arial" w:eastAsia="Arial" w:hAnsi="Arial"/>
          <w:sz w:val="22"/>
          <w:szCs w:val="22"/>
          <w:color w:val="auto"/>
        </w:rPr>
      </w:pPr>
      <w:r>
        <w:rPr>
          <w:rFonts w:ascii="Arial" w:cs="Arial" w:eastAsia="Arial" w:hAnsi="Arial"/>
          <w:sz w:val="22"/>
          <w:szCs w:val="22"/>
          <w:color w:val="auto"/>
        </w:rPr>
        <w:t>for any Performance Period that is in its second or third year of the Performance Period when such Termination of Employment occurs, the Participant shall become vested in the Pro-Rata Vesting Percentage of the Time-Vesting Benefit Amount for that Performance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60" w:hanging="1546"/>
        <w:spacing w:after="0"/>
        <w:tabs>
          <w:tab w:leader="none" w:pos="2460" w:val="left"/>
        </w:tabs>
        <w:numPr>
          <w:ilvl w:val="0"/>
          <w:numId w:val="46"/>
        </w:numPr>
        <w:rPr>
          <w:rFonts w:ascii="Arial" w:cs="Arial" w:eastAsia="Arial" w:hAnsi="Arial"/>
          <w:sz w:val="22"/>
          <w:szCs w:val="22"/>
          <w:color w:val="auto"/>
        </w:rPr>
      </w:pPr>
      <w:r>
        <w:rPr>
          <w:rFonts w:ascii="Arial" w:cs="Arial" w:eastAsia="Arial" w:hAnsi="Arial"/>
          <w:sz w:val="22"/>
          <w:szCs w:val="22"/>
          <w:b w:val="1"/>
          <w:bCs w:val="1"/>
          <w:i w:val="1"/>
          <w:iCs w:val="1"/>
          <w:color w:val="auto"/>
        </w:rPr>
        <w:t>Vesting of Performance-Vesting Benefit Amount</w:t>
      </w:r>
      <w:r>
        <w:rPr>
          <w:rFonts w:ascii="Arial" w:cs="Arial" w:eastAsia="Arial" w:hAnsi="Arial"/>
          <w:sz w:val="22"/>
          <w:szCs w:val="22"/>
          <w:color w:val="auto"/>
        </w:rPr>
        <w:t>.</w:t>
      </w:r>
    </w:p>
    <w:p>
      <w:pPr>
        <w:spacing w:after="0" w:line="206" w:lineRule="exact"/>
        <w:rPr>
          <w:sz w:val="20"/>
          <w:szCs w:val="20"/>
          <w:color w:val="auto"/>
        </w:rPr>
      </w:pPr>
    </w:p>
    <w:p>
      <w:pPr>
        <w:jc w:val="both"/>
        <w:ind w:firstLine="1811"/>
        <w:spacing w:after="0" w:line="245" w:lineRule="auto"/>
        <w:rPr>
          <w:sz w:val="20"/>
          <w:szCs w:val="20"/>
          <w:color w:val="auto"/>
        </w:rPr>
      </w:pPr>
      <w:r>
        <w:rPr>
          <w:rFonts w:ascii="Arial" w:cs="Arial" w:eastAsia="Arial" w:hAnsi="Arial"/>
          <w:sz w:val="21"/>
          <w:szCs w:val="21"/>
          <w:color w:val="auto"/>
        </w:rPr>
        <w:t>(i) After the respective Performance Period ends and an audit of the Company’s financial statements has been completed, the Committee will calculate the amount of the “Performance-Vesting Benefit Amount” for each Participant. If there is more than one Performance Target, the Performance-Vesting Benefit Amount will be determined by first calculating the portion of 50% of the Projected Benefit Amount for the Performance Period that is to be attributable to each Performance Target and then adding those results together. To do so, the Committee will first multiply 50% of the Projected Benefit Amount for the Performance Period by the weight of each individual Performance Target and then by the percentage of target actually achieved for each Performance Target. If results for an individual Performance Target falls below the threshold established, there will be no Award with respect to the portion of the Projected Benefit Amount to which that Performance Target relates. The Performance-Vesting Benefit Amount shall vest on August 31 following the end of the applicable Performance Period if the Participant’s employment continues through such August 3l.</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For example, assume the Performance Targets were Goal A and Goal B and that each was weighted 50%, with a threshold payment at 80% of target and a maximum payout at 150% of target:</w:t>
      </w:r>
    </w:p>
    <w:p>
      <w:pPr>
        <w:spacing w:after="0" w:line="173" w:lineRule="exact"/>
        <w:rPr>
          <w:sz w:val="20"/>
          <w:szCs w:val="20"/>
          <w:color w:val="auto"/>
        </w:rPr>
      </w:pPr>
    </w:p>
    <w:p>
      <w:pPr>
        <w:ind w:right="180" w:firstLine="2725"/>
        <w:spacing w:after="0" w:line="251" w:lineRule="auto"/>
        <w:tabs>
          <w:tab w:leader="none" w:pos="3125"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Goal A and Goal B are both less than 80% of their respective target, then no Award shall be made for the Performance-Vesting Benefit Amount;</w:t>
      </w:r>
    </w:p>
    <w:p>
      <w:pPr>
        <w:spacing w:after="0" w:line="173" w:lineRule="exact"/>
        <w:rPr>
          <w:rFonts w:ascii="Arial" w:cs="Arial" w:eastAsia="Arial" w:hAnsi="Arial"/>
          <w:sz w:val="22"/>
          <w:szCs w:val="22"/>
          <w:color w:val="auto"/>
        </w:rPr>
      </w:pPr>
    </w:p>
    <w:p>
      <w:pPr>
        <w:jc w:val="both"/>
        <w:ind w:firstLine="2725"/>
        <w:spacing w:after="0" w:line="238" w:lineRule="auto"/>
        <w:tabs>
          <w:tab w:leader="none" w:pos="3187"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Goal A is 100% of its target and Goal B is 100% of its target, and a Participant has a Projected Benefit Amount of $140,000, then 50% of that amount, or $70,000, would be subject to the achievement of the Applicable Performance Target, and the Performance-Vesting Benefit Amount would be $70,000 (100% X $70,000 X 50%) + (100% X $70,000 X 50%);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 w:name="page13"/>
    <w:bookmarkEnd w:id="12"/>
    <w:p>
      <w:pPr>
        <w:ind w:right="20" w:firstLine="2725"/>
        <w:spacing w:after="0" w:line="238" w:lineRule="auto"/>
        <w:tabs>
          <w:tab w:leader="none" w:pos="3113"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Goal A is 180% of its target and Goal B is 125% of its target, and a Participant has a Projected Benefit Amount of $140,000, then 50% of that amount, or $70,000, would be subject to the achievement of the Applicable Performance Target, and the Performance-Vesting Benefit Amount would be $96,250 (150% (cap) X $70,000 X 50%) + (125% X $70,000 X 50%).</w:t>
      </w:r>
    </w:p>
    <w:p>
      <w:pPr>
        <w:spacing w:after="0" w:line="185" w:lineRule="exact"/>
        <w:rPr>
          <w:sz w:val="20"/>
          <w:szCs w:val="20"/>
          <w:color w:val="auto"/>
        </w:rPr>
      </w:pPr>
    </w:p>
    <w:p>
      <w:pPr>
        <w:jc w:val="both"/>
        <w:ind w:firstLine="1811"/>
        <w:spacing w:after="0" w:line="251" w:lineRule="auto"/>
        <w:rPr>
          <w:sz w:val="20"/>
          <w:szCs w:val="20"/>
          <w:color w:val="auto"/>
        </w:rPr>
      </w:pPr>
      <w:r>
        <w:rPr>
          <w:rFonts w:ascii="Arial" w:cs="Arial" w:eastAsia="Arial" w:hAnsi="Arial"/>
          <w:sz w:val="22"/>
          <w:szCs w:val="22"/>
          <w:color w:val="auto"/>
        </w:rPr>
        <w:t>(ii) Notwithstanding the foregoing, if a Participant has a Termination of Employment during a Performance Period, then notwithstanding anything to the contrary in the Participant’s employment agreement, if any:</w:t>
      </w:r>
    </w:p>
    <w:p>
      <w:pPr>
        <w:spacing w:after="0" w:line="173" w:lineRule="exact"/>
        <w:rPr>
          <w:sz w:val="20"/>
          <w:szCs w:val="20"/>
          <w:color w:val="auto"/>
        </w:rPr>
      </w:pPr>
    </w:p>
    <w:p>
      <w:pPr>
        <w:jc w:val="both"/>
        <w:ind w:firstLine="1511"/>
        <w:spacing w:after="0" w:line="235" w:lineRule="auto"/>
        <w:rPr>
          <w:sz w:val="20"/>
          <w:szCs w:val="20"/>
          <w:color w:val="auto"/>
        </w:rPr>
      </w:pPr>
      <w:r>
        <w:rPr>
          <w:rFonts w:ascii="Arial" w:cs="Arial" w:eastAsia="Arial" w:hAnsi="Arial"/>
          <w:sz w:val="22"/>
          <w:szCs w:val="22"/>
          <w:color w:val="auto"/>
        </w:rPr>
        <w:t>(A)If such Termination of Employment is by reason of the Participant’s death or Disability, then the Participant shall, upon such Termination of Employment, become (x) fully vested in the entire Performance-Vesting Benefit Amount for any Performance Period that ended on or before such Termination of Employment but that had not yet vested or been paid, and (y) vested in the Pro-Rata Vesting Percentage of the Performance-Vesting Benefit Target for any Performance Period that has not ended on or before the Termination of Employment, regardless of whether the Applicable Performance Target for the current Performance Period has been met.</w:t>
      </w:r>
    </w:p>
    <w:p>
      <w:pPr>
        <w:spacing w:after="0" w:line="188" w:lineRule="exact"/>
        <w:rPr>
          <w:sz w:val="20"/>
          <w:szCs w:val="20"/>
          <w:color w:val="auto"/>
        </w:rPr>
      </w:pPr>
    </w:p>
    <w:p>
      <w:pPr>
        <w:jc w:val="both"/>
        <w:ind w:firstLine="2680"/>
        <w:spacing w:after="0" w:line="246" w:lineRule="auto"/>
        <w:tabs>
          <w:tab w:leader="none" w:pos="3590" w:val="left"/>
        </w:tabs>
        <w:numPr>
          <w:ilvl w:val="0"/>
          <w:numId w:val="49"/>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the Participant’s Retirement, then the Participant shall (x) become fully vested in the entire Performance-Vesting Benefit Amount for any Performance Period that ended on or before such Termination of Employment but that had not yet vested or been paid and (y) for any Performance Period that is in its first year of the Performance Period when the Termination of Employment occurs, forfeit the Performance-Vesting Benefit Amount for such Performance Period and (z) for any Performance Period that is in at least the second year of the Performance period when the Termination of Employment occurs, become vested in the Pro-Rata Vesting Percentage of the Performance-Vesting Benefit Amount, if any, determined based upon the actual level of achievement of the Applicable Performance Targets for the entire Performance Period; and</w:t>
      </w:r>
    </w:p>
    <w:p>
      <w:pPr>
        <w:spacing w:after="0" w:line="180" w:lineRule="exact"/>
        <w:rPr>
          <w:rFonts w:ascii="Arial" w:cs="Arial" w:eastAsia="Arial" w:hAnsi="Arial"/>
          <w:sz w:val="21"/>
          <w:szCs w:val="21"/>
          <w:color w:val="auto"/>
        </w:rPr>
      </w:pPr>
    </w:p>
    <w:p>
      <w:pPr>
        <w:jc w:val="both"/>
        <w:ind w:firstLine="2680"/>
        <w:spacing w:after="0" w:line="258" w:lineRule="auto"/>
        <w:tabs>
          <w:tab w:leader="none" w:pos="3590" w:val="left"/>
        </w:tabs>
        <w:numPr>
          <w:ilvl w:val="0"/>
          <w:numId w:val="49"/>
        </w:numPr>
        <w:rPr>
          <w:rFonts w:ascii="Arial" w:cs="Arial" w:eastAsia="Arial" w:hAnsi="Arial"/>
          <w:sz w:val="21"/>
          <w:szCs w:val="21"/>
          <w:color w:val="auto"/>
        </w:rPr>
      </w:pPr>
      <w:r>
        <w:rPr>
          <w:rFonts w:ascii="Arial" w:cs="Arial" w:eastAsia="Arial" w:hAnsi="Arial"/>
          <w:sz w:val="21"/>
          <w:szCs w:val="21"/>
          <w:color w:val="auto"/>
        </w:rPr>
        <w:t>If such Termination of Employment is by reason of a termination by the Company without Justifiable Cause (and other than by reason of the Participant’s Disability) or by the Participant for Good Reason, then, without including any time for a Notification Period (as that term is defined in an employment agreement):</w:t>
      </w:r>
    </w:p>
    <w:p>
      <w:pPr>
        <w:spacing w:after="0" w:line="166" w:lineRule="exact"/>
        <w:rPr>
          <w:rFonts w:ascii="Arial" w:cs="Arial" w:eastAsia="Arial" w:hAnsi="Arial"/>
          <w:sz w:val="21"/>
          <w:szCs w:val="21"/>
          <w:color w:val="auto"/>
        </w:rPr>
      </w:pPr>
    </w:p>
    <w:p>
      <w:pPr>
        <w:jc w:val="both"/>
        <w:ind w:firstLine="3600"/>
        <w:spacing w:after="0"/>
        <w:tabs>
          <w:tab w:leader="none" w:pos="3929"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Participant shall become fully vested in the entire Performance-Vesting Benefit Amount for any Performance Period that ended on or before such Termination of Employment but that has not yet vested or been paid; and</w:t>
      </w:r>
    </w:p>
    <w:p>
      <w:pPr>
        <w:spacing w:after="0" w:line="186" w:lineRule="exact"/>
        <w:rPr>
          <w:rFonts w:ascii="Arial" w:cs="Arial" w:eastAsia="Arial" w:hAnsi="Arial"/>
          <w:sz w:val="22"/>
          <w:szCs w:val="22"/>
          <w:color w:val="auto"/>
        </w:rPr>
      </w:pPr>
    </w:p>
    <w:p>
      <w:pPr>
        <w:jc w:val="both"/>
        <w:ind w:firstLine="3600"/>
        <w:spacing w:after="0"/>
        <w:tabs>
          <w:tab w:leader="none" w:pos="3924" w:val="left"/>
        </w:tabs>
        <w:numPr>
          <w:ilvl w:val="1"/>
          <w:numId w:val="49"/>
        </w:numPr>
        <w:rPr>
          <w:rFonts w:ascii="Arial" w:cs="Arial" w:eastAsia="Arial" w:hAnsi="Arial"/>
          <w:sz w:val="22"/>
          <w:szCs w:val="22"/>
          <w:color w:val="auto"/>
        </w:rPr>
      </w:pPr>
      <w:r>
        <w:rPr>
          <w:rFonts w:ascii="Arial" w:cs="Arial" w:eastAsia="Arial" w:hAnsi="Arial"/>
          <w:sz w:val="22"/>
          <w:szCs w:val="22"/>
          <w:color w:val="auto"/>
        </w:rPr>
        <w:t>for any Performance Period that is in its first year of the Performance Period when such Termination of Employment occurs, the Participant shall forfeit the Performance-Vesting Benefit Amount for such Performance Period;</w:t>
      </w:r>
    </w:p>
    <w:p>
      <w:pPr>
        <w:spacing w:after="0" w:line="186" w:lineRule="exact"/>
        <w:rPr>
          <w:rFonts w:ascii="Arial" w:cs="Arial" w:eastAsia="Arial" w:hAnsi="Arial"/>
          <w:sz w:val="22"/>
          <w:szCs w:val="22"/>
          <w:color w:val="auto"/>
        </w:rPr>
      </w:pPr>
    </w:p>
    <w:p>
      <w:pPr>
        <w:jc w:val="both"/>
        <w:ind w:firstLine="3600"/>
        <w:spacing w:after="0" w:line="287" w:lineRule="auto"/>
        <w:tabs>
          <w:tab w:leader="none" w:pos="3936" w:val="left"/>
        </w:tabs>
        <w:numPr>
          <w:ilvl w:val="1"/>
          <w:numId w:val="49"/>
        </w:numPr>
        <w:rPr>
          <w:rFonts w:ascii="Arial" w:cs="Arial" w:eastAsia="Arial" w:hAnsi="Arial"/>
          <w:sz w:val="19"/>
          <w:szCs w:val="19"/>
          <w:color w:val="auto"/>
        </w:rPr>
      </w:pPr>
      <w:r>
        <w:rPr>
          <w:rFonts w:ascii="Arial" w:cs="Arial" w:eastAsia="Arial" w:hAnsi="Arial"/>
          <w:sz w:val="19"/>
          <w:szCs w:val="19"/>
          <w:color w:val="auto"/>
        </w:rPr>
        <w:t>for any Performance Period that is in its second or third year of the Performance Period when such Termination of Employment occurs, the Participant shall become vested in the Pro-Rata Vesting Percentage of the Performance-Vesting Benefit Amount, if any, determined based upon the actual level of achievement of the Applicable Performance Targets for the entire Performance Period if and when the Applicable Performance Target has been met.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 w:name="page14"/>
    <w:bookmarkEnd w:id="13"/>
    <w:p>
      <w:pPr>
        <w:jc w:val="both"/>
        <w:ind w:firstLine="914"/>
        <w:spacing w:after="0" w:line="277" w:lineRule="auto"/>
        <w:tabs>
          <w:tab w:leader="none" w:pos="2442" w:val="left"/>
        </w:tabs>
        <w:numPr>
          <w:ilvl w:val="0"/>
          <w:numId w:val="50"/>
        </w:numPr>
        <w:rPr>
          <w:rFonts w:ascii="Arial" w:cs="Arial" w:eastAsia="Arial" w:hAnsi="Arial"/>
          <w:sz w:val="19"/>
          <w:szCs w:val="19"/>
          <w:color w:val="auto"/>
        </w:rPr>
      </w:pPr>
      <w:r>
        <w:rPr>
          <w:rFonts w:ascii="Arial" w:cs="Arial" w:eastAsia="Arial" w:hAnsi="Arial"/>
          <w:sz w:val="19"/>
          <w:szCs w:val="19"/>
          <w:b w:val="1"/>
          <w:bCs w:val="1"/>
          <w:i w:val="1"/>
          <w:iCs w:val="1"/>
          <w:color w:val="auto"/>
        </w:rPr>
        <w:t>Forfeitures</w:t>
      </w:r>
      <w:r>
        <w:rPr>
          <w:rFonts w:ascii="Arial" w:cs="Arial" w:eastAsia="Arial" w:hAnsi="Arial"/>
          <w:sz w:val="19"/>
          <w:szCs w:val="19"/>
          <w:color w:val="auto"/>
        </w:rPr>
        <w:t>. Except as otherwise provided in Section 7(a)(ii) and 7(b)(ii) hereof, any portion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Awards for any Performance Period that was not vested on the date on which the Participant incurs a Termination of Employment and that does not vest on account of the Participant’s Termination of Employment shall automatically and without any further action by the Committee immediately be forfeited and become null and void. In the event that the Participant’s Termination of Employment is by the Company for Justifiable Cause, then any portion of the Participant’s Award that has not previously vested and been exercised (in the case of any Options), or paid (in the case of any amount payable in cash) shall automatically and without further action by the Committee immediately be forfeited and become null and void.</w:t>
      </w:r>
    </w:p>
    <w:p>
      <w:pPr>
        <w:spacing w:after="0" w:line="153" w:lineRule="exact"/>
        <w:rPr>
          <w:sz w:val="20"/>
          <w:szCs w:val="20"/>
          <w:color w:val="auto"/>
        </w:rPr>
      </w:pPr>
    </w:p>
    <w:p>
      <w:pPr>
        <w:jc w:val="both"/>
        <w:ind w:firstLine="914"/>
        <w:spacing w:after="0" w:line="235" w:lineRule="auto"/>
        <w:tabs>
          <w:tab w:leader="none" w:pos="2454" w:val="left"/>
        </w:tabs>
        <w:numPr>
          <w:ilvl w:val="0"/>
          <w:numId w:val="51"/>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Clawback of Gains on Termination for Justifiable Cause. </w:t>
      </w:r>
      <w:r>
        <w:rPr>
          <w:rFonts w:ascii="Arial" w:cs="Arial" w:eastAsia="Arial" w:hAnsi="Arial"/>
          <w:sz w:val="22"/>
          <w:szCs w:val="22"/>
          <w:color w:val="auto"/>
        </w:rPr>
        <w:t>In the event that a Participant has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Termination of Employment, and such Termination of Employment was by the Company for Justifiable Cause, then in addition to any other remedy that may be available to the Company in law or in equity, and/or pursuant to the provisions of the Participant’s employment agreement, if any, the Participant also shall be required to pay to the Company, immediately upon written demand by the Committee or the Board, any Gains resulting from the grant, vesting, exercise or payment of any Award in the previous twelve months.</w:t>
      </w:r>
    </w:p>
    <w:p>
      <w:pPr>
        <w:spacing w:after="0" w:line="188" w:lineRule="exact"/>
        <w:rPr>
          <w:sz w:val="20"/>
          <w:szCs w:val="20"/>
          <w:color w:val="auto"/>
        </w:rPr>
      </w:pPr>
    </w:p>
    <w:p>
      <w:pPr>
        <w:jc w:val="both"/>
        <w:ind w:firstLine="914"/>
        <w:spacing w:after="0" w:line="269" w:lineRule="auto"/>
        <w:tabs>
          <w:tab w:leader="none" w:pos="2442" w:val="left"/>
        </w:tabs>
        <w:numPr>
          <w:ilvl w:val="0"/>
          <w:numId w:val="5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Change in Control. </w:t>
      </w:r>
      <w:r>
        <w:rPr>
          <w:rFonts w:ascii="Arial" w:cs="Arial" w:eastAsia="Arial" w:hAnsi="Arial"/>
          <w:sz w:val="19"/>
          <w:szCs w:val="19"/>
          <w:color w:val="auto"/>
        </w:rPr>
        <w:t>In the event of a Change in Control and within 6 months before or 18 months after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Change in Control, either (1) the Participant is terminated by the Company without Justifiable Cause or by the Participant for Good Reason, or (2) there is a Termination of Employment because of the Participant’s death or Disability, the following shall occur: (i) if and to the extent the portion of the Participant’s Award(s) that is attributable to a Time-Based Vesting Amount for any Performance Period that ended on or before such Change of Control had not yet vested or been paid to the Participant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(ii) if and to the extent any portion of the Participant’s Award(s) is attributable to a Time-Based Vesting Amount for a current Performance Period and has not previously been vested or paid to the Participant and is not assumed by the acquirer or converted into a new award that is at least the equivalent of the outstanding award, then the Pro-Rata Vesting Percentage of the Time-Vesting Benefit Amount of such Performance Period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(iii) if and to the extent the portion of the Participant’s Award(s) that is attributable to a Performance-Based Vesting Amount for any Performance Period that ended on or before such Change of Control had not yet vested or been paid to the Participant shall immediately vest (in the case of Restricted Stock, Restricted Stock Units and Options) and the Cash payable as a result of such vesting shall be paid to the Participant, as soon as practicable (but in no event more than 5 business days) after the later of the Change in Control or the Participant’s Termination of Employment; and (iv) if and to the extent the portion of the Participant’s Award(s) that is attributable to a Performance-Based Vesting Amount for any Performance Period that has not yet ended and has not previously been vested or paid to the Participant, then the pro-rata portion at target of the Performance-Based Vesting Amount for such Performance Period(s) for the time elapsed in the ongoing Performance Period(s), shall immediately vest (in the case of Restricted Stock, Restricted Stock Units and Options) and the Cash payable as a result of such vesting shall be paid to the Participant, as soon as practicable (but in no event more than 5 business days) after the later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 w:name="page15"/>
    <w:bookmarkEnd w:id="14"/>
    <w:p>
      <w:pPr>
        <w:jc w:val="both"/>
        <w:spacing w:after="0" w:line="244" w:lineRule="auto"/>
        <w:rPr>
          <w:sz w:val="20"/>
          <w:szCs w:val="20"/>
          <w:color w:val="auto"/>
        </w:rPr>
      </w:pPr>
      <w:r>
        <w:rPr>
          <w:rFonts w:ascii="Arial" w:cs="Arial" w:eastAsia="Arial" w:hAnsi="Arial"/>
          <w:sz w:val="21"/>
          <w:szCs w:val="21"/>
          <w:color w:val="auto"/>
        </w:rPr>
        <w:t>of the Change in Control or the Participant’s Termination of Employment. Each Share of Restricted Stock that vests pursuant to this Section 7(d)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Participant’s Termination of Employment,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Participant’s Termination of Employment and (B) the fair market value of any other consideration received for each Share pursuant to the Change of Control. Each Option that vests pursuant to this Section 7(d)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Administration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914"/>
        <w:spacing w:after="0" w:line="274" w:lineRule="auto"/>
        <w:tabs>
          <w:tab w:leader="none" w:pos="2442" w:val="left"/>
        </w:tabs>
        <w:numPr>
          <w:ilvl w:val="0"/>
          <w:numId w:val="5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Authority of the Committee. </w:t>
      </w:r>
      <w:r>
        <w:rPr>
          <w:rFonts w:ascii="Arial" w:cs="Arial" w:eastAsia="Arial" w:hAnsi="Arial"/>
          <w:sz w:val="19"/>
          <w:szCs w:val="19"/>
          <w:color w:val="auto"/>
        </w:rPr>
        <w:t>The Plan shall be administered by the Committee. The Committee shall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have full and final authority, subject to and consistent with the provisions of the Plan, to select persons to become Participants, grant Awards, determine the amount of any Participant’s Award and all other matters relating to Awards, prescribe rules and regulations for the administration of the Plan, construe and interpret the Plan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Participant in a manner consistent with the treatment of any other Participants. Decisions of the Committee shall be final, conclusive and binding on all persons or entities, including the Company, any Subsidiary, any Affiliate or any Participant or Beneficiary.</w:t>
      </w:r>
    </w:p>
    <w:p>
      <w:pPr>
        <w:spacing w:after="0" w:line="159" w:lineRule="exact"/>
        <w:rPr>
          <w:sz w:val="20"/>
          <w:szCs w:val="20"/>
          <w:color w:val="auto"/>
        </w:rPr>
      </w:pPr>
    </w:p>
    <w:p>
      <w:pPr>
        <w:jc w:val="both"/>
        <w:ind w:firstLine="914"/>
        <w:spacing w:after="0" w:line="248" w:lineRule="auto"/>
        <w:tabs>
          <w:tab w:leader="none" w:pos="2454" w:val="left"/>
        </w:tabs>
        <w:numPr>
          <w:ilvl w:val="0"/>
          <w:numId w:val="54"/>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Manner of Exercise of Committee Authority. </w:t>
      </w:r>
      <w:r>
        <w:rPr>
          <w:rFonts w:ascii="Arial" w:cs="Arial" w:eastAsia="Arial" w:hAnsi="Arial"/>
          <w:sz w:val="21"/>
          <w:szCs w:val="21"/>
          <w:color w:val="auto"/>
        </w:rPr>
        <w:t>The Committee may delegate to members of the Board,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 officers or managers of the Company or any Subsidiary,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Securities and Exchange Act of 1934, as amended, in respect of the Company. The Committee may appoint agents to assist it in administering the Plan.</w:t>
      </w:r>
    </w:p>
    <w:p>
      <w:pPr>
        <w:spacing w:after="0" w:line="177" w:lineRule="exact"/>
        <w:rPr>
          <w:sz w:val="20"/>
          <w:szCs w:val="20"/>
          <w:color w:val="auto"/>
        </w:rPr>
      </w:pPr>
    </w:p>
    <w:p>
      <w:pPr>
        <w:jc w:val="both"/>
        <w:ind w:firstLine="914"/>
        <w:spacing w:after="0" w:line="236" w:lineRule="auto"/>
        <w:tabs>
          <w:tab w:leader="none" w:pos="2442" w:val="left"/>
        </w:tabs>
        <w:numPr>
          <w:ilvl w:val="0"/>
          <w:numId w:val="5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Limitation of Liability. </w:t>
      </w:r>
      <w:r>
        <w:rPr>
          <w:rFonts w:ascii="Arial" w:cs="Arial" w:eastAsia="Arial" w:hAnsi="Arial"/>
          <w:sz w:val="22"/>
          <w:szCs w:val="22"/>
          <w:color w:val="auto"/>
        </w:rPr>
        <w:t>The Committee, and each member thereof, shall be entitled to, in good faith,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rely or act upon any report or other information furnished to him or her by any officer or employee, the Company’s independent auditors, consultants or any other agents assisting in the administration of the Plan. Members of the Committee, and any other member of the Board and any officer or employee acting at the direction or on behalf of the Committee, shall not be personally liable for any action or determination taken or made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 w:name="page16"/>
    <w:bookmarkEnd w:id="15"/>
    <w:p>
      <w:pPr>
        <w:spacing w:after="0" w:line="251" w:lineRule="auto"/>
        <w:rPr>
          <w:sz w:val="20"/>
          <w:szCs w:val="20"/>
          <w:color w:val="auto"/>
        </w:rPr>
      </w:pPr>
      <w:r>
        <w:rPr>
          <w:rFonts w:ascii="Arial" w:cs="Arial" w:eastAsia="Arial" w:hAnsi="Arial"/>
          <w:sz w:val="22"/>
          <w:szCs w:val="22"/>
          <w:color w:val="auto"/>
        </w:rPr>
        <w:t>good faith with respect to the Plan, and shall, to the extent permitted by law, be fully indemnified and protected by the Company with respect to any such action or determination.</w:t>
      </w:r>
    </w:p>
    <w:p>
      <w:pPr>
        <w:spacing w:after="0" w:line="173" w:lineRule="exact"/>
        <w:rPr>
          <w:sz w:val="20"/>
          <w:szCs w:val="20"/>
          <w:color w:val="auto"/>
        </w:rPr>
      </w:pPr>
    </w:p>
    <w:p>
      <w:pPr>
        <w:jc w:val="both"/>
        <w:ind w:firstLine="914"/>
        <w:spacing w:after="0" w:line="236" w:lineRule="auto"/>
        <w:tabs>
          <w:tab w:leader="none" w:pos="2454" w:val="left"/>
        </w:tabs>
        <w:numPr>
          <w:ilvl w:val="0"/>
          <w:numId w:val="5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 Claim for Benefits Required. </w:t>
      </w:r>
      <w:r>
        <w:rPr>
          <w:rFonts w:ascii="Arial" w:cs="Arial" w:eastAsia="Arial" w:hAnsi="Arial"/>
          <w:sz w:val="22"/>
          <w:szCs w:val="22"/>
          <w:color w:val="auto"/>
        </w:rPr>
        <w:t>Benefits due and owing to a Participant under the Plan shall be paid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when due without any requirement that a claim for benefits be filed. However, any Participant who has not received the benefits to which Participant believes himself or herself entitled may file a written claim with the Committee, which shall act on the claim within thirty days. If a Participant’s employment agreement conflicts with any provision of this Plan, the language of the Plan shall govern.</w:t>
      </w:r>
    </w:p>
    <w:p>
      <w:pPr>
        <w:spacing w:after="0" w:line="188" w:lineRule="exact"/>
        <w:rPr>
          <w:sz w:val="20"/>
          <w:szCs w:val="20"/>
          <w:color w:val="auto"/>
        </w:rPr>
      </w:pPr>
    </w:p>
    <w:p>
      <w:pPr>
        <w:ind w:firstLine="914"/>
        <w:spacing w:after="0" w:line="251" w:lineRule="auto"/>
        <w:tabs>
          <w:tab w:leader="none" w:pos="2442" w:val="left"/>
        </w:tabs>
        <w:numPr>
          <w:ilvl w:val="0"/>
          <w:numId w:val="5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Payments to Beneficiary. </w:t>
      </w:r>
      <w:r>
        <w:rPr>
          <w:rFonts w:ascii="Arial" w:cs="Arial" w:eastAsia="Arial" w:hAnsi="Arial"/>
          <w:sz w:val="22"/>
          <w:szCs w:val="22"/>
          <w:color w:val="auto"/>
        </w:rPr>
        <w:t>Any vested benefits payable to any Participant that have not been paid as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date of the Participant’s death, shall be paid to the Participant’s Beneficiary.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Awards Subject to Plans</w:t>
      </w:r>
    </w:p>
    <w:p>
      <w:pPr>
        <w:spacing w:after="0" w:line="206" w:lineRule="exact"/>
        <w:rPr>
          <w:sz w:val="20"/>
          <w:szCs w:val="20"/>
          <w:color w:val="auto"/>
        </w:rPr>
      </w:pPr>
    </w:p>
    <w:p>
      <w:pPr>
        <w:jc w:val="both"/>
        <w:ind w:firstLine="8"/>
        <w:spacing w:after="0"/>
        <w:tabs>
          <w:tab w:leader="none" w:pos="201"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Awards under this Plan, and the grants of Restricted Stock, Restricted Stock Units and Options pursuant to this Plan, are being granted pursuant to and in accordance with the terms and conditions of this Plan and the Incentive Compensation Plan, and the Award Agreements.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No Acceleration of Benefits</w:t>
      </w:r>
    </w:p>
    <w:p>
      <w:pPr>
        <w:spacing w:after="0" w:line="206" w:lineRule="exact"/>
        <w:rPr>
          <w:sz w:val="20"/>
          <w:szCs w:val="20"/>
          <w:color w:val="auto"/>
        </w:rPr>
      </w:pPr>
    </w:p>
    <w:p>
      <w:pPr>
        <w:jc w:val="both"/>
        <w:ind w:firstLine="8"/>
        <w:spacing w:after="0"/>
        <w:tabs>
          <w:tab w:leader="none" w:pos="19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no event shall the acceleration of the time or schedule of any payment under the Plan be permitted, except to the extent that such acceleration would not violate Section 409A of the Code and the Treasury Regulations and other applicable guidance issued thereunder.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Amendment and Termination</w:t>
      </w:r>
    </w:p>
    <w:p>
      <w:pPr>
        <w:spacing w:after="0" w:line="206" w:lineRule="exact"/>
        <w:rPr>
          <w:sz w:val="20"/>
          <w:szCs w:val="20"/>
          <w:color w:val="auto"/>
        </w:rPr>
      </w:pPr>
    </w:p>
    <w:p>
      <w:pPr>
        <w:jc w:val="both"/>
        <w:ind w:firstLine="8"/>
        <w:spacing w:after="0" w:line="246" w:lineRule="auto"/>
        <w:tabs>
          <w:tab w:leader="none" w:pos="166"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This Plan may be amended or terminated in any respect at any time by the Committee; provided, however, that no amendment or termination of the Plan shall be effective to reduce any benefits payable to a Participant that may accrue or vest under the terms of this Plan without the Participant’s prior written consent. If and to the extent permitted without violating the requirements of Section 409A of the Code, the Committee may require that the Awards of all Participants be distributed as soon as practicable after such termination. If and to the extent that the Committee does not accelerate the timing of distributions on account of the termination of the Plan pursuant to the preceding sentence, payment of any remaining benefits under the Plan shall be made at the same times and in the same manner as such distributions would have been made under the terms of the Plan, as in effect at the time the Plan is terminated.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Unfunded Obligation</w:t>
      </w:r>
    </w:p>
    <w:p>
      <w:pPr>
        <w:spacing w:after="0" w:line="206" w:lineRule="exact"/>
        <w:rPr>
          <w:sz w:val="20"/>
          <w:szCs w:val="20"/>
          <w:color w:val="auto"/>
        </w:rPr>
      </w:pPr>
    </w:p>
    <w:p>
      <w:pPr>
        <w:jc w:val="both"/>
        <w:ind w:firstLine="8"/>
        <w:spacing w:after="0" w:line="297" w:lineRule="auto"/>
        <w:tabs>
          <w:tab w:leader="none" w:pos="162"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obligations of the Company to pay any benefits under the Plan shall be unfunded and unsecured, and any payments under the Plan shall be made from the general assets of the Company. Participants’ rights under the Plan are not assignable or transferable except to the extent that such assignment or transfer is permitted under the terms of the Incentive Compensation Plan.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Withholding</w:t>
      </w:r>
    </w:p>
    <w:p>
      <w:pPr>
        <w:spacing w:after="0" w:line="206" w:lineRule="exact"/>
        <w:rPr>
          <w:sz w:val="20"/>
          <w:szCs w:val="20"/>
          <w:color w:val="auto"/>
        </w:rPr>
      </w:pPr>
    </w:p>
    <w:p>
      <w:pPr>
        <w:jc w:val="both"/>
        <w:ind w:firstLine="8"/>
        <w:spacing w:after="0" w:line="236" w:lineRule="auto"/>
        <w:tabs>
          <w:tab w:leader="none" w:pos="176"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Participants and personal representatives shall bear any and all federal, state, local or other taxes imposed on benefits under the Plan. The Company may deduct from any distributions under the Plan the amount of any taxes required to be withheld from such distribution by any federal, state, local or foreign government, and may deduct from any compensation or other amounts payable to the Participant the amount of any taxes required to be withheld with respect to any other amounts under the Plan by any federal, state, local or foreign government.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i w:val="1"/>
          <w:iCs w:val="1"/>
          <w:color w:val="auto"/>
        </w:rPr>
        <w:t>Applicable Law</w:t>
      </w:r>
    </w:p>
    <w:p>
      <w:pPr>
        <w:spacing w:after="0" w:line="206" w:lineRule="exact"/>
        <w:rPr>
          <w:sz w:val="20"/>
          <w:szCs w:val="20"/>
          <w:color w:val="auto"/>
        </w:rPr>
      </w:pPr>
    </w:p>
    <w:p>
      <w:pPr>
        <w:ind w:firstLine="8"/>
        <w:spacing w:after="0" w:line="251" w:lineRule="auto"/>
        <w:tabs>
          <w:tab w:leader="none" w:pos="177"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This Plan shall be construed and enforced in accordance with the laws of the State of Delaware, except to the extent superseded by federal law.</w:t>
      </w:r>
    </w:p>
    <w:p>
      <w:pPr>
        <w:spacing w:after="0" w:line="173" w:lineRule="exact"/>
        <w:rPr>
          <w:sz w:val="20"/>
          <w:szCs w:val="20"/>
          <w:color w:val="auto"/>
        </w:rPr>
      </w:pPr>
    </w:p>
    <w:p>
      <w:pPr>
        <w:ind w:right="20" w:firstLine="8"/>
        <w:spacing w:after="0" w:line="251" w:lineRule="auto"/>
        <w:tabs>
          <w:tab w:leader="none" w:pos="918" w:val="left"/>
        </w:tabs>
        <w:numPr>
          <w:ilvl w:val="0"/>
          <w:numId w:val="6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 Right to Continued Employment. </w:t>
      </w:r>
      <w:r>
        <w:rPr>
          <w:rFonts w:ascii="Arial" w:cs="Arial" w:eastAsia="Arial" w:hAnsi="Arial"/>
          <w:sz w:val="22"/>
          <w:szCs w:val="22"/>
          <w:color w:val="auto"/>
        </w:rPr>
        <w:t>No Award shall confer upon any Participant any right to continued service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or any of its Affiliates.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Code Section 409A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firstLine="914"/>
        <w:spacing w:after="0" w:line="277" w:lineRule="auto"/>
        <w:tabs>
          <w:tab w:leader="none" w:pos="2442" w:val="left"/>
        </w:tabs>
        <w:numPr>
          <w:ilvl w:val="0"/>
          <w:numId w:val="65"/>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Interpretation of Plan. </w:t>
      </w:r>
      <w:r>
        <w:rPr>
          <w:rFonts w:ascii="Arial" w:cs="Arial" w:eastAsia="Arial" w:hAnsi="Arial"/>
          <w:sz w:val="19"/>
          <w:szCs w:val="19"/>
          <w:color w:val="auto"/>
        </w:rPr>
        <w:t>It is intended that the Awards granted pursuant to this Plan be exempt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Section 409A of the Code (“Section 409A”) because it is believed (i) the Awards payable in cash should qualify for the short-term deferral exception contained in Treasury Regulation §1.409A-1(a)(4), (ii) any Options granted pursuant to the Plan will have an exercise price that may never be less than the Fair Market Value of a Share on the Grant Date and the other requirements for the exemption of such options under Treasury Regulation §1.409A-1(a)(5)(i)(A) should be met; and (iii) any Shares of Restricted Stock granted under the Plan should be exempt as an award of restricted property pursuant to Treasury Regulation §1.409A-1(a)(6). The provisions of the Plan shall be interpreted in a manner consistent with that intent.</w:t>
      </w:r>
    </w:p>
    <w:p>
      <w:pPr>
        <w:spacing w:after="0" w:line="153" w:lineRule="exact"/>
        <w:rPr>
          <w:sz w:val="20"/>
          <w:szCs w:val="20"/>
          <w:color w:val="auto"/>
        </w:rPr>
      </w:pPr>
    </w:p>
    <w:p>
      <w:pPr>
        <w:jc w:val="both"/>
        <w:ind w:firstLine="914"/>
        <w:spacing w:after="0" w:line="235" w:lineRule="auto"/>
        <w:tabs>
          <w:tab w:leader="none" w:pos="2454" w:val="left"/>
        </w:tabs>
        <w:numPr>
          <w:ilvl w:val="0"/>
          <w:numId w:val="66"/>
        </w:numPr>
        <w:rPr>
          <w:rFonts w:ascii="Arial" w:cs="Arial" w:eastAsia="Arial" w:hAnsi="Arial"/>
          <w:sz w:val="22"/>
          <w:szCs w:val="22"/>
          <w:color w:val="auto"/>
        </w:rPr>
      </w:pPr>
      <w:r>
        <w:rPr>
          <w:rFonts w:ascii="Arial" w:cs="Arial" w:eastAsia="Arial" w:hAnsi="Arial"/>
          <w:sz w:val="22"/>
          <w:szCs w:val="22"/>
          <w:b w:val="1"/>
          <w:bCs w:val="1"/>
          <w:i w:val="1"/>
          <w:iCs w:val="1"/>
          <w:color w:val="auto"/>
        </w:rPr>
        <w:t>Section 409A Amendments</w:t>
      </w:r>
      <w:r>
        <w:rPr>
          <w:rFonts w:ascii="Arial" w:cs="Arial" w:eastAsia="Arial" w:hAnsi="Arial"/>
          <w:sz w:val="22"/>
          <w:szCs w:val="22"/>
          <w:color w:val="auto"/>
        </w:rPr>
        <w:t>. The Committee, in its sole discretion, and without the consent of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or Beneficiary, may amend the provisions of this Plan to the extent that the Committee determines that such amendment is necessary or appropriate in order for the Awards made pursuant to the Plan to be exempt from the requirements of Section 409A, or if and to the extent that the Committee determines that Awards are not so exempt, to amend the Plan (and any agreements relating to any Awards) in such manner as the Committee shall deem necessary or appropriate to comply with the requirements of Section 409A.</w:t>
      </w:r>
    </w:p>
    <w:p>
      <w:pPr>
        <w:spacing w:after="0" w:line="188" w:lineRule="exact"/>
        <w:rPr>
          <w:sz w:val="20"/>
          <w:szCs w:val="20"/>
          <w:color w:val="auto"/>
        </w:rPr>
      </w:pPr>
    </w:p>
    <w:p>
      <w:pPr>
        <w:jc w:val="both"/>
        <w:ind w:firstLine="914"/>
        <w:spacing w:after="0" w:line="279" w:lineRule="auto"/>
        <w:tabs>
          <w:tab w:leader="none" w:pos="2442" w:val="left"/>
        </w:tabs>
        <w:numPr>
          <w:ilvl w:val="0"/>
          <w:numId w:val="67"/>
        </w:numPr>
        <w:rPr>
          <w:rFonts w:ascii="Arial" w:cs="Arial" w:eastAsia="Arial" w:hAnsi="Arial"/>
          <w:sz w:val="19"/>
          <w:szCs w:val="19"/>
          <w:color w:val="auto"/>
        </w:rPr>
      </w:pPr>
      <w:r>
        <w:rPr>
          <w:rFonts w:ascii="Arial" w:cs="Arial" w:eastAsia="Arial" w:hAnsi="Arial"/>
          <w:sz w:val="19"/>
          <w:szCs w:val="19"/>
          <w:b w:val="1"/>
          <w:bCs w:val="1"/>
          <w:i w:val="1"/>
          <w:iCs w:val="1"/>
          <w:color w:val="auto"/>
        </w:rPr>
        <w:t>No Right to Section 409A Indemnification</w:t>
      </w:r>
      <w:r>
        <w:rPr>
          <w:rFonts w:ascii="Arial" w:cs="Arial" w:eastAsia="Arial" w:hAnsi="Arial"/>
          <w:sz w:val="19"/>
          <w:szCs w:val="19"/>
          <w:color w:val="auto"/>
        </w:rPr>
        <w:t>. Notwithstanding the foregoing, the Company does not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make any representation to any Participant or Beneficiary that the Awards made pursuant to this Plan are exempt from, or satisfy, the requirements of Section 409A, and the Company shall have no liability or other obligation to indemnify or hold harmless any Participant or Beneficiary for any tax, additional tax, interest or penalties that the Participant or Beneficiary may incur in the event that any provision of the Plan or any Award agreement, or any amendment or any modification thereof, or any other action taken with respect thereto, is deemed to violate any of the requirements of Section 409A.</w:t>
      </w:r>
    </w:p>
    <w:p>
      <w:pPr>
        <w:spacing w:after="0" w:line="151" w:lineRule="exact"/>
        <w:rPr>
          <w:sz w:val="20"/>
          <w:szCs w:val="20"/>
          <w:color w:val="auto"/>
        </w:rPr>
      </w:pPr>
    </w:p>
    <w:p>
      <w:pPr>
        <w:jc w:val="both"/>
        <w:ind w:firstLine="914"/>
        <w:spacing w:after="0" w:line="246" w:lineRule="auto"/>
        <w:tabs>
          <w:tab w:leader="none" w:pos="2454" w:val="left"/>
        </w:tabs>
        <w:numPr>
          <w:ilvl w:val="0"/>
          <w:numId w:val="68"/>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Six Month Delay for Specified Employees. </w:t>
      </w:r>
      <w:r>
        <w:rPr>
          <w:rFonts w:ascii="Arial" w:cs="Arial" w:eastAsia="Arial" w:hAnsi="Arial"/>
          <w:sz w:val="21"/>
          <w:szCs w:val="21"/>
          <w:color w:val="auto"/>
        </w:rPr>
        <w:t>If a Participant is a “specified employee,” as that term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defined for purposes of Section 409A, then no payment or benefit that is payable on account of the Participant’s “separation from service,” as that term is defined for purposes of Section 409A, shall be made before the date that is six months after the Participant’s “separation from service” (or, if earlier, the date of the Participant’s death) if and to the extent that such payment or benefit constitutes nonqualified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No Assignment</w:t>
      </w:r>
    </w:p>
    <w:p>
      <w:pPr>
        <w:spacing w:after="0" w:line="206" w:lineRule="exact"/>
        <w:rPr>
          <w:sz w:val="20"/>
          <w:szCs w:val="20"/>
          <w:color w:val="auto"/>
        </w:rPr>
      </w:pPr>
    </w:p>
    <w:p>
      <w:pPr>
        <w:ind w:firstLine="8"/>
        <w:spacing w:after="0" w:line="251" w:lineRule="auto"/>
        <w:tabs>
          <w:tab w:leader="none" w:pos="167" w:val="left"/>
        </w:tabs>
        <w:numPr>
          <w:ilvl w:val="0"/>
          <w:numId w:val="69"/>
        </w:numPr>
        <w:rPr>
          <w:rFonts w:ascii="Arial" w:cs="Arial" w:eastAsia="Arial" w:hAnsi="Arial"/>
          <w:sz w:val="22"/>
          <w:szCs w:val="22"/>
          <w:color w:val="auto"/>
        </w:rPr>
      </w:pPr>
      <w:r>
        <w:rPr>
          <w:rFonts w:ascii="Arial" w:cs="Arial" w:eastAsia="Arial" w:hAnsi="Arial"/>
          <w:sz w:val="22"/>
          <w:szCs w:val="22"/>
          <w:color w:val="auto"/>
        </w:rPr>
        <w:t>Neither any Participant nor any Beneficiary nor any other person shall have any right to assign the rights to receive any payments or benefits hereunder, 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spacing w:after="0"/>
        <w:rPr>
          <w:sz w:val="20"/>
          <w:szCs w:val="20"/>
          <w:color w:val="auto"/>
        </w:rPr>
      </w:pPr>
      <w:r>
        <w:rPr>
          <w:rFonts w:ascii="Arial" w:cs="Arial" w:eastAsia="Arial" w:hAnsi="Arial"/>
          <w:sz w:val="19"/>
          <w:szCs w:val="19"/>
          <w:color w:val="auto"/>
        </w:rPr>
        <w:t>whole or in part, which payments and benefits are non-assignable and non-transferable, whether voluntarily, or involuntarily.</w:t>
      </w:r>
    </w:p>
    <w:p>
      <w:pPr>
        <w:sectPr>
          <w:pgSz w:w="11900" w:h="16838" w:orient="portrait"/>
          <w:cols w:equalWidth="0" w:num="1">
            <w:col w:w="10800"/>
          </w:cols>
          <w:pgMar w:left="240" w:top="334" w:right="859" w:bottom="1440" w:gutter="0" w:footer="0" w:header="0"/>
        </w:sect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[14]</w:t>
      </w:r>
    </w:p>
    <w:sectPr>
      <w:pgSz w:w="11900" w:h="16838" w:orient="portrait"/>
      <w:cols w:equalWidth="0" w:num="1">
        <w:col w:w="10800"/>
      </w:cols>
      <w:pgMar w:left="240" w:top="334" w:right="8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lowerLetter"/>
      <w:start w:val="2"/>
    </w:lvl>
  </w:abstractNum>
  <w:abstractNum w:abstractNumId="5">
    <w:nsid w:val="7724C67E"/>
    <w:multiLevelType w:val="hybridMultilevel"/>
    <w:lvl w:ilvl="0">
      <w:lvlJc w:val="left"/>
      <w:lvlText w:val="(%1)"/>
      <w:numFmt w:val="lowerLetter"/>
      <w:start w:val="3"/>
    </w:lvl>
  </w:abstractNum>
  <w:abstractNum w:abstractNumId="6">
    <w:nsid w:val="5C482A97"/>
    <w:multiLevelType w:val="hybridMultilevel"/>
    <w:lvl w:ilvl="0">
      <w:lvlJc w:val="left"/>
      <w:lvlText w:val="(%1)"/>
      <w:numFmt w:val="lowerLetter"/>
      <w:start w:val="4"/>
    </w:lvl>
  </w:abstractNum>
  <w:abstractNum w:abstractNumId="7">
    <w:nsid w:val="2463B9EA"/>
    <w:multiLevelType w:val="hybridMultilevel"/>
    <w:lvl w:ilvl="0">
      <w:lvlJc w:val="left"/>
      <w:lvlText w:val="(%1)"/>
      <w:numFmt w:val="lowerLetter"/>
      <w:start w:val="5"/>
    </w:lvl>
  </w:abstractNum>
  <w:abstractNum w:abstractNumId="8">
    <w:nsid w:val="5E884ADC"/>
    <w:multiLevelType w:val="hybridMultilevel"/>
    <w:lvl w:ilvl="0">
      <w:lvlJc w:val="left"/>
      <w:lvlText w:val="(%1)"/>
      <w:numFmt w:val="lowerLetter"/>
      <w:start w:val="6"/>
    </w:lvl>
  </w:abstractNum>
  <w:abstractNum w:abstractNumId="9">
    <w:nsid w:val="51EAD36B"/>
    <w:multiLevelType w:val="hybridMultilevel"/>
    <w:lvl w:ilvl="0">
      <w:lvlJc w:val="left"/>
      <w:lvlText w:val="(%1)"/>
      <w:numFmt w:val="lowerLetter"/>
      <w:start w:val="7"/>
    </w:lvl>
  </w:abstractNum>
  <w:abstractNum w:abstractNumId="10">
    <w:nsid w:val="2D517796"/>
    <w:multiLevelType w:val="hybridMultilevel"/>
    <w:lvl w:ilvl="0">
      <w:lvlJc w:val="left"/>
      <w:lvlText w:val="(%1)"/>
      <w:numFmt w:val="lowerLetter"/>
      <w:start w:val="8"/>
    </w:lvl>
  </w:abstractNum>
  <w:abstractNum w:abstractNumId="11">
    <w:nsid w:val="580BD78F"/>
    <w:multiLevelType w:val="hybridMultilevel"/>
    <w:lvl w:ilvl="0">
      <w:lvlJc w:val="left"/>
      <w:lvlText w:val="(%1)"/>
      <w:numFmt w:val="lowerRoman"/>
      <w:start w:val="1"/>
    </w:lvl>
  </w:abstractNum>
  <w:abstractNum w:abstractNumId="12">
    <w:nsid w:val="153EA438"/>
    <w:multiLevelType w:val="hybridMultilevel"/>
    <w:lvl w:ilvl="0">
      <w:lvlJc w:val="left"/>
      <w:lvlText w:val="(%1)"/>
      <w:numFmt w:val="lowerLetter"/>
      <w:start w:val="10"/>
    </w:lvl>
  </w:abstractNum>
  <w:abstractNum w:abstractNumId="13">
    <w:nsid w:val="3855585C"/>
    <w:multiLevelType w:val="hybridMultilevel"/>
    <w:lvl w:ilvl="0">
      <w:lvlJc w:val="left"/>
      <w:lvlText w:val="(%1)"/>
      <w:numFmt w:val="lowerLetter"/>
      <w:start w:val="11"/>
    </w:lvl>
  </w:abstractNum>
  <w:abstractNum w:abstractNumId="14">
    <w:nsid w:val="70A64E2A"/>
    <w:multiLevelType w:val="hybridMultilevel"/>
    <w:lvl w:ilvl="0">
      <w:lvlJc w:val="left"/>
      <w:lvlText w:val="(%1)"/>
      <w:numFmt w:val="lowerLetter"/>
      <w:start w:val="12"/>
    </w:lvl>
  </w:abstractNum>
  <w:abstractNum w:abstractNumId="15">
    <w:nsid w:val="6A2342EC"/>
    <w:multiLevelType w:val="hybridMultilevel"/>
    <w:lvl w:ilvl="0">
      <w:lvlJc w:val="left"/>
      <w:lvlText w:val="(%1)"/>
      <w:numFmt w:val="lowerLetter"/>
      <w:start w:val="13"/>
    </w:lvl>
  </w:abstractNum>
  <w:abstractNum w:abstractNumId="16">
    <w:nsid w:val="2A487CB0"/>
    <w:multiLevelType w:val="hybridMultilevel"/>
    <w:lvl w:ilvl="0">
      <w:lvlJc w:val="left"/>
      <w:lvlText w:val="(%1)"/>
      <w:numFmt w:val="lowerLetter"/>
      <w:start w:val="14"/>
    </w:lvl>
  </w:abstractNum>
  <w:abstractNum w:abstractNumId="17">
    <w:nsid w:val="1D4ED43B"/>
    <w:multiLevelType w:val="hybridMultilevel"/>
    <w:lvl w:ilvl="0">
      <w:lvlJc w:val="left"/>
      <w:lvlText w:val="(%1)"/>
      <w:numFmt w:val="lowerLetter"/>
      <w:start w:val="15"/>
    </w:lvl>
  </w:abstractNum>
  <w:abstractNum w:abstractNumId="18">
    <w:nsid w:val="725A06FB"/>
    <w:multiLevelType w:val="hybridMultilevel"/>
    <w:lvl w:ilvl="0">
      <w:lvlJc w:val="left"/>
      <w:lvlText w:val="(%1)"/>
      <w:numFmt w:val="lowerLetter"/>
      <w:start w:val="16"/>
    </w:lvl>
  </w:abstractNum>
  <w:abstractNum w:abstractNumId="19">
    <w:nsid w:val="2CD89A32"/>
    <w:multiLevelType w:val="hybridMultilevel"/>
    <w:lvl w:ilvl="0">
      <w:lvlJc w:val="left"/>
      <w:lvlText w:val="(%1)"/>
      <w:numFmt w:val="lowerLetter"/>
      <w:start w:val="17"/>
    </w:lvl>
  </w:abstractNum>
  <w:abstractNum w:abstractNumId="20">
    <w:nsid w:val="57E4CCAF"/>
    <w:multiLevelType w:val="hybridMultilevel"/>
    <w:lvl w:ilvl="0">
      <w:lvlJc w:val="left"/>
      <w:lvlText w:val="(%1)"/>
      <w:numFmt w:val="lowerLetter"/>
      <w:start w:val="18"/>
    </w:lvl>
  </w:abstractNum>
  <w:abstractNum w:abstractNumId="21">
    <w:nsid w:val="7A6D8D3C"/>
    <w:multiLevelType w:val="hybridMultilevel"/>
    <w:lvl w:ilvl="0">
      <w:lvlJc w:val="left"/>
      <w:lvlText w:val="(%1)"/>
      <w:numFmt w:val="lowerLetter"/>
      <w:start w:val="19"/>
    </w:lvl>
  </w:abstractNum>
  <w:abstractNum w:abstractNumId="22">
    <w:nsid w:val="4B588F54"/>
    <w:multiLevelType w:val="hybridMultilevel"/>
    <w:lvl w:ilvl="0">
      <w:lvlJc w:val="left"/>
      <w:lvlText w:val="(%1)"/>
      <w:numFmt w:val="lowerLetter"/>
      <w:start w:val="20"/>
    </w:lvl>
  </w:abstractNum>
  <w:abstractNum w:abstractNumId="23">
    <w:nsid w:val="542289EC"/>
    <w:multiLevelType w:val="hybridMultilevel"/>
    <w:lvl w:ilvl="0">
      <w:lvlJc w:val="left"/>
      <w:lvlText w:val="(%1)"/>
      <w:numFmt w:val="lowerLetter"/>
      <w:start w:val="21"/>
    </w:lvl>
  </w:abstractNum>
  <w:abstractNum w:abstractNumId="24">
    <w:nsid w:val="6DE91B18"/>
    <w:multiLevelType w:val="hybridMultilevel"/>
    <w:lvl w:ilvl="0">
      <w:lvlJc w:val="left"/>
      <w:lvlText w:val="(%1)"/>
      <w:numFmt w:val="lowerRoman"/>
      <w:start w:val="5"/>
    </w:lvl>
  </w:abstractNum>
  <w:abstractNum w:abstractNumId="25">
    <w:nsid w:val="38437FDB"/>
    <w:multiLevelType w:val="hybridMultilevel"/>
    <w:lvl w:ilvl="0">
      <w:lvlJc w:val="left"/>
      <w:lvlText w:val="(%1)"/>
      <w:numFmt w:val="lowerLetter"/>
      <w:start w:val="23"/>
    </w:lvl>
  </w:abstractNum>
  <w:abstractNum w:abstractNumId="26">
    <w:nsid w:val="7644A45C"/>
    <w:multiLevelType w:val="hybridMultilevel"/>
    <w:lvl w:ilvl="0">
      <w:lvlJc w:val="left"/>
      <w:lvlText w:val="(%1)"/>
      <w:numFmt w:val="lowerRoman"/>
      <w:start w:val="10"/>
    </w:lvl>
  </w:abstractNum>
  <w:abstractNum w:abstractNumId="27">
    <w:nsid w:val="32FFF902"/>
    <w:multiLevelType w:val="hybridMultilevel"/>
    <w:lvl w:ilvl="0">
      <w:lvlJc w:val="left"/>
      <w:lvlText w:val="(%1)"/>
      <w:numFmt w:val="lowerLetter"/>
      <w:start w:val="25"/>
    </w:lvl>
  </w:abstractNum>
  <w:abstractNum w:abstractNumId="28">
    <w:nsid w:val="684A481A"/>
    <w:multiLevelType w:val="hybridMultilevel"/>
    <w:lvl w:ilvl="0">
      <w:lvlJc w:val="left"/>
      <w:lvlText w:val="(%1)"/>
      <w:numFmt w:val="lowerLetter"/>
      <w:start w:val="26"/>
    </w:lvl>
  </w:abstractNum>
  <w:abstractNum w:abstractNumId="29">
    <w:nsid w:val="579478FE"/>
    <w:multiLevelType w:val="hybridMultilevel"/>
    <w:lvl w:ilvl="0">
      <w:lvlJc w:val="left"/>
      <w:lvlText w:val="(%1)"/>
      <w:numFmt w:val="lowerLetter"/>
      <w:start w:val="27"/>
    </w:lvl>
  </w:abstractNum>
  <w:abstractNum w:abstractNumId="30">
    <w:nsid w:val="749ABB43"/>
    <w:multiLevelType w:val="hybridMultilevel"/>
    <w:lvl w:ilvl="0">
      <w:lvlJc w:val="left"/>
      <w:lvlText w:val="(%1)"/>
      <w:numFmt w:val="lowerLetter"/>
      <w:start w:val="28"/>
    </w:lvl>
  </w:abstractNum>
  <w:abstractNum w:abstractNumId="31">
    <w:nsid w:val="3DC240FB"/>
    <w:multiLevelType w:val="hybridMultilevel"/>
    <w:lvl w:ilvl="0">
      <w:lvlJc w:val="left"/>
      <w:lvlText w:val="(%1)"/>
      <w:numFmt w:val="lowerLetter"/>
      <w:start w:val="29"/>
    </w:lvl>
  </w:abstractNum>
  <w:abstractNum w:abstractNumId="32">
    <w:nsid w:val="1BA026FA"/>
    <w:multiLevelType w:val="hybridMultilevel"/>
    <w:lvl w:ilvl="0">
      <w:lvlJc w:val="left"/>
      <w:lvlText w:val="(%1)"/>
      <w:numFmt w:val="lowerLetter"/>
      <w:start w:val="30"/>
    </w:lvl>
  </w:abstractNum>
  <w:abstractNum w:abstractNumId="33">
    <w:nsid w:val="79A1DEAA"/>
    <w:multiLevelType w:val="hybridMultilevel"/>
    <w:lvl w:ilvl="0">
      <w:lvlJc w:val="left"/>
      <w:lvlText w:val="%1."/>
      <w:numFmt w:val="decimal"/>
      <w:start w:val="3"/>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Letter"/>
      <w:start w:val="2"/>
    </w:lvl>
  </w:abstractNum>
  <w:abstractNum w:abstractNumId="37">
    <w:nsid w:val="520EEDD1"/>
    <w:multiLevelType w:val="hybridMultilevel"/>
    <w:lvl w:ilvl="0">
      <w:lvlJc w:val="left"/>
      <w:lvlText w:val="(%1)"/>
      <w:numFmt w:val="lowerLetter"/>
      <w:start w:val="3"/>
    </w:lvl>
  </w:abstractNum>
  <w:abstractNum w:abstractNumId="38">
    <w:nsid w:val="374A3FE6"/>
    <w:multiLevelType w:val="hybridMultilevel"/>
    <w:lvl w:ilvl="0">
      <w:lvlJc w:val="left"/>
      <w:lvlText w:val="(%1)"/>
      <w:numFmt w:val="lowerLetter"/>
      <w:start w:val="4"/>
    </w:lvl>
  </w:abstractNum>
  <w:abstractNum w:abstractNumId="39">
    <w:nsid w:val="4F4EF005"/>
    <w:multiLevelType w:val="hybridMultilevel"/>
    <w:lvl w:ilvl="0">
      <w:lvlJc w:val="left"/>
      <w:lvlText w:val="(%1)"/>
      <w:numFmt w:val="lowerLetter"/>
      <w:start w:val="5"/>
    </w:lvl>
  </w:abstractNum>
  <w:abstractNum w:abstractNumId="40">
    <w:nsid w:val="23F9C13C"/>
    <w:multiLevelType w:val="hybridMultilevel"/>
    <w:lvl w:ilvl="0">
      <w:lvlJc w:val="left"/>
      <w:lvlText w:val="(%1)"/>
      <w:numFmt w:val="lowerLetter"/>
      <w:start w:val="6"/>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upperLetter"/>
      <w:start w:val="1"/>
    </w:lvl>
    <w:lvl w:ilvl="1">
      <w:lvlJc w:val="left"/>
      <w:lvlText w:val="(%2)"/>
      <w:numFmt w:val="upperLetter"/>
      <w:start w:val="1"/>
    </w:lvl>
  </w:abstractNum>
  <w:abstractNum w:abstractNumId="43">
    <w:nsid w:val="39386575"/>
    <w:multiLevelType w:val="hybridMultilevel"/>
    <w:lvl w:ilvl="0">
      <w:lvlJc w:val="left"/>
      <w:lvlText w:val="(%1)"/>
      <w:numFmt w:val="upperLetter"/>
      <w:start w:val="2"/>
    </w:lvl>
    <w:lvl w:ilvl="1">
      <w:lvlJc w:val="left"/>
      <w:lvlText w:val="%2"/>
      <w:numFmt w:val="upperLetter"/>
      <w:start w:val="1"/>
    </w:lvl>
  </w:abstractNum>
  <w:abstractNum w:abstractNumId="44">
    <w:nsid w:val="1CF10FD8"/>
    <w:multiLevelType w:val="hybridMultilevel"/>
    <w:lvl w:ilvl="0">
      <w:lvlJc w:val="left"/>
      <w:lvlText w:val="(%1)"/>
      <w:numFmt w:val="upperLetter"/>
      <w:start w:val="3"/>
    </w:lvl>
    <w:lvl w:ilvl="1">
      <w:lvlJc w:val="left"/>
      <w:lvlText w:val="(%2)"/>
      <w:numFmt w:val="decimal"/>
      <w:start w:val="1"/>
    </w:lvl>
  </w:abstractNum>
  <w:abstractNum w:abstractNumId="45">
    <w:nsid w:val="180115BE"/>
    <w:multiLevelType w:val="hybridMultilevel"/>
    <w:lvl w:ilvl="0">
      <w:lvlJc w:val="left"/>
      <w:lvlText w:val="(%1)"/>
      <w:numFmt w:val="lowerLetter"/>
      <w:start w:val="2"/>
    </w:lvl>
  </w:abstractNum>
  <w:abstractNum w:abstractNumId="46">
    <w:nsid w:val="235BA861"/>
    <w:multiLevelType w:val="hybridMultilevel"/>
    <w:lvl w:ilvl="0">
      <w:lvlJc w:val="left"/>
      <w:lvlText w:val="(%1)"/>
      <w:numFmt w:val="upperLetter"/>
      <w:start w:val="1"/>
    </w:lvl>
  </w:abstractNum>
  <w:abstractNum w:abstractNumId="47">
    <w:nsid w:val="47398C89"/>
    <w:multiLevelType w:val="hybridMultilevel"/>
    <w:lvl w:ilvl="0">
      <w:lvlJc w:val="left"/>
      <w:lvlText w:val="(%1)"/>
      <w:numFmt w:val="upperLetter"/>
      <w:start w:val="3"/>
    </w:lvl>
  </w:abstractNum>
  <w:abstractNum w:abstractNumId="48">
    <w:nsid w:val="354FE9F9"/>
    <w:multiLevelType w:val="hybridMultilevel"/>
    <w:lvl w:ilvl="0">
      <w:lvlJc w:val="left"/>
      <w:lvlText w:val="(%1)"/>
      <w:numFmt w:val="upperLetter"/>
      <w:start w:val="2"/>
    </w:lvl>
    <w:lvl w:ilvl="1">
      <w:lvlJc w:val="left"/>
      <w:lvlText w:val="(%2)"/>
      <w:numFmt w:val="decimal"/>
      <w:start w:val="1"/>
    </w:lvl>
  </w:abstractNum>
  <w:abstractNum w:abstractNumId="49">
    <w:nsid w:val="15B5AF5C"/>
    <w:multiLevelType w:val="hybridMultilevel"/>
    <w:lvl w:ilvl="0">
      <w:lvlJc w:val="left"/>
      <w:lvlText w:val="(%1)"/>
      <w:numFmt w:val="lowerLetter"/>
      <w:start w:val="3"/>
    </w:lvl>
  </w:abstractNum>
  <w:abstractNum w:abstractNumId="50">
    <w:nsid w:val="741226BB"/>
    <w:multiLevelType w:val="hybridMultilevel"/>
    <w:lvl w:ilvl="0">
      <w:lvlJc w:val="left"/>
      <w:lvlText w:val="(%1)"/>
      <w:numFmt w:val="lowerLetter"/>
      <w:start w:val="4"/>
    </w:lvl>
  </w:abstractNum>
  <w:abstractNum w:abstractNumId="51">
    <w:nsid w:val="D34B6A8"/>
    <w:multiLevelType w:val="hybridMultilevel"/>
    <w:lvl w:ilvl="0">
      <w:lvlJc w:val="left"/>
      <w:lvlText w:val="(%1)"/>
      <w:numFmt w:val="lowerLetter"/>
      <w:start w:val="5"/>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2"/>
    </w:lvl>
  </w:abstractNum>
  <w:abstractNum w:abstractNumId="54">
    <w:nsid w:val="61574095"/>
    <w:multiLevelType w:val="hybridMultilevel"/>
    <w:lvl w:ilvl="0">
      <w:lvlJc w:val="left"/>
      <w:lvlText w:val="(%1)"/>
      <w:numFmt w:val="lowerLetter"/>
      <w:start w:val="3"/>
    </w:lvl>
  </w:abstractNum>
  <w:abstractNum w:abstractNumId="55">
    <w:nsid w:val="7E0C57B1"/>
    <w:multiLevelType w:val="hybridMultilevel"/>
    <w:lvl w:ilvl="0">
      <w:lvlJc w:val="left"/>
      <w:lvlText w:val="(%1)"/>
      <w:numFmt w:val="lowerLetter"/>
      <w:start w:val="4"/>
    </w:lvl>
  </w:abstractNum>
  <w:abstractNum w:abstractNumId="56">
    <w:nsid w:val="77AE35EB"/>
    <w:multiLevelType w:val="hybridMultilevel"/>
    <w:lvl w:ilvl="0">
      <w:lvlJc w:val="left"/>
      <w:lvlText w:val="(%1)"/>
      <w:numFmt w:val="lowerLetter"/>
      <w:start w:val="5"/>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5"/>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lowerLetter"/>
      <w:start w:val="2"/>
    </w:lvl>
  </w:abstractNum>
  <w:abstractNum w:abstractNumId="66">
    <w:nsid w:val="5DB70AE5"/>
    <w:multiLevelType w:val="hybridMultilevel"/>
    <w:lvl w:ilvl="0">
      <w:lvlJc w:val="left"/>
      <w:lvlText w:val="(%1)"/>
      <w:numFmt w:val="lowerLetter"/>
      <w:start w:val="3"/>
    </w:lvl>
  </w:abstractNum>
  <w:abstractNum w:abstractNumId="67">
    <w:nsid w:val="100F8FCA"/>
    <w:multiLevelType w:val="hybridMultilevel"/>
    <w:lvl w:ilvl="0">
      <w:lvlJc w:val="left"/>
      <w:lvlText w:val="(%1)"/>
      <w:numFmt w:val="lowerLetter"/>
      <w:start w:val="4"/>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2019-12-28T21:16:35Z</dcterms:created>
  <dcterms:modified xsi:type="dcterms:W3CDTF">2019-12-28T21:16:35Z</dcterms:modified>
</cp:coreProperties>
</file>