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246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Ross Ivy</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CANTON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60" w:type="dxa"/>
            <w:vAlign w:val="bottom"/>
            <w:tcBorders>
              <w:top w:val="single" w:sz="8" w:color="0000EE"/>
            </w:tcBorders>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60"/>
              <w:spacing w:after="0" w:line="190"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11/21/2022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3"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11/21/2022</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4.59</w:t>
            </w:r>
          </w:p>
        </w:tc>
        <w:tc>
          <w:tcPr>
            <w:tcW w:w="80" w:type="dxa"/>
            <w:vAlign w:val="bottom"/>
          </w:tcPr>
          <w:p>
            <w:pPr>
              <w:spacing w:after="0"/>
              <w:rPr>
                <w:sz w:val="22"/>
                <w:szCs w:val="22"/>
                <w:color w:val="auto"/>
              </w:rPr>
            </w:pPr>
          </w:p>
        </w:tc>
        <w:tc>
          <w:tcPr>
            <w:tcW w:w="12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216,026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11/21/2022</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6.75</w:t>
            </w:r>
          </w:p>
        </w:tc>
        <w:tc>
          <w:tcPr>
            <w:tcW w:w="80" w:type="dxa"/>
            <w:vAlign w:val="bottom"/>
          </w:tcPr>
          <w:p>
            <w:pPr>
              <w:spacing w:after="0"/>
              <w:rPr>
                <w:sz w:val="22"/>
                <w:szCs w:val="22"/>
                <w:color w:val="auto"/>
              </w:rPr>
            </w:pPr>
          </w:p>
        </w:tc>
        <w:tc>
          <w:tcPr>
            <w:tcW w:w="12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206,026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11/22/2022</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6.9655</w:t>
            </w:r>
            <w:r>
              <w:rPr>
                <w:rFonts w:ascii="Times New Roman" w:cs="Times New Roman" w:eastAsia="Times New Roman" w:hAnsi="Times New Roman"/>
                <w:sz w:val="21"/>
                <w:szCs w:val="21"/>
                <w:color w:val="008000"/>
                <w:w w:val="90"/>
                <w:vertAlign w:val="superscript"/>
              </w:rPr>
              <w:t>(1)</w:t>
            </w:r>
          </w:p>
        </w:tc>
        <w:tc>
          <w:tcPr>
            <w:tcW w:w="124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191,026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92"/>
              </w:rPr>
              <w:t>15,000</w:t>
            </w:r>
            <w:r>
              <w:rPr>
                <w:rFonts w:ascii="Times New Roman" w:cs="Times New Roman" w:eastAsia="Times New Roman" w:hAnsi="Times New Roman"/>
                <w:sz w:val="21"/>
                <w:szCs w:val="21"/>
                <w:color w:val="008000"/>
                <w:w w:val="92"/>
                <w:vertAlign w:val="superscript"/>
              </w:rPr>
              <w:t>(2)</w:t>
            </w: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4.59</w:t>
            </w: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11/21/2022</w:t>
            </w:r>
          </w:p>
        </w:tc>
        <w:tc>
          <w:tcPr>
            <w:tcW w:w="108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7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01/31/2013</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01/31/2023</w:t>
            </w:r>
          </w:p>
        </w:tc>
        <w:tc>
          <w:tcPr>
            <w:tcW w:w="5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ind w:left="20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$6.95 to $6.985,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6" w:lineRule="exact"/>
        <w:rPr>
          <w:rFonts w:ascii="Times New Roman" w:cs="Times New Roman" w:eastAsia="Times New Roman" w:hAnsi="Times New Roman"/>
          <w:sz w:val="13"/>
          <w:szCs w:val="13"/>
          <w:color w:val="008000"/>
        </w:rPr>
      </w:pPr>
    </w:p>
    <w:p>
      <w:pPr>
        <w:ind w:left="40" w:right="38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non-qualified stock options to the Reporting Person on January 31, 2013 under the 2006 Incentive Compensation Plan. The options subject to time-based vesting became fully vested on January 31, 2015.</w:t>
      </w:r>
    </w:p>
    <w:p>
      <w:pPr>
        <w:spacing w:after="0" w:line="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Robert S. Molloy,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11/23/2022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Ivy Ross</w:t>
            </w:r>
          </w:p>
        </w:tc>
        <w:tc>
          <w:tcPr>
            <w:tcW w:w="10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59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2022-11-23T15:45:02Z</dcterms:created>
  <dcterms:modified xsi:type="dcterms:W3CDTF">2022-11-23T15:45:02Z</dcterms:modified>
</cp:coreProperties>
</file>