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42)*</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25, 2002</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860" w:right="7999" w:hanging="852"/>
        <w:spacing w:after="0" w:line="470"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440"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132,765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132,765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132,765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942" w:orient="portrait"/>
          <w:cols w:equalWidth="0" w:num="1">
            <w:col w:w="10219"/>
          </w:cols>
          <w:pgMar w:left="240" w:top="136" w:right="1440" w:bottom="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3,212,882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3,212,882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3,212,882</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22.1%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339"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838" w:orient="portrait"/>
          <w:cols w:equalWidth="0" w:num="1">
            <w:col w:w="10219"/>
          </w:cols>
          <w:pgMar w:left="240" w:top="136"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DISPOSITIVE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2780" w:type="dxa"/>
            <w:vAlign w:val="bottom"/>
            <w:gridSpan w:val="2"/>
          </w:tcPr>
          <w:p>
            <w:pPr>
              <w:jc w:val="right"/>
              <w:ind w:right="137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   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9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8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943"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5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3039"/>
        <w:spacing w:after="0" w:line="236" w:lineRule="auto"/>
        <w:rPr>
          <w:sz w:val="20"/>
          <w:szCs w:val="20"/>
          <w:color w:val="auto"/>
        </w:rPr>
      </w:pPr>
      <w:r>
        <w:rPr>
          <w:rFonts w:ascii="Courier New" w:cs="Courier New" w:eastAsia="Courier New" w:hAnsi="Courier New"/>
          <w:sz w:val="18"/>
          <w:szCs w:val="18"/>
          <w:color w:val="auto"/>
        </w:rPr>
        <w:t>of Designs, Inc. (the "Company"). The principal executive offices of the Company are now located at 555 Turnpike Street, Canton, Massachusetts 02021.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On April 8, 2002, options to purchase 5,000 shares of common stock granted to Seymour Holtzman on April 8, 2000, vested and became exercisable.</w:t>
      </w:r>
    </w:p>
    <w:p>
      <w:pPr>
        <w:spacing w:after="0" w:line="209"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As of April 28, 2002, the Consulting Agreement between Designs, Inc. and Jewelcor Management, Inc. ("JMI"), previously extended as of April 28, 2001, through April 28, 2002, was extended for an additional one year period commencing on April 29, 2002 and ending on April 28, 2003 (see attached exhibit 99.2). Under the terms of the Consulting Agreement, JMI will receive as compensation for this additional one year period, 60,659 shares of common</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stock having a value of $276,000.00 at the closing price of Designs, Inc. on April 29, 2002. JMI will also receive reimbursement of actual and direct out-of-pocket expenses incurred by it in rendering the services under the Consulting Agreement.</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On May 25, 2002, options to purchase 5,000 shares of common stock granted to Seymour Holtzman on May 24, 2001, vested and became exercisable.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The Consulting Agreement between Jewelcor Management, Inc. and Designs, Inc. dated as of April 29, 2000, was extended as of April 28, 2002 for an one additional year period, commencing on April 29, 2002 and ending on April 28, 2003. The Consulting Agreement was previously extended as of April 28, 2001 for</w:t>
      </w:r>
    </w:p>
    <w:p>
      <w:pPr>
        <w:spacing w:after="0" w:line="1"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an additional one year period commencing on April 29, 2001 and ending on April 28,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of June 18, 2002, JMI beneficially owns an aggregate of</w:t>
      </w:r>
    </w:p>
    <w:p>
      <w:pPr>
        <w:sectPr>
          <w:pgSz w:w="11900" w:h="16838" w:orient="portrait"/>
          <w:cols w:equalWidth="0" w:num="1">
            <w:col w:w="10219"/>
          </w:cols>
          <w:pgMar w:left="240" w:top="339" w:right="1440" w:bottom="0" w:gutter="0" w:footer="0" w:header="0"/>
        </w:sectPr>
      </w:pPr>
    </w:p>
    <w:bookmarkStart w:id="9" w:name="page10"/>
    <w:bookmarkEnd w:id="9"/>
    <w:p>
      <w:pPr>
        <w:ind w:right="3039"/>
        <w:spacing w:after="0" w:line="268" w:lineRule="auto"/>
        <w:rPr>
          <w:sz w:val="20"/>
          <w:szCs w:val="20"/>
          <w:color w:val="auto"/>
        </w:rPr>
      </w:pPr>
      <w:r>
        <w:rPr>
          <w:rFonts w:ascii="Courier New" w:cs="Courier New" w:eastAsia="Courier New" w:hAnsi="Courier New"/>
          <w:sz w:val="16"/>
          <w:szCs w:val="16"/>
          <w:color w:val="auto"/>
        </w:rPr>
        <w:t>3,212,882 shares of Common Stock. Based upon the Company's Form 10-K filed on May 1, 2002 which indicates that there are 14,567,886</w:t>
      </w:r>
    </w:p>
    <w:p>
      <w:pPr>
        <w:ind w:right="2739"/>
        <w:spacing w:after="0" w:line="235" w:lineRule="auto"/>
        <w:rPr>
          <w:sz w:val="20"/>
          <w:szCs w:val="20"/>
          <w:color w:val="auto"/>
        </w:rPr>
      </w:pPr>
      <w:r>
        <w:rPr>
          <w:rFonts w:ascii="Courier New" w:cs="Courier New" w:eastAsia="Courier New" w:hAnsi="Courier New"/>
          <w:sz w:val="18"/>
          <w:szCs w:val="18"/>
          <w:color w:val="auto"/>
        </w:rPr>
        <w:t>shares of Common Stock outstanding, JMI beneficially owns approximately 22.1% of said outstanding shares.</w:t>
      </w:r>
    </w:p>
    <w:p>
      <w:pPr>
        <w:spacing w:after="0" w:line="208"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June 18, 2002, the Reporting Persons beneficially own an aggregate of 3,375,647 shares of Common Stock which, based on 14,567,886 shares of Common Stock outstanding, represents approximately 23.2% of said outstanding shares.</w:t>
      </w:r>
    </w:p>
    <w:p>
      <w:pPr>
        <w:spacing w:after="0" w:line="207" w:lineRule="exact"/>
        <w:rPr>
          <w:sz w:val="20"/>
          <w:szCs w:val="20"/>
          <w:color w:val="auto"/>
        </w:rPr>
      </w:pPr>
    </w:p>
    <w:p>
      <w:pPr>
        <w:ind w:right="19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Exhibit 2. Letter agreement extending the JMI Consulting Agreement with Designs, Inc.</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18, 2002</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sectPr>
          <w:pgSz w:w="11900" w:h="16838" w:orient="portrait"/>
          <w:cols w:equalWidth="0" w:num="1">
            <w:col w:w="10219"/>
          </w:cols>
          <w:pgMar w:left="240" w:top="142"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ectPr>
          <w:pgSz w:w="11900" w:h="16838" w:orient="portrait"/>
          <w:cols w:equalWidth="0" w:num="1">
            <w:col w:w="9019"/>
          </w:cols>
          <w:pgMar w:left="1440" w:top="13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As of April 28,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rPr>
          <w:sz w:val="20"/>
          <w:szCs w:val="20"/>
          <w:color w:val="auto"/>
        </w:rPr>
      </w:pPr>
      <w:r>
        <w:rPr>
          <w:rFonts w:ascii="Courier New" w:cs="Courier New" w:eastAsia="Courier New" w:hAnsi="Courier New"/>
          <w:sz w:val="18"/>
          <w:szCs w:val="18"/>
          <w:color w:val="auto"/>
        </w:rPr>
        <w:t>100 North Wilkes-Barre Boulevard</w:t>
      </w:r>
    </w:p>
    <w:p>
      <w:pPr>
        <w:spacing w:after="0"/>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This will confirm the agreement between Jewelcor Management, Inc. (the "Independent Contractor") and Designs, Inc. (the "Corporation") regarding the extension of the term of the Consulting Agreement between the Independent Contractor and the Corporation dated as of April 29, 2000 (the "Agreement"), and previously extended as of April 28, 2001 for a period of one year commencing on April 29, 2001 and ending on April 28, 2002.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1. The</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term of the Agreement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shall be</w:t>
            </w:r>
          </w:p>
        </w:tc>
        <w:tc>
          <w:tcPr>
            <w:tcW w:w="9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extended</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an additional period</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one</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year commencing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on April</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29,</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April 28,</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Unless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context otherwise</w:t>
            </w:r>
          </w:p>
        </w:tc>
        <w:tc>
          <w:tcPr>
            <w:tcW w:w="21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requires, April 28,</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2003 shall be</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"Expiration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of the</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Agreement as</w:t>
            </w:r>
          </w:p>
        </w:tc>
        <w:tc>
          <w:tcPr>
            <w:tcW w:w="1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 extended.</w:t>
            </w:r>
          </w:p>
        </w:tc>
        <w:tc>
          <w:tcPr>
            <w:tcW w:w="1420" w:type="dxa"/>
            <w:vAlign w:val="bottom"/>
          </w:tcPr>
          <w:p>
            <w:pPr>
              <w:spacing w:after="0"/>
              <w:rPr>
                <w:sz w:val="17"/>
                <w:szCs w:val="17"/>
                <w:color w:val="auto"/>
              </w:rPr>
            </w:pPr>
          </w:p>
        </w:tc>
      </w:tr>
    </w:tbl>
    <w:p>
      <w:pPr>
        <w:spacing w:after="0" w:line="201" w:lineRule="exact"/>
        <w:rPr>
          <w:sz w:val="20"/>
          <w:szCs w:val="20"/>
          <w:color w:val="auto"/>
        </w:rPr>
      </w:pPr>
    </w:p>
    <w:p>
      <w:pPr>
        <w:ind w:left="320" w:hanging="312"/>
        <w:spacing w:after="0"/>
        <w:tabs>
          <w:tab w:leader="none" w:pos="3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 of the Agreement, the</w:t>
      </w:r>
    </w:p>
    <w:p>
      <w:pPr>
        <w:spacing w:after="0" w:line="4" w:lineRule="exact"/>
        <w:rPr>
          <w:rFonts w:ascii="Courier New" w:cs="Courier New" w:eastAsia="Courier New" w:hAnsi="Courier New"/>
          <w:sz w:val="18"/>
          <w:szCs w:val="18"/>
          <w:color w:val="auto"/>
        </w:rPr>
      </w:pPr>
    </w:p>
    <w:p>
      <w:pPr>
        <w:ind w:right="2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consideration to be furnished to the Independent Contractor by the Corporation for the Services rendered by the Independent Contractor under the Agreement during the period from April 29, 2002 through April 28, 2003 shall consist of (a) 60,659 non-forfeitable, fully paid and non-assessable shares of the Corporation's Common Stock (the fair value of which Common Stock on April 29, 2002, the date of the extension of the Agreement as set forth herein, was $276,000 or $4.55 per share) and</w:t>
      </w:r>
    </w:p>
    <w:p>
      <w:pPr>
        <w:spacing w:after="0" w:line="1" w:lineRule="exact"/>
        <w:rPr>
          <w:rFonts w:ascii="Courier New" w:cs="Courier New" w:eastAsia="Courier New" w:hAnsi="Courier New"/>
          <w:sz w:val="18"/>
          <w:szCs w:val="18"/>
          <w:color w:val="auto"/>
        </w:rPr>
      </w:pPr>
    </w:p>
    <w:p>
      <w:pPr>
        <w:ind w:right="3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the reimbursement of actual and direct out-of-pocket expenses incurred by the Independent Contractor in the rendering of Services under the agreement.</w:t>
      </w:r>
    </w:p>
    <w:p>
      <w:pPr>
        <w:spacing w:after="0" w:line="209"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38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ind w:left="506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/s/Dennis R. Hernreich</w:t>
      </w:r>
    </w:p>
    <w:p>
      <w:pPr>
        <w:ind w:left="5060"/>
        <w:spacing w:after="0" w:line="238" w:lineRule="auto"/>
        <w:rPr>
          <w:sz w:val="20"/>
          <w:szCs w:val="20"/>
          <w:color w:val="auto"/>
        </w:rPr>
      </w:pPr>
      <w:r>
        <w:rPr>
          <w:rFonts w:ascii="Courier New" w:cs="Courier New" w:eastAsia="Courier New" w:hAnsi="Courier New"/>
          <w:sz w:val="18"/>
          <w:szCs w:val="18"/>
          <w:color w:val="auto"/>
        </w:rPr>
        <w:t>Dennis R. Hernreich</w:t>
      </w:r>
    </w:p>
    <w:p>
      <w:pPr>
        <w:spacing w:after="0"/>
        <w:rPr>
          <w:sz w:val="20"/>
          <w:szCs w:val="20"/>
          <w:color w:val="auto"/>
        </w:rPr>
      </w:pPr>
      <w:r>
        <w:rPr>
          <w:rFonts w:ascii="Courier New" w:cs="Courier New" w:eastAsia="Courier New" w:hAnsi="Courier New"/>
          <w:sz w:val="18"/>
          <w:szCs w:val="18"/>
          <w:color w:val="auto"/>
        </w:rPr>
        <w:t>Agreed and Accepted:</w:t>
      </w:r>
    </w:p>
    <w:p>
      <w:pPr>
        <w:spacing w:after="0" w:line="237" w:lineRule="auto"/>
        <w:rPr>
          <w:sz w:val="20"/>
          <w:szCs w:val="20"/>
          <w:color w:val="auto"/>
        </w:rPr>
      </w:pPr>
      <w:r>
        <w:rPr>
          <w:rFonts w:ascii="Courier New" w:cs="Courier New" w:eastAsia="Courier New" w:hAnsi="Courier New"/>
          <w:sz w:val="18"/>
          <w:szCs w:val="18"/>
          <w:color w:val="auto"/>
        </w:rPr>
        <w:t>Jewelcor Management,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L. Huffsmith</w:t>
      </w:r>
    </w:p>
    <w:p>
      <w:pPr>
        <w:spacing w:after="0" w:line="238" w:lineRule="auto"/>
        <w:rPr>
          <w:sz w:val="20"/>
          <w:szCs w:val="20"/>
          <w:color w:val="auto"/>
        </w:rPr>
      </w:pPr>
      <w:r>
        <w:rPr>
          <w:rFonts w:ascii="Courier New" w:cs="Courier New" w:eastAsia="Courier New" w:hAnsi="Courier New"/>
          <w:sz w:val="18"/>
          <w:szCs w:val="18"/>
          <w:color w:val="auto"/>
        </w:rPr>
        <w:t>Richard L. Huffsmith</w:t>
      </w:r>
    </w:p>
    <w:p>
      <w:pPr>
        <w:spacing w:after="0"/>
        <w:rPr>
          <w:sz w:val="20"/>
          <w:szCs w:val="20"/>
          <w:color w:val="auto"/>
        </w:rPr>
      </w:pPr>
      <w:r>
        <w:rPr>
          <w:rFonts w:ascii="Courier New" w:cs="Courier New" w:eastAsia="Courier New" w:hAnsi="Courier New"/>
          <w:sz w:val="18"/>
          <w:szCs w:val="18"/>
          <w:color w:val="auto"/>
        </w:rPr>
        <w:t>Vice President/General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1"/>
      <w:numFmt w:val="decimal"/>
      <w:start w:val="11"/>
    </w:lvl>
  </w:abstractNum>
  <w:abstractNum w:abstractNumId="6">
    <w:nsid w:val="3804823E"/>
    <w:multiLevelType w:val="hybridMultilevel"/>
    <w:lvl w:ilvl="0">
      <w:lvlJc w:val="left"/>
      <w:lvlText w:val="1"/>
      <w:numFmt w:val="bullet"/>
      <w:start w:val="1"/>
    </w:lvl>
  </w:abstractNum>
  <w:abstractNum w:abstractNumId="7">
    <w:nsid w:val="77465F01"/>
    <w:multiLevelType w:val="hybridMultilevel"/>
    <w:lvl w:ilvl="0">
      <w:lvlJc w:val="left"/>
      <w:lvlText w:val="3"/>
      <w:numFmt w:val="bullet"/>
      <w:start w:val="1"/>
    </w:lvl>
  </w:abstractNum>
  <w:abstractNum w:abstractNumId="8">
    <w:nsid w:val="7724C67E"/>
    <w:multiLevelType w:val="hybridMultilevel"/>
    <w:lvl w:ilvl="0">
      <w:lvlJc w:val="left"/>
      <w:lvlText w:val="4"/>
      <w:numFmt w:val="bullet"/>
      <w:start w:val="1"/>
    </w:lvl>
  </w:abstractNum>
  <w:abstractNum w:abstractNumId="9">
    <w:nsid w:val="5C482A97"/>
    <w:multiLevelType w:val="hybridMultilevel"/>
    <w:lvl w:ilvl="0">
      <w:lvlJc w:val="left"/>
      <w:lvlText w:val="5"/>
      <w:numFmt w:val="bullet"/>
      <w:start w:val="1"/>
    </w:lvl>
  </w:abstractNum>
  <w:abstractNum w:abstractNumId="10">
    <w:nsid w:val="2463B9EA"/>
    <w:multiLevelType w:val="hybridMultilevel"/>
    <w:lvl w:ilvl="0">
      <w:lvlJc w:val="left"/>
      <w:lvlText w:val="6"/>
      <w:numFmt w:val="bullet"/>
      <w:start w:val="1"/>
    </w:lvl>
  </w:abstractNum>
  <w:abstractNum w:abstractNumId="11">
    <w:nsid w:val="5E884ADC"/>
    <w:multiLevelType w:val="hybridMultilevel"/>
    <w:lvl w:ilvl="0">
      <w:lvlJc w:val="left"/>
      <w:lvlText w:val="%1"/>
      <w:numFmt w:val="decimal"/>
      <w:start w:val="11"/>
    </w:lvl>
    <w:lvl w:ilvl="1">
      <w:lvlJc w:val="left"/>
      <w:lvlText w:val="-"/>
      <w:numFmt w:val="bullet"/>
      <w:start w:val="1"/>
    </w:lvl>
  </w:abstractNum>
  <w:abstractNum w:abstractNumId="12">
    <w:nsid w:val="51EAD36B"/>
    <w:multiLevelType w:val="hybridMultilevel"/>
    <w:lvl w:ilvl="0">
      <w:lvlJc w:val="left"/>
      <w:lvlText w:val="1"/>
      <w:numFmt w:val="bullet"/>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4"/>
      <w:numFmt w:val="bullet"/>
      <w:start w:val="1"/>
    </w:lvl>
  </w:abstractNum>
  <w:abstractNum w:abstractNumId="15">
    <w:nsid w:val="153EA438"/>
    <w:multiLevelType w:val="hybridMultilevel"/>
    <w:lvl w:ilvl="0">
      <w:lvlJc w:val="left"/>
      <w:lvlText w:val="5"/>
      <w:numFmt w:val="bullet"/>
      <w:start w:val="1"/>
    </w:lvl>
  </w:abstractNum>
  <w:abstractNum w:abstractNumId="16">
    <w:nsid w:val="3855585C"/>
    <w:multiLevelType w:val="hybridMultilevel"/>
    <w:lvl w:ilvl="0">
      <w:lvlJc w:val="left"/>
      <w:lvlText w:val="6"/>
      <w:numFmt w:val="bullet"/>
      <w:start w:val="1"/>
    </w:lvl>
  </w:abstractNum>
  <w:abstractNum w:abstractNumId="17">
    <w:nsid w:val="70A64E2A"/>
    <w:multiLevelType w:val="hybridMultilevel"/>
    <w:lvl w:ilvl="0">
      <w:lvlJc w:val="left"/>
      <w:lvlText w:val="%1"/>
      <w:numFmt w:val="decimal"/>
      <w:start w:val="1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3"/>
      <w:numFmt w:val="bullet"/>
      <w:start w:val="1"/>
    </w:lvl>
  </w:abstractNum>
  <w:abstractNum w:abstractNumId="20">
    <w:nsid w:val="1D4ED43B"/>
    <w:multiLevelType w:val="hybridMultilevel"/>
    <w:lvl w:ilvl="0">
      <w:lvlJc w:val="left"/>
      <w:lvlText w:val="5"/>
      <w:numFmt w:val="bullet"/>
      <w:start w:val="1"/>
    </w:lvl>
  </w:abstractNum>
  <w:abstractNum w:abstractNumId="21">
    <w:nsid w:val="725A06FB"/>
    <w:multiLevelType w:val="hybridMultilevel"/>
    <w:lvl w:ilvl="0">
      <w:lvlJc w:val="left"/>
      <w:lvlText w:val="6"/>
      <w:numFmt w:val="bullet"/>
      <w:start w:val="1"/>
    </w:lvl>
  </w:abstractNum>
  <w:abstractNum w:abstractNumId="22">
    <w:nsid w:val="2CD89A32"/>
    <w:multiLevelType w:val="hybridMultilevel"/>
    <w:lvl w:ilvl="0">
      <w:lvlJc w:val="left"/>
      <w:lvlText w:val="%1"/>
      <w:numFmt w:val="decimal"/>
      <w:start w:val="11"/>
    </w:lvl>
  </w:abstractNum>
  <w:abstractNum w:abstractNumId="23">
    <w:nsid w:val="57E4CCAF"/>
    <w:multiLevelType w:val="hybridMultilevel"/>
    <w:lvl w:ilvl="0">
      <w:lvlJc w:val="left"/>
      <w:lvlText w:val="1"/>
      <w:numFmt w:val="bullet"/>
      <w:start w:val="1"/>
    </w:lvl>
  </w:abstractNum>
  <w:abstractNum w:abstractNumId="24">
    <w:nsid w:val="7A6D8D3C"/>
    <w:multiLevelType w:val="hybridMultilevel"/>
    <w:lvl w:ilvl="0">
      <w:lvlJc w:val="left"/>
      <w:lvlText w:val="3"/>
      <w:numFmt w:val="bullet"/>
      <w:start w:val="1"/>
    </w:lvl>
  </w:abstractNum>
  <w:abstractNum w:abstractNumId="25">
    <w:nsid w:val="4B588F54"/>
    <w:multiLevelType w:val="hybridMultilevel"/>
    <w:lvl w:ilvl="0">
      <w:lvlJc w:val="left"/>
      <w:lvlText w:val="4"/>
      <w:numFmt w:val="bullet"/>
      <w:start w:val="1"/>
    </w:lvl>
  </w:abstractNum>
  <w:abstractNum w:abstractNumId="26">
    <w:nsid w:val="542289EC"/>
    <w:multiLevelType w:val="hybridMultilevel"/>
    <w:lvl w:ilvl="0">
      <w:lvlJc w:val="left"/>
      <w:lvlText w:val="5"/>
      <w:numFmt w:val="bullet"/>
      <w:start w:val="1"/>
    </w:lvl>
  </w:abstractNum>
  <w:abstractNum w:abstractNumId="27">
    <w:nsid w:val="6DE91B18"/>
    <w:multiLevelType w:val="hybridMultilevel"/>
    <w:lvl w:ilvl="0">
      <w:lvlJc w:val="left"/>
      <w:lvlText w:val="6"/>
      <w:numFmt w:val="bullet"/>
      <w:start w:val="1"/>
    </w:lvl>
  </w:abstractNum>
  <w:abstractNum w:abstractNumId="28">
    <w:nsid w:val="38437FDB"/>
    <w:multiLevelType w:val="hybridMultilevel"/>
    <w:lvl w:ilvl="0">
      <w:lvlJc w:val="left"/>
      <w:lvlText w:val="%1"/>
      <w:numFmt w:val="decimal"/>
      <w:start w:val="1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1"/>
      <w:numFmt w:val="decimal"/>
      <w:start w:val="11"/>
    </w:lvl>
  </w:abstractNum>
  <w:abstractNum w:abstractNumId="65">
    <w:nsid w:val="1DBABF0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2019-12-11T21:17:31Z</dcterms:created>
  <dcterms:modified xsi:type="dcterms:W3CDTF">2019-12-11T21:17:31Z</dcterms:modified>
</cp:coreProperties>
</file>