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FORM 10-Q</w:t>
      </w:r>
    </w:p>
    <w:p>
      <w:pPr>
        <w:jc w:val="center"/>
        <w:ind w:right="2199"/>
        <w:spacing w:after="0"/>
        <w:rPr>
          <w:sz w:val="20"/>
          <w:szCs w:val="20"/>
          <w:color w:val="auto"/>
        </w:rPr>
      </w:pPr>
      <w:r>
        <w:rPr>
          <w:rFonts w:ascii="Courier New" w:cs="Courier New" w:eastAsia="Courier New" w:hAnsi="Courier New"/>
          <w:sz w:val="17"/>
          <w:szCs w:val="17"/>
          <w:color w:val="auto"/>
        </w:rPr>
        <w:t>Quarterly Report Under Section 13 or 15(d)</w:t>
      </w:r>
    </w:p>
    <w:p>
      <w:pPr>
        <w:jc w:val="center"/>
        <w:ind w:right="219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386" w:lineRule="exact"/>
        <w:rPr>
          <w:sz w:val="24"/>
          <w:szCs w:val="24"/>
          <w:color w:val="auto"/>
        </w:rPr>
      </w:pPr>
    </w:p>
    <w:p>
      <w:pPr>
        <w:spacing w:after="0"/>
        <w:tabs>
          <w:tab w:leader="none" w:pos="3600" w:val="left"/>
          <w:tab w:leader="none" w:pos="6100" w:val="left"/>
        </w:tabs>
        <w:rPr>
          <w:sz w:val="20"/>
          <w:szCs w:val="20"/>
          <w:color w:val="auto"/>
        </w:rPr>
      </w:pPr>
      <w:r>
        <w:rPr>
          <w:rFonts w:ascii="Courier New" w:cs="Courier New" w:eastAsia="Courier New" w:hAnsi="Courier New"/>
          <w:sz w:val="17"/>
          <w:szCs w:val="17"/>
          <w:color w:val="auto"/>
        </w:rPr>
        <w:t>Quarter Ended October 31, 1998</w:t>
      </w:r>
      <w:r>
        <w:rPr>
          <w:sz w:val="20"/>
          <w:szCs w:val="20"/>
          <w:color w:val="auto"/>
        </w:rPr>
        <w:tab/>
      </w:r>
      <w:r>
        <w:rPr>
          <w:rFonts w:ascii="Courier New" w:cs="Courier New" w:eastAsia="Courier New" w:hAnsi="Courier New"/>
          <w:sz w:val="17"/>
          <w:szCs w:val="17"/>
          <w:color w:val="auto"/>
        </w:rPr>
        <w:t>Commission File Number</w:t>
      </w:r>
      <w:r>
        <w:rPr>
          <w:sz w:val="20"/>
          <w:szCs w:val="20"/>
          <w:color w:val="auto"/>
        </w:rPr>
        <w:tab/>
      </w:r>
      <w:r>
        <w:rPr>
          <w:rFonts w:ascii="Courier New" w:cs="Courier New" w:eastAsia="Courier New" w:hAnsi="Courier New"/>
          <w:sz w:val="16"/>
          <w:szCs w:val="16"/>
          <w:color w:val="auto"/>
        </w:rPr>
        <w:t>0-15898</w:t>
      </w:r>
    </w:p>
    <w:p>
      <w:pPr>
        <w:spacing w:after="0" w:line="200" w:lineRule="exact"/>
        <w:rPr>
          <w:sz w:val="24"/>
          <w:szCs w:val="24"/>
          <w:color w:val="auto"/>
        </w:rPr>
      </w:pPr>
    </w:p>
    <w:p>
      <w:pPr>
        <w:spacing w:after="0" w:line="378" w:lineRule="exact"/>
        <w:rPr>
          <w:sz w:val="24"/>
          <w:szCs w:val="24"/>
          <w:color w:val="auto"/>
        </w:rPr>
      </w:pPr>
    </w:p>
    <w:p>
      <w:pPr>
        <w:ind w:left="3420"/>
        <w:spacing w:after="0"/>
        <w:rPr>
          <w:sz w:val="20"/>
          <w:szCs w:val="20"/>
          <w:color w:val="auto"/>
        </w:rPr>
      </w:pPr>
      <w:r>
        <w:rPr>
          <w:rFonts w:ascii="Courier New" w:cs="Courier New" w:eastAsia="Courier New" w:hAnsi="Courier New"/>
          <w:sz w:val="17"/>
          <w:szCs w:val="17"/>
          <w:color w:val="auto"/>
        </w:rPr>
        <w:t>DESIGNS, INC.</w:t>
      </w:r>
    </w:p>
    <w:p>
      <w:pPr>
        <w:ind w:left="2600"/>
        <w:spacing w:after="0"/>
        <w:rPr>
          <w:sz w:val="20"/>
          <w:szCs w:val="20"/>
          <w:color w:val="auto"/>
        </w:rPr>
      </w:pPr>
      <w:r>
        <w:rPr>
          <w:rFonts w:ascii="Courier New" w:cs="Courier New" w:eastAsia="Courier New" w:hAnsi="Courier New"/>
          <w:sz w:val="17"/>
          <w:szCs w:val="17"/>
          <w:color w:val="auto"/>
        </w:rPr>
        <w:t>(Exact name of registrant as</w:t>
      </w:r>
    </w:p>
    <w:p>
      <w:pPr>
        <w:ind w:left="2800"/>
        <w:spacing w:after="0"/>
        <w:rPr>
          <w:sz w:val="20"/>
          <w:szCs w:val="20"/>
          <w:color w:val="auto"/>
        </w:rPr>
      </w:pPr>
      <w:r>
        <w:rPr>
          <w:rFonts w:ascii="Courier New" w:cs="Courier New" w:eastAsia="Courier New" w:hAnsi="Courier New"/>
          <w:sz w:val="17"/>
          <w:szCs w:val="17"/>
          <w:color w:val="auto"/>
        </w:rPr>
        <w:t>specified in its charter)</w:t>
      </w:r>
    </w:p>
    <w:p>
      <w:pPr>
        <w:sectPr>
          <w:pgSz w:w="11900" w:h="16838" w:orient="portrait"/>
          <w:cols w:equalWidth="0" w:num="1">
            <w:col w:w="10219"/>
          </w:cols>
          <w:pgMar w:left="240" w:top="817" w:right="1440" w:bottom="0" w:gutter="0" w:footer="0" w:header="0"/>
        </w:sectPr>
      </w:pPr>
    </w:p>
    <w:p>
      <w:pPr>
        <w:spacing w:after="0" w:line="200" w:lineRule="exact"/>
        <w:rPr>
          <w:sz w:val="24"/>
          <w:szCs w:val="24"/>
          <w:color w:val="auto"/>
        </w:rPr>
      </w:pPr>
    </w:p>
    <w:p>
      <w:pPr>
        <w:spacing w:after="0" w:line="378"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04-2623104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98" w:lineRule="exact"/>
        <w:rPr>
          <w:sz w:val="24"/>
          <w:szCs w:val="24"/>
          <w:color w:val="auto"/>
        </w:rPr>
      </w:pPr>
    </w:p>
    <w:p>
      <w:pPr>
        <w:sectPr>
          <w:pgSz w:w="11900" w:h="16838" w:orient="portrait"/>
          <w:cols w:equalWidth="0" w:num="2">
            <w:col w:w="3700" w:space="720"/>
            <w:col w:w="5799"/>
          </w:cols>
          <w:pgMar w:left="240" w:top="817" w:right="1440" w:bottom="0" w:gutter="0" w:footer="0" w:header="0"/>
          <w:type w:val="continuous"/>
        </w:sectPr>
      </w:pPr>
    </w:p>
    <w:p>
      <w:pPr>
        <w:spacing w:after="0" w:line="191" w:lineRule="exact"/>
        <w:rPr>
          <w:sz w:val="24"/>
          <w:szCs w:val="24"/>
          <w:color w:val="auto"/>
        </w:rPr>
      </w:pPr>
    </w:p>
    <w:p>
      <w:pPr>
        <w:ind w:right="880" w:firstLine="902"/>
        <w:spacing w:after="0" w:line="262" w:lineRule="auto"/>
        <w:rPr>
          <w:sz w:val="20"/>
          <w:szCs w:val="20"/>
          <w:color w:val="auto"/>
        </w:rPr>
      </w:pPr>
      <w:r>
        <w:rPr>
          <w:rFonts w:ascii="Courier New" w:cs="Courier New" w:eastAsia="Courier New" w:hAnsi="Courier New"/>
          <w:sz w:val="16"/>
          <w:szCs w:val="16"/>
          <w:color w:val="auto"/>
        </w:rPr>
        <w:t>66 B Street, Needham, MA (Address of principal executive offices)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02494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1" w:lineRule="exact"/>
        <w:rPr>
          <w:sz w:val="24"/>
          <w:szCs w:val="24"/>
          <w:color w:val="auto"/>
        </w:rPr>
      </w:pPr>
    </w:p>
    <w:p>
      <w:pPr>
        <w:sectPr>
          <w:pgSz w:w="11900" w:h="16838" w:orient="portrait"/>
          <w:cols w:equalWidth="0" w:num="2">
            <w:col w:w="4900" w:space="720"/>
            <w:col w:w="4599"/>
          </w:cols>
          <w:pgMar w:left="240" w:top="817" w:right="1440" w:bottom="0" w:gutter="0" w:footer="0" w:header="0"/>
          <w:type w:val="continuous"/>
        </w:sectPr>
      </w:pPr>
    </w:p>
    <w:p>
      <w:pPr>
        <w:spacing w:after="0" w:line="362" w:lineRule="exact"/>
        <w:rPr>
          <w:sz w:val="24"/>
          <w:szCs w:val="24"/>
          <w:color w:val="auto"/>
        </w:rPr>
      </w:pPr>
    </w:p>
    <w:p>
      <w:pPr>
        <w:ind w:left="4020" w:hanging="610"/>
        <w:spacing w:after="0"/>
        <w:tabs>
          <w:tab w:leader="none" w:pos="40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444-7222</w:t>
      </w:r>
    </w:p>
    <w:p>
      <w:pPr>
        <w:ind w:left="2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telephone</w:t>
      </w:r>
    </w:p>
    <w:p>
      <w:pPr>
        <w:ind w:left="2600"/>
        <w:spacing w:after="0"/>
        <w:rPr>
          <w:sz w:val="20"/>
          <w:szCs w:val="20"/>
          <w:color w:val="auto"/>
        </w:rPr>
      </w:pPr>
      <w:r>
        <w:rPr>
          <w:rFonts w:ascii="Courier New" w:cs="Courier New" w:eastAsia="Courier New" w:hAnsi="Courier New"/>
          <w:sz w:val="17"/>
          <w:szCs w:val="17"/>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17" w:right="1440" w:bottom="0" w:gutter="0" w:footer="0" w:header="0"/>
          <w:type w:val="continuous"/>
        </w:sect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1" w:lineRule="exact"/>
        <w:rPr>
          <w:sz w:val="24"/>
          <w:szCs w:val="24"/>
          <w:color w:val="auto"/>
        </w:rPr>
      </w:pPr>
    </w:p>
    <w:p>
      <w:pPr>
        <w:sectPr>
          <w:pgSz w:w="11900" w:h="16838" w:orient="portrait"/>
          <w:cols w:equalWidth="0" w:num="3">
            <w:col w:w="300" w:space="600"/>
            <w:col w:w="480" w:space="720"/>
            <w:col w:w="8119"/>
          </w:cols>
          <w:pgMar w:left="240" w:top="817" w:right="1440" w:bottom="0" w:gutter="0" w:footer="0" w:header="0"/>
          <w:type w:val="continuous"/>
        </w:sectPr>
      </w:pPr>
    </w:p>
    <w:p>
      <w:pPr>
        <w:ind w:left="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580" w:space="720"/>
            <w:col w:w="7919"/>
          </w:cols>
          <w:pgMar w:left="240" w:top="817" w:right="1440" w:bottom="0" w:gutter="0" w:footer="0" w:header="0"/>
          <w:type w:val="continuous"/>
        </w:sectPr>
      </w:pPr>
    </w:p>
    <w:p>
      <w:pPr>
        <w:spacing w:after="0" w:line="4" w:lineRule="exact"/>
        <w:rPr>
          <w:sz w:val="24"/>
          <w:szCs w:val="24"/>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ectPr>
          <w:pgSz w:w="11900" w:h="16838" w:orient="portrait"/>
          <w:cols w:equalWidth="0" w:num="1">
            <w:col w:w="10219"/>
          </w:cols>
          <w:pgMar w:left="240" w:top="817" w:right="1440" w:bottom="0" w:gutter="0" w:footer="0" w:header="0"/>
          <w:type w:val="continuous"/>
        </w:sectPr>
      </w:pPr>
    </w:p>
    <w:p>
      <w:pPr>
        <w:spacing w:after="0" w:line="392" w:lineRule="exact"/>
        <w:rPr>
          <w:sz w:val="24"/>
          <w:szCs w:val="24"/>
          <w:color w:val="auto"/>
        </w:rPr>
      </w:pPr>
    </w:p>
    <w:p>
      <w:pPr>
        <w:ind w:left="1200"/>
        <w:spacing w:after="0"/>
        <w:rPr>
          <w:sz w:val="20"/>
          <w:szCs w:val="20"/>
          <w:color w:val="auto"/>
        </w:rPr>
      </w:pPr>
      <w:r>
        <w:rPr>
          <w:rFonts w:ascii="Courier New" w:cs="Courier New" w:eastAsia="Courier New" w:hAnsi="Courier New"/>
          <w:sz w:val="16"/>
          <w:szCs w:val="16"/>
          <w:color w:val="auto"/>
        </w:rPr>
        <w:t>Class</w:t>
      </w:r>
    </w:p>
    <w:p>
      <w:pPr>
        <w:spacing w:after="0" w:line="11" w:lineRule="exact"/>
        <w:rPr>
          <w:sz w:val="24"/>
          <w:szCs w:val="24"/>
          <w:color w:val="auto"/>
        </w:rPr>
      </w:pPr>
    </w:p>
    <w:p>
      <w:pPr>
        <w:ind w:left="1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October 31, 1998</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300" w:space="720"/>
            <w:col w:w="6199"/>
          </w:cols>
          <w:pgMar w:left="240" w:top="817" w:right="1440" w:bottom="0" w:gutter="0" w:footer="0" w:header="0"/>
          <w:type w:val="continuous"/>
        </w:sectPr>
      </w:pPr>
    </w:p>
    <w:p>
      <w:pPr>
        <w:spacing w:after="0" w:line="4" w:lineRule="exact"/>
        <w:rPr>
          <w:sz w:val="24"/>
          <w:szCs w:val="24"/>
          <w:color w:val="auto"/>
        </w:rPr>
      </w:pPr>
    </w:p>
    <w:p>
      <w:pPr>
        <w:ind w:left="120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15,878,000</w:t>
      </w:r>
    </w:p>
    <w:p>
      <w:pPr>
        <w:spacing w:after="0" w:line="200" w:lineRule="exact"/>
        <w:rPr>
          <w:sz w:val="24"/>
          <w:szCs w:val="24"/>
          <w:color w:val="auto"/>
        </w:rPr>
      </w:pPr>
    </w:p>
    <w:p>
      <w:pPr>
        <w:sectPr>
          <w:pgSz w:w="11900" w:h="16838" w:orient="portrait"/>
          <w:cols w:equalWidth="0" w:num="2">
            <w:col w:w="4100" w:space="720"/>
            <w:col w:w="5399"/>
          </w:cols>
          <w:pgMar w:left="240" w:top="81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DESIGNS, INC.</w:t>
      </w:r>
    </w:p>
    <w:p>
      <w:pPr>
        <w:jc w:val="center"/>
        <w:ind w:right="1899"/>
        <w:spacing w:after="0"/>
        <w:rPr>
          <w:sz w:val="20"/>
          <w:szCs w:val="20"/>
          <w:color w:val="auto"/>
        </w:rPr>
      </w:pPr>
      <w:r>
        <w:rPr>
          <w:rFonts w:ascii="Courier New" w:cs="Courier New" w:eastAsia="Courier New" w:hAnsi="Courier New"/>
          <w:sz w:val="17"/>
          <w:szCs w:val="17"/>
          <w:color w:val="auto"/>
        </w:rPr>
        <w:t>CONSOLIDATED BALANCE SHEETS</w:t>
      </w:r>
    </w:p>
    <w:p>
      <w:pPr>
        <w:spacing w:after="0" w:line="6" w:lineRule="exact"/>
        <w:rPr>
          <w:sz w:val="24"/>
          <w:szCs w:val="24"/>
          <w:color w:val="auto"/>
        </w:rPr>
      </w:pPr>
    </w:p>
    <w:p>
      <w:pPr>
        <w:ind w:left="2500" w:right="2599" w:hanging="1099"/>
        <w:spacing w:after="0" w:line="236" w:lineRule="auto"/>
        <w:tabs>
          <w:tab w:leader="none" w:pos="2480" w:val="left"/>
        </w:tabs>
        <w:rPr>
          <w:sz w:val="20"/>
          <w:szCs w:val="20"/>
          <w:color w:val="auto"/>
        </w:rPr>
      </w:pPr>
      <w:r>
        <w:rPr>
          <w:rFonts w:ascii="Courier New" w:cs="Courier New" w:eastAsia="Courier New" w:hAnsi="Courier New"/>
          <w:sz w:val="17"/>
          <w:szCs w:val="17"/>
          <w:color w:val="auto"/>
        </w:rPr>
        <w:t>October</w:t>
      </w:r>
      <w:r>
        <w:rPr>
          <w:sz w:val="20"/>
          <w:szCs w:val="20"/>
          <w:color w:val="auto"/>
        </w:rPr>
        <w:tab/>
      </w:r>
      <w:r>
        <w:rPr>
          <w:rFonts w:ascii="Courier New" w:cs="Courier New" w:eastAsia="Courier New" w:hAnsi="Courier New"/>
          <w:sz w:val="17"/>
          <w:szCs w:val="17"/>
          <w:color w:val="auto"/>
        </w:rPr>
        <w:t>31, 1998, November 1, 1997 and January 31, 1998 (In thousands, except share data)</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7"/>
                <w:szCs w:val="17"/>
                <w:color w:val="auto"/>
              </w:rPr>
              <w:t>October 31,</w:t>
            </w:r>
          </w:p>
        </w:tc>
        <w:tc>
          <w:tcPr>
            <w:tcW w:w="23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w w:val="99"/>
              </w:rPr>
              <w:t>November1, January 31,</w:t>
            </w:r>
          </w:p>
        </w:tc>
      </w:tr>
      <w:tr>
        <w:trPr>
          <w:trHeight w:val="193"/>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56"/>
              <w:spacing w:after="0"/>
              <w:rPr>
                <w:sz w:val="20"/>
                <w:szCs w:val="20"/>
                <w:color w:val="auto"/>
              </w:rPr>
            </w:pPr>
            <w:r>
              <w:rPr>
                <w:rFonts w:ascii="Courier New" w:cs="Courier New" w:eastAsia="Courier New" w:hAnsi="Courier New"/>
                <w:sz w:val="17"/>
                <w:szCs w:val="17"/>
                <w:color w:val="auto"/>
                <w:w w:val="93"/>
              </w:rPr>
              <w:t>1998</w:t>
            </w:r>
          </w:p>
        </w:tc>
        <w:tc>
          <w:tcPr>
            <w:tcW w:w="300" w:type="dxa"/>
            <w:vAlign w:val="bottom"/>
          </w:tcPr>
          <w:p>
            <w:pPr>
              <w:spacing w:after="0"/>
              <w:rPr>
                <w:sz w:val="16"/>
                <w:szCs w:val="16"/>
                <w:color w:val="auto"/>
              </w:rPr>
            </w:pPr>
          </w:p>
        </w:tc>
        <w:tc>
          <w:tcPr>
            <w:tcW w:w="10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1998</w:t>
            </w:r>
          </w:p>
        </w:tc>
      </w:t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540" w:type="dxa"/>
            <w:vAlign w:val="bottom"/>
            <w:gridSpan w:val="4"/>
          </w:tcPr>
          <w:p>
            <w:pPr>
              <w:spacing w:after="0"/>
              <w:rPr>
                <w:sz w:val="20"/>
                <w:szCs w:val="20"/>
                <w:color w:val="auto"/>
              </w:rPr>
            </w:pPr>
            <w:r>
              <w:rPr>
                <w:rFonts w:ascii="Courier New" w:cs="Courier New" w:eastAsia="Courier New" w:hAnsi="Courier New"/>
                <w:sz w:val="17"/>
                <w:szCs w:val="17"/>
                <w:color w:val="auto"/>
              </w:rPr>
              <w:t>(unaudited) (unaudited)</w:t>
            </w:r>
          </w:p>
        </w:tc>
        <w:tc>
          <w:tcPr>
            <w:tcW w:w="1060" w:type="dxa"/>
            <w:vAlign w:val="bottom"/>
          </w:tcPr>
          <w:p>
            <w:pPr>
              <w:spacing w:after="0"/>
              <w:rPr>
                <w:sz w:val="16"/>
                <w:szCs w:val="16"/>
                <w:color w:val="auto"/>
              </w:rPr>
            </w:pPr>
          </w:p>
        </w:tc>
      </w:tr>
      <w:tr>
        <w:trPr>
          <w:trHeight w:val="193"/>
        </w:trPr>
        <w:tc>
          <w:tcPr>
            <w:tcW w:w="4320" w:type="dxa"/>
            <w:vAlign w:val="bottom"/>
          </w:tcPr>
          <w:p>
            <w:pPr>
              <w:spacing w:after="0"/>
              <w:rPr>
                <w:sz w:val="16"/>
                <w:szCs w:val="16"/>
                <w:color w:val="auto"/>
              </w:rPr>
            </w:pPr>
          </w:p>
        </w:tc>
        <w:tc>
          <w:tcPr>
            <w:tcW w:w="360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1,490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2,402</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$1,473</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3,282</w:t>
            </w:r>
          </w:p>
        </w:tc>
        <w:tc>
          <w:tcPr>
            <w:tcW w:w="30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358</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Inventories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58,938</w:t>
            </w:r>
          </w:p>
        </w:tc>
        <w:tc>
          <w:tcPr>
            <w:tcW w:w="30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82,849</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54,972</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Income taxes refundable and deferred</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10,196</w:t>
            </w:r>
          </w:p>
        </w:tc>
        <w:tc>
          <w:tcPr>
            <w:tcW w:w="30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14,603</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13,857</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Pre-opening costs, net</w:t>
            </w:r>
          </w:p>
        </w:tc>
        <w:tc>
          <w:tcPr>
            <w:tcW w:w="3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242</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1,422</w:t>
            </w:r>
          </w:p>
        </w:tc>
        <w:tc>
          <w:tcPr>
            <w:tcW w:w="30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4,362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1,015</w:t>
            </w:r>
          </w:p>
        </w:tc>
      </w:tr>
      <w:tr>
        <w:trPr>
          <w:trHeight w:val="193"/>
        </w:trPr>
        <w:tc>
          <w:tcPr>
            <w:tcW w:w="4320" w:type="dxa"/>
            <w:vAlign w:val="bottom"/>
          </w:tcPr>
          <w:p>
            <w:pPr>
              <w:spacing w:after="0"/>
              <w:rPr>
                <w:sz w:val="16"/>
                <w:szCs w:val="16"/>
                <w:color w:val="auto"/>
              </w:rPr>
            </w:pPr>
          </w:p>
        </w:tc>
        <w:tc>
          <w:tcPr>
            <w:tcW w:w="3600" w:type="dxa"/>
            <w:vAlign w:val="bottom"/>
            <w:gridSpan w:val="5"/>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320" w:type="dxa"/>
            <w:vAlign w:val="bottom"/>
          </w:tcPr>
          <w:p>
            <w:pPr>
              <w:ind w:left="300"/>
              <w:spacing w:after="0"/>
              <w:rPr>
                <w:sz w:val="20"/>
                <w:szCs w:val="20"/>
                <w:color w:val="auto"/>
              </w:rPr>
            </w:pPr>
            <w:r>
              <w:rPr>
                <w:rFonts w:ascii="Courier New" w:cs="Courier New" w:eastAsia="Courier New" w:hAnsi="Courier New"/>
                <w:sz w:val="17"/>
                <w:szCs w:val="17"/>
                <w:color w:val="auto"/>
              </w:rPr>
              <w:t>Total current assets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75,328</w:t>
            </w:r>
          </w:p>
        </w:tc>
        <w:tc>
          <w:tcPr>
            <w:tcW w:w="30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104,816</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71,432</w:t>
            </w:r>
          </w:p>
        </w:tc>
      </w:tr>
      <w:tr>
        <w:trPr>
          <w:trHeight w:val="385"/>
        </w:trPr>
        <w:tc>
          <w:tcPr>
            <w:tcW w:w="4320" w:type="dxa"/>
            <w:vAlign w:val="bottom"/>
          </w:tcPr>
          <w:p>
            <w:pPr>
              <w:spacing w:after="0"/>
              <w:rPr>
                <w:sz w:val="20"/>
                <w:szCs w:val="20"/>
                <w:color w:val="auto"/>
              </w:rPr>
            </w:pPr>
            <w:r>
              <w:rPr>
                <w:rFonts w:ascii="Courier New" w:cs="Courier New" w:eastAsia="Courier New" w:hAnsi="Courier New"/>
                <w:sz w:val="17"/>
                <w:szCs w:val="17"/>
                <w:color w:val="auto"/>
              </w:rPr>
              <w:t>Property and equipment, net of</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3"/>
        </w:trPr>
        <w:tc>
          <w:tcPr>
            <w:tcW w:w="4320" w:type="dxa"/>
            <w:vAlign w:val="bottom"/>
          </w:tcPr>
          <w:p>
            <w:pPr>
              <w:ind w:left="200"/>
              <w:spacing w:after="0"/>
              <w:rPr>
                <w:sz w:val="20"/>
                <w:szCs w:val="20"/>
                <w:color w:val="auto"/>
              </w:rPr>
            </w:pPr>
            <w:r>
              <w:rPr>
                <w:rFonts w:ascii="Courier New" w:cs="Courier New" w:eastAsia="Courier New" w:hAnsi="Courier New"/>
                <w:sz w:val="17"/>
                <w:szCs w:val="17"/>
                <w:color w:val="auto"/>
                <w:w w:val="98"/>
              </w:rPr>
              <w:t>accumulated depreciation and amortization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19,897</w:t>
            </w:r>
          </w:p>
        </w:tc>
        <w:tc>
          <w:tcPr>
            <w:tcW w:w="30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38,205</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35,307</w:t>
            </w:r>
          </w:p>
        </w:tc>
      </w:tr>
    </w:tbl>
    <w:p>
      <w:pPr>
        <w:sectPr>
          <w:pgSz w:w="11900" w:h="16838" w:orient="portrait"/>
          <w:cols w:equalWidth="0" w:num="1">
            <w:col w:w="10219"/>
          </w:cols>
          <w:pgMar w:left="240" w:top="81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6,362</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2,700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6,362</w:t>
            </w: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Intangible assets, net</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2,707</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3,010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2,945</w:t>
            </w: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Other assets</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1,201</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253</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353</w:t>
            </w:r>
          </w:p>
        </w:tc>
      </w:tr>
      <w:tr>
        <w:trPr>
          <w:trHeight w:val="193"/>
        </w:trPr>
        <w:tc>
          <w:tcPr>
            <w:tcW w:w="4360" w:type="dxa"/>
            <w:vAlign w:val="bottom"/>
          </w:tcPr>
          <w:p>
            <w:pPr>
              <w:spacing w:after="0"/>
              <w:rPr>
                <w:sz w:val="16"/>
                <w:szCs w:val="16"/>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rPr>
              <w:t>Total assets</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$105,495</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$148,984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$116,399</w:t>
            </w:r>
          </w:p>
        </w:tc>
      </w:tr>
      <w:tr>
        <w:trPr>
          <w:trHeight w:val="193"/>
        </w:trPr>
        <w:tc>
          <w:tcPr>
            <w:tcW w:w="4360" w:type="dxa"/>
            <w:vAlign w:val="bottom"/>
          </w:tcPr>
          <w:p>
            <w:pPr>
              <w:spacing w:after="0"/>
              <w:rPr>
                <w:sz w:val="16"/>
                <w:szCs w:val="16"/>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$11,610</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$27,229</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$8,821</w:t>
            </w: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Accrued expenses and other</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4360" w:type="dxa"/>
            <w:vAlign w:val="bottom"/>
          </w:tcPr>
          <w:p>
            <w:pPr>
              <w:ind w:left="300"/>
              <w:spacing w:after="0"/>
              <w:rPr>
                <w:sz w:val="20"/>
                <w:szCs w:val="20"/>
                <w:color w:val="auto"/>
              </w:rPr>
            </w:pPr>
            <w:r>
              <w:rPr>
                <w:rFonts w:ascii="Courier New" w:cs="Courier New" w:eastAsia="Courier New" w:hAnsi="Courier New"/>
                <w:sz w:val="17"/>
                <w:szCs w:val="17"/>
                <w:color w:val="auto"/>
              </w:rPr>
              <w:t>current liabilities</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5,879</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7,551</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6,129</w:t>
            </w: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Accrued rent</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2,005</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2,739</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2,751</w:t>
            </w: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Reserve for severance and store closings</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7,111</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5,040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1,799</w:t>
            </w: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Notes payable</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11,340</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10,000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9,828</w:t>
            </w:r>
          </w:p>
        </w:tc>
      </w:tr>
      <w:tr>
        <w:trPr>
          <w:trHeight w:val="193"/>
        </w:trPr>
        <w:tc>
          <w:tcPr>
            <w:tcW w:w="4360" w:type="dxa"/>
            <w:vAlign w:val="bottom"/>
          </w:tcPr>
          <w:p>
            <w:pPr>
              <w:spacing w:after="0"/>
              <w:rPr>
                <w:sz w:val="16"/>
                <w:szCs w:val="16"/>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360" w:type="dxa"/>
            <w:vAlign w:val="bottom"/>
          </w:tcPr>
          <w:p>
            <w:pPr>
              <w:ind w:left="600"/>
              <w:spacing w:after="0"/>
              <w:rPr>
                <w:sz w:val="20"/>
                <w:szCs w:val="20"/>
                <w:color w:val="auto"/>
              </w:rPr>
            </w:pPr>
            <w:r>
              <w:rPr>
                <w:rFonts w:ascii="Courier New" w:cs="Courier New" w:eastAsia="Courier New" w:hAnsi="Courier New"/>
                <w:sz w:val="17"/>
                <w:szCs w:val="17"/>
                <w:color w:val="auto"/>
              </w:rPr>
              <w:t>Total current liabilities</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37,945</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52,559</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29,328</w:t>
            </w:r>
          </w:p>
        </w:tc>
      </w:tr>
      <w:tr>
        <w:trPr>
          <w:trHeight w:val="193"/>
        </w:trPr>
        <w:tc>
          <w:tcPr>
            <w:tcW w:w="4360" w:type="dxa"/>
            <w:vAlign w:val="bottom"/>
          </w:tcPr>
          <w:p>
            <w:pPr>
              <w:spacing w:after="0"/>
              <w:rPr>
                <w:sz w:val="16"/>
                <w:szCs w:val="16"/>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Minority interest</w:t>
            </w:r>
          </w:p>
        </w:tc>
        <w:tc>
          <w:tcPr>
            <w:tcW w:w="13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5,427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4,691</w:t>
            </w:r>
          </w:p>
        </w:tc>
      </w:tr>
      <w:tr>
        <w:trPr>
          <w:trHeight w:val="385"/>
        </w:trPr>
        <w:tc>
          <w:tcPr>
            <w:tcW w:w="43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436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$0.01 par value,</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ind w:left="300"/>
        <w:spacing w:after="0"/>
        <w:rPr>
          <w:sz w:val="20"/>
          <w:szCs w:val="20"/>
          <w:color w:val="auto"/>
        </w:rPr>
      </w:pPr>
      <w:r>
        <w:rPr>
          <w:rFonts w:ascii="Courier New" w:cs="Courier New" w:eastAsia="Courier New" w:hAnsi="Courier New"/>
          <w:sz w:val="17"/>
          <w:szCs w:val="17"/>
          <w:color w:val="auto"/>
        </w:rPr>
        <w:t>1,000,000 shares authorized,</w:t>
      </w:r>
    </w:p>
    <w:p>
      <w:pPr>
        <w:ind w:left="300"/>
        <w:spacing w:after="0"/>
        <w:rPr>
          <w:sz w:val="20"/>
          <w:szCs w:val="20"/>
          <w:color w:val="auto"/>
        </w:rPr>
      </w:pPr>
      <w:r>
        <w:rPr>
          <w:rFonts w:ascii="Courier New" w:cs="Courier New" w:eastAsia="Courier New" w:hAnsi="Courier New"/>
          <w:sz w:val="17"/>
          <w:szCs w:val="17"/>
          <w:color w:val="auto"/>
        </w:rPr>
        <w:t>none issued</w:t>
      </w:r>
    </w:p>
    <w:p>
      <w:pPr>
        <w:spacing w:after="0" w:line="6" w:lineRule="exact"/>
        <w:rPr>
          <w:sz w:val="20"/>
          <w:szCs w:val="20"/>
          <w:color w:val="auto"/>
        </w:rPr>
      </w:pPr>
    </w:p>
    <w:p>
      <w:pPr>
        <w:ind w:left="300" w:right="2199" w:hanging="99"/>
        <w:spacing w:after="0" w:line="255" w:lineRule="auto"/>
        <w:rPr>
          <w:sz w:val="20"/>
          <w:szCs w:val="20"/>
          <w:color w:val="auto"/>
        </w:rPr>
      </w:pPr>
      <w:r>
        <w:rPr>
          <w:rFonts w:ascii="Courier New" w:cs="Courier New" w:eastAsia="Courier New" w:hAnsi="Courier New"/>
          <w:sz w:val="16"/>
          <w:szCs w:val="16"/>
          <w:color w:val="auto"/>
        </w:rPr>
        <w:t>Common Stock, $0.01 par value, 50,000,000 shares authorized, 16,160,000, 15,969,000 and 16,012,000 shares issued at October 31, 1998, November 1, 1997</w:t>
      </w:r>
    </w:p>
    <w:tbl>
      <w:tblPr>
        <w:tblLayout w:type="fixed"/>
        <w:tblInd w:w="100" w:type="dxa"/>
        <w:tblCellMar>
          <w:top w:w="0" w:type="dxa"/>
          <w:left w:w="0" w:type="dxa"/>
          <w:bottom w:w="0" w:type="dxa"/>
          <w:right w:w="0" w:type="dxa"/>
        </w:tblCellMar>
      </w:tblPr>
      <w:tr>
        <w:trPr>
          <w:trHeight w:val="187"/>
        </w:trPr>
        <w:tc>
          <w:tcPr>
            <w:tcW w:w="4160" w:type="dxa"/>
            <w:vAlign w:val="bottom"/>
          </w:tcPr>
          <w:p>
            <w:pPr>
              <w:ind w:left="200"/>
              <w:spacing w:after="0" w:line="187" w:lineRule="exact"/>
              <w:rPr>
                <w:sz w:val="20"/>
                <w:szCs w:val="20"/>
                <w:color w:val="auto"/>
              </w:rPr>
            </w:pPr>
            <w:r>
              <w:rPr>
                <w:rFonts w:ascii="Courier New" w:cs="Courier New" w:eastAsia="Courier New" w:hAnsi="Courier New"/>
                <w:sz w:val="17"/>
                <w:szCs w:val="17"/>
                <w:color w:val="auto"/>
              </w:rPr>
              <w:t>and January 31, 1998, respectively</w:t>
            </w:r>
          </w:p>
        </w:tc>
        <w:tc>
          <w:tcPr>
            <w:tcW w:w="1500" w:type="dxa"/>
            <w:vAlign w:val="bottom"/>
          </w:tcPr>
          <w:p>
            <w:pPr>
              <w:jc w:val="right"/>
              <w:ind w:right="156"/>
              <w:spacing w:after="0" w:line="187" w:lineRule="exact"/>
              <w:rPr>
                <w:sz w:val="20"/>
                <w:szCs w:val="20"/>
                <w:color w:val="auto"/>
              </w:rPr>
            </w:pPr>
            <w:r>
              <w:rPr>
                <w:rFonts w:ascii="Courier New" w:cs="Courier New" w:eastAsia="Courier New" w:hAnsi="Courier New"/>
                <w:sz w:val="17"/>
                <w:szCs w:val="17"/>
                <w:color w:val="auto"/>
              </w:rPr>
              <w:t>161</w:t>
            </w:r>
          </w:p>
        </w:tc>
        <w:tc>
          <w:tcPr>
            <w:tcW w:w="1160" w:type="dxa"/>
            <w:vAlign w:val="bottom"/>
          </w:tcPr>
          <w:p>
            <w:pPr>
              <w:jc w:val="right"/>
              <w:ind w:right="116"/>
              <w:spacing w:after="0" w:line="187" w:lineRule="exact"/>
              <w:rPr>
                <w:sz w:val="20"/>
                <w:szCs w:val="20"/>
                <w:color w:val="auto"/>
              </w:rPr>
            </w:pPr>
            <w:r>
              <w:rPr>
                <w:rFonts w:ascii="Courier New" w:cs="Courier New" w:eastAsia="Courier New" w:hAnsi="Courier New"/>
                <w:sz w:val="17"/>
                <w:szCs w:val="17"/>
                <w:color w:val="auto"/>
              </w:rPr>
              <w:t>160</w:t>
            </w:r>
          </w:p>
        </w:tc>
        <w:tc>
          <w:tcPr>
            <w:tcW w:w="1000" w:type="dxa"/>
            <w:vAlign w:val="bottom"/>
          </w:tcPr>
          <w:p>
            <w:pPr>
              <w:jc w:val="right"/>
              <w:ind w:right="16"/>
              <w:spacing w:after="0" w:line="187" w:lineRule="exact"/>
              <w:rPr>
                <w:sz w:val="20"/>
                <w:szCs w:val="20"/>
                <w:color w:val="auto"/>
              </w:rPr>
            </w:pPr>
            <w:r>
              <w:rPr>
                <w:rFonts w:ascii="Courier New" w:cs="Courier New" w:eastAsia="Courier New" w:hAnsi="Courier New"/>
                <w:sz w:val="17"/>
                <w:szCs w:val="17"/>
                <w:color w:val="auto"/>
              </w:rPr>
              <w:t>160</w:t>
            </w:r>
          </w:p>
        </w:tc>
      </w:tr>
      <w:tr>
        <w:trPr>
          <w:trHeight w:val="193"/>
        </w:trPr>
        <w:tc>
          <w:tcPr>
            <w:tcW w:w="4160" w:type="dxa"/>
            <w:vAlign w:val="bottom"/>
          </w:tcPr>
          <w:p>
            <w:pPr>
              <w:ind w:left="100"/>
              <w:spacing w:after="0"/>
              <w:rPr>
                <w:sz w:val="20"/>
                <w:szCs w:val="20"/>
                <w:color w:val="auto"/>
              </w:rPr>
            </w:pPr>
            <w:r>
              <w:rPr>
                <w:rFonts w:ascii="Courier New" w:cs="Courier New" w:eastAsia="Courier New" w:hAnsi="Courier New"/>
                <w:sz w:val="17"/>
                <w:szCs w:val="17"/>
                <w:color w:val="auto"/>
              </w:rPr>
              <w:t>Additional paid-in capital</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53,867</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53,541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53,652</w:t>
            </w:r>
          </w:p>
        </w:tc>
      </w:tr>
      <w:tr>
        <w:trPr>
          <w:trHeight w:val="193"/>
        </w:trPr>
        <w:tc>
          <w:tcPr>
            <w:tcW w:w="4160" w:type="dxa"/>
            <w:vAlign w:val="bottom"/>
          </w:tcPr>
          <w:p>
            <w:pPr>
              <w:ind w:left="100"/>
              <w:spacing w:after="0"/>
              <w:rPr>
                <w:sz w:val="20"/>
                <w:szCs w:val="20"/>
                <w:color w:val="auto"/>
              </w:rPr>
            </w:pPr>
            <w:r>
              <w:rPr>
                <w:rFonts w:ascii="Courier New" w:cs="Courier New" w:eastAsia="Courier New" w:hAnsi="Courier New"/>
                <w:sz w:val="17"/>
                <w:szCs w:val="17"/>
                <w:color w:val="auto"/>
              </w:rPr>
              <w:t>Retained earnings</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15,503</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39,124</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30,395</w:t>
            </w:r>
          </w:p>
        </w:tc>
      </w:tr>
      <w:tr>
        <w:trPr>
          <w:trHeight w:val="193"/>
        </w:trPr>
        <w:tc>
          <w:tcPr>
            <w:tcW w:w="4160" w:type="dxa"/>
            <w:vAlign w:val="bottom"/>
          </w:tcPr>
          <w:p>
            <w:pPr>
              <w:ind w:left="100"/>
              <w:spacing w:after="0"/>
              <w:rPr>
                <w:sz w:val="20"/>
                <w:szCs w:val="20"/>
                <w:color w:val="auto"/>
              </w:rPr>
            </w:pPr>
            <w:r>
              <w:rPr>
                <w:rFonts w:ascii="Courier New" w:cs="Courier New" w:eastAsia="Courier New" w:hAnsi="Courier New"/>
                <w:sz w:val="17"/>
                <w:szCs w:val="17"/>
                <w:color w:val="auto"/>
              </w:rPr>
              <w:t>Treasury stock at cost, 281,000 shares</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(1,827)</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(1,827)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(1,827)</w:t>
            </w:r>
          </w:p>
        </w:tc>
      </w:tr>
      <w:tr>
        <w:trPr>
          <w:trHeight w:val="193"/>
        </w:trPr>
        <w:tc>
          <w:tcPr>
            <w:tcW w:w="4160" w:type="dxa"/>
            <w:vAlign w:val="bottom"/>
          </w:tcPr>
          <w:p>
            <w:pPr>
              <w:ind w:left="100"/>
              <w:spacing w:after="0"/>
              <w:rPr>
                <w:sz w:val="20"/>
                <w:szCs w:val="20"/>
                <w:color w:val="auto"/>
              </w:rPr>
            </w:pPr>
            <w:r>
              <w:rPr>
                <w:rFonts w:ascii="Courier New" w:cs="Courier New" w:eastAsia="Courier New" w:hAnsi="Courier New"/>
                <w:sz w:val="17"/>
                <w:szCs w:val="17"/>
                <w:color w:val="auto"/>
              </w:rPr>
              <w:t>Deferred compensation</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(154)</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spacing w:after="0"/>
              <w:rPr>
                <w:sz w:val="16"/>
                <w:szCs w:val="16"/>
                <w:color w:val="auto"/>
              </w:rPr>
            </w:pPr>
          </w:p>
        </w:tc>
        <w:tc>
          <w:tcPr>
            <w:tcW w:w="36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ind w:left="500"/>
              <w:spacing w:after="0"/>
              <w:rPr>
                <w:sz w:val="20"/>
                <w:szCs w:val="20"/>
                <w:color w:val="auto"/>
              </w:rPr>
            </w:pPr>
            <w:r>
              <w:rPr>
                <w:rFonts w:ascii="Courier New" w:cs="Courier New" w:eastAsia="Courier New" w:hAnsi="Courier New"/>
                <w:sz w:val="17"/>
                <w:szCs w:val="17"/>
                <w:color w:val="auto"/>
              </w:rPr>
              <w:t>Total stockholders' equity</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67,550</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90,998</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82,380</w:t>
            </w:r>
          </w:p>
        </w:tc>
      </w:tr>
      <w:tr>
        <w:trPr>
          <w:trHeight w:val="193"/>
        </w:trPr>
        <w:tc>
          <w:tcPr>
            <w:tcW w:w="4160" w:type="dxa"/>
            <w:vAlign w:val="bottom"/>
          </w:tcPr>
          <w:p>
            <w:pPr>
              <w:spacing w:after="0"/>
              <w:rPr>
                <w:sz w:val="16"/>
                <w:szCs w:val="16"/>
                <w:color w:val="auto"/>
              </w:rPr>
            </w:pPr>
          </w:p>
        </w:tc>
        <w:tc>
          <w:tcPr>
            <w:tcW w:w="36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160" w:type="dxa"/>
            <w:vAlign w:val="bottom"/>
          </w:tcPr>
          <w:p>
            <w:pPr>
              <w:spacing w:after="0"/>
              <w:rPr>
                <w:sz w:val="20"/>
                <w:szCs w:val="20"/>
                <w:color w:val="auto"/>
              </w:rPr>
            </w:pPr>
            <w:r>
              <w:rPr>
                <w:rFonts w:ascii="Courier New" w:cs="Courier New" w:eastAsia="Courier New" w:hAnsi="Courier New"/>
                <w:sz w:val="17"/>
                <w:szCs w:val="17"/>
                <w:color w:val="auto"/>
              </w:rPr>
              <w:t>Total liabilities and stockholders</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$105,495</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$148,984</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$116,399</w:t>
            </w:r>
          </w:p>
        </w:tc>
      </w:tr>
      <w:tr>
        <w:trPr>
          <w:trHeight w:val="193"/>
        </w:trPr>
        <w:tc>
          <w:tcPr>
            <w:tcW w:w="4160" w:type="dxa"/>
            <w:vAlign w:val="bottom"/>
          </w:tcPr>
          <w:p>
            <w:pPr>
              <w:spacing w:after="0"/>
              <w:rPr>
                <w:sz w:val="16"/>
                <w:szCs w:val="16"/>
                <w:color w:val="auto"/>
              </w:rPr>
            </w:pPr>
          </w:p>
        </w:tc>
        <w:tc>
          <w:tcPr>
            <w:tcW w:w="36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100" w:right="2199" w:hanging="400"/>
        <w:spacing w:after="0" w:line="236" w:lineRule="auto"/>
        <w:rPr>
          <w:sz w:val="20"/>
          <w:szCs w:val="20"/>
          <w:color w:val="auto"/>
        </w:rPr>
      </w:pPr>
      <w:r>
        <w:rPr>
          <w:rFonts w:ascii="Courier New" w:cs="Courier New" w:eastAsia="Courier New" w:hAnsi="Courier New"/>
          <w:sz w:val="17"/>
          <w:szCs w:val="17"/>
          <w:color w:val="auto"/>
        </w:rPr>
        <w:t>The accompanying notes are an integral part of the consolidated financial statements.</w:t>
      </w:r>
    </w:p>
    <w:p>
      <w:pPr>
        <w:sectPr>
          <w:pgSz w:w="11900" w:h="16838" w:orient="portrait"/>
          <w:cols w:equalWidth="0" w:num="1">
            <w:col w:w="10219"/>
          </w:cols>
          <w:pgMar w:left="240" w:top="329" w:right="1440" w:bottom="1440" w:gutter="0" w:footer="0" w:header="0"/>
        </w:sectPr>
      </w:pPr>
    </w:p>
    <w:bookmarkStart w:id="2" w:name="page3"/>
    <w:bookmarkEnd w:id="2"/>
    <w:p>
      <w:pPr>
        <w:jc w:val="center"/>
        <w:ind w:right="2099"/>
        <w:spacing w:after="0"/>
        <w:rPr>
          <w:sz w:val="20"/>
          <w:szCs w:val="20"/>
          <w:color w:val="auto"/>
        </w:rPr>
      </w:pPr>
      <w:r>
        <w:rPr>
          <w:rFonts w:ascii="Courier New" w:cs="Courier New" w:eastAsia="Courier New" w:hAnsi="Courier New"/>
          <w:sz w:val="17"/>
          <w:szCs w:val="17"/>
          <w:color w:val="auto"/>
        </w:rPr>
        <w:t>DESIGNS, INC.</w:t>
      </w:r>
    </w:p>
    <w:p>
      <w:pPr>
        <w:jc w:val="center"/>
        <w:ind w:right="2099"/>
        <w:spacing w:after="0"/>
        <w:rPr>
          <w:sz w:val="20"/>
          <w:szCs w:val="20"/>
          <w:color w:val="auto"/>
        </w:rPr>
      </w:pPr>
      <w:r>
        <w:rPr>
          <w:rFonts w:ascii="Courier New" w:cs="Courier New" w:eastAsia="Courier New" w:hAnsi="Courier New"/>
          <w:sz w:val="17"/>
          <w:szCs w:val="17"/>
          <w:color w:val="auto"/>
        </w:rPr>
        <w:t>CONSOLIDATED STATEMENTS OF INCOME</w:t>
      </w:r>
    </w:p>
    <w:p>
      <w:pPr>
        <w:jc w:val="center"/>
        <w:ind w:right="2099"/>
        <w:spacing w:after="0"/>
        <w:rPr>
          <w:sz w:val="20"/>
          <w:szCs w:val="20"/>
          <w:color w:val="auto"/>
        </w:rPr>
      </w:pPr>
      <w:r>
        <w:rPr>
          <w:rFonts w:ascii="Courier New" w:cs="Courier New" w:eastAsia="Courier New" w:hAnsi="Courier New"/>
          <w:sz w:val="17"/>
          <w:szCs w:val="17"/>
          <w:color w:val="auto"/>
        </w:rPr>
        <w:t>(In thousands, except per share data)</w:t>
      </w: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Pr>
          <w:p>
            <w:pPr>
              <w:spacing w:after="0"/>
              <w:rPr>
                <w:sz w:val="16"/>
                <w:szCs w:val="16"/>
                <w:color w:val="auto"/>
              </w:rPr>
            </w:pPr>
          </w:p>
        </w:tc>
        <w:tc>
          <w:tcPr>
            <w:tcW w:w="280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Three Months Ended</w:t>
            </w:r>
          </w:p>
        </w:tc>
      </w:tr>
      <w:tr>
        <w:trPr>
          <w:trHeight w:val="193"/>
        </w:trPr>
        <w:tc>
          <w:tcPr>
            <w:tcW w:w="4720" w:type="dxa"/>
            <w:vAlign w:val="bottom"/>
          </w:tcPr>
          <w:p>
            <w:pPr>
              <w:spacing w:after="0"/>
              <w:rPr>
                <w:sz w:val="16"/>
                <w:szCs w:val="16"/>
                <w:color w:val="auto"/>
              </w:rPr>
            </w:pPr>
          </w:p>
        </w:tc>
        <w:tc>
          <w:tcPr>
            <w:tcW w:w="1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October 31,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November 1,</w:t>
            </w:r>
          </w:p>
        </w:tc>
      </w:tr>
      <w:tr>
        <w:trPr>
          <w:trHeight w:val="193"/>
        </w:trPr>
        <w:tc>
          <w:tcPr>
            <w:tcW w:w="4720" w:type="dxa"/>
            <w:vAlign w:val="bottom"/>
          </w:tcPr>
          <w:p>
            <w:pPr>
              <w:spacing w:after="0"/>
              <w:rPr>
                <w:sz w:val="16"/>
                <w:szCs w:val="16"/>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4720" w:type="dxa"/>
            <w:vAlign w:val="bottom"/>
          </w:tcPr>
          <w:p>
            <w:pPr>
              <w:spacing w:after="0"/>
              <w:rPr>
                <w:sz w:val="16"/>
                <w:szCs w:val="16"/>
                <w:color w:val="auto"/>
              </w:rPr>
            </w:pPr>
          </w:p>
        </w:tc>
        <w:tc>
          <w:tcPr>
            <w:tcW w:w="2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$ 58,714</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$ 77,459</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Cost of goods sold including</w:t>
            </w: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occupancy</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45,247</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58,659</w:t>
            </w:r>
          </w:p>
        </w:tc>
      </w:tr>
      <w:tr>
        <w:trPr>
          <w:trHeight w:val="193"/>
        </w:trPr>
        <w:tc>
          <w:tcPr>
            <w:tcW w:w="4720" w:type="dxa"/>
            <w:vAlign w:val="bottom"/>
          </w:tcPr>
          <w:p>
            <w:pPr>
              <w:spacing w:after="0"/>
              <w:rPr>
                <w:sz w:val="16"/>
                <w:szCs w:val="16"/>
                <w:color w:val="auto"/>
              </w:rPr>
            </w:pPr>
          </w:p>
        </w:tc>
        <w:tc>
          <w:tcPr>
            <w:tcW w:w="2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13,467</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18,800</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Selling, general and administrative</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12,699</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16,466</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Provision for store closings</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13,407</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Depreciation and amortization</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2,632</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2,799</w:t>
            </w:r>
          </w:p>
        </w:tc>
      </w:tr>
      <w:tr>
        <w:trPr>
          <w:trHeight w:val="193"/>
        </w:trPr>
        <w:tc>
          <w:tcPr>
            <w:tcW w:w="4720" w:type="dxa"/>
            <w:vAlign w:val="bottom"/>
          </w:tcPr>
          <w:p>
            <w:pPr>
              <w:spacing w:after="0"/>
              <w:rPr>
                <w:sz w:val="16"/>
                <w:szCs w:val="16"/>
                <w:color w:val="auto"/>
              </w:rPr>
            </w:pPr>
          </w:p>
        </w:tc>
        <w:tc>
          <w:tcPr>
            <w:tcW w:w="2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Total expenses</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28,738</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19,265</w:t>
            </w:r>
          </w:p>
        </w:tc>
      </w:tr>
      <w:tr>
        <w:trPr>
          <w:trHeight w:val="193"/>
        </w:trPr>
        <w:tc>
          <w:tcPr>
            <w:tcW w:w="4720" w:type="dxa"/>
            <w:vAlign w:val="bottom"/>
          </w:tcPr>
          <w:p>
            <w:pPr>
              <w:spacing w:after="0"/>
              <w:rPr>
                <w:sz w:val="16"/>
                <w:szCs w:val="16"/>
                <w:color w:val="auto"/>
              </w:rPr>
            </w:pPr>
          </w:p>
        </w:tc>
        <w:tc>
          <w:tcPr>
            <w:tcW w:w="2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(15,271)</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(465)</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163</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258</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31</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w:t>
            </w:r>
          </w:p>
        </w:tc>
      </w:tr>
      <w:tr>
        <w:trPr>
          <w:trHeight w:val="193"/>
        </w:trPr>
        <w:tc>
          <w:tcPr>
            <w:tcW w:w="4720" w:type="dxa"/>
            <w:vAlign w:val="bottom"/>
          </w:tcPr>
          <w:p>
            <w:pPr>
              <w:spacing w:after="0"/>
              <w:rPr>
                <w:sz w:val="16"/>
                <w:szCs w:val="16"/>
                <w:color w:val="auto"/>
              </w:rPr>
            </w:pPr>
          </w:p>
        </w:tc>
        <w:tc>
          <w:tcPr>
            <w:tcW w:w="2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Income (loss) before minority interest</w:t>
            </w: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and income taxes</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(15,403)</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(697)</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Less minority interest</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(1,278)</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240</w:t>
            </w:r>
          </w:p>
        </w:tc>
      </w:tr>
      <w:tr>
        <w:trPr>
          <w:trHeight w:val="193"/>
        </w:trPr>
        <w:tc>
          <w:tcPr>
            <w:tcW w:w="4720" w:type="dxa"/>
            <w:vAlign w:val="bottom"/>
          </w:tcPr>
          <w:p>
            <w:pPr>
              <w:spacing w:after="0"/>
              <w:rPr>
                <w:sz w:val="16"/>
                <w:szCs w:val="16"/>
                <w:color w:val="auto"/>
              </w:rPr>
            </w:pPr>
          </w:p>
        </w:tc>
        <w:tc>
          <w:tcPr>
            <w:tcW w:w="2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(14,125)</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(937)</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Provision (benefit) for income taxes</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(5,379)</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(370)</w:t>
            </w:r>
          </w:p>
        </w:tc>
      </w:tr>
      <w:tr>
        <w:trPr>
          <w:trHeight w:val="193"/>
        </w:trPr>
        <w:tc>
          <w:tcPr>
            <w:tcW w:w="4720" w:type="dxa"/>
            <w:vAlign w:val="bottom"/>
          </w:tcPr>
          <w:p>
            <w:pPr>
              <w:spacing w:after="0"/>
              <w:rPr>
                <w:sz w:val="16"/>
                <w:szCs w:val="16"/>
                <w:color w:val="auto"/>
              </w:rPr>
            </w:pPr>
          </w:p>
        </w:tc>
        <w:tc>
          <w:tcPr>
            <w:tcW w:w="28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72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(8,746)</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(567)</w:t>
            </w:r>
          </w:p>
        </w:tc>
      </w:tr>
      <w:tr>
        <w:trPr>
          <w:trHeight w:val="193"/>
        </w:trPr>
        <w:tc>
          <w:tcPr>
            <w:tcW w:w="4720" w:type="dxa"/>
            <w:vAlign w:val="bottom"/>
          </w:tcPr>
          <w:p>
            <w:pPr>
              <w:spacing w:after="0"/>
              <w:rPr>
                <w:sz w:val="16"/>
                <w:szCs w:val="16"/>
                <w:color w:val="auto"/>
              </w:rPr>
            </w:pPr>
          </w:p>
        </w:tc>
        <w:tc>
          <w:tcPr>
            <w:tcW w:w="28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Net income (loss) per common and common</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equivalent share- basic and diluted</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(0.55)</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$(0.04)</w:t>
            </w:r>
          </w:p>
        </w:tc>
      </w:tr>
      <w:tr>
        <w:trPr>
          <w:trHeight w:val="385"/>
        </w:trPr>
        <w:tc>
          <w:tcPr>
            <w:tcW w:w="4720" w:type="dxa"/>
            <w:vAlign w:val="bottom"/>
          </w:tcPr>
          <w:p>
            <w:pPr>
              <w:spacing w:after="0"/>
              <w:rPr>
                <w:sz w:val="20"/>
                <w:szCs w:val="20"/>
                <w:color w:val="auto"/>
              </w:rPr>
            </w:pPr>
            <w:r>
              <w:rPr>
                <w:rFonts w:ascii="Courier New" w:cs="Courier New" w:eastAsia="Courier New" w:hAnsi="Courier New"/>
                <w:sz w:val="17"/>
                <w:szCs w:val="17"/>
                <w:color w:val="auto"/>
              </w:rPr>
              <w:t>Weighted average common and common equivalent</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3"/>
        </w:trPr>
        <w:tc>
          <w:tcPr>
            <w:tcW w:w="4720" w:type="dxa"/>
            <w:vAlign w:val="bottom"/>
          </w:tcPr>
          <w:p>
            <w:pPr>
              <w:ind w:left="100"/>
              <w:spacing w:after="0"/>
              <w:rPr>
                <w:sz w:val="20"/>
                <w:szCs w:val="20"/>
                <w:color w:val="auto"/>
              </w:rPr>
            </w:pPr>
            <w:r>
              <w:rPr>
                <w:rFonts w:ascii="Courier New" w:cs="Courier New" w:eastAsia="Courier New" w:hAnsi="Courier New"/>
                <w:sz w:val="17"/>
                <w:szCs w:val="17"/>
                <w:color w:val="auto"/>
              </w:rPr>
              <w:t>shares outstanding- basic and diluted</w:t>
            </w:r>
          </w:p>
        </w:tc>
        <w:tc>
          <w:tcPr>
            <w:tcW w:w="15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15,867</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15,641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100" w:right="2199" w:hanging="400"/>
        <w:spacing w:after="0" w:line="236" w:lineRule="auto"/>
        <w:rPr>
          <w:sz w:val="20"/>
          <w:szCs w:val="20"/>
          <w:color w:val="auto"/>
        </w:rPr>
      </w:pPr>
      <w:r>
        <w:rPr>
          <w:rFonts w:ascii="Courier New" w:cs="Courier New" w:eastAsia="Courier New" w:hAnsi="Courier New"/>
          <w:sz w:val="17"/>
          <w:szCs w:val="17"/>
          <w:color w:val="auto"/>
        </w:rPr>
        <w:t>The accompanying notes are an integral part of the consolidated financial statements.</w:t>
      </w:r>
    </w:p>
    <w:p>
      <w:pPr>
        <w:sectPr>
          <w:pgSz w:w="11900" w:h="16838" w:orient="portrait"/>
          <w:cols w:equalWidth="0" w:num="1">
            <w:col w:w="10219"/>
          </w:cols>
          <w:pgMar w:left="240" w:top="881" w:right="1440" w:bottom="144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7"/>
          <w:szCs w:val="17"/>
          <w:color w:val="auto"/>
        </w:rPr>
        <w:t>DESIGNS, INC.</w:t>
      </w:r>
    </w:p>
    <w:p>
      <w:pPr>
        <w:ind w:left="1500"/>
        <w:spacing w:after="0"/>
        <w:rPr>
          <w:sz w:val="20"/>
          <w:szCs w:val="20"/>
          <w:color w:val="auto"/>
        </w:rPr>
      </w:pPr>
      <w:r>
        <w:rPr>
          <w:rFonts w:ascii="Courier New" w:cs="Courier New" w:eastAsia="Courier New" w:hAnsi="Courier New"/>
          <w:sz w:val="17"/>
          <w:szCs w:val="17"/>
          <w:color w:val="auto"/>
        </w:rPr>
        <w:t>CONSOLIDATED STATEMENTS OF INCOME</w:t>
      </w:r>
    </w:p>
    <w:p>
      <w:pPr>
        <w:ind w:left="1300"/>
        <w:spacing w:after="0"/>
        <w:rPr>
          <w:sz w:val="20"/>
          <w:szCs w:val="20"/>
          <w:color w:val="auto"/>
        </w:rPr>
      </w:pPr>
      <w:r>
        <w:rPr>
          <w:rFonts w:ascii="Courier New" w:cs="Courier New" w:eastAsia="Courier New" w:hAnsi="Courier New"/>
          <w:sz w:val="17"/>
          <w:szCs w:val="17"/>
          <w:color w:val="auto"/>
        </w:rPr>
        <w:t>(In thousands, except per share data)</w:t>
      </w:r>
    </w:p>
    <w:p>
      <w:pPr>
        <w:ind w:left="2600"/>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Pr>
          <w:p>
            <w:pPr>
              <w:spacing w:after="0"/>
              <w:rPr>
                <w:sz w:val="16"/>
                <w:szCs w:val="16"/>
                <w:color w:val="auto"/>
              </w:rPr>
            </w:pPr>
          </w:p>
        </w:tc>
        <w:tc>
          <w:tcPr>
            <w:tcW w:w="27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Nine Months Ended</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October 31,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November 1,</w:t>
            </w:r>
          </w:p>
        </w:tc>
      </w:tr>
      <w:tr>
        <w:trPr>
          <w:trHeight w:val="193"/>
        </w:trPr>
        <w:tc>
          <w:tcPr>
            <w:tcW w:w="4660" w:type="dxa"/>
            <w:vAlign w:val="bottom"/>
          </w:tcPr>
          <w:p>
            <w:pPr>
              <w:spacing w:after="0"/>
              <w:rPr>
                <w:sz w:val="16"/>
                <w:szCs w:val="16"/>
                <w:color w:val="auto"/>
              </w:rPr>
            </w:pP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$ 149,193</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$ 197,472</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Cost of goods sold including</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occupancy</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117,013</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167,771</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32,180</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29,701</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Selling, general and administrative</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36,420</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49,470</w:t>
            </w: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Provision for store closings</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13,407</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6,046</w:t>
            </w: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Depreciation and amortization</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7,859</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8,466</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Total expenses</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57,686</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63,982</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(25,506)</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(34,281)</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469</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664</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70</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94</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Income (loss) before minority interest</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and income taxes</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(25,905)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(34,851)</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Less minority interest</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(1,692)</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(187)</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(24,213)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(34,664)</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Provision (benefit) for income taxes</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(9,321)</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(14,333)</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(14,892)</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  (20,331)</w:t>
            </w:r>
          </w:p>
        </w:tc>
      </w:tr>
      <w:tr>
        <w:trPr>
          <w:trHeight w:val="193"/>
        </w:trPr>
        <w:tc>
          <w:tcPr>
            <w:tcW w:w="4660" w:type="dxa"/>
            <w:vAlign w:val="bottom"/>
          </w:tcPr>
          <w:p>
            <w:pPr>
              <w:spacing w:after="0"/>
              <w:rPr>
                <w:sz w:val="16"/>
                <w:szCs w:val="16"/>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income (loss) per common and common</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equivalent share basic and diluted</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 (0.94)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 (1.30)</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Weighted average common and common equivalent</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shares outstanding- basic and diluted</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15,789</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100" w:right="2199" w:hanging="400"/>
        <w:spacing w:after="0" w:line="236" w:lineRule="auto"/>
        <w:rPr>
          <w:sz w:val="20"/>
          <w:szCs w:val="20"/>
          <w:color w:val="auto"/>
        </w:rPr>
      </w:pPr>
      <w:r>
        <w:rPr>
          <w:rFonts w:ascii="Courier New" w:cs="Courier New" w:eastAsia="Courier New" w:hAnsi="Courier New"/>
          <w:sz w:val="17"/>
          <w:szCs w:val="17"/>
          <w:color w:val="auto"/>
        </w:rPr>
        <w:t>The accompanying notes are an integral part of the consolidated financial statements.</w:t>
      </w:r>
    </w:p>
    <w:p>
      <w:pPr>
        <w:sectPr>
          <w:pgSz w:w="11900" w:h="16838" w:orient="portrait"/>
          <w:cols w:equalWidth="0" w:num="1">
            <w:col w:w="10219"/>
          </w:cols>
          <w:pgMar w:left="240" w:top="881" w:right="1440" w:bottom="1440" w:gutter="0" w:footer="0" w:header="0"/>
        </w:sectPr>
      </w:pPr>
    </w:p>
    <w:bookmarkStart w:id="4" w:name="page5"/>
    <w:bookmarkEnd w:id="4"/>
    <w:p>
      <w:pPr>
        <w:jc w:val="center"/>
        <w:ind w:right="3299"/>
        <w:spacing w:after="0"/>
        <w:rPr>
          <w:sz w:val="20"/>
          <w:szCs w:val="20"/>
          <w:color w:val="auto"/>
        </w:rPr>
      </w:pPr>
      <w:r>
        <w:rPr>
          <w:rFonts w:ascii="Courier New" w:cs="Courier New" w:eastAsia="Courier New" w:hAnsi="Courier New"/>
          <w:sz w:val="17"/>
          <w:szCs w:val="17"/>
          <w:color w:val="auto"/>
        </w:rPr>
        <w:t>DESIGNS, INC.</w:t>
      </w:r>
    </w:p>
    <w:p>
      <w:pPr>
        <w:jc w:val="center"/>
        <w:ind w:right="3299"/>
        <w:spacing w:after="0"/>
        <w:rPr>
          <w:sz w:val="20"/>
          <w:szCs w:val="20"/>
          <w:color w:val="auto"/>
        </w:rPr>
      </w:pPr>
      <w:r>
        <w:rPr>
          <w:rFonts w:ascii="Courier New" w:cs="Courier New" w:eastAsia="Courier New" w:hAnsi="Courier New"/>
          <w:sz w:val="17"/>
          <w:szCs w:val="17"/>
          <w:color w:val="auto"/>
        </w:rPr>
        <w:t>CONSOLIDATED STATEMENTS OF INCOME</w:t>
      </w:r>
    </w:p>
    <w:p>
      <w:pPr>
        <w:jc w:val="center"/>
        <w:ind w:right="3299"/>
        <w:spacing w:after="0"/>
        <w:rPr>
          <w:sz w:val="20"/>
          <w:szCs w:val="20"/>
          <w:color w:val="auto"/>
        </w:rPr>
      </w:pPr>
      <w:r>
        <w:rPr>
          <w:rFonts w:ascii="Courier New" w:cs="Courier New" w:eastAsia="Courier New" w:hAnsi="Courier New"/>
          <w:sz w:val="17"/>
          <w:szCs w:val="17"/>
          <w:color w:val="auto"/>
        </w:rPr>
        <w:t>(In thousands, except per share data)</w:t>
      </w:r>
    </w:p>
    <w:p>
      <w:pPr>
        <w:jc w:val="center"/>
        <w:ind w:right="3299"/>
        <w:spacing w:after="0"/>
        <w:rPr>
          <w:sz w:val="20"/>
          <w:szCs w:val="20"/>
          <w:color w:val="auto"/>
        </w:rPr>
      </w:pPr>
      <w:r>
        <w:rPr>
          <w:rFonts w:ascii="Courier New" w:cs="Courier New" w:eastAsia="Courier New" w:hAnsi="Courier New"/>
          <w:sz w:val="17"/>
          <w:szCs w:val="17"/>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216"/>
              <w:spacing w:after="0"/>
              <w:rPr>
                <w:sz w:val="20"/>
                <w:szCs w:val="20"/>
                <w:color w:val="auto"/>
              </w:rPr>
            </w:pPr>
            <w:r>
              <w:rPr>
                <w:rFonts w:ascii="Courier New" w:cs="Courier New" w:eastAsia="Courier New" w:hAnsi="Courier New"/>
                <w:sz w:val="17"/>
                <w:szCs w:val="17"/>
                <w:color w:val="auto"/>
              </w:rPr>
              <w:t>Twelve Months Ended</w:t>
            </w:r>
          </w:p>
        </w:tc>
      </w:tr>
      <w:tr>
        <w:trPr>
          <w:trHeight w:val="193"/>
        </w:trPr>
        <w:tc>
          <w:tcPr>
            <w:tcW w:w="4660" w:type="dxa"/>
            <w:vAlign w:val="bottom"/>
          </w:tcPr>
          <w:p>
            <w:pPr>
              <w:spacing w:after="0"/>
              <w:rPr>
                <w:sz w:val="16"/>
                <w:szCs w:val="16"/>
                <w:color w:val="auto"/>
              </w:rPr>
            </w:pP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October 31,</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November 1,</w:t>
            </w:r>
          </w:p>
        </w:tc>
      </w:tr>
      <w:tr>
        <w:trPr>
          <w:trHeight w:val="193"/>
        </w:trPr>
        <w:tc>
          <w:tcPr>
            <w:tcW w:w="4660" w:type="dxa"/>
            <w:vAlign w:val="bottom"/>
          </w:tcPr>
          <w:p>
            <w:pPr>
              <w:spacing w:after="0"/>
              <w:rPr>
                <w:sz w:val="16"/>
                <w:szCs w:val="16"/>
                <w:color w:val="auto"/>
              </w:rPr>
            </w:pP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1998</w:t>
            </w:r>
          </w:p>
        </w:tc>
        <w:tc>
          <w:tcPr>
            <w:tcW w:w="40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$ 217,446</w:t>
            </w:r>
          </w:p>
        </w:tc>
        <w:tc>
          <w:tcPr>
            <w:tcW w:w="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276,247</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Cost of goods sold including</w:t>
            </w: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occupancy</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176,609</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224,685</w:t>
            </w:r>
          </w:p>
        </w:tc>
      </w:t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40,837</w:t>
            </w:r>
          </w:p>
        </w:tc>
        <w:tc>
          <w:tcPr>
            <w:tcW w:w="40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51,562</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Selling, general and administrative</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52,581</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65,144</w:t>
            </w: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Provision for store closings</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15,007</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6,046</w:t>
            </w: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Depreciation and amortization</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10,629</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11,015</w:t>
            </w:r>
          </w:p>
        </w:tc>
      </w:t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Total expenses</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78,217</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82,205</w:t>
            </w:r>
          </w:p>
        </w:tc>
      </w:t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(37,380)</w:t>
            </w:r>
          </w:p>
        </w:tc>
        <w:tc>
          <w:tcPr>
            <w:tcW w:w="4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(30,643)</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656</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727</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Interest income</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121</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355</w:t>
            </w:r>
          </w:p>
        </w:tc>
      </w:t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Income (loss) before minority interest</w:t>
            </w:r>
          </w:p>
        </w:tc>
        <w:tc>
          <w:tcPr>
            <w:tcW w:w="1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and income taxes</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(37,915)</w:t>
            </w:r>
          </w:p>
        </w:tc>
        <w:tc>
          <w:tcPr>
            <w:tcW w:w="4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(31,015)</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Less minority interest</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(1,830)</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204</w:t>
            </w:r>
          </w:p>
        </w:tc>
      </w:t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(36,085)</w:t>
            </w:r>
          </w:p>
        </w:tc>
        <w:tc>
          <w:tcPr>
            <w:tcW w:w="4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(31,219)</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Provision (benefit) for income taxes</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(12,479)</w:t>
            </w:r>
          </w:p>
        </w:tc>
        <w:tc>
          <w:tcPr>
            <w:tcW w:w="4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(13,079)</w:t>
            </w:r>
          </w:p>
        </w:tc>
      </w:t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$(23,606)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(18,140)</w:t>
            </w:r>
          </w:p>
        </w:tc>
      </w:tr>
      <w:tr>
        <w:trPr>
          <w:trHeight w:val="193"/>
        </w:trPr>
        <w:tc>
          <w:tcPr>
            <w:tcW w:w="4660" w:type="dxa"/>
            <w:vAlign w:val="bottom"/>
          </w:tcPr>
          <w:p>
            <w:pPr>
              <w:spacing w:after="0"/>
              <w:rPr>
                <w:sz w:val="16"/>
                <w:szCs w:val="16"/>
                <w:color w:val="auto"/>
              </w:rPr>
            </w:pPr>
          </w:p>
        </w:tc>
        <w:tc>
          <w:tcPr>
            <w:tcW w:w="28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income (loss) per common and common</w:t>
            </w: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equivalent share basic and diluted</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(1.50)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Weighted average common and common equivalent</w:t>
            </w: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3"/>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shares outstanding- basic and diluted</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15,773</w:t>
            </w:r>
          </w:p>
        </w:tc>
        <w:tc>
          <w:tcPr>
            <w:tcW w:w="40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15,616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100" w:right="2199" w:hanging="400"/>
        <w:spacing w:after="0" w:line="236" w:lineRule="auto"/>
        <w:rPr>
          <w:sz w:val="20"/>
          <w:szCs w:val="20"/>
          <w:color w:val="auto"/>
        </w:rPr>
      </w:pPr>
      <w:r>
        <w:rPr>
          <w:rFonts w:ascii="Courier New" w:cs="Courier New" w:eastAsia="Courier New" w:hAnsi="Courier New"/>
          <w:sz w:val="17"/>
          <w:szCs w:val="17"/>
          <w:color w:val="auto"/>
        </w:rPr>
        <w:t>The accompanying notes are an integral part of the consolidated financial statements.</w:t>
      </w:r>
    </w:p>
    <w:p>
      <w:pPr>
        <w:sectPr>
          <w:pgSz w:w="11900" w:h="16838" w:orient="portrait"/>
          <w:cols w:equalWidth="0" w:num="1">
            <w:col w:w="10219"/>
          </w:cols>
          <w:pgMar w:left="240" w:top="1074" w:right="1440" w:bottom="1440" w:gutter="0" w:footer="0" w:header="0"/>
        </w:sectPr>
      </w:pPr>
    </w:p>
    <w:bookmarkStart w:id="5" w:name="page6"/>
    <w:bookmarkEnd w:id="5"/>
    <w:p>
      <w:pPr>
        <w:jc w:val="center"/>
        <w:ind w:right="2899"/>
        <w:spacing w:after="0"/>
        <w:rPr>
          <w:sz w:val="20"/>
          <w:szCs w:val="20"/>
          <w:color w:val="auto"/>
        </w:rPr>
      </w:pPr>
      <w:r>
        <w:rPr>
          <w:rFonts w:ascii="Courier New" w:cs="Courier New" w:eastAsia="Courier New" w:hAnsi="Courier New"/>
          <w:sz w:val="17"/>
          <w:szCs w:val="17"/>
          <w:color w:val="auto"/>
        </w:rPr>
        <w:t>DESIGNS, INC.</w:t>
      </w:r>
    </w:p>
    <w:p>
      <w:pPr>
        <w:jc w:val="center"/>
        <w:ind w:right="2899"/>
        <w:spacing w:after="0"/>
        <w:rPr>
          <w:sz w:val="20"/>
          <w:szCs w:val="20"/>
          <w:color w:val="auto"/>
        </w:rPr>
      </w:pPr>
      <w:r>
        <w:rPr>
          <w:rFonts w:ascii="Courier New" w:cs="Courier New" w:eastAsia="Courier New" w:hAnsi="Courier New"/>
          <w:sz w:val="17"/>
          <w:szCs w:val="17"/>
          <w:color w:val="auto"/>
        </w:rPr>
        <w:t>CONSOLIDATED STATEMENTS OF CASH FLOWS</w:t>
      </w:r>
    </w:p>
    <w:p>
      <w:pPr>
        <w:jc w:val="center"/>
        <w:ind w:right="2999"/>
        <w:spacing w:after="0"/>
        <w:rPr>
          <w:sz w:val="20"/>
          <w:szCs w:val="20"/>
          <w:color w:val="auto"/>
        </w:rPr>
      </w:pPr>
      <w:r>
        <w:rPr>
          <w:rFonts w:ascii="Courier New" w:cs="Courier New" w:eastAsia="Courier New" w:hAnsi="Courier New"/>
          <w:sz w:val="17"/>
          <w:szCs w:val="17"/>
          <w:color w:val="auto"/>
        </w:rPr>
        <w:t>(In thousands)</w:t>
      </w:r>
    </w:p>
    <w:tbl>
      <w:tblPr>
        <w:tblLayout w:type="fixed"/>
        <w:tblInd w:w="0" w:type="dxa"/>
        <w:tblCellMar>
          <w:top w:w="0" w:type="dxa"/>
          <w:left w:w="0" w:type="dxa"/>
          <w:bottom w:w="0" w:type="dxa"/>
          <w:right w:w="0" w:type="dxa"/>
        </w:tblCellMar>
      </w:tblPr>
      <w:tr>
        <w:trPr>
          <w:trHeight w:val="193"/>
        </w:trPr>
        <w:tc>
          <w:tcPr>
            <w:tcW w:w="5420" w:type="dxa"/>
            <w:vAlign w:val="bottom"/>
          </w:tcPr>
          <w:p>
            <w:pPr>
              <w:ind w:left="3100"/>
              <w:spacing w:after="0"/>
              <w:rPr>
                <w:sz w:val="20"/>
                <w:szCs w:val="20"/>
                <w:color w:val="auto"/>
              </w:rPr>
            </w:pPr>
            <w:r>
              <w:rPr>
                <w:rFonts w:ascii="Courier New" w:cs="Courier New" w:eastAsia="Courier New" w:hAnsi="Courier New"/>
                <w:sz w:val="17"/>
                <w:szCs w:val="17"/>
                <w:color w:val="auto"/>
              </w:rPr>
              <w:t>(Unaudited)</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5"/>
        </w:trPr>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Nine months ended</w:t>
            </w:r>
          </w:p>
        </w:tc>
      </w:tr>
      <w:tr>
        <w:trPr>
          <w:trHeight w:val="193"/>
        </w:trPr>
        <w:tc>
          <w:tcPr>
            <w:tcW w:w="5420" w:type="dxa"/>
            <w:vAlign w:val="bottom"/>
          </w:tcPr>
          <w:p>
            <w:pPr>
              <w:spacing w:after="0"/>
              <w:rPr>
                <w:sz w:val="16"/>
                <w:szCs w:val="16"/>
                <w:color w:val="auto"/>
              </w:rPr>
            </w:pPr>
          </w:p>
        </w:tc>
        <w:tc>
          <w:tcPr>
            <w:tcW w:w="12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w w:val="96"/>
              </w:rPr>
              <w:t>October 31,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November 1,</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1998</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1997</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385"/>
        </w:trPr>
        <w:tc>
          <w:tcPr>
            <w:tcW w:w="54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5420" w:type="dxa"/>
            <w:vAlign w:val="bottom"/>
          </w:tcPr>
          <w:p>
            <w:pPr>
              <w:ind w:left="400"/>
              <w:spacing w:after="0"/>
              <w:rPr>
                <w:sz w:val="20"/>
                <w:szCs w:val="20"/>
                <w:color w:val="auto"/>
              </w:rPr>
            </w:pPr>
            <w:r>
              <w:rPr>
                <w:rFonts w:ascii="Courier New" w:cs="Courier New" w:eastAsia="Courier New" w:hAnsi="Courier New"/>
                <w:sz w:val="17"/>
                <w:szCs w:val="17"/>
                <w:color w:val="auto"/>
              </w:rPr>
              <w:t>Net loss</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6"/>
              </w:rPr>
              <w:t>$ (14,892)</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(20,331)</w:t>
            </w:r>
          </w:p>
        </w:tc>
      </w:tr>
      <w:tr>
        <w:trPr>
          <w:trHeight w:val="193"/>
        </w:trPr>
        <w:tc>
          <w:tcPr>
            <w:tcW w:w="5420" w:type="dxa"/>
            <w:vAlign w:val="bottom"/>
          </w:tcPr>
          <w:p>
            <w:pPr>
              <w:ind w:left="400"/>
              <w:spacing w:after="0"/>
              <w:rPr>
                <w:sz w:val="20"/>
                <w:szCs w:val="20"/>
                <w:color w:val="auto"/>
              </w:rPr>
            </w:pPr>
            <w:r>
              <w:rPr>
                <w:rFonts w:ascii="Courier New" w:cs="Courier New" w:eastAsia="Courier New" w:hAnsi="Courier New"/>
                <w:sz w:val="17"/>
                <w:szCs w:val="17"/>
                <w:color w:val="auto"/>
              </w:rPr>
              <w:t>Adjustments to reconcile to net cash</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420" w:type="dxa"/>
            <w:vAlign w:val="bottom"/>
          </w:tcPr>
          <w:p>
            <w:pPr>
              <w:ind w:left="400"/>
              <w:spacing w:after="0"/>
              <w:rPr>
                <w:sz w:val="20"/>
                <w:szCs w:val="20"/>
                <w:color w:val="auto"/>
              </w:rPr>
            </w:pPr>
            <w:r>
              <w:rPr>
                <w:rFonts w:ascii="Courier New" w:cs="Courier New" w:eastAsia="Courier New" w:hAnsi="Courier New"/>
                <w:sz w:val="17"/>
                <w:szCs w:val="17"/>
                <w:color w:val="auto"/>
              </w:rPr>
              <w:t>provided by (used for) operating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Depreciation and amortization</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7,859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8,466</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Minority interest</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(1,701)</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(187)</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Loss on sale of investments</w:t>
            </w:r>
          </w:p>
        </w:tc>
        <w:tc>
          <w:tcPr>
            <w:tcW w:w="140" w:type="dxa"/>
            <w:vAlign w:val="bottom"/>
          </w:tcPr>
          <w:p>
            <w:pPr>
              <w:spacing w:after="0"/>
              <w:rPr>
                <w:sz w:val="16"/>
                <w:szCs w:val="16"/>
                <w:color w:val="auto"/>
              </w:rPr>
            </w:pPr>
          </w:p>
        </w:tc>
        <w:tc>
          <w:tcPr>
            <w:tcW w:w="10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Loss from disposal of property</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and equipment</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w:t>
            </w:r>
          </w:p>
        </w:tc>
      </w:tr>
      <w:tr>
        <w:trPr>
          <w:trHeight w:val="193"/>
        </w:trPr>
        <w:tc>
          <w:tcPr>
            <w:tcW w:w="5420" w:type="dxa"/>
            <w:vAlign w:val="bottom"/>
          </w:tcPr>
          <w:p>
            <w:pPr>
              <w:ind w:left="40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Accounts receivable</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Inventories</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(918)</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(2,891)</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Prepaid expenses</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472</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Reserve for severance and store closings</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11,866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5,347</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Income taxes refundable and deferred</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3,661</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(14,796)</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Accounts payable</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2,789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15,035</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Accrued expenses and other current liabilities</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(249)</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505</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Accrued rent</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1,176</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341</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56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Net cash provided by (used for) operating activities</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9,519</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(7,711)</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4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Acquistion of 25 stores (note 3)</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(9,737)</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Additions to property and equipment</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(388)</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(7,115)</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Incurrence of pre-opening costs</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(327)</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w w:val="98"/>
              </w:rPr>
              <w:t>Proceeds from disposal of property and equipment</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154</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Sale and maturity of investments</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5,888</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(Increase) reduction in other assets</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(1,052)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w:t>
            </w: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Distributions to joint venture partner</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(1,110)</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420" w:type="dxa"/>
            <w:vAlign w:val="bottom"/>
          </w:tcPr>
          <w:p>
            <w:pPr>
              <w:ind w:left="300"/>
              <w:spacing w:after="0"/>
              <w:rPr>
                <w:sz w:val="20"/>
                <w:szCs w:val="20"/>
                <w:color w:val="auto"/>
              </w:rPr>
            </w:pPr>
            <w:r>
              <w:rPr>
                <w:rFonts w:ascii="Courier New" w:cs="Courier New" w:eastAsia="Courier New" w:hAnsi="Courier New"/>
                <w:sz w:val="17"/>
                <w:szCs w:val="17"/>
                <w:color w:val="auto"/>
              </w:rPr>
              <w:t>Net cash used for investing activities</w:t>
            </w: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(11,075)</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(2,498)</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4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420" w:type="dxa"/>
            <w:vAlign w:val="bottom"/>
          </w:tcPr>
          <w:p>
            <w:pPr>
              <w:ind w:left="600"/>
              <w:spacing w:after="0"/>
              <w:rPr>
                <w:sz w:val="20"/>
                <w:szCs w:val="20"/>
                <w:color w:val="auto"/>
              </w:rPr>
            </w:pPr>
            <w:r>
              <w:rPr>
                <w:rFonts w:ascii="Courier New" w:cs="Courier New" w:eastAsia="Courier New" w:hAnsi="Courier New"/>
                <w:sz w:val="17"/>
                <w:szCs w:val="17"/>
                <w:color w:val="auto"/>
              </w:rPr>
              <w:t>Net borrowings under credit facility</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1,512</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9,000</w:t>
            </w:r>
          </w:p>
        </w:tc>
      </w:tr>
      <w:tr>
        <w:trPr>
          <w:trHeight w:val="193"/>
        </w:trPr>
        <w:tc>
          <w:tcPr>
            <w:tcW w:w="5560" w:type="dxa"/>
            <w:vAlign w:val="bottom"/>
            <w:gridSpan w:val="2"/>
          </w:tcPr>
          <w:p>
            <w:pPr>
              <w:ind w:left="600"/>
              <w:spacing w:after="0"/>
              <w:rPr>
                <w:sz w:val="20"/>
                <w:szCs w:val="20"/>
                <w:color w:val="auto"/>
              </w:rPr>
            </w:pPr>
            <w:r>
              <w:rPr>
                <w:rFonts w:ascii="Courier New" w:cs="Courier New" w:eastAsia="Courier New" w:hAnsi="Courier New"/>
                <w:sz w:val="17"/>
                <w:szCs w:val="17"/>
                <w:color w:val="auto"/>
                <w:w w:val="98"/>
              </w:rPr>
              <w:t>Issuance of common stock under option program (1)</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221</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420" w:type="dxa"/>
            <w:vAlign w:val="bottom"/>
          </w:tcPr>
          <w:p>
            <w:pPr>
              <w:ind w:left="20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1,573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9,221</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420" w:type="dxa"/>
            <w:vAlign w:val="bottom"/>
          </w:tcPr>
          <w:p>
            <w:pPr>
              <w:spacing w:after="0"/>
              <w:rPr>
                <w:sz w:val="20"/>
                <w:szCs w:val="20"/>
                <w:color w:val="auto"/>
              </w:rPr>
            </w:pPr>
            <w:r>
              <w:rPr>
                <w:rFonts w:ascii="Courier New" w:cs="Courier New" w:eastAsia="Courier New" w:hAnsi="Courier New"/>
                <w:sz w:val="17"/>
                <w:szCs w:val="17"/>
                <w:color w:val="auto"/>
              </w:rPr>
              <w:t>Net increase (decrease) in cash and cash equivalents</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(988)</w:t>
            </w:r>
          </w:p>
        </w:tc>
      </w:tr>
      <w:tr>
        <w:trPr>
          <w:trHeight w:val="193"/>
        </w:trPr>
        <w:tc>
          <w:tcPr>
            <w:tcW w:w="542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5420" w:type="dxa"/>
            <w:vAlign w:val="bottom"/>
          </w:tcPr>
          <w:p>
            <w:pPr>
              <w:ind w:left="400"/>
              <w:spacing w:after="0"/>
              <w:rPr>
                <w:sz w:val="20"/>
                <w:szCs w:val="20"/>
                <w:color w:val="auto"/>
              </w:rPr>
            </w:pPr>
            <w:r>
              <w:rPr>
                <w:rFonts w:ascii="Courier New" w:cs="Courier New" w:eastAsia="Courier New" w:hAnsi="Courier New"/>
                <w:sz w:val="17"/>
                <w:szCs w:val="17"/>
                <w:color w:val="auto"/>
              </w:rPr>
              <w:t>Beginning of the year</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1,473</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3,390</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5420" w:type="dxa"/>
            <w:vAlign w:val="bottom"/>
          </w:tcPr>
          <w:p>
            <w:pPr>
              <w:ind w:left="400"/>
              <w:spacing w:after="0"/>
              <w:rPr>
                <w:sz w:val="20"/>
                <w:szCs w:val="20"/>
                <w:color w:val="auto"/>
              </w:rPr>
            </w:pPr>
            <w:r>
              <w:rPr>
                <w:rFonts w:ascii="Courier New" w:cs="Courier New" w:eastAsia="Courier New" w:hAnsi="Courier New"/>
                <w:sz w:val="17"/>
                <w:szCs w:val="17"/>
                <w:color w:val="auto"/>
              </w:rPr>
              <w:t>End of the quarter</w:t>
            </w:r>
          </w:p>
        </w:tc>
        <w:tc>
          <w:tcPr>
            <w:tcW w:w="140" w:type="dxa"/>
            <w:vAlign w:val="bottom"/>
          </w:tcPr>
          <w:p>
            <w:pPr>
              <w:spacing w:after="0"/>
              <w:rPr>
                <w:sz w:val="16"/>
                <w:szCs w:val="16"/>
                <w:color w:val="auto"/>
              </w:rPr>
            </w:pP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$ 1,490</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$ 2,402</w:t>
            </w:r>
          </w:p>
        </w:tc>
      </w:tr>
      <w:tr>
        <w:trPr>
          <w:trHeight w:val="193"/>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w w:val="99"/>
              </w:rPr>
              <w:t>====================</w:t>
            </w:r>
          </w:p>
        </w:tc>
      </w:tr>
    </w:tbl>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(1)Net of related tax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100" w:right="2199" w:hanging="400"/>
        <w:spacing w:after="0" w:line="236" w:lineRule="auto"/>
        <w:rPr>
          <w:sz w:val="20"/>
          <w:szCs w:val="20"/>
          <w:color w:val="auto"/>
        </w:rPr>
      </w:pPr>
      <w:r>
        <w:rPr>
          <w:rFonts w:ascii="Courier New" w:cs="Courier New" w:eastAsia="Courier New" w:hAnsi="Courier New"/>
          <w:sz w:val="17"/>
          <w:szCs w:val="17"/>
          <w:color w:val="auto"/>
        </w:rPr>
        <w:t>The accompanying notes are an integral part of the consolidated financial statements.</w:t>
      </w:r>
    </w:p>
    <w:p>
      <w:pPr>
        <w:sectPr>
          <w:pgSz w:w="11900" w:h="16838" w:orient="portrait"/>
          <w:cols w:equalWidth="0" w:num="1">
            <w:col w:w="10219"/>
          </w:cols>
          <w:pgMar w:left="240" w:top="881" w:right="1440" w:bottom="1440" w:gutter="0" w:footer="0" w:header="0"/>
        </w:sectPr>
      </w:pPr>
    </w:p>
    <w:bookmarkStart w:id="6" w:name="page7"/>
    <w:bookmarkEnd w:id="6"/>
    <w:p>
      <w:pPr>
        <w:spacing w:after="0" w:line="6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DESIGNS, INC.</w:t>
      </w:r>
    </w:p>
    <w:p>
      <w:pPr>
        <w:jc w:val="center"/>
        <w:ind w:right="219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93" w:lineRule="exact"/>
        <w:rPr>
          <w:sz w:val="20"/>
          <w:szCs w:val="20"/>
          <w:color w:val="auto"/>
        </w:rPr>
      </w:pPr>
    </w:p>
    <w:p>
      <w:pPr>
        <w:ind w:left="900" w:hanging="897"/>
        <w:spacing w:after="0"/>
        <w:tabs>
          <w:tab w:leader="none" w:pos="9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January 31, 1998. The Company's business has historically been seasonal in nature and the results of the interim periods presented are not necessarily indicative of the results to be expected for the full year.</w:t>
      </w:r>
    </w:p>
    <w:p>
      <w:pPr>
        <w:spacing w:after="0" w:line="196" w:lineRule="exact"/>
        <w:rPr>
          <w:sz w:val="20"/>
          <w:szCs w:val="20"/>
          <w:color w:val="auto"/>
        </w:rPr>
      </w:pPr>
    </w:p>
    <w:p>
      <w:pPr>
        <w:ind w:left="900" w:hanging="897"/>
        <w:spacing w:after="0"/>
        <w:tabs>
          <w:tab w:leader="none" w:pos="9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Minority Interest</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(the "Designs JV Subsidiary"), and LDJV Inc., a subsidiary of Levi's Only Stores, Inc. ("LOS"), which is a wholly-owned subsidiary of Levi Strauss &amp; Co., entered into a partnership agreement (the "Partnership Agreement"). The purpose of the Partnership Agreement was to sell Levi's(R) brand jeans and jeans-related products in Original Levi's Stores(R) and Levi's(R) Outlet stores in a specified territory. The joint venture established under the Partnership Agreement is known as The Designs/OLS Partnership (the "OLS Partnership"). The operating results of the OLS Partnership are consolidated with the financial statements of the Company for the three, nine and twelve months ended October 31, 1998. Minority interest represents LDJV Inc.'s 30% interest in the OLS Partnership.</w:t>
      </w:r>
    </w:p>
    <w:p>
      <w:pPr>
        <w:spacing w:after="0" w:line="194" w:lineRule="exact"/>
        <w:rPr>
          <w:sz w:val="20"/>
          <w:szCs w:val="20"/>
          <w:color w:val="auto"/>
        </w:rPr>
      </w:pPr>
    </w:p>
    <w:p>
      <w:pPr>
        <w:jc w:val="both"/>
        <w:ind w:right="2499"/>
        <w:spacing w:after="0" w:line="238" w:lineRule="auto"/>
        <w:rPr>
          <w:sz w:val="20"/>
          <w:szCs w:val="20"/>
          <w:color w:val="auto"/>
        </w:rPr>
      </w:pPr>
      <w:r>
        <w:rPr>
          <w:rFonts w:ascii="Courier New" w:cs="Courier New" w:eastAsia="Courier New" w:hAnsi="Courier New"/>
          <w:sz w:val="17"/>
          <w:szCs w:val="17"/>
          <w:color w:val="auto"/>
        </w:rPr>
        <w:t>During the first nine months of fiscal 1997, the OLS Partnership distributed $3.7 million in "Excess Cash" to its partners in accordance with the terms of the Partnership Agreement. During the first nine months of fiscal 1998, there were no cash distributions to the partners.</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October 1998, the Company announced that it had reached an agreement with LOS to terminate the OLS Partnership. Pursuant to this agreement the OLS Partnership distributed to the Designs JV Subsidiary 11 Levi's(R) Outlet stores, valued at a net book value of approximately $6.3 million. In addition, the OLS Partnership distributed three Original Levi's Stores(R) to LDJV Inc. The net book value of these three Original Levi's Stores(R) was approximately $5.5 million, which was greater than LDJV Inc.'s equity interest in the OLS Partnership. Consequently, LDJV Inc. made a $2.9 million capital contribution of cash to the OLS Partnership at October 31, 1998.</w:t>
      </w:r>
    </w:p>
    <w:p>
      <w:pPr>
        <w:spacing w:after="0" w:line="201"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In connection with the plan to dissolve and wind up the OLS Partnership, the partnership recorded a pre-tax charge of $4.5 million related to the closing of the eight Original Levi's Stores(R) that it did not distribute. This $4.5 million charge is included in the total $13.4 million charge recorded by the Company on a consolidated basis and is discussed in Note 5 below. This charge includes cash costs of approximately $2.9 million related to lease terminations, severance and other costs. The remaining $1.6 million of non-cash costs were related to fixed asset write-offs. Barring unforeseen circumstances, the Company expects to close these stores by the end of fiscal 1998.</w:t>
      </w:r>
    </w:p>
    <w:p>
      <w:pPr>
        <w:spacing w:after="0" w:line="182" w:lineRule="exact"/>
        <w:rPr>
          <w:sz w:val="20"/>
          <w:szCs w:val="20"/>
          <w:color w:val="auto"/>
        </w:rPr>
      </w:pPr>
    </w:p>
    <w:p>
      <w:pPr>
        <w:ind w:left="900" w:hanging="897"/>
        <w:spacing w:after="0"/>
        <w:tabs>
          <w:tab w:leader="none" w:pos="9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Outlet Store Acquisition</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On September 30, 1998, the Company completed the acquisition of 25 outlet stores from LOS for a purchase price of approximately $9.7 million, subject to adjustment in the 60 to 90 days following the acquisition date. These stores, 16 of which now operate under the names "Dockers(R) Outlet by Designs" and nine of which operate under the name "Levi's(R) Outlet by Designs", are located in the eastern United States. The majority of the purchase price for these stores, approximately $5.1 million, was for inventory. The remainder of the purchase price, approximately $4.6 million, was for fixed assets associated with these stores. The Company also assumed the obligations associated with the real estate leases for the stores.</w:t>
      </w:r>
    </w:p>
    <w:p>
      <w:pPr>
        <w:spacing w:after="0" w:line="197" w:lineRule="exact"/>
        <w:rPr>
          <w:sz w:val="20"/>
          <w:szCs w:val="20"/>
          <w:color w:val="auto"/>
        </w:rPr>
      </w:pPr>
    </w:p>
    <w:p>
      <w:pPr>
        <w:ind w:left="1000" w:hanging="997"/>
        <w:spacing w:after="0"/>
        <w:tabs>
          <w:tab w:leader="none" w:pos="10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Results of Operations</w:t>
      </w:r>
    </w:p>
    <w:p>
      <w:pPr>
        <w:spacing w:after="0" w:line="198"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The following pro forma summary presents the consolidated results of operations of the Company, adjusted for: (a) the acquisition of the 25 outlet stores, and</w:t>
      </w:r>
    </w:p>
    <w:p>
      <w:pPr>
        <w:ind w:right="2299" w:firstLine="3"/>
        <w:spacing w:after="0" w:line="236" w:lineRule="auto"/>
        <w:tabs>
          <w:tab w:leader="none" w:pos="40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30% of the earnings of the 11 Levi's(R) Outlet stores that were distributed by the OLS Partnership.</w:t>
      </w:r>
    </w:p>
    <w:p>
      <w:pPr>
        <w:spacing w:after="0" w:line="199"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The results of operations for the three, nine and twelve month periods ended October 31, 1998 include the results of operations since September 30, 1998 of the 25 outlet stores acquired from LOS. The following pro forma results have been adjusted to include results of operations for these stores for the period November 3, 1996 through September 30, 1998.</w:t>
      </w:r>
    </w:p>
    <w:p>
      <w:pPr>
        <w:spacing w:after="0" w:line="202" w:lineRule="exact"/>
        <w:rPr>
          <w:sz w:val="20"/>
          <w:szCs w:val="20"/>
          <w:color w:val="auto"/>
        </w:rPr>
      </w:pPr>
    </w:p>
    <w:p>
      <w:pPr>
        <w:ind w:right="2699"/>
        <w:spacing w:after="0" w:line="262" w:lineRule="auto"/>
        <w:rPr>
          <w:sz w:val="20"/>
          <w:szCs w:val="20"/>
          <w:color w:val="auto"/>
        </w:rPr>
      </w:pPr>
      <w:r>
        <w:rPr>
          <w:rFonts w:ascii="Courier New" w:cs="Courier New" w:eastAsia="Courier New" w:hAnsi="Courier New"/>
          <w:sz w:val="16"/>
          <w:szCs w:val="16"/>
          <w:color w:val="auto"/>
        </w:rPr>
        <w:t>In addition, the results of operations for the three, nine and twelve month periods ended October 31, 1998 include the results of operations for the 11</w:t>
      </w:r>
    </w:p>
    <w:p>
      <w:pPr>
        <w:sectPr>
          <w:pgSz w:w="11900" w:h="16901" w:orient="portrait"/>
          <w:cols w:equalWidth="0" w:num="1">
            <w:col w:w="10219"/>
          </w:cols>
          <w:pgMar w:left="240" w:top="881" w:right="1440" w:bottom="0" w:gutter="0" w:footer="0" w:header="0"/>
        </w:sectPr>
      </w:pPr>
    </w:p>
    <w:bookmarkStart w:id="7" w:name="page8"/>
    <w:bookmarkEnd w:id="7"/>
    <w:p>
      <w:pPr>
        <w:ind w:right="2499"/>
        <w:spacing w:after="0" w:line="238" w:lineRule="auto"/>
        <w:rPr>
          <w:sz w:val="20"/>
          <w:szCs w:val="20"/>
          <w:color w:val="auto"/>
        </w:rPr>
      </w:pPr>
      <w:r>
        <w:rPr>
          <w:rFonts w:ascii="Courier New" w:cs="Courier New" w:eastAsia="Courier New" w:hAnsi="Courier New"/>
          <w:sz w:val="17"/>
          <w:szCs w:val="17"/>
          <w:color w:val="auto"/>
        </w:rPr>
        <w:t>Levi's(R) Outlet stores that were owned and operated by the OLS Partnership until October 31, 1998. The following pro forma results have been adjusted to assume that these 11 stores were wholly-owned by the Company for the period November 3, 1996 through October 31, 1998.</w:t>
      </w:r>
    </w:p>
    <w:p>
      <w:pPr>
        <w:spacing w:after="0" w:line="19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(In thousands,</w:t>
      </w:r>
    </w:p>
    <w:p>
      <w:pPr>
        <w:ind w:left="100"/>
        <w:spacing w:after="0"/>
        <w:rPr>
          <w:sz w:val="20"/>
          <w:szCs w:val="20"/>
          <w:color w:val="auto"/>
        </w:rPr>
      </w:pPr>
      <w:r>
        <w:rPr>
          <w:rFonts w:ascii="Courier New" w:cs="Courier New" w:eastAsia="Courier New" w:hAnsi="Courier New"/>
          <w:sz w:val="17"/>
          <w:szCs w:val="17"/>
          <w:color w:val="auto"/>
        </w:rPr>
        <w:t>except per share data)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(loss)</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6"/>
          <w:szCs w:val="16"/>
          <w:color w:val="auto"/>
        </w:rPr>
        <w:t>For the For the For the Three months ended Nine months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Twelve months ended 10/31/98 11/1/97 10/31/98 11/1/97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10/31/98 11/1/97</w:t>
      </w:r>
    </w:p>
    <w:p>
      <w:pPr>
        <w:spacing w:after="0"/>
        <w:tabs>
          <w:tab w:leader="none" w:pos="2000" w:val="left"/>
          <w:tab w:leader="none" w:pos="4100" w:val="left"/>
        </w:tabs>
        <w:rPr>
          <w:sz w:val="20"/>
          <w:szCs w:val="20"/>
          <w:color w:val="auto"/>
        </w:rPr>
      </w:pPr>
      <w:r>
        <w:rPr>
          <w:rFonts w:ascii="Courier New" w:cs="Courier New" w:eastAsia="Courier New" w:hAnsi="Courier New"/>
          <w:sz w:val="17"/>
          <w:szCs w:val="17"/>
          <w:color w:val="auto"/>
        </w:rPr>
        <w:t>------------------</w:t>
        <w:tab/>
        <w:t>------------------</w:t>
      </w:r>
      <w:r>
        <w:rPr>
          <w:sz w:val="20"/>
          <w:szCs w:val="20"/>
          <w:color w:val="auto"/>
        </w:rPr>
        <w:tab/>
      </w:r>
      <w:r>
        <w:rPr>
          <w:rFonts w:ascii="Courier New" w:cs="Courier New" w:eastAsia="Courier New" w:hAnsi="Courier New"/>
          <w:sz w:val="16"/>
          <w:szCs w:val="16"/>
          <w:color w:val="auto"/>
        </w:rPr>
        <w:t>------------------</w:t>
      </w:r>
    </w:p>
    <w:p>
      <w:pPr>
        <w:spacing w:after="0"/>
        <w:tabs>
          <w:tab w:leader="none" w:pos="980" w:val="left"/>
          <w:tab w:leader="none" w:pos="2000" w:val="left"/>
          <w:tab w:leader="none" w:pos="3000" w:val="left"/>
          <w:tab w:leader="none" w:pos="4000" w:val="left"/>
          <w:tab w:leader="none" w:pos="5000" w:val="left"/>
        </w:tabs>
        <w:rPr>
          <w:sz w:val="20"/>
          <w:szCs w:val="20"/>
          <w:color w:val="auto"/>
        </w:rPr>
      </w:pPr>
      <w:r>
        <w:rPr>
          <w:rFonts w:ascii="Courier New" w:cs="Courier New" w:eastAsia="Courier New" w:hAnsi="Courier New"/>
          <w:sz w:val="17"/>
          <w:szCs w:val="17"/>
          <w:color w:val="auto"/>
        </w:rPr>
        <w:t>$64,282</w:t>
        <w:tab/>
        <w:t>$86,866</w:t>
        <w:tab/>
        <w:t>$165,793</w:t>
        <w:tab/>
        <w:t>$217,738</w:t>
        <w:tab/>
        <w:t>$241,358</w:t>
      </w:r>
      <w:r>
        <w:rPr>
          <w:sz w:val="20"/>
          <w:szCs w:val="20"/>
          <w:color w:val="auto"/>
        </w:rPr>
        <w:tab/>
      </w:r>
      <w:r>
        <w:rPr>
          <w:rFonts w:ascii="Courier New" w:cs="Courier New" w:eastAsia="Courier New" w:hAnsi="Courier New"/>
          <w:sz w:val="16"/>
          <w:szCs w:val="16"/>
          <w:color w:val="auto"/>
        </w:rPr>
        <w:t>$303,460</w:t>
      </w:r>
    </w:p>
    <w:p>
      <w:pPr>
        <w:ind w:left="100"/>
        <w:spacing w:after="0"/>
        <w:tabs>
          <w:tab w:leader="none" w:pos="1400" w:val="left"/>
          <w:tab w:leader="none" w:pos="2100" w:val="left"/>
          <w:tab w:leader="none" w:pos="3100" w:val="left"/>
          <w:tab w:leader="none" w:pos="4100" w:val="left"/>
          <w:tab w:leader="none" w:pos="5100" w:val="left"/>
        </w:tabs>
        <w:rPr>
          <w:sz w:val="20"/>
          <w:szCs w:val="20"/>
          <w:color w:val="auto"/>
        </w:rPr>
      </w:pPr>
      <w:r>
        <w:rPr>
          <w:rFonts w:ascii="Courier New" w:cs="Courier New" w:eastAsia="Courier New" w:hAnsi="Courier New"/>
          <w:sz w:val="17"/>
          <w:szCs w:val="17"/>
          <w:color w:val="auto"/>
        </w:rPr>
        <w:t>(8,064)</w:t>
      </w:r>
      <w:r>
        <w:rPr>
          <w:sz w:val="20"/>
          <w:szCs w:val="20"/>
          <w:color w:val="auto"/>
        </w:rPr>
        <w:tab/>
      </w:r>
      <w:r>
        <w:rPr>
          <w:rFonts w:ascii="Courier New" w:cs="Courier New" w:eastAsia="Courier New" w:hAnsi="Courier New"/>
          <w:sz w:val="17"/>
          <w:szCs w:val="17"/>
          <w:color w:val="auto"/>
        </w:rPr>
        <w:t>912</w:t>
      </w:r>
      <w:r>
        <w:rPr>
          <w:sz w:val="20"/>
          <w:szCs w:val="20"/>
          <w:color w:val="auto"/>
        </w:rPr>
        <w:tab/>
      </w:r>
      <w:r>
        <w:rPr>
          <w:rFonts w:ascii="Courier New" w:cs="Courier New" w:eastAsia="Courier New" w:hAnsi="Courier New"/>
          <w:sz w:val="17"/>
          <w:szCs w:val="17"/>
          <w:color w:val="auto"/>
        </w:rPr>
        <w:t>(14,434)</w:t>
        <w:tab/>
        <w:t>(18,607)</w:t>
        <w:tab/>
        <w:t>(22,664)</w:t>
      </w:r>
      <w:r>
        <w:rPr>
          <w:sz w:val="20"/>
          <w:szCs w:val="20"/>
          <w:color w:val="auto"/>
        </w:rPr>
        <w:tab/>
      </w:r>
      <w:r>
        <w:rPr>
          <w:rFonts w:ascii="Courier New" w:cs="Courier New" w:eastAsia="Courier New" w:hAnsi="Courier New"/>
          <w:sz w:val="16"/>
          <w:szCs w:val="16"/>
          <w:color w:val="auto"/>
        </w:rPr>
        <w:t>(15,819)</w:t>
      </w:r>
    </w:p>
    <w:p>
      <w:pPr>
        <w:spacing w:after="0" w:line="6" w:lineRule="exact"/>
        <w:rPr>
          <w:sz w:val="20"/>
          <w:szCs w:val="20"/>
          <w:color w:val="auto"/>
        </w:rPr>
      </w:pPr>
    </w:p>
    <w:p>
      <w:pPr>
        <w:sectPr>
          <w:pgSz w:w="11900" w:h="16838" w:orient="portrait"/>
          <w:cols w:equalWidth="0" w:num="2">
            <w:col w:w="1700" w:space="300"/>
            <w:col w:w="821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Net income (loss)</w:t>
      </w:r>
    </w:p>
    <w:p>
      <w:pPr>
        <w:sectPr>
          <w:pgSz w:w="11900" w:h="16838" w:orient="portrait"/>
          <w:cols w:equalWidth="0" w:num="1">
            <w:col w:w="10219"/>
          </w:cols>
          <w:pgMar w:left="240" w:top="142" w:right="1440" w:bottom="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(0.51)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0.06</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(0.91)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(1.19)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(1.44)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(1.01)</w:t>
      </w:r>
    </w:p>
    <w:p>
      <w:pPr>
        <w:spacing w:after="0" w:line="198" w:lineRule="exact"/>
        <w:rPr>
          <w:sz w:val="20"/>
          <w:szCs w:val="20"/>
          <w:color w:val="auto"/>
        </w:rPr>
      </w:pPr>
    </w:p>
    <w:p>
      <w:pPr>
        <w:sectPr>
          <w:pgSz w:w="11900" w:h="16838" w:orient="portrait"/>
          <w:cols w:equalWidth="0" w:num="7">
            <w:col w:w="1280" w:space="720"/>
            <w:col w:w="800" w:space="200"/>
            <w:col w:w="720" w:space="300"/>
            <w:col w:w="1100" w:space="200"/>
            <w:col w:w="800" w:space="200"/>
            <w:col w:w="800" w:space="200"/>
            <w:col w:w="2899"/>
          </w:cols>
          <w:pgMar w:left="240" w:top="142" w:right="1440" w:bottom="0" w:gutter="0" w:footer="0" w:header="0"/>
          <w:type w:val="continuous"/>
        </w:sectPr>
      </w:pPr>
    </w:p>
    <w:p>
      <w:pPr>
        <w:ind w:left="900" w:hanging="897"/>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Charge for Store Closings</w:t>
      </w:r>
    </w:p>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During the third quarter of fiscal 1998, the Company recorded a pre-tax charge of $13.4 million, or $0.47 per share after tax, related to its decision to close 14 Designs stores, eight Boston Trading Co.(R)/BTC(TM) stores and eight Original Levi's Stores(R) operated by the OLS Partnership, which is discussed in Note 2 above.</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This charge includes cash costs of approximately $7.0 million related to lease terminations, severance and other related costs and non-cash costs of approximately $6.4 million related to the write-off of fixed assets. At October 31, 1998 the $7.0 million of cash costs is included in Reserve for Severance and Store Closings on the Consolidated Balance Sheet. Property and Equipment on the Consolidated Balance Sheet is net of the $6.4 million related to write-off of fixed assets.</w:t>
      </w:r>
    </w:p>
    <w:p>
      <w:pPr>
        <w:spacing w:after="0" w:line="199"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estimated earnings and cash flow benefits expected, barring unforeseen circumstances, to be derived from these store closures are $3.9 million and $5.9 million, respectively, for fiscal 1999 and $3.6 million and $5.5 million, respectively, for fiscal 2000.</w:t>
      </w:r>
    </w:p>
    <w:p>
      <w:pPr>
        <w:spacing w:after="0" w:line="194" w:lineRule="exact"/>
        <w:rPr>
          <w:sz w:val="20"/>
          <w:szCs w:val="20"/>
          <w:color w:val="auto"/>
        </w:rPr>
      </w:pPr>
    </w:p>
    <w:p>
      <w:pPr>
        <w:ind w:left="900" w:hanging="897"/>
        <w:spacing w:after="0"/>
        <w:tabs>
          <w:tab w:leader="none" w:pos="9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Boston Trading Ltd., Inc. Acquisition</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original principal amount of $1 million (the "Purchase Note") payable in two equal annual installments through May 2, 1997. In the first quarter of fiscal 1996, the Company asserted rights of indemnification under the Asset Purchase Agreement. In accordance with that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due on the Purchase Note on May 2, 1996 and May 2, 1997. Nevertheless, the Company continued to pay interest on the original principal amount of the Purchase Note through May 2, 1996 and continued to pay interest thereafter through November 2, 1997 on $500,000 of principal. In January 1998, Atlantic Harbor, Inc. (formerly known as "Boston Trading Ltd., Inc.") filed a lawsuit against the Company for refusing to pay the purportedly outstanding principal amount of the Purchase Note. Thereafter, the Company filed claims against Atlantic Harbor, Inc. and its stockholders alleging that the Company was damaged in excess of $1 million because of the breach of certain representations and warranties concerning, among other things, the existence and condition of certain foreign trademark registrations and license agreements. Barring unforeseen circumstances, management of the Company does not believe that the result of this litigation will have a material adverse impact on the Company's business or financial condition.</w:t>
      </w:r>
    </w:p>
    <w:p>
      <w:pPr>
        <w:spacing w:after="0" w:line="212" w:lineRule="exact"/>
        <w:rPr>
          <w:sz w:val="20"/>
          <w:szCs w:val="20"/>
          <w:color w:val="auto"/>
        </w:rPr>
      </w:pPr>
    </w:p>
    <w:p>
      <w:pPr>
        <w:ind w:left="900" w:hanging="897"/>
        <w:spacing w:after="0"/>
        <w:tabs>
          <w:tab w:leader="none" w:pos="9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Credit Facility</w:t>
      </w:r>
    </w:p>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a subsidiary of BankBoston, N.A., BankBoston Retail Finance Inc., as agent for the lenders named therein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 obligations under the Credit Agreement are secured by a lien on all of the Company's assets, except the assets of the OLS Partnership.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w:t>
      </w:r>
    </w:p>
    <w:p>
      <w:pPr>
        <w:sectPr>
          <w:pgSz w:w="11900" w:h="16838" w:orient="portrait"/>
          <w:cols w:equalWidth="0" w:num="1">
            <w:col w:w="10219"/>
          </w:cols>
          <w:pgMar w:left="240" w:top="142" w:right="1440" w:bottom="0" w:gutter="0" w:footer="0" w:header="0"/>
          <w:type w:val="continuous"/>
        </w:sectPr>
      </w:pPr>
    </w:p>
    <w:bookmarkStart w:id="8" w:name="page9"/>
    <w:bookmarkEnd w:id="8"/>
    <w:p>
      <w:pPr>
        <w:ind w:right="2299"/>
        <w:spacing w:after="0" w:line="237" w:lineRule="auto"/>
        <w:rPr>
          <w:sz w:val="20"/>
          <w:szCs w:val="20"/>
          <w:color w:val="auto"/>
        </w:rPr>
      </w:pPr>
      <w:r>
        <w:rPr>
          <w:rFonts w:ascii="Courier New" w:cs="Courier New" w:eastAsia="Courier New" w:hAnsi="Courier New"/>
          <w:sz w:val="17"/>
          <w:szCs w:val="17"/>
          <w:color w:val="auto"/>
        </w:rPr>
        <w:t>change of control provisions and limitations on payment of dividends by the Company. The Company is subject to a prepayment penalty of $250,000 to $500,000 if the Credit Agreement terminates prior to June 4, 2000.</w:t>
      </w:r>
    </w:p>
    <w:p>
      <w:pPr>
        <w:spacing w:after="0" w:line="200"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In the third quarter of fiscal 1998, the Credit Agreement was amended to, among other things, permit and acknowledge the Company's acquisition of the 25 outlet stores from LOS and the transactions associated with the agreement to dissolve and wind up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its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195" w:lineRule="exact"/>
        <w:rPr>
          <w:sz w:val="20"/>
          <w:szCs w:val="20"/>
          <w:color w:val="auto"/>
        </w:rPr>
      </w:pPr>
    </w:p>
    <w:p>
      <w:pPr>
        <w:ind w:right="2399"/>
        <w:spacing w:after="0" w:line="257" w:lineRule="auto"/>
        <w:rPr>
          <w:sz w:val="20"/>
          <w:szCs w:val="20"/>
          <w:color w:val="auto"/>
        </w:rPr>
      </w:pPr>
      <w:r>
        <w:rPr>
          <w:rFonts w:ascii="Courier New" w:cs="Courier New" w:eastAsia="Courier New" w:hAnsi="Courier New"/>
          <w:sz w:val="16"/>
          <w:szCs w:val="16"/>
          <w:color w:val="auto"/>
        </w:rPr>
        <w:t>At October 31, 1998 the Company had borrowings of approximately $10.3 million outstanding under this facility and had two outstanding standby letters of credit totaling approximately $228,000. The Company was in compliance with all debt covenants under the Credit Agreement at the end of the third quarter.</w:t>
      </w:r>
    </w:p>
    <w:p>
      <w:pPr>
        <w:spacing w:after="0" w:line="182" w:lineRule="exact"/>
        <w:rPr>
          <w:sz w:val="20"/>
          <w:szCs w:val="20"/>
          <w:color w:val="auto"/>
        </w:rPr>
      </w:pPr>
    </w:p>
    <w:p>
      <w:pPr>
        <w:ind w:left="900" w:hanging="897"/>
        <w:spacing w:after="0"/>
        <w:tabs>
          <w:tab w:leader="none" w:pos="9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(Loss) Per Share</w:t>
      </w:r>
    </w:p>
    <w:p>
      <w:pPr>
        <w:spacing w:after="0" w:line="198"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The Company follows Statement of Financial Accounting Standards No. 128, "Earnings per Share". The following table reconciles the numerator and the denominator of the basic and diluted earnings per share (EPS) as shown on the Consolidated Statements of Income.</w:t>
      </w:r>
    </w:p>
    <w:p>
      <w:pPr>
        <w:spacing w:after="0" w:line="19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7"/>
          <w:szCs w:val="17"/>
          <w:color w:val="auto"/>
        </w:rPr>
        <w:t>(In thousands,</w:t>
      </w:r>
    </w:p>
    <w:p>
      <w:pPr>
        <w:spacing w:after="0" w:line="6"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except per share data)</w:t>
      </w:r>
    </w:p>
    <w:p>
      <w:pPr>
        <w:spacing w:after="0" w:line="11" w:lineRule="exact"/>
        <w:rPr>
          <w:sz w:val="20"/>
          <w:szCs w:val="20"/>
          <w:color w:val="auto"/>
        </w:rPr>
      </w:pPr>
    </w:p>
    <w:p>
      <w:pPr>
        <w:jc w:val="both"/>
        <w:ind w:left="2000" w:right="2199" w:firstLine="601"/>
        <w:spacing w:after="0" w:line="237" w:lineRule="auto"/>
        <w:rPr>
          <w:sz w:val="20"/>
          <w:szCs w:val="20"/>
          <w:color w:val="auto"/>
        </w:rPr>
      </w:pPr>
      <w:r>
        <w:rPr>
          <w:rFonts w:ascii="Courier New" w:cs="Courier New" w:eastAsia="Courier New" w:hAnsi="Courier New"/>
          <w:sz w:val="17"/>
          <w:szCs w:val="17"/>
          <w:color w:val="auto"/>
        </w:rPr>
        <w:t>For the For the For the Three months ended Nine months ended Twelve months ended 10/31/98 11/1/97 10/31/98 11/1/97 10/31/98 11/1/97</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Basic EPS</w:t>
      </w:r>
    </w:p>
    <w:p>
      <w:pPr>
        <w:spacing w:after="0"/>
        <w:rPr>
          <w:sz w:val="20"/>
          <w:szCs w:val="20"/>
          <w:color w:val="auto"/>
        </w:rPr>
      </w:pPr>
      <w:r>
        <w:rPr>
          <w:rFonts w:ascii="Courier New" w:cs="Courier New" w:eastAsia="Courier New" w:hAnsi="Courier New"/>
          <w:sz w:val="17"/>
          <w:szCs w:val="17"/>
          <w:color w:val="auto"/>
        </w:rPr>
        <w:t>Computation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060" w:type="dxa"/>
            <w:vAlign w:val="bottom"/>
          </w:tcPr>
          <w:p>
            <w:pPr>
              <w:ind w:left="200"/>
              <w:spacing w:after="0"/>
              <w:rPr>
                <w:sz w:val="20"/>
                <w:szCs w:val="20"/>
                <w:color w:val="auto"/>
              </w:rPr>
            </w:pPr>
            <w:r>
              <w:rPr>
                <w:rFonts w:ascii="Courier New" w:cs="Courier New" w:eastAsia="Courier New" w:hAnsi="Courier New"/>
                <w:sz w:val="17"/>
                <w:szCs w:val="17"/>
                <w:color w:val="auto"/>
              </w:rPr>
              <w:t>Net loss</w:t>
            </w:r>
          </w:p>
        </w:tc>
        <w:tc>
          <w:tcPr>
            <w:tcW w:w="1000" w:type="dxa"/>
            <w:vAlign w:val="bottom"/>
          </w:tcPr>
          <w:p>
            <w:pPr>
              <w:ind w:left="140"/>
              <w:spacing w:after="0"/>
              <w:rPr>
                <w:sz w:val="20"/>
                <w:szCs w:val="20"/>
                <w:color w:val="auto"/>
              </w:rPr>
            </w:pPr>
            <w:r>
              <w:rPr>
                <w:rFonts w:ascii="Courier New" w:cs="Courier New" w:eastAsia="Courier New" w:hAnsi="Courier New"/>
                <w:sz w:val="17"/>
                <w:szCs w:val="17"/>
                <w:color w:val="auto"/>
              </w:rPr>
              <w:t>$(8,746)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$(567)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$(14,892)</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$(20,331)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$(23,606)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$(18,140)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06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060" w:type="dxa"/>
            <w:vAlign w:val="bottom"/>
          </w:tcPr>
          <w:p>
            <w:pPr>
              <w:ind w:left="300"/>
              <w:spacing w:after="0"/>
              <w:rPr>
                <w:sz w:val="20"/>
                <w:szCs w:val="20"/>
                <w:color w:val="auto"/>
              </w:rPr>
            </w:pPr>
            <w:r>
              <w:rPr>
                <w:rFonts w:ascii="Courier New" w:cs="Courier New" w:eastAsia="Courier New" w:hAnsi="Courier New"/>
                <w:sz w:val="17"/>
                <w:szCs w:val="17"/>
                <w:color w:val="auto"/>
              </w:rPr>
              <w:t>common shares</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060" w:type="dxa"/>
            <w:vAlign w:val="bottom"/>
          </w:tcPr>
          <w:p>
            <w:pPr>
              <w:ind w:left="300"/>
              <w:spacing w:after="0"/>
              <w:rPr>
                <w:sz w:val="20"/>
                <w:szCs w:val="20"/>
                <w:color w:val="auto"/>
              </w:rPr>
            </w:pPr>
            <w:r>
              <w:rPr>
                <w:rFonts w:ascii="Courier New" w:cs="Courier New" w:eastAsia="Courier New" w:hAnsi="Courier New"/>
                <w:sz w:val="17"/>
                <w:szCs w:val="17"/>
                <w:color w:val="auto"/>
              </w:rPr>
              <w:t>outstanding</w:t>
            </w:r>
          </w:p>
        </w:tc>
        <w:tc>
          <w:tcPr>
            <w:tcW w:w="1000" w:type="dxa"/>
            <w:vAlign w:val="bottom"/>
          </w:tcPr>
          <w:p>
            <w:pPr>
              <w:ind w:left="240"/>
              <w:spacing w:after="0"/>
              <w:rPr>
                <w:sz w:val="20"/>
                <w:szCs w:val="20"/>
                <w:color w:val="auto"/>
              </w:rPr>
            </w:pPr>
            <w:r>
              <w:rPr>
                <w:rFonts w:ascii="Courier New" w:cs="Courier New" w:eastAsia="Courier New" w:hAnsi="Courier New"/>
                <w:sz w:val="17"/>
                <w:szCs w:val="17"/>
                <w:color w:val="auto"/>
              </w:rPr>
              <w:t>15,867</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15,641</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15,789</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15,623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15,773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15,616</w:t>
            </w:r>
          </w:p>
        </w:tc>
      </w:tr>
      <w:tr>
        <w:trPr>
          <w:trHeight w:val="193"/>
        </w:trPr>
        <w:tc>
          <w:tcPr>
            <w:tcW w:w="2060" w:type="dxa"/>
            <w:vAlign w:val="bottom"/>
          </w:tcPr>
          <w:p>
            <w:pPr>
              <w:spacing w:after="0"/>
              <w:rPr>
                <w:sz w:val="16"/>
                <w:szCs w:val="16"/>
                <w:color w:val="auto"/>
              </w:rPr>
            </w:pPr>
          </w:p>
        </w:tc>
        <w:tc>
          <w:tcPr>
            <w:tcW w:w="5860" w:type="dxa"/>
            <w:vAlign w:val="bottom"/>
            <w:gridSpan w:val="6"/>
          </w:tcPr>
          <w:p>
            <w:pPr>
              <w:ind w:left="140"/>
              <w:spacing w:after="0"/>
              <w:rPr>
                <w:sz w:val="20"/>
                <w:szCs w:val="20"/>
                <w:color w:val="auto"/>
              </w:rPr>
            </w:pPr>
            <w:r>
              <w:rPr>
                <w:rFonts w:ascii="Courier New" w:cs="Courier New" w:eastAsia="Courier New" w:hAnsi="Courier New"/>
                <w:sz w:val="17"/>
                <w:szCs w:val="17"/>
                <w:color w:val="auto"/>
              </w:rPr>
              <w:t>-------------------------------------------------------</w:t>
            </w:r>
          </w:p>
        </w:tc>
      </w:tr>
      <w:tr>
        <w:trPr>
          <w:trHeight w:val="193"/>
        </w:trPr>
        <w:tc>
          <w:tcPr>
            <w:tcW w:w="2060" w:type="dxa"/>
            <w:vAlign w:val="bottom"/>
          </w:tcPr>
          <w:p>
            <w:pPr>
              <w:ind w:left="600"/>
              <w:spacing w:after="0"/>
              <w:rPr>
                <w:sz w:val="20"/>
                <w:szCs w:val="20"/>
                <w:color w:val="auto"/>
              </w:rPr>
            </w:pPr>
            <w:r>
              <w:rPr>
                <w:rFonts w:ascii="Courier New" w:cs="Courier New" w:eastAsia="Courier New" w:hAnsi="Courier New"/>
                <w:sz w:val="17"/>
                <w:szCs w:val="17"/>
                <w:color w:val="auto"/>
              </w:rPr>
              <w:t>Basic EPS</w:t>
            </w:r>
          </w:p>
        </w:tc>
        <w:tc>
          <w:tcPr>
            <w:tcW w:w="1000" w:type="dxa"/>
            <w:vAlign w:val="bottom"/>
          </w:tcPr>
          <w:p>
            <w:pPr>
              <w:ind w:left="140"/>
              <w:spacing w:after="0"/>
              <w:rPr>
                <w:sz w:val="20"/>
                <w:szCs w:val="20"/>
                <w:color w:val="auto"/>
              </w:rPr>
            </w:pPr>
            <w:r>
              <w:rPr>
                <w:rFonts w:ascii="Courier New" w:cs="Courier New" w:eastAsia="Courier New" w:hAnsi="Courier New"/>
                <w:sz w:val="17"/>
                <w:szCs w:val="17"/>
                <w:color w:val="auto"/>
              </w:rPr>
              <w:t>$ (0.55)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(0.94)</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(1.30)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  (1.50)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  (1.16)</w:t>
            </w:r>
          </w:p>
        </w:tc>
      </w:tr>
      <w:tr>
        <w:trPr>
          <w:trHeight w:val="193"/>
        </w:trPr>
        <w:tc>
          <w:tcPr>
            <w:tcW w:w="2060" w:type="dxa"/>
            <w:vAlign w:val="bottom"/>
          </w:tcPr>
          <w:p>
            <w:pPr>
              <w:spacing w:after="0"/>
              <w:rPr>
                <w:sz w:val="16"/>
                <w:szCs w:val="16"/>
                <w:color w:val="auto"/>
              </w:rPr>
            </w:pPr>
          </w:p>
        </w:tc>
        <w:tc>
          <w:tcPr>
            <w:tcW w:w="5860" w:type="dxa"/>
            <w:vAlign w:val="bottom"/>
            <w:gridSpan w:val="6"/>
          </w:tcPr>
          <w:p>
            <w:pPr>
              <w:ind w:left="140"/>
              <w:spacing w:after="0"/>
              <w:rPr>
                <w:sz w:val="20"/>
                <w:szCs w:val="20"/>
                <w:color w:val="auto"/>
              </w:rPr>
            </w:pPr>
            <w:r>
              <w:rPr>
                <w:rFonts w:ascii="Courier New" w:cs="Courier New" w:eastAsia="Courier New" w:hAnsi="Courier New"/>
                <w:sz w:val="17"/>
                <w:szCs w:val="17"/>
                <w:color w:val="auto"/>
              </w:rPr>
              <w:t>=======================================================</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Diluted EPS</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Computation</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2060" w:type="dxa"/>
            <w:vAlign w:val="bottom"/>
          </w:tcPr>
          <w:p>
            <w:pPr>
              <w:spacing w:after="0"/>
              <w:rPr>
                <w:sz w:val="20"/>
                <w:szCs w:val="20"/>
                <w:color w:val="auto"/>
              </w:rPr>
            </w:pPr>
            <w:r>
              <w:rPr>
                <w:rFonts w:ascii="Courier New" w:cs="Courier New" w:eastAsia="Courier New" w:hAnsi="Courier New"/>
                <w:sz w:val="17"/>
                <w:szCs w:val="17"/>
                <w:color w:val="auto"/>
              </w:rPr>
              <w:t>Numerator:</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2060" w:type="dxa"/>
            <w:vAlign w:val="bottom"/>
          </w:tcPr>
          <w:p>
            <w:pPr>
              <w:ind w:left="200"/>
              <w:spacing w:after="0"/>
              <w:rPr>
                <w:sz w:val="20"/>
                <w:szCs w:val="20"/>
                <w:color w:val="auto"/>
              </w:rPr>
            </w:pPr>
            <w:r>
              <w:rPr>
                <w:rFonts w:ascii="Courier New" w:cs="Courier New" w:eastAsia="Courier New" w:hAnsi="Courier New"/>
                <w:sz w:val="17"/>
                <w:szCs w:val="17"/>
                <w:color w:val="auto"/>
              </w:rPr>
              <w:t>Net income (loss)</w:t>
            </w:r>
          </w:p>
        </w:tc>
        <w:tc>
          <w:tcPr>
            <w:tcW w:w="1000" w:type="dxa"/>
            <w:vAlign w:val="bottom"/>
          </w:tcPr>
          <w:p>
            <w:pPr>
              <w:ind w:left="140"/>
              <w:spacing w:after="0"/>
              <w:rPr>
                <w:sz w:val="20"/>
                <w:szCs w:val="20"/>
                <w:color w:val="auto"/>
              </w:rPr>
            </w:pPr>
            <w:r>
              <w:rPr>
                <w:rFonts w:ascii="Courier New" w:cs="Courier New" w:eastAsia="Courier New" w:hAnsi="Courier New"/>
                <w:sz w:val="17"/>
                <w:szCs w:val="17"/>
                <w:color w:val="auto"/>
              </w:rPr>
              <w:t>$(8,746)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$(567)</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$(14,892)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$(20,331)</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$(23,606)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$(18,140)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Denominator:</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060" w:type="dxa"/>
            <w:vAlign w:val="bottom"/>
          </w:tcPr>
          <w:p>
            <w:pPr>
              <w:ind w:left="200"/>
              <w:spacing w:after="0"/>
              <w:rPr>
                <w:sz w:val="20"/>
                <w:szCs w:val="20"/>
                <w:color w:val="auto"/>
              </w:rPr>
            </w:pPr>
            <w:r>
              <w:rPr>
                <w:rFonts w:ascii="Courier New" w:cs="Courier New" w:eastAsia="Courier New" w:hAnsi="Courier New"/>
                <w:sz w:val="17"/>
                <w:szCs w:val="17"/>
                <w:color w:val="auto"/>
              </w:rPr>
              <w:t>Weighted average</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060" w:type="dxa"/>
            <w:vAlign w:val="bottom"/>
          </w:tcPr>
          <w:p>
            <w:pPr>
              <w:ind w:left="300"/>
              <w:spacing w:after="0"/>
              <w:rPr>
                <w:sz w:val="20"/>
                <w:szCs w:val="20"/>
                <w:color w:val="auto"/>
              </w:rPr>
            </w:pPr>
            <w:r>
              <w:rPr>
                <w:rFonts w:ascii="Courier New" w:cs="Courier New" w:eastAsia="Courier New" w:hAnsi="Courier New"/>
                <w:sz w:val="17"/>
                <w:szCs w:val="17"/>
                <w:color w:val="auto"/>
              </w:rPr>
              <w:t>common shares</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2060" w:type="dxa"/>
            <w:vAlign w:val="bottom"/>
          </w:tcPr>
          <w:p>
            <w:pPr>
              <w:ind w:left="300"/>
              <w:spacing w:after="0"/>
              <w:rPr>
                <w:sz w:val="20"/>
                <w:szCs w:val="20"/>
                <w:color w:val="auto"/>
              </w:rPr>
            </w:pPr>
            <w:r>
              <w:rPr>
                <w:rFonts w:ascii="Courier New" w:cs="Courier New" w:eastAsia="Courier New" w:hAnsi="Courier New"/>
                <w:sz w:val="17"/>
                <w:szCs w:val="17"/>
                <w:color w:val="auto"/>
              </w:rPr>
              <w:t>outstanding</w:t>
            </w:r>
          </w:p>
        </w:tc>
        <w:tc>
          <w:tcPr>
            <w:tcW w:w="1000" w:type="dxa"/>
            <w:vAlign w:val="bottom"/>
          </w:tcPr>
          <w:p>
            <w:pPr>
              <w:ind w:left="240"/>
              <w:spacing w:after="0"/>
              <w:rPr>
                <w:sz w:val="20"/>
                <w:szCs w:val="20"/>
                <w:color w:val="auto"/>
              </w:rPr>
            </w:pPr>
            <w:r>
              <w:rPr>
                <w:rFonts w:ascii="Courier New" w:cs="Courier New" w:eastAsia="Courier New" w:hAnsi="Courier New"/>
                <w:sz w:val="17"/>
                <w:szCs w:val="17"/>
                <w:color w:val="auto"/>
              </w:rPr>
              <w:t>15,867</w:t>
            </w:r>
          </w:p>
        </w:tc>
        <w:tc>
          <w:tcPr>
            <w:tcW w:w="8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15,641</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15,789</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15,623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15,773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15,616</w:t>
            </w:r>
          </w:p>
        </w:tc>
      </w:tr>
      <w:tr>
        <w:trPr>
          <w:trHeight w:val="193"/>
        </w:trPr>
        <w:tc>
          <w:tcPr>
            <w:tcW w:w="2060" w:type="dxa"/>
            <w:vAlign w:val="bottom"/>
          </w:tcPr>
          <w:p>
            <w:pPr>
              <w:spacing w:after="0"/>
              <w:rPr>
                <w:sz w:val="16"/>
                <w:szCs w:val="16"/>
                <w:color w:val="auto"/>
              </w:rPr>
            </w:pPr>
          </w:p>
        </w:tc>
        <w:tc>
          <w:tcPr>
            <w:tcW w:w="5860" w:type="dxa"/>
            <w:vAlign w:val="bottom"/>
            <w:gridSpan w:val="6"/>
          </w:tcPr>
          <w:p>
            <w:pPr>
              <w:ind w:left="140"/>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2060" w:type="dxa"/>
            <w:vAlign w:val="bottom"/>
          </w:tcPr>
          <w:p>
            <w:pPr>
              <w:ind w:left="600"/>
              <w:spacing w:after="0"/>
              <w:rPr>
                <w:sz w:val="20"/>
                <w:szCs w:val="20"/>
                <w:color w:val="auto"/>
              </w:rPr>
            </w:pPr>
            <w:r>
              <w:rPr>
                <w:rFonts w:ascii="Courier New" w:cs="Courier New" w:eastAsia="Courier New" w:hAnsi="Courier New"/>
                <w:sz w:val="17"/>
                <w:szCs w:val="17"/>
                <w:color w:val="auto"/>
              </w:rPr>
              <w:t>Diluted EPS</w:t>
            </w:r>
          </w:p>
        </w:tc>
        <w:tc>
          <w:tcPr>
            <w:tcW w:w="1000" w:type="dxa"/>
            <w:vAlign w:val="bottom"/>
          </w:tcPr>
          <w:p>
            <w:pPr>
              <w:ind w:left="140"/>
              <w:spacing w:after="0"/>
              <w:rPr>
                <w:sz w:val="20"/>
                <w:szCs w:val="20"/>
                <w:color w:val="auto"/>
              </w:rPr>
            </w:pPr>
            <w:r>
              <w:rPr>
                <w:rFonts w:ascii="Courier New" w:cs="Courier New" w:eastAsia="Courier New" w:hAnsi="Courier New"/>
                <w:sz w:val="17"/>
                <w:szCs w:val="17"/>
                <w:color w:val="auto"/>
              </w:rPr>
              <w:t>$ (0.55)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$(0.94)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$(1.30)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$(1.50)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(1.16)</w:t>
            </w:r>
          </w:p>
        </w:tc>
      </w:tr>
      <w:tr>
        <w:trPr>
          <w:trHeight w:val="193"/>
        </w:trPr>
        <w:tc>
          <w:tcPr>
            <w:tcW w:w="2060" w:type="dxa"/>
            <w:vAlign w:val="bottom"/>
          </w:tcPr>
          <w:p>
            <w:pPr>
              <w:spacing w:after="0"/>
              <w:rPr>
                <w:sz w:val="16"/>
                <w:szCs w:val="16"/>
                <w:color w:val="auto"/>
              </w:rPr>
            </w:pPr>
          </w:p>
        </w:tc>
        <w:tc>
          <w:tcPr>
            <w:tcW w:w="5860" w:type="dxa"/>
            <w:vAlign w:val="bottom"/>
            <w:gridSpan w:val="6"/>
          </w:tcPr>
          <w:p>
            <w:pPr>
              <w:ind w:left="140"/>
              <w:spacing w:after="0"/>
              <w:rPr>
                <w:sz w:val="20"/>
                <w:szCs w:val="20"/>
                <w:color w:val="auto"/>
              </w:rPr>
            </w:pPr>
            <w:r>
              <w:rPr>
                <w:rFonts w:ascii="Courier New" w:cs="Courier New" w:eastAsia="Courier New" w:hAnsi="Courier New"/>
                <w:sz w:val="17"/>
                <w:szCs w:val="17"/>
                <w:color w:val="auto"/>
                <w:w w:val="99"/>
              </w:rPr>
              <w:t>========================================================</w:t>
            </w:r>
          </w:p>
        </w:tc>
      </w:tr>
    </w:tbl>
    <w:p>
      <w:pPr>
        <w:spacing w:after="0" w:line="198"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The following shares of Common Stock were excluded from the computation of diluted earnings per share, as the inclusion of these shares would have been anti-dilutive: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1920" w:type="dxa"/>
            <w:vAlign w:val="bottom"/>
            <w:gridSpan w:val="2"/>
          </w:tcPr>
          <w:p>
            <w:pPr>
              <w:ind w:left="700"/>
              <w:spacing w:after="0"/>
              <w:rPr>
                <w:sz w:val="20"/>
                <w:szCs w:val="20"/>
                <w:color w:val="auto"/>
              </w:rPr>
            </w:pPr>
            <w:r>
              <w:rPr>
                <w:rFonts w:ascii="Courier New" w:cs="Courier New" w:eastAsia="Courier New" w:hAnsi="Courier New"/>
                <w:sz w:val="17"/>
                <w:szCs w:val="17"/>
                <w:color w:val="auto"/>
              </w:rPr>
              <w:t>For the</w:t>
            </w:r>
          </w:p>
        </w:tc>
        <w:tc>
          <w:tcPr>
            <w:tcW w:w="20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For the</w:t>
            </w:r>
          </w:p>
        </w:tc>
        <w:tc>
          <w:tcPr>
            <w:tcW w:w="20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For the</w:t>
            </w:r>
          </w:p>
        </w:tc>
      </w:tr>
      <w:tr>
        <w:trPr>
          <w:trHeight w:val="193"/>
        </w:trPr>
        <w:tc>
          <w:tcPr>
            <w:tcW w:w="200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w:t>
            </w:r>
          </w:p>
        </w:tc>
        <w:tc>
          <w:tcPr>
            <w:tcW w:w="2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Nine months ended</w:t>
            </w:r>
          </w:p>
        </w:tc>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Twelve months ended</w:t>
            </w:r>
          </w:p>
        </w:tc>
      </w:tr>
      <w:tr>
        <w:trPr>
          <w:trHeight w:val="193"/>
        </w:trPr>
        <w:tc>
          <w:tcPr>
            <w:tcW w:w="2000" w:type="dxa"/>
            <w:vAlign w:val="bottom"/>
          </w:tcPr>
          <w:p>
            <w:pPr>
              <w:ind w:left="200"/>
              <w:spacing w:after="0"/>
              <w:rPr>
                <w:sz w:val="20"/>
                <w:szCs w:val="20"/>
                <w:color w:val="auto"/>
              </w:rPr>
            </w:pPr>
            <w:r>
              <w:rPr>
                <w:rFonts w:ascii="Courier New" w:cs="Courier New" w:eastAsia="Courier New" w:hAnsi="Courier New"/>
                <w:sz w:val="17"/>
                <w:szCs w:val="17"/>
                <w:color w:val="auto"/>
              </w:rPr>
              <w:t>(In thousands)</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10/31/98</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11/1/97</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10/31/98</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11/1/97</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10/31/98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11/1/97</w:t>
            </w:r>
          </w:p>
        </w:tc>
      </w:tr>
      <w:tr>
        <w:trPr>
          <w:trHeight w:val="193"/>
        </w:trPr>
        <w:tc>
          <w:tcPr>
            <w:tcW w:w="2000" w:type="dxa"/>
            <w:vAlign w:val="bottom"/>
          </w:tcPr>
          <w:p>
            <w:pPr>
              <w:spacing w:after="0"/>
              <w:rPr>
                <w:sz w:val="16"/>
                <w:szCs w:val="16"/>
                <w:color w:val="auto"/>
              </w:rPr>
            </w:pPr>
          </w:p>
        </w:tc>
        <w:tc>
          <w:tcPr>
            <w:tcW w:w="5920" w:type="dxa"/>
            <w:vAlign w:val="bottom"/>
            <w:gridSpan w:val="6"/>
          </w:tcPr>
          <w:p>
            <w:pPr>
              <w:jc w:val="right"/>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2000" w:type="dxa"/>
            <w:vAlign w:val="bottom"/>
          </w:tcPr>
          <w:p>
            <w:pPr>
              <w:spacing w:after="0"/>
              <w:rPr>
                <w:sz w:val="20"/>
                <w:szCs w:val="20"/>
                <w:color w:val="auto"/>
              </w:rPr>
            </w:pPr>
            <w:r>
              <w:rPr>
                <w:rFonts w:ascii="Courier New" w:cs="Courier New" w:eastAsia="Courier New" w:hAnsi="Courier New"/>
                <w:sz w:val="17"/>
                <w:szCs w:val="17"/>
                <w:color w:val="auto"/>
                <w:w w:val="97"/>
              </w:rPr>
              <w:t>Anti-dilutive shares</w:t>
            </w:r>
          </w:p>
        </w:tc>
        <w:tc>
          <w:tcPr>
            <w:tcW w:w="9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115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66</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3"/>
        </w:trPr>
        <w:tc>
          <w:tcPr>
            <w:tcW w:w="2000" w:type="dxa"/>
            <w:vAlign w:val="bottom"/>
          </w:tcPr>
          <w:p>
            <w:pPr>
              <w:spacing w:after="0"/>
              <w:rPr>
                <w:sz w:val="16"/>
                <w:szCs w:val="16"/>
                <w:color w:val="auto"/>
              </w:rPr>
            </w:pPr>
          </w:p>
        </w:tc>
        <w:tc>
          <w:tcPr>
            <w:tcW w:w="5920" w:type="dxa"/>
            <w:vAlign w:val="bottom"/>
            <w:gridSpan w:val="6"/>
          </w:tcPr>
          <w:p>
            <w:pPr>
              <w:jc w:val="right"/>
              <w:spacing w:after="0"/>
              <w:rPr>
                <w:sz w:val="20"/>
                <w:szCs w:val="20"/>
                <w:color w:val="auto"/>
              </w:rPr>
            </w:pPr>
            <w:r>
              <w:rPr>
                <w:rFonts w:ascii="Courier New" w:cs="Courier New" w:eastAsia="Courier New" w:hAnsi="Courier New"/>
                <w:sz w:val="17"/>
                <w:szCs w:val="17"/>
                <w:color w:val="auto"/>
                <w:w w:val="98"/>
              </w:rPr>
              <w:t>===========================================================</w:t>
            </w:r>
          </w:p>
        </w:tc>
      </w:tr>
    </w:tbl>
    <w:p>
      <w:pPr>
        <w:spacing w:after="0" w:line="198"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The following options to purchase shares of Common Stock were excluded from computation of diluted EPS because the exercise price of the options was greater than the average market price per share of Common Stock for the periods reported. Excluded options to purchase shares of Common Stock were: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00" w:type="dxa"/>
            <w:vAlign w:val="bottom"/>
          </w:tcPr>
          <w:p>
            <w:pPr>
              <w:spacing w:after="0"/>
              <w:rPr>
                <w:sz w:val="16"/>
                <w:szCs w:val="16"/>
                <w:color w:val="auto"/>
              </w:rPr>
            </w:pPr>
          </w:p>
        </w:tc>
        <w:tc>
          <w:tcPr>
            <w:tcW w:w="2120" w:type="dxa"/>
            <w:vAlign w:val="bottom"/>
            <w:gridSpan w:val="2"/>
          </w:tcPr>
          <w:p>
            <w:pPr>
              <w:ind w:left="900"/>
              <w:spacing w:after="0"/>
              <w:rPr>
                <w:sz w:val="20"/>
                <w:szCs w:val="20"/>
                <w:color w:val="auto"/>
              </w:rPr>
            </w:pPr>
            <w:r>
              <w:rPr>
                <w:rFonts w:ascii="Courier New" w:cs="Courier New" w:eastAsia="Courier New" w:hAnsi="Courier New"/>
                <w:sz w:val="17"/>
                <w:szCs w:val="17"/>
                <w:color w:val="auto"/>
              </w:rPr>
              <w:t>For the</w:t>
            </w:r>
          </w:p>
        </w:tc>
        <w:tc>
          <w:tcPr>
            <w:tcW w:w="20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For the</w:t>
            </w:r>
          </w:p>
        </w:tc>
        <w:tc>
          <w:tcPr>
            <w:tcW w:w="2000" w:type="dxa"/>
            <w:vAlign w:val="bottom"/>
            <w:gridSpan w:val="2"/>
          </w:tcPr>
          <w:p>
            <w:pPr>
              <w:jc w:val="right"/>
              <w:ind w:right="416"/>
              <w:spacing w:after="0"/>
              <w:rPr>
                <w:sz w:val="20"/>
                <w:szCs w:val="20"/>
                <w:color w:val="auto"/>
              </w:rPr>
            </w:pPr>
            <w:r>
              <w:rPr>
                <w:rFonts w:ascii="Courier New" w:cs="Courier New" w:eastAsia="Courier New" w:hAnsi="Courier New"/>
                <w:sz w:val="17"/>
                <w:szCs w:val="17"/>
                <w:color w:val="auto"/>
              </w:rPr>
              <w:t>For the</w:t>
            </w:r>
          </w:p>
        </w:tc>
      </w:tr>
      <w:tr>
        <w:trPr>
          <w:trHeight w:val="193"/>
        </w:trPr>
        <w:tc>
          <w:tcPr>
            <w:tcW w:w="1800" w:type="dxa"/>
            <w:vAlign w:val="bottom"/>
          </w:tcPr>
          <w:p>
            <w:pPr>
              <w:spacing w:after="0"/>
              <w:rPr>
                <w:sz w:val="16"/>
                <w:szCs w:val="16"/>
                <w:color w:val="auto"/>
              </w:rPr>
            </w:pPr>
          </w:p>
        </w:tc>
        <w:tc>
          <w:tcPr>
            <w:tcW w:w="21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Three months ended</w:t>
            </w:r>
          </w:p>
        </w:tc>
        <w:tc>
          <w:tcPr>
            <w:tcW w:w="20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Nine months ended</w:t>
            </w:r>
          </w:p>
        </w:tc>
        <w:tc>
          <w:tcPr>
            <w:tcW w:w="2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Twelve months ended</w:t>
            </w:r>
          </w:p>
        </w:tc>
      </w:tr>
      <w:tr>
        <w:trPr>
          <w:trHeight w:val="193"/>
        </w:trPr>
        <w:tc>
          <w:tcPr>
            <w:tcW w:w="1800" w:type="dxa"/>
            <w:vAlign w:val="bottom"/>
          </w:tcPr>
          <w:p>
            <w:pPr>
              <w:ind w:left="200"/>
              <w:spacing w:after="0"/>
              <w:rPr>
                <w:sz w:val="20"/>
                <w:szCs w:val="20"/>
                <w:color w:val="auto"/>
              </w:rPr>
            </w:pPr>
            <w:r>
              <w:rPr>
                <w:rFonts w:ascii="Courier New" w:cs="Courier New" w:eastAsia="Courier New" w:hAnsi="Courier New"/>
                <w:sz w:val="17"/>
                <w:szCs w:val="17"/>
                <w:color w:val="auto"/>
              </w:rPr>
              <w:t>(In thousands)</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10/31/98</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11/1/97</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10/31/98</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11/1/97</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10/31/98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11/1/97</w:t>
            </w:r>
          </w:p>
        </w:tc>
      </w:tr>
      <w:tr>
        <w:trPr>
          <w:trHeight w:val="193"/>
        </w:trPr>
        <w:tc>
          <w:tcPr>
            <w:tcW w:w="1800" w:type="dxa"/>
            <w:vAlign w:val="bottom"/>
          </w:tcPr>
          <w:p>
            <w:pPr>
              <w:spacing w:after="0"/>
              <w:rPr>
                <w:sz w:val="16"/>
                <w:szCs w:val="16"/>
                <w:color w:val="auto"/>
              </w:rPr>
            </w:pPr>
          </w:p>
        </w:tc>
        <w:tc>
          <w:tcPr>
            <w:tcW w:w="6120" w:type="dxa"/>
            <w:vAlign w:val="bottom"/>
            <w:gridSpan w:val="6"/>
          </w:tcPr>
          <w:p>
            <w:pPr>
              <w:ind w:left="200"/>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1800" w:type="dxa"/>
            <w:vAlign w:val="bottom"/>
          </w:tcPr>
          <w:p>
            <w:pPr>
              <w:spacing w:after="0"/>
              <w:rPr>
                <w:sz w:val="20"/>
                <w:szCs w:val="20"/>
                <w:color w:val="auto"/>
              </w:rPr>
            </w:pPr>
            <w:r>
              <w:rPr>
                <w:rFonts w:ascii="Courier New" w:cs="Courier New" w:eastAsia="Courier New" w:hAnsi="Courier New"/>
                <w:sz w:val="17"/>
                <w:szCs w:val="17"/>
                <w:color w:val="auto"/>
              </w:rPr>
              <w:t>Options</w:t>
            </w:r>
          </w:p>
        </w:tc>
        <w:tc>
          <w:tcPr>
            <w:tcW w:w="11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2,012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2,123</w:t>
            </w:r>
          </w:p>
        </w:tc>
        <w:tc>
          <w:tcPr>
            <w:tcW w:w="10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1,892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2,108</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1,892</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2,108</w:t>
            </w:r>
          </w:p>
        </w:tc>
      </w:tr>
      <w:tr>
        <w:trPr>
          <w:trHeight w:val="193"/>
        </w:trPr>
        <w:tc>
          <w:tcPr>
            <w:tcW w:w="1800" w:type="dxa"/>
            <w:vAlign w:val="bottom"/>
          </w:tcPr>
          <w:p>
            <w:pPr>
              <w:spacing w:after="0"/>
              <w:rPr>
                <w:sz w:val="16"/>
                <w:szCs w:val="16"/>
                <w:color w:val="auto"/>
              </w:rPr>
            </w:pPr>
          </w:p>
        </w:tc>
        <w:tc>
          <w:tcPr>
            <w:tcW w:w="612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42" w:right="1440" w:bottom="0" w:gutter="0" w:footer="0" w:header="0"/>
        </w:sectPr>
      </w:pPr>
    </w:p>
    <w:bookmarkStart w:id="9" w:name="page10"/>
    <w:bookmarkEnd w:id="9"/>
    <w:p>
      <w:pPr>
        <w:ind w:left="900" w:hanging="897"/>
        <w:spacing w:after="0"/>
        <w:tabs>
          <w:tab w:leader="none" w:pos="9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 Income</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adopted Statement of Financial Accounting Standards No. 130, "Reporting Comprehensive Income" on February 1, 1998. This Statement requires that all components of comprehensive income be reported prominently in the financial statements. For the Company, the only adjustment for comprehensive income is deferred compensation. Total comprehensive income for the three, nine and twelve months ended October 31, 1998 was as follows:</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2800" w:type="dxa"/>
            <w:vAlign w:val="bottom"/>
          </w:tcPr>
          <w:p>
            <w:pPr>
              <w:ind w:left="600"/>
              <w:spacing w:after="0"/>
              <w:rPr>
                <w:sz w:val="20"/>
                <w:szCs w:val="20"/>
                <w:color w:val="auto"/>
              </w:rPr>
            </w:pPr>
            <w:r>
              <w:rPr>
                <w:rFonts w:ascii="Courier New" w:cs="Courier New" w:eastAsia="Courier New" w:hAnsi="Courier New"/>
                <w:sz w:val="17"/>
                <w:szCs w:val="17"/>
                <w:color w:val="auto"/>
              </w:rPr>
              <w:t>(In thousands)</w:t>
            </w: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rPr>
              <w:t>Three months</w:t>
            </w:r>
          </w:p>
        </w:tc>
        <w:tc>
          <w:tcPr>
            <w:tcW w:w="1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Nine Months</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Twelve Months</w:t>
            </w:r>
          </w:p>
        </w:tc>
      </w:tr>
      <w:tr>
        <w:trPr>
          <w:trHeight w:val="193"/>
        </w:trPr>
        <w:tc>
          <w:tcPr>
            <w:tcW w:w="2800" w:type="dxa"/>
            <w:vAlign w:val="bottom"/>
          </w:tcPr>
          <w:p>
            <w:pPr>
              <w:spacing w:after="0"/>
              <w:rPr>
                <w:sz w:val="16"/>
                <w:szCs w:val="16"/>
                <w:color w:val="auto"/>
              </w:rPr>
            </w:pP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620" w:type="dxa"/>
            <w:vAlign w:val="bottom"/>
          </w:tcPr>
          <w:p>
            <w:pPr>
              <w:ind w:left="320"/>
              <w:spacing w:after="0"/>
              <w:rPr>
                <w:sz w:val="20"/>
                <w:szCs w:val="20"/>
                <w:color w:val="auto"/>
              </w:rPr>
            </w:pPr>
            <w:r>
              <w:rPr>
                <w:rFonts w:ascii="Courier New" w:cs="Courier New" w:eastAsia="Courier New" w:hAnsi="Courier New"/>
                <w:sz w:val="17"/>
                <w:szCs w:val="17"/>
                <w:color w:val="auto"/>
              </w:rPr>
              <w:t>$(8,746)</w:t>
            </w:r>
          </w:p>
        </w:tc>
        <w:tc>
          <w:tcPr>
            <w:tcW w:w="16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$(14,892)</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$(23,606)</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Deferred compensation</w:t>
            </w:r>
          </w:p>
        </w:tc>
        <w:tc>
          <w:tcPr>
            <w:tcW w:w="1620" w:type="dxa"/>
            <w:vAlign w:val="bottom"/>
          </w:tcPr>
          <w:p>
            <w:pPr>
              <w:ind w:left="820"/>
              <w:spacing w:after="0"/>
              <w:rPr>
                <w:sz w:val="20"/>
                <w:szCs w:val="20"/>
                <w:color w:val="auto"/>
              </w:rPr>
            </w:pPr>
            <w:r>
              <w:rPr>
                <w:rFonts w:ascii="Courier New" w:cs="Courier New" w:eastAsia="Courier New" w:hAnsi="Courier New"/>
                <w:sz w:val="17"/>
                <w:szCs w:val="17"/>
                <w:color w:val="auto"/>
              </w:rPr>
              <w:t>20</w:t>
            </w:r>
          </w:p>
        </w:tc>
        <w:tc>
          <w:tcPr>
            <w:tcW w:w="16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(154)</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(154)</w:t>
            </w:r>
          </w:p>
        </w:tc>
      </w:tr>
      <w:tr>
        <w:trPr>
          <w:trHeight w:val="193"/>
        </w:trPr>
        <w:tc>
          <w:tcPr>
            <w:tcW w:w="2800" w:type="dxa"/>
            <w:vAlign w:val="bottom"/>
          </w:tcPr>
          <w:p>
            <w:pPr>
              <w:spacing w:after="0"/>
              <w:rPr>
                <w:sz w:val="16"/>
                <w:szCs w:val="16"/>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2800" w:type="dxa"/>
            <w:vAlign w:val="bottom"/>
          </w:tcPr>
          <w:p>
            <w:pPr>
              <w:spacing w:after="0"/>
              <w:rPr>
                <w:sz w:val="20"/>
                <w:szCs w:val="20"/>
                <w:color w:val="auto"/>
              </w:rPr>
            </w:pPr>
            <w:r>
              <w:rPr>
                <w:rFonts w:ascii="Courier New" w:cs="Courier New" w:eastAsia="Courier New" w:hAnsi="Courier New"/>
                <w:sz w:val="17"/>
                <w:szCs w:val="17"/>
                <w:color w:val="auto"/>
              </w:rPr>
              <w:t>Comprehensive income (loss)</w:t>
            </w:r>
          </w:p>
        </w:tc>
        <w:tc>
          <w:tcPr>
            <w:tcW w:w="1620" w:type="dxa"/>
            <w:vAlign w:val="bottom"/>
          </w:tcPr>
          <w:p>
            <w:pPr>
              <w:ind w:left="320"/>
              <w:spacing w:after="0"/>
              <w:rPr>
                <w:sz w:val="20"/>
                <w:szCs w:val="20"/>
                <w:color w:val="auto"/>
              </w:rPr>
            </w:pPr>
            <w:r>
              <w:rPr>
                <w:rFonts w:ascii="Courier New" w:cs="Courier New" w:eastAsia="Courier New" w:hAnsi="Courier New"/>
                <w:sz w:val="17"/>
                <w:szCs w:val="17"/>
                <w:color w:val="auto"/>
              </w:rPr>
              <w:t>$(8,726)</w:t>
            </w:r>
          </w:p>
        </w:tc>
        <w:tc>
          <w:tcPr>
            <w:tcW w:w="16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$(15,046)</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$(23,760)</w:t>
            </w:r>
          </w:p>
        </w:tc>
      </w:tr>
      <w:tr>
        <w:trPr>
          <w:trHeight w:val="193"/>
        </w:trPr>
        <w:tc>
          <w:tcPr>
            <w:tcW w:w="2800" w:type="dxa"/>
            <w:vAlign w:val="bottom"/>
          </w:tcPr>
          <w:p>
            <w:pPr>
              <w:spacing w:after="0"/>
              <w:rPr>
                <w:sz w:val="16"/>
                <w:szCs w:val="16"/>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9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There were no adjustments for comprehensive income(loss) for the same periods in the prior year.</w:t>
      </w:r>
    </w:p>
    <w:p>
      <w:pPr>
        <w:spacing w:after="0" w:line="194" w:lineRule="exact"/>
        <w:rPr>
          <w:sz w:val="20"/>
          <w:szCs w:val="20"/>
          <w:color w:val="auto"/>
        </w:rPr>
      </w:pPr>
    </w:p>
    <w:p>
      <w:pPr>
        <w:ind w:left="900" w:hanging="897"/>
        <w:spacing w:after="0"/>
        <w:tabs>
          <w:tab w:leader="none" w:pos="9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Recently Issued Accounting Standards</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In June 1997, the Financial Accounting Standards Board issued Statement of Financial Accounting Standards No. 131, "Disclosure about Segments of an Enterprise and Related Information" ("SFAS 131"). SFAS 131 specifies new guidelines for determining a company's operating segments and related requirements for disclosure. SFAS 131 becomes effective for fiscal years beginning after December 15, 1997. The Company is required to adopt this standard for the fiscal year ending January 30, 1999. The required disclosures for SFAS No. 131 will be included in the Company's 1998 annual report on Form 10K.</w:t>
      </w:r>
    </w:p>
    <w:p>
      <w:pPr>
        <w:sectPr>
          <w:pgSz w:w="11900" w:h="16838" w:orient="portrait"/>
          <w:cols w:equalWidth="0" w:num="1">
            <w:col w:w="10219"/>
          </w:cols>
          <w:pgMar w:left="240" w:top="136" w:right="1440" w:bottom="1440" w:gutter="0" w:footer="0" w:header="0"/>
        </w:sectPr>
      </w:pPr>
    </w:p>
    <w:bookmarkStart w:id="10" w:name="page11"/>
    <w:bookmarkEnd w:id="10"/>
    <w:p>
      <w:pPr>
        <w:spacing w:after="0" w:line="56" w:lineRule="exact"/>
        <w:rPr>
          <w:sz w:val="20"/>
          <w:szCs w:val="20"/>
          <w:color w:val="auto"/>
        </w:rPr>
      </w:pPr>
    </w:p>
    <w:p>
      <w:pPr>
        <w:ind w:left="1800" w:right="3499" w:hanging="1803"/>
        <w:spacing w:after="0" w:line="236" w:lineRule="auto"/>
        <w:tabs>
          <w:tab w:leader="none" w:pos="1780" w:val="left"/>
        </w:tabs>
        <w:rPr>
          <w:sz w:val="20"/>
          <w:szCs w:val="20"/>
          <w:color w:val="auto"/>
        </w:rPr>
      </w:pPr>
      <w:r>
        <w:rPr>
          <w:rFonts w:ascii="Courier New" w:cs="Courier New" w:eastAsia="Courier New" w:hAnsi="Courier New"/>
          <w:sz w:val="17"/>
          <w:szCs w:val="17"/>
          <w:color w:val="auto"/>
        </w:rPr>
        <w:t>Part I. Item 2.</w:t>
        <w:tab/>
        <w:t>Management's Discussion and Analysis of Financial Condition and Results of Operations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OUTLET STORE EXPANSION, JOINT VENTURE WIND UP AND UNPROFITABLE STORE CLOSINGS</w:t>
      </w:r>
    </w:p>
    <w:p>
      <w:pPr>
        <w:spacing w:after="0" w:line="19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During the third quarter of fiscal 1998, the Company completed transactions that narrow the Company's business to one focused on its outlet stores.</w:t>
      </w:r>
    </w:p>
    <w:p>
      <w:pPr>
        <w:spacing w:after="0" w:line="199"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On September 30, 1998, the Company purchased 16 Dockers(R) Outlet stores and nine Levi's(R) Outlet stores from a subsidiary of Levi Strauss &amp; Co. for approximately $9.7 million. As discussed below, these stores have generated approximately $3.9 million in sales for the two month period ended November 28, 1998. The Company believes, barring unforeseen circumstances, that this group of stores will produce approximately $24 million in revenue and $2.2 million in cash flow in fiscal 1999. The acquisition included the purchase of $5.1 million of inventory and $4.6 million of fixed assets associated with these stores. The Company also assumed the real estate leases associated with these stores. The Company sees opportunities to improve the performance of the 25 stores as these stores are integrated into its existing store operations, thereby leveraging the Company's existing outlet store infrastructure in areas such as store operating and payroll expenses. As discussed below, these stores have generated sales for the two month period ended November 28, 1998 of approximately $3.9 million. Although these stores are generating lower sales than they generated last year for the same two months, sales for the two month period ended November 28, 1998 is approximately 20% in excess of the amount of sales the Company projected for these stores prior to consummation of the acquisition.</w:t>
      </w:r>
    </w:p>
    <w:p>
      <w:pPr>
        <w:spacing w:after="0" w:line="195"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Also during the third quarter, the Company and Levi Strauss &amp; Co. agreed to dissolve and wind up the joint venture between subsidiaries of the two companies (the "OLS Partnership"). As part of the dissolution process, on October 31, 1998, the OLS Partnership distributed 11 Levi's(R) Outlet stores to the Company having a net book value of approximately $6.4 million. The Company believes, barring unforeseen circumstances, that these 11 Levi's(R) Outlet stores will generate a total of approximately $12 million in revenues and $1.4 million in cash flow throughout all of fiscal year 1998. The Company believes, barring unforeseen circumstances, that this group of stores will produce approximately $14 million in revenue and $1.9 million in cash flows in fiscal 1999. Since the Company previously owned only a 70% interest in these stores, the only pro-forma adjustment for future earnings is the additional 30% of earnings and cash flows that will be derived from these stores, which are now wholly-owned by the Company.</w:t>
      </w:r>
    </w:p>
    <w:p>
      <w:pPr>
        <w:spacing w:after="0" w:line="206"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In addition, the OLS Partnership distributed to LDJV Inc., a subsidiary of Levi's Only Stores, Inc., three Original Levi's Stores(R) located in New York City and Boston, Massachusetts. The net book value of these distributed stores was approximately $5.5 million, which was greater than LDJV Inc.'s equity ownership in the OLS Partnership. Consequently, LDJV Inc. made a $2.9 million capital contribution to the OLS Partnership on October 31, 1998.</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OLS Partnership intends to close, barring unforeseen circumstances, as part of the termination of its operations, eight remaining Original Levi's Stores(R) through lease terminations and expirations. The Company anticipates that the joint venture will have sufficient cash flow to satisfy its remaining obligations. However, if the OLS Partnership does not have the ability to pay its obligations, the Company would be required to contribute additional funds in proportion to its 70% partnership interest.</w:t>
      </w:r>
    </w:p>
    <w:p>
      <w:pPr>
        <w:spacing w:after="0" w:line="199"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During the third quarter of fiscal 1998, the Company also announced its plans, barring unforeseen circumstances, to close 14 unprofitable Designs stores and eight unprofitable Boston Trading Co.(R)/BTC(TM) stores through lease terminations and expirations. This store closing strategy resulted in the Company recording a pre-tax charge of $13.4 million, or ($0.47) per share after tax, related to the closing of 14 Designs stores, eight Boston Trading Co.(R)/BTC(TM) and eight Original Levi's Stores(R) owned by the joint venture. This charge includes approximately $7.0 million of cash costs related to lease terminations, severance associated with these store closings, and other related miscellaneous expenses. The remainder of the $13.4 million charge consists of non-cash costs of approximately $6.4 million related to fixed asset write-offs associated with the planned store closings, and includes a fixed asset write-off related to plans to replace certain outlet stores with new ones. This charge is accounted for in the provision for store closings on the Consolidated Statements of Income for the three, nine and twelve months ended October 31, 1998.</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 DEVELOPMENTS</w:t>
      </w:r>
    </w:p>
    <w:p>
      <w:pPr>
        <w:spacing w:after="0" w:line="198"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On December 11, 1998, the Company announced that its Board of Directors had formed a committee of independent outside directors to consider the Company's strategic alternatives, including a possible sale of the Company, with a view towards maximizing shareholder value in the near term. The Company announced that its Board had determined to oppose a consent solicitation initiated by Jewelcor Management, Inc. and its controlling shareholder, Seymour Holtzman. The</w:t>
      </w:r>
    </w:p>
    <w:p>
      <w:pPr>
        <w:sectPr>
          <w:pgSz w:w="11900" w:h="16895" w:orient="portrait"/>
          <w:cols w:equalWidth="0" w:num="1">
            <w:col w:w="10219"/>
          </w:cols>
          <w:pgMar w:left="240" w:top="887" w:right="1440" w:bottom="0" w:gutter="0" w:footer="0" w:header="0"/>
        </w:sectPr>
      </w:pPr>
    </w:p>
    <w:bookmarkStart w:id="11" w:name="page12"/>
    <w:bookmarkEnd w:id="11"/>
    <w:p>
      <w:pPr>
        <w:spacing w:after="0" w:line="87"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Company also announced that it does not believe that a change in the composition of the Board at this time is in the best interests of its shareholders because it would interfere with the Company's process of considering its strategic alternatives and the implementation of any such alternatives and could adversely affect the Company's relationship with Levi Strauss &amp; Co.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jc w:val="both"/>
        <w:ind w:right="2199"/>
        <w:spacing w:after="0" w:line="255" w:lineRule="auto"/>
        <w:rPr>
          <w:sz w:val="20"/>
          <w:szCs w:val="20"/>
          <w:color w:val="auto"/>
        </w:rPr>
      </w:pPr>
      <w:r>
        <w:rPr>
          <w:rFonts w:ascii="Courier New" w:cs="Courier New" w:eastAsia="Courier New" w:hAnsi="Courier New"/>
          <w:sz w:val="16"/>
          <w:szCs w:val="16"/>
          <w:color w:val="auto"/>
        </w:rPr>
        <w:t>Set forth below are the Company's total sales and comparable store sales for the third quarter of fiscal 1998 and the nine month and twelve month rolling periods ended October 31, 1998, and for these same periods in the prior fiscal year. Of the 132 stores the Company operated as of October 31, 1998, 80 were comparable</w:t>
      </w: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line="187" w:lineRule="exact"/>
              <w:rPr>
                <w:sz w:val="20"/>
                <w:szCs w:val="20"/>
                <w:color w:val="auto"/>
              </w:rPr>
            </w:pPr>
            <w:r>
              <w:rPr>
                <w:rFonts w:ascii="Courier New" w:cs="Courier New" w:eastAsia="Courier New" w:hAnsi="Courier New"/>
                <w:sz w:val="17"/>
                <w:szCs w:val="17"/>
                <w:color w:val="auto"/>
              </w:rPr>
              <w:t>stores.</w:t>
            </w:r>
          </w:p>
        </w:tc>
        <w:tc>
          <w:tcPr>
            <w:tcW w:w="12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93"/>
        </w:trPr>
        <w:tc>
          <w:tcPr>
            <w:tcW w:w="2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2300" w:type="dxa"/>
            <w:vAlign w:val="bottom"/>
          </w:tcPr>
          <w:p>
            <w:pPr>
              <w:spacing w:after="0"/>
              <w:rPr>
                <w:sz w:val="16"/>
                <w:szCs w:val="16"/>
                <w:color w:val="auto"/>
              </w:rPr>
            </w:pPr>
          </w:p>
        </w:tc>
        <w:tc>
          <w:tcPr>
            <w:tcW w:w="3420" w:type="dxa"/>
            <w:vAlign w:val="bottom"/>
            <w:gridSpan w:val="2"/>
          </w:tcPr>
          <w:p>
            <w:pPr>
              <w:jc w:val="right"/>
              <w:ind w:right="1216"/>
              <w:spacing w:after="0"/>
              <w:rPr>
                <w:sz w:val="20"/>
                <w:szCs w:val="20"/>
                <w:color w:val="auto"/>
              </w:rPr>
            </w:pPr>
            <w:r>
              <w:rPr>
                <w:rFonts w:ascii="Courier New" w:cs="Courier New" w:eastAsia="Courier New" w:hAnsi="Courier New"/>
                <w:sz w:val="17"/>
                <w:szCs w:val="17"/>
                <w:color w:val="auto"/>
              </w:rPr>
              <w:t>Total Sales</w:t>
            </w:r>
          </w:p>
        </w:tc>
        <w:tc>
          <w:tcPr>
            <w:tcW w:w="2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Change at</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10/31/98</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11/1/97</w:t>
            </w:r>
          </w:p>
        </w:tc>
        <w:tc>
          <w:tcPr>
            <w:tcW w:w="2200" w:type="dxa"/>
            <w:vAlign w:val="bottom"/>
          </w:tcPr>
          <w:p>
            <w:pPr>
              <w:ind w:left="600"/>
              <w:spacing w:after="0"/>
              <w:rPr>
                <w:sz w:val="20"/>
                <w:szCs w:val="20"/>
                <w:color w:val="auto"/>
              </w:rPr>
            </w:pPr>
            <w:r>
              <w:rPr>
                <w:rFonts w:ascii="Courier New" w:cs="Courier New" w:eastAsia="Courier New" w:hAnsi="Courier New"/>
                <w:sz w:val="17"/>
                <w:szCs w:val="17"/>
                <w:color w:val="auto"/>
              </w:rPr>
              <w:t>10/31/98</w:t>
            </w:r>
          </w:p>
        </w:tc>
      </w:tr>
      <w:tr>
        <w:trPr>
          <w:trHeight w:val="193"/>
        </w:trPr>
        <w:tc>
          <w:tcPr>
            <w:tcW w:w="2300" w:type="dxa"/>
            <w:vAlign w:val="bottom"/>
          </w:tcPr>
          <w:p>
            <w:pPr>
              <w:spacing w:after="0"/>
              <w:rPr>
                <w:sz w:val="16"/>
                <w:szCs w:val="16"/>
                <w:color w:val="auto"/>
              </w:rPr>
            </w:pPr>
          </w:p>
        </w:tc>
        <w:tc>
          <w:tcPr>
            <w:tcW w:w="5620" w:type="dxa"/>
            <w:vAlign w:val="bottom"/>
            <w:gridSpan w:val="3"/>
          </w:tcPr>
          <w:p>
            <w:pPr>
              <w:ind w:left="400"/>
              <w:spacing w:after="0"/>
              <w:rPr>
                <w:sz w:val="20"/>
                <w:szCs w:val="20"/>
                <w:color w:val="auto"/>
              </w:rPr>
            </w:pPr>
            <w:r>
              <w:rPr>
                <w:rFonts w:ascii="Courier New" w:cs="Courier New" w:eastAsia="Courier New" w:hAnsi="Courier New"/>
                <w:sz w:val="17"/>
                <w:szCs w:val="17"/>
                <w:color w:val="auto"/>
                <w:w w:val="99"/>
              </w:rPr>
              <w:t>---------------------------------------------------</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$ 58,714</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$ 77,459</w:t>
            </w:r>
          </w:p>
        </w:tc>
        <w:tc>
          <w:tcPr>
            <w:tcW w:w="2200" w:type="dxa"/>
            <w:vAlign w:val="bottom"/>
          </w:tcPr>
          <w:p>
            <w:pPr>
              <w:ind w:left="600"/>
              <w:spacing w:after="0"/>
              <w:rPr>
                <w:sz w:val="20"/>
                <w:szCs w:val="20"/>
                <w:color w:val="auto"/>
              </w:rPr>
            </w:pPr>
            <w:r>
              <w:rPr>
                <w:rFonts w:ascii="Courier New" w:cs="Courier New" w:eastAsia="Courier New" w:hAnsi="Courier New"/>
                <w:sz w:val="17"/>
                <w:szCs w:val="17"/>
                <w:color w:val="auto"/>
              </w:rPr>
              <w:t>(24.2%)</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Nine months ended</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149,193</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197,472</w:t>
            </w:r>
          </w:p>
        </w:tc>
        <w:tc>
          <w:tcPr>
            <w:tcW w:w="2200" w:type="dxa"/>
            <w:vAlign w:val="bottom"/>
          </w:tcPr>
          <w:p>
            <w:pPr>
              <w:ind w:left="600"/>
              <w:spacing w:after="0"/>
              <w:rPr>
                <w:sz w:val="20"/>
                <w:szCs w:val="20"/>
                <w:color w:val="auto"/>
              </w:rPr>
            </w:pPr>
            <w:r>
              <w:rPr>
                <w:rFonts w:ascii="Courier New" w:cs="Courier New" w:eastAsia="Courier New" w:hAnsi="Courier New"/>
                <w:sz w:val="17"/>
                <w:szCs w:val="17"/>
                <w:color w:val="auto"/>
              </w:rPr>
              <w:t>(24.4%)</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Twelve months ended</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217,446</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276,247</w:t>
            </w:r>
          </w:p>
        </w:tc>
        <w:tc>
          <w:tcPr>
            <w:tcW w:w="2200" w:type="dxa"/>
            <w:vAlign w:val="bottom"/>
          </w:tcPr>
          <w:p>
            <w:pPr>
              <w:ind w:left="600"/>
              <w:spacing w:after="0"/>
              <w:rPr>
                <w:sz w:val="20"/>
                <w:szCs w:val="20"/>
                <w:color w:val="auto"/>
              </w:rPr>
            </w:pPr>
            <w:r>
              <w:rPr>
                <w:rFonts w:ascii="Courier New" w:cs="Courier New" w:eastAsia="Courier New" w:hAnsi="Courier New"/>
                <w:sz w:val="17"/>
                <w:szCs w:val="17"/>
                <w:color w:val="auto"/>
              </w:rPr>
              <w:t>(21.3%)</w:t>
            </w:r>
          </w:p>
        </w:tc>
      </w:tr>
      <w:tr>
        <w:trPr>
          <w:trHeight w:val="385"/>
        </w:trPr>
        <w:tc>
          <w:tcPr>
            <w:tcW w:w="2300" w:type="dxa"/>
            <w:vAlign w:val="bottom"/>
          </w:tcPr>
          <w:p>
            <w:pPr>
              <w:spacing w:after="0"/>
              <w:rPr>
                <w:sz w:val="24"/>
                <w:szCs w:val="24"/>
                <w:color w:val="auto"/>
              </w:rPr>
            </w:pPr>
          </w:p>
        </w:tc>
        <w:tc>
          <w:tcPr>
            <w:tcW w:w="342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Comparable Store</w:t>
            </w:r>
          </w:p>
        </w:tc>
        <w:tc>
          <w:tcPr>
            <w:tcW w:w="2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2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0" w:type="dxa"/>
            <w:vAlign w:val="bottom"/>
          </w:tcPr>
          <w:p>
            <w:pPr>
              <w:jc w:val="right"/>
              <w:ind w:right="1616"/>
              <w:spacing w:after="0"/>
              <w:rPr>
                <w:sz w:val="20"/>
                <w:szCs w:val="20"/>
                <w:color w:val="auto"/>
              </w:rPr>
            </w:pPr>
            <w:r>
              <w:rPr>
                <w:rFonts w:ascii="Courier New" w:cs="Courier New" w:eastAsia="Courier New" w:hAnsi="Courier New"/>
                <w:sz w:val="17"/>
                <w:szCs w:val="17"/>
                <w:color w:val="auto"/>
                <w:w w:val="94"/>
              </w:rPr>
              <w:t>Sales</w:t>
            </w:r>
          </w:p>
        </w:tc>
        <w:tc>
          <w:tcPr>
            <w:tcW w:w="22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Change at</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(In Thousands)</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10/31/98</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11/1/97</w:t>
            </w:r>
          </w:p>
        </w:tc>
        <w:tc>
          <w:tcPr>
            <w:tcW w:w="2200" w:type="dxa"/>
            <w:vAlign w:val="bottom"/>
          </w:tcPr>
          <w:p>
            <w:pPr>
              <w:ind w:left="600"/>
              <w:spacing w:after="0"/>
              <w:rPr>
                <w:sz w:val="20"/>
                <w:szCs w:val="20"/>
                <w:color w:val="auto"/>
              </w:rPr>
            </w:pPr>
            <w:r>
              <w:rPr>
                <w:rFonts w:ascii="Courier New" w:cs="Courier New" w:eastAsia="Courier New" w:hAnsi="Courier New"/>
                <w:sz w:val="17"/>
                <w:szCs w:val="17"/>
                <w:color w:val="auto"/>
              </w:rPr>
              <w:t>10/31/98</w:t>
            </w:r>
          </w:p>
        </w:tc>
      </w:tr>
      <w:tr>
        <w:trPr>
          <w:trHeight w:val="193"/>
        </w:trPr>
        <w:tc>
          <w:tcPr>
            <w:tcW w:w="2300" w:type="dxa"/>
            <w:vAlign w:val="bottom"/>
          </w:tcPr>
          <w:p>
            <w:pPr>
              <w:spacing w:after="0"/>
              <w:rPr>
                <w:sz w:val="16"/>
                <w:szCs w:val="16"/>
                <w:color w:val="auto"/>
              </w:rPr>
            </w:pPr>
          </w:p>
        </w:tc>
        <w:tc>
          <w:tcPr>
            <w:tcW w:w="5620" w:type="dxa"/>
            <w:vAlign w:val="bottom"/>
            <w:gridSpan w:val="3"/>
          </w:tcPr>
          <w:p>
            <w:pPr>
              <w:ind w:left="400"/>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$ 45,604</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$ 57,331</w:t>
            </w:r>
          </w:p>
        </w:tc>
        <w:tc>
          <w:tcPr>
            <w:tcW w:w="2200" w:type="dxa"/>
            <w:vAlign w:val="bottom"/>
          </w:tcPr>
          <w:p>
            <w:pPr>
              <w:ind w:left="600"/>
              <w:spacing w:after="0"/>
              <w:rPr>
                <w:sz w:val="20"/>
                <w:szCs w:val="20"/>
                <w:color w:val="auto"/>
              </w:rPr>
            </w:pPr>
            <w:r>
              <w:rPr>
                <w:rFonts w:ascii="Courier New" w:cs="Courier New" w:eastAsia="Courier New" w:hAnsi="Courier New"/>
                <w:sz w:val="17"/>
                <w:szCs w:val="17"/>
                <w:color w:val="auto"/>
              </w:rPr>
              <w:t>(20.5%)</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Nine months ended</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114,197</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144,728</w:t>
            </w:r>
          </w:p>
        </w:tc>
        <w:tc>
          <w:tcPr>
            <w:tcW w:w="2200" w:type="dxa"/>
            <w:vAlign w:val="bottom"/>
          </w:tcPr>
          <w:p>
            <w:pPr>
              <w:ind w:left="600"/>
              <w:spacing w:after="0"/>
              <w:rPr>
                <w:sz w:val="20"/>
                <w:szCs w:val="20"/>
                <w:color w:val="auto"/>
              </w:rPr>
            </w:pPr>
            <w:r>
              <w:rPr>
                <w:rFonts w:ascii="Courier New" w:cs="Courier New" w:eastAsia="Courier New" w:hAnsi="Courier New"/>
                <w:sz w:val="17"/>
                <w:szCs w:val="17"/>
                <w:color w:val="auto"/>
              </w:rPr>
              <w:t>(21.1%)</w:t>
            </w:r>
          </w:p>
        </w:tc>
      </w:tr>
      <w:tr>
        <w:trPr>
          <w:trHeight w:val="193"/>
        </w:trPr>
        <w:tc>
          <w:tcPr>
            <w:tcW w:w="2300" w:type="dxa"/>
            <w:vAlign w:val="bottom"/>
          </w:tcPr>
          <w:p>
            <w:pPr>
              <w:spacing w:after="0"/>
              <w:rPr>
                <w:sz w:val="20"/>
                <w:szCs w:val="20"/>
                <w:color w:val="auto"/>
              </w:rPr>
            </w:pPr>
            <w:r>
              <w:rPr>
                <w:rFonts w:ascii="Courier New" w:cs="Courier New" w:eastAsia="Courier New" w:hAnsi="Courier New"/>
                <w:sz w:val="17"/>
                <w:szCs w:val="17"/>
                <w:color w:val="auto"/>
              </w:rPr>
              <w:t>Twelve months ended</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161,081</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199,052</w:t>
            </w:r>
          </w:p>
        </w:tc>
        <w:tc>
          <w:tcPr>
            <w:tcW w:w="2200" w:type="dxa"/>
            <w:vAlign w:val="bottom"/>
          </w:tcPr>
          <w:p>
            <w:pPr>
              <w:ind w:left="600"/>
              <w:spacing w:after="0"/>
              <w:rPr>
                <w:sz w:val="20"/>
                <w:szCs w:val="20"/>
                <w:color w:val="auto"/>
              </w:rPr>
            </w:pPr>
            <w:r>
              <w:rPr>
                <w:rFonts w:ascii="Courier New" w:cs="Courier New" w:eastAsia="Courier New" w:hAnsi="Courier New"/>
                <w:sz w:val="17"/>
                <w:szCs w:val="17"/>
                <w:color w:val="auto"/>
              </w:rPr>
              <w:t>(19.1%)</w:t>
            </w:r>
          </w:p>
        </w:tc>
      </w:tr>
    </w:tbl>
    <w:p>
      <w:pPr>
        <w:spacing w:after="0" w:line="198"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Approximately $16.6 million, or 35 percent, of the $48.3 million year-to-date decline in total sales is the result of the closure of 31 unprofitable stores in fiscal 1997 and 20 unprofitable stores through the end of the third quarter of fiscal 1998. The remainder of this decline is primarily due to lower sales of men's and women's Levi's(R) brand jeans and tops and limited availability of certain popular Levi Strauss &amp; Co. styles of merchandise. As reported by national and trade press, the Levi's(R) brand has experienced a notable decline in U.S. market share. This decline has affected the Company's sales of Levi's(R) brand merchandise. In the first nine months of fiscal 1998, approximately 66 percent of the Company's revenue was generated by sales in its Levi's(R) Outlet by Designs stores. The Company anticipates that Levi's(R) and Dockers(R) brand merchandise will account for a greater portion of future sales because of the recent addition of 25 outlet stores and the decision to eliminate 30 mall-based stores from the Company's mix of stores. The Company expects, barring unforeseen circumstances, that 90% of its revenue will be generated by its of Levi's(R) and Dockers(R) Outlet stores in fiscal 1999. The Company anticipates that decreases in comparable store sales will continue through the remainder of fiscal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Gross Margin</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Set forth below are gross margin rates (including the cost of occupancy) as a percentage of total sales for the third quarter of fiscal 1998 and the nine month and twelve month rolling periods ended October 31, 1998, and for these same periods in the prior fiscal year.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3120" w:type="dxa"/>
            <w:vAlign w:val="bottom"/>
            <w:gridSpan w:val="2"/>
          </w:tcPr>
          <w:p>
            <w:pPr>
              <w:jc w:val="right"/>
              <w:ind w:right="916"/>
              <w:spacing w:after="0"/>
              <w:rPr>
                <w:sz w:val="20"/>
                <w:szCs w:val="20"/>
                <w:color w:val="auto"/>
              </w:rPr>
            </w:pPr>
            <w:r>
              <w:rPr>
                <w:rFonts w:ascii="Courier New" w:cs="Courier New" w:eastAsia="Courier New" w:hAnsi="Courier New"/>
                <w:sz w:val="17"/>
                <w:szCs w:val="17"/>
                <w:color w:val="auto"/>
              </w:rPr>
              <w:t>Gross Margin</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2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00" w:type="dxa"/>
            <w:vAlign w:val="bottom"/>
          </w:tcPr>
          <w:p>
            <w:pPr>
              <w:jc w:val="right"/>
              <w:ind w:right="1216"/>
              <w:spacing w:after="0"/>
              <w:rPr>
                <w:sz w:val="20"/>
                <w:szCs w:val="20"/>
                <w:color w:val="auto"/>
              </w:rPr>
            </w:pPr>
            <w:r>
              <w:rPr>
                <w:rFonts w:ascii="Courier New" w:cs="Courier New" w:eastAsia="Courier New" w:hAnsi="Courier New"/>
                <w:sz w:val="17"/>
                <w:szCs w:val="17"/>
                <w:color w:val="auto"/>
                <w:w w:val="93"/>
              </w:rPr>
              <w:t>Rate</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Change at</w:t>
            </w:r>
          </w:p>
        </w:tc>
      </w:tr>
      <w:tr>
        <w:trPr>
          <w:trHeight w:val="193"/>
        </w:trPr>
        <w:tc>
          <w:tcPr>
            <w:tcW w:w="2500" w:type="dxa"/>
            <w:vAlign w:val="bottom"/>
          </w:tcPr>
          <w:p>
            <w:pPr>
              <w:spacing w:after="0"/>
              <w:rPr>
                <w:sz w:val="16"/>
                <w:szCs w:val="16"/>
                <w:color w:val="auto"/>
              </w:rPr>
            </w:pPr>
          </w:p>
        </w:tc>
        <w:tc>
          <w:tcPr>
            <w:tcW w:w="1420" w:type="dxa"/>
            <w:vAlign w:val="bottom"/>
          </w:tcPr>
          <w:p>
            <w:pPr>
              <w:ind w:left="600"/>
              <w:spacing w:after="0"/>
              <w:rPr>
                <w:sz w:val="20"/>
                <w:szCs w:val="20"/>
                <w:color w:val="auto"/>
              </w:rPr>
            </w:pPr>
            <w:r>
              <w:rPr>
                <w:rFonts w:ascii="Courier New" w:cs="Courier New" w:eastAsia="Courier New" w:hAnsi="Courier New"/>
                <w:sz w:val="17"/>
                <w:szCs w:val="17"/>
                <w:color w:val="auto"/>
                <w:w w:val="97"/>
              </w:rPr>
              <w:t>10/31/98</w:t>
            </w:r>
          </w:p>
        </w:tc>
        <w:tc>
          <w:tcPr>
            <w:tcW w:w="17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11/1/97</w:t>
            </w:r>
          </w:p>
        </w:tc>
        <w:tc>
          <w:tcPr>
            <w:tcW w:w="150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7"/>
              </w:rPr>
              <w:t>10/31/98</w:t>
            </w:r>
          </w:p>
        </w:tc>
      </w:tr>
      <w:tr>
        <w:trPr>
          <w:trHeight w:val="193"/>
        </w:trPr>
        <w:tc>
          <w:tcPr>
            <w:tcW w:w="2500" w:type="dxa"/>
            <w:vAlign w:val="bottom"/>
          </w:tcPr>
          <w:p>
            <w:pPr>
              <w:spacing w:after="0"/>
              <w:rPr>
                <w:sz w:val="16"/>
                <w:szCs w:val="16"/>
                <w:color w:val="auto"/>
              </w:rPr>
            </w:pPr>
          </w:p>
        </w:tc>
        <w:tc>
          <w:tcPr>
            <w:tcW w:w="4620" w:type="dxa"/>
            <w:vAlign w:val="bottom"/>
            <w:gridSpan w:val="3"/>
          </w:tcPr>
          <w:p>
            <w:pPr>
              <w:ind w:left="600"/>
              <w:spacing w:after="0"/>
              <w:rPr>
                <w:sz w:val="20"/>
                <w:szCs w:val="20"/>
                <w:color w:val="auto"/>
              </w:rPr>
            </w:pPr>
            <w:r>
              <w:rPr>
                <w:rFonts w:ascii="Courier New" w:cs="Courier New" w:eastAsia="Courier New" w:hAnsi="Courier New"/>
                <w:sz w:val="17"/>
                <w:szCs w:val="17"/>
                <w:color w:val="auto"/>
                <w:w w:val="98"/>
              </w:rPr>
              <w:t>----------------------------------------</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22.9%</w:t>
            </w:r>
          </w:p>
        </w:tc>
        <w:tc>
          <w:tcPr>
            <w:tcW w:w="17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24.3%</w:t>
            </w:r>
          </w:p>
        </w:tc>
        <w:tc>
          <w:tcPr>
            <w:tcW w:w="150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7"/>
              </w:rPr>
              <w:t>(1.4%)</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Nine months ended</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21.6%</w:t>
            </w:r>
          </w:p>
        </w:tc>
        <w:tc>
          <w:tcPr>
            <w:tcW w:w="17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15.0%</w:t>
            </w:r>
          </w:p>
        </w:tc>
        <w:tc>
          <w:tcPr>
            <w:tcW w:w="150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7"/>
              </w:rPr>
              <w:t>6.6%</w:t>
            </w:r>
          </w:p>
        </w:tc>
      </w:tr>
      <w:tr>
        <w:trPr>
          <w:trHeight w:val="193"/>
        </w:trPr>
        <w:tc>
          <w:tcPr>
            <w:tcW w:w="2500" w:type="dxa"/>
            <w:vAlign w:val="bottom"/>
          </w:tcPr>
          <w:p>
            <w:pPr>
              <w:spacing w:after="0"/>
              <w:rPr>
                <w:sz w:val="20"/>
                <w:szCs w:val="20"/>
                <w:color w:val="auto"/>
              </w:rPr>
            </w:pPr>
            <w:r>
              <w:rPr>
                <w:rFonts w:ascii="Courier New" w:cs="Courier New" w:eastAsia="Courier New" w:hAnsi="Courier New"/>
                <w:sz w:val="17"/>
                <w:szCs w:val="17"/>
                <w:color w:val="auto"/>
              </w:rPr>
              <w:t>Twelve months ended</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18.8%</w:t>
            </w:r>
          </w:p>
        </w:tc>
        <w:tc>
          <w:tcPr>
            <w:tcW w:w="17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18.7%</w:t>
            </w:r>
          </w:p>
        </w:tc>
        <w:tc>
          <w:tcPr>
            <w:tcW w:w="1500" w:type="dxa"/>
            <w:vAlign w:val="bottom"/>
          </w:tcPr>
          <w:p>
            <w:pPr>
              <w:jc w:val="center"/>
              <w:ind w:left="616"/>
              <w:spacing w:after="0"/>
              <w:rPr>
                <w:sz w:val="20"/>
                <w:szCs w:val="20"/>
                <w:color w:val="auto"/>
              </w:rPr>
            </w:pPr>
            <w:r>
              <w:rPr>
                <w:rFonts w:ascii="Courier New" w:cs="Courier New" w:eastAsia="Courier New" w:hAnsi="Courier New"/>
                <w:sz w:val="17"/>
                <w:szCs w:val="17"/>
                <w:color w:val="auto"/>
                <w:w w:val="97"/>
              </w:rPr>
              <w:t>0.1%</w:t>
            </w:r>
          </w:p>
        </w:tc>
      </w:tr>
    </w:tbl>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1.4 percentage point decrease in gross margin in the third quarter of fiscal 1998 compared to the third quarter of fiscal 1997 is primarily the result of fixed occupancy costs as a percentage of decreasing sales which resulted in a 2.0 percentage point decrease in gross margin. This decrease was partially offset by a 0.6 percentage point improvement in merchandise margin which was the result of increased initial margins on certain Levi's(R) Outlet merchandise, decreased promotional markdowns and events, and the elimination of the poor performing Boston Traders(R) brand product from the merchandise mix. The changes in gross margin rate for the nine and twelve month periods are attributable to merchandise markdowns and fabric reserves recorded in the second quarter of fiscal 1997 related to the Company's shift in strategy away from its vertically integrated private label development strategy, adjustments for inventory shrinkage results recorded in the fourth quarter of fiscal 1997 and reserves recorded against pending resolution of vendor discussions regarding proofs of delivery of certain goods.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Expenses</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199"/>
        <w:spacing w:after="0" w:line="259" w:lineRule="auto"/>
        <w:rPr>
          <w:sz w:val="20"/>
          <w:szCs w:val="20"/>
          <w:color w:val="auto"/>
        </w:rPr>
      </w:pPr>
      <w:r>
        <w:rPr>
          <w:rFonts w:ascii="Courier New" w:cs="Courier New" w:eastAsia="Courier New" w:hAnsi="Courier New"/>
          <w:sz w:val="16"/>
          <w:szCs w:val="16"/>
          <w:color w:val="auto"/>
        </w:rPr>
        <w:t>Set forth below is certain information concerning the Company's selling, general and administrative expenses for the third quarter of fiscal 1998 and the nine month and twelve month rolling periods ended October 31, 1998, and for these</w:t>
      </w:r>
    </w:p>
    <w:p>
      <w:pPr>
        <w:sectPr>
          <w:pgSz w:w="11900" w:h="16926" w:orient="portrait"/>
          <w:cols w:equalWidth="0" w:num="1">
            <w:col w:w="10219"/>
          </w:cols>
          <w:pgMar w:left="240" w:top="142" w:right="1440" w:bottom="0" w:gutter="0" w:footer="0" w:header="0"/>
        </w:sectPr>
      </w:pPr>
    </w:p>
    <w:bookmarkStart w:id="12" w:name="page13"/>
    <w:bookmarkEnd w:id="12"/>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same periods in the prior fiscal year.</w:t>
      </w:r>
    </w:p>
    <w:p>
      <w:pPr>
        <w:spacing w:after="0" w:line="19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SG&amp;A Expenses</w:t>
      </w:r>
    </w:p>
    <w:p>
      <w:pPr>
        <w:spacing w:after="0"/>
        <w:tabs>
          <w:tab w:leader="none" w:pos="3180" w:val="left"/>
          <w:tab w:leader="none" w:pos="6000" w:val="left"/>
        </w:tabs>
        <w:rPr>
          <w:sz w:val="20"/>
          <w:szCs w:val="20"/>
          <w:color w:val="auto"/>
        </w:rPr>
      </w:pPr>
      <w:r>
        <w:rPr>
          <w:rFonts w:ascii="Courier New" w:cs="Courier New" w:eastAsia="Courier New" w:hAnsi="Courier New"/>
          <w:sz w:val="17"/>
          <w:szCs w:val="17"/>
          <w:color w:val="auto"/>
        </w:rPr>
        <w:t>(In thousands, except</w:t>
      </w:r>
      <w:r>
        <w:rPr>
          <w:sz w:val="20"/>
          <w:szCs w:val="20"/>
          <w:color w:val="auto"/>
        </w:rPr>
        <w:tab/>
      </w:r>
      <w:r>
        <w:rPr>
          <w:rFonts w:ascii="Courier New" w:cs="Courier New" w:eastAsia="Courier New" w:hAnsi="Courier New"/>
          <w:sz w:val="17"/>
          <w:szCs w:val="17"/>
          <w:color w:val="auto"/>
        </w:rPr>
        <w:t>10/31/98</w:t>
      </w:r>
      <w:r>
        <w:rPr>
          <w:sz w:val="20"/>
          <w:szCs w:val="20"/>
          <w:color w:val="auto"/>
        </w:rPr>
        <w:tab/>
      </w:r>
      <w:r>
        <w:rPr>
          <w:rFonts w:ascii="Courier New" w:cs="Courier New" w:eastAsia="Courier New" w:hAnsi="Courier New"/>
          <w:sz w:val="16"/>
          <w:szCs w:val="16"/>
          <w:color w:val="auto"/>
        </w:rPr>
        <w:t>11/1/97</w:t>
      </w:r>
    </w:p>
    <w:p>
      <w:pPr>
        <w:ind w:left="200"/>
        <w:spacing w:after="0"/>
        <w:tabs>
          <w:tab w:leader="none" w:pos="2780" w:val="left"/>
          <w:tab w:leader="none" w:pos="3700" w:val="left"/>
          <w:tab w:leader="none" w:pos="5500" w:val="left"/>
          <w:tab w:leader="none" w:pos="6500" w:val="left"/>
        </w:tabs>
        <w:rPr>
          <w:sz w:val="20"/>
          <w:szCs w:val="20"/>
          <w:color w:val="auto"/>
        </w:rPr>
      </w:pPr>
      <w:r>
        <w:rPr>
          <w:rFonts w:ascii="Courier New" w:cs="Courier New" w:eastAsia="Courier New" w:hAnsi="Courier New"/>
          <w:sz w:val="17"/>
          <w:szCs w:val="17"/>
          <w:color w:val="auto"/>
        </w:rPr>
        <w:t>percentage data)</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 of sales</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 of sales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6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36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$12,699</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21.6%</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$16,466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21.3%</w:t>
            </w:r>
          </w:p>
        </w:tc>
      </w:tr>
      <w:tr>
        <w:trPr>
          <w:trHeight w:val="193"/>
        </w:trPr>
        <w:tc>
          <w:tcPr>
            <w:tcW w:w="2160" w:type="dxa"/>
            <w:vAlign w:val="bottom"/>
          </w:tcPr>
          <w:p>
            <w:pPr>
              <w:spacing w:after="0"/>
              <w:rPr>
                <w:sz w:val="20"/>
                <w:szCs w:val="20"/>
                <w:color w:val="auto"/>
              </w:rPr>
            </w:pPr>
            <w:r>
              <w:rPr>
                <w:rFonts w:ascii="Courier New" w:cs="Courier New" w:eastAsia="Courier New" w:hAnsi="Courier New"/>
                <w:sz w:val="17"/>
                <w:szCs w:val="17"/>
                <w:color w:val="auto"/>
              </w:rPr>
              <w:t>Nine months ended</w:t>
            </w:r>
          </w:p>
        </w:tc>
        <w:tc>
          <w:tcPr>
            <w:tcW w:w="136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36,420</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24.4%</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49,470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25.1%</w:t>
            </w:r>
          </w:p>
        </w:tc>
      </w:tr>
      <w:tr>
        <w:trPr>
          <w:trHeight w:val="193"/>
        </w:trPr>
        <w:tc>
          <w:tcPr>
            <w:tcW w:w="2160" w:type="dxa"/>
            <w:vAlign w:val="bottom"/>
          </w:tcPr>
          <w:p>
            <w:pPr>
              <w:spacing w:after="0"/>
              <w:rPr>
                <w:sz w:val="20"/>
                <w:szCs w:val="20"/>
                <w:color w:val="auto"/>
              </w:rPr>
            </w:pPr>
            <w:r>
              <w:rPr>
                <w:rFonts w:ascii="Courier New" w:cs="Courier New" w:eastAsia="Courier New" w:hAnsi="Courier New"/>
                <w:sz w:val="17"/>
                <w:szCs w:val="17"/>
                <w:color w:val="auto"/>
              </w:rPr>
              <w:t>Twelve months ended</w:t>
            </w:r>
          </w:p>
        </w:tc>
        <w:tc>
          <w:tcPr>
            <w:tcW w:w="136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52,581</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24.2%</w:t>
            </w:r>
          </w:p>
        </w:tc>
        <w:tc>
          <w:tcPr>
            <w:tcW w:w="16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65,144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23.4%</w:t>
            </w:r>
          </w:p>
        </w:tc>
      </w:tr>
    </w:tbl>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$3.8 million decrease in selling, general and administrative expenses in the third quarter of fiscal 1998 compared to such expenses in the third quarter of fiscal 1997 is primarily due to reduced store payroll expense from lower staffing levels in response to sales decreases. Also contributing to this decrease was a series of expense reduction actions undertaken in fiscal 1997 that are ongoing. The decreases in selling, general and administrative expenses for the nine month and rolling twelve month periods ended October 31, 1998 compared to such expenses in the same periods in the prior year are due to similar reasons. The Company expects to further reduce overhead levels by the beginning of fiscal 1999 and expects to realize approximately $1 million of savings from these reductions in fiscal 1999.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for Store Closings</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In addition to the store closing charge recorded in the third quarter of fiscal 1998 which is discussed above, during the second quarter of fiscal 1997, the Company recorded a pre-tax charge of $20 million, or $(0.75) per share. This charge was principally related to the Company's decision in June 1997 to abandon its vertically integrated private label strategy. Approximately $13.9 million of this charge related to merchandise markdowns and cancellation of fabric commitments and is accounted for in cost of goods sold for the twelve months ended November 1, 1997. The remaining approximately $6.1 million, related to the costs of terminating leases for unprofitable stores, asset impairment charges, severance and other related costs, is included in the provision for store closings on the Consolidated Statement of Income for the same period. In the fourth quarter of fiscal 1997 the Company recorded an additional pre-tax charge of $1.6 million, or $(0.06) per share after tax, related to the Company's decision to reduce corporate overhead through a January 1998 reduction in force. The Company expects savings of approximately $3.3 million in payroll costs as a result of this reduction in fiscal 1998. This charge is included in the provision for store closings for the twelve months ended November 1, 1997.</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and Amortization</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Set forth below are depreciation and amortization expenses for the Company for the third quarter of fiscal 1998 and the nine month and twelve month rolling periods ended October 31, 1998, and for these same periods in the prior fiscal year.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60" w:type="dxa"/>
            <w:vAlign w:val="bottom"/>
          </w:tcPr>
          <w:p>
            <w:pPr>
              <w:spacing w:after="0"/>
              <w:rPr>
                <w:sz w:val="16"/>
                <w:szCs w:val="16"/>
                <w:color w:val="auto"/>
              </w:rPr>
            </w:pPr>
          </w:p>
        </w:tc>
        <w:tc>
          <w:tcPr>
            <w:tcW w:w="3360" w:type="dxa"/>
            <w:vAlign w:val="bottom"/>
            <w:gridSpan w:val="2"/>
          </w:tcPr>
          <w:p>
            <w:pPr>
              <w:jc w:val="right"/>
              <w:ind w:right="1116"/>
              <w:spacing w:after="0"/>
              <w:rPr>
                <w:sz w:val="20"/>
                <w:szCs w:val="20"/>
                <w:color w:val="auto"/>
              </w:rPr>
            </w:pPr>
            <w:r>
              <w:rPr>
                <w:rFonts w:ascii="Courier New" w:cs="Courier New" w:eastAsia="Courier New" w:hAnsi="Courier New"/>
                <w:sz w:val="17"/>
                <w:szCs w:val="17"/>
                <w:color w:val="auto"/>
              </w:rPr>
              <w:t>Depreciation</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Percentage</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(In thousands, except</w:t>
            </w:r>
          </w:p>
        </w:tc>
        <w:tc>
          <w:tcPr>
            <w:tcW w:w="3360" w:type="dxa"/>
            <w:vAlign w:val="bottom"/>
            <w:gridSpan w:val="2"/>
          </w:tcPr>
          <w:p>
            <w:pPr>
              <w:jc w:val="right"/>
              <w:ind w:right="816"/>
              <w:spacing w:after="0"/>
              <w:rPr>
                <w:sz w:val="20"/>
                <w:szCs w:val="20"/>
                <w:color w:val="auto"/>
              </w:rPr>
            </w:pPr>
            <w:r>
              <w:rPr>
                <w:rFonts w:ascii="Courier New" w:cs="Courier New" w:eastAsia="Courier New" w:hAnsi="Courier New"/>
                <w:sz w:val="17"/>
                <w:szCs w:val="17"/>
                <w:color w:val="auto"/>
              </w:rPr>
              <w:t>and Amortization</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Change at</w:t>
            </w:r>
          </w:p>
        </w:tc>
      </w:tr>
      <w:tr>
        <w:trPr>
          <w:trHeight w:val="193"/>
        </w:trPr>
        <w:tc>
          <w:tcPr>
            <w:tcW w:w="2460" w:type="dxa"/>
            <w:vAlign w:val="bottom"/>
          </w:tcPr>
          <w:p>
            <w:pPr>
              <w:ind w:left="200"/>
              <w:spacing w:after="0"/>
              <w:rPr>
                <w:sz w:val="20"/>
                <w:szCs w:val="20"/>
                <w:color w:val="auto"/>
              </w:rPr>
            </w:pPr>
            <w:r>
              <w:rPr>
                <w:rFonts w:ascii="Courier New" w:cs="Courier New" w:eastAsia="Courier New" w:hAnsi="Courier New"/>
                <w:sz w:val="17"/>
                <w:szCs w:val="17"/>
                <w:color w:val="auto"/>
              </w:rPr>
              <w:t>percentage data)</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10/31/98</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11/1/97</w:t>
            </w:r>
          </w:p>
        </w:tc>
        <w:tc>
          <w:tcPr>
            <w:tcW w:w="1600" w:type="dxa"/>
            <w:vAlign w:val="bottom"/>
          </w:tcPr>
          <w:p>
            <w:pPr>
              <w:ind w:left="700"/>
              <w:spacing w:after="0"/>
              <w:rPr>
                <w:sz w:val="20"/>
                <w:szCs w:val="20"/>
                <w:color w:val="auto"/>
              </w:rPr>
            </w:pPr>
            <w:r>
              <w:rPr>
                <w:rFonts w:ascii="Courier New" w:cs="Courier New" w:eastAsia="Courier New" w:hAnsi="Courier New"/>
                <w:sz w:val="17"/>
                <w:szCs w:val="17"/>
                <w:color w:val="auto"/>
              </w:rPr>
              <w:t>10/31/98</w:t>
            </w:r>
          </w:p>
        </w:tc>
      </w:tr>
      <w:tr>
        <w:trPr>
          <w:trHeight w:val="193"/>
        </w:trPr>
        <w:tc>
          <w:tcPr>
            <w:tcW w:w="2460" w:type="dxa"/>
            <w:vAlign w:val="bottom"/>
          </w:tcPr>
          <w:p>
            <w:pPr>
              <w:spacing w:after="0"/>
              <w:rPr>
                <w:sz w:val="16"/>
                <w:szCs w:val="16"/>
                <w:color w:val="auto"/>
              </w:rPr>
            </w:pPr>
          </w:p>
        </w:tc>
        <w:tc>
          <w:tcPr>
            <w:tcW w:w="49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$ 2,632</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$ 2,799</w:t>
            </w:r>
          </w:p>
        </w:tc>
        <w:tc>
          <w:tcPr>
            <w:tcW w:w="1600" w:type="dxa"/>
            <w:vAlign w:val="bottom"/>
          </w:tcPr>
          <w:p>
            <w:pPr>
              <w:ind w:left="700"/>
              <w:spacing w:after="0"/>
              <w:rPr>
                <w:sz w:val="20"/>
                <w:szCs w:val="20"/>
                <w:color w:val="auto"/>
              </w:rPr>
            </w:pPr>
            <w:r>
              <w:rPr>
                <w:rFonts w:ascii="Courier New" w:cs="Courier New" w:eastAsia="Courier New" w:hAnsi="Courier New"/>
                <w:sz w:val="17"/>
                <w:szCs w:val="17"/>
                <w:color w:val="auto"/>
              </w:rPr>
              <w:t>(6.0%)</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Nine months ended</w:t>
            </w: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7,859</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8,466</w:t>
            </w:r>
          </w:p>
        </w:tc>
        <w:tc>
          <w:tcPr>
            <w:tcW w:w="1600" w:type="dxa"/>
            <w:vAlign w:val="bottom"/>
          </w:tcPr>
          <w:p>
            <w:pPr>
              <w:ind w:left="700"/>
              <w:spacing w:after="0"/>
              <w:rPr>
                <w:sz w:val="20"/>
                <w:szCs w:val="20"/>
                <w:color w:val="auto"/>
              </w:rPr>
            </w:pPr>
            <w:r>
              <w:rPr>
                <w:rFonts w:ascii="Courier New" w:cs="Courier New" w:eastAsia="Courier New" w:hAnsi="Courier New"/>
                <w:sz w:val="17"/>
                <w:szCs w:val="17"/>
                <w:color w:val="auto"/>
              </w:rPr>
              <w:t>(7.2%)</w:t>
            </w:r>
          </w:p>
        </w:tc>
      </w:tr>
      <w:tr>
        <w:trPr>
          <w:trHeight w:val="193"/>
        </w:trPr>
        <w:tc>
          <w:tcPr>
            <w:tcW w:w="2460" w:type="dxa"/>
            <w:vAlign w:val="bottom"/>
          </w:tcPr>
          <w:p>
            <w:pPr>
              <w:spacing w:after="0"/>
              <w:rPr>
                <w:sz w:val="20"/>
                <w:szCs w:val="20"/>
                <w:color w:val="auto"/>
              </w:rPr>
            </w:pPr>
            <w:r>
              <w:rPr>
                <w:rFonts w:ascii="Courier New" w:cs="Courier New" w:eastAsia="Courier New" w:hAnsi="Courier New"/>
                <w:sz w:val="17"/>
                <w:szCs w:val="17"/>
                <w:color w:val="auto"/>
              </w:rPr>
              <w:t>Twelve months ended</w:t>
            </w:r>
          </w:p>
        </w:tc>
        <w:tc>
          <w:tcPr>
            <w:tcW w:w="16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10,629</w:t>
            </w:r>
          </w:p>
        </w:tc>
        <w:tc>
          <w:tcPr>
            <w:tcW w:w="17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11,105</w:t>
            </w:r>
          </w:p>
        </w:tc>
        <w:tc>
          <w:tcPr>
            <w:tcW w:w="1600" w:type="dxa"/>
            <w:vAlign w:val="bottom"/>
          </w:tcPr>
          <w:p>
            <w:pPr>
              <w:ind w:left="700"/>
              <w:spacing w:after="0"/>
              <w:rPr>
                <w:sz w:val="20"/>
                <w:szCs w:val="20"/>
                <w:color w:val="auto"/>
              </w:rPr>
            </w:pPr>
            <w:r>
              <w:rPr>
                <w:rFonts w:ascii="Courier New" w:cs="Courier New" w:eastAsia="Courier New" w:hAnsi="Courier New"/>
                <w:sz w:val="17"/>
                <w:szCs w:val="17"/>
                <w:color w:val="auto"/>
              </w:rPr>
              <w:t>(4.3%)</w:t>
            </w:r>
          </w:p>
        </w:tc>
      </w:tr>
    </w:tbl>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decrease in depreciation and amortization expenses in the third quarter of fiscal year 1998 compared to the third quarter of fiscal year 1997 is principally due to the write off of fixed assets in fiscal 1997 related to unprofitable store closures. The decreases for the nine month and rolling twelve month periods compared to the same periods in the prior fiscal year also are primarily due to the closing of stores and is partially offset by the timing of new and remodeled stores in the prior fiscal year.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Expense</w:t>
      </w: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Interest expense was $163,000 and $258,000 in the third quarter of fiscal 1998</w:t>
      </w:r>
    </w:p>
    <w:p>
      <w:pPr>
        <w:spacing w:after="0"/>
        <w:rPr>
          <w:sz w:val="20"/>
          <w:szCs w:val="20"/>
          <w:color w:val="auto"/>
        </w:rPr>
      </w:pPr>
      <w:r>
        <w:rPr>
          <w:rFonts w:ascii="Courier New" w:cs="Courier New" w:eastAsia="Courier New" w:hAnsi="Courier New"/>
          <w:sz w:val="17"/>
          <w:szCs w:val="17"/>
          <w:color w:val="auto"/>
        </w:rPr>
        <w:t>and fiscal 1997, respectively. For the nine-month period, interest expense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$469,000 as compared to $664,000 in the prior year. For the twelve-month period,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 was $656,000 as compared to $727,000 for the prior year. These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decreases are attributable to lower average borrowing levels and decreased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rates under the Company's revolving credit facility for the three, nine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twelve month periods ended October 31, 1998 as compared with the same</w:t>
      </w:r>
    </w:p>
    <w:p>
      <w:pPr>
        <w:spacing w:after="0"/>
        <w:rPr>
          <w:sz w:val="20"/>
          <w:szCs w:val="20"/>
          <w:color w:val="auto"/>
        </w:rPr>
      </w:pPr>
      <w:r>
        <w:rPr>
          <w:rFonts w:ascii="Courier New" w:cs="Courier New" w:eastAsia="Courier New" w:hAnsi="Courier New"/>
          <w:sz w:val="17"/>
          <w:szCs w:val="17"/>
          <w:color w:val="auto"/>
        </w:rPr>
        <w:t>periods in the prior year. The Company anticipates, barring unforeseen</w:t>
      </w:r>
    </w:p>
    <w:p>
      <w:pPr>
        <w:spacing w:after="0"/>
        <w:rPr>
          <w:sz w:val="20"/>
          <w:szCs w:val="20"/>
          <w:color w:val="auto"/>
        </w:rPr>
      </w:pPr>
      <w:r>
        <w:rPr>
          <w:rFonts w:ascii="Courier New" w:cs="Courier New" w:eastAsia="Courier New" w:hAnsi="Courier New"/>
          <w:sz w:val="17"/>
          <w:szCs w:val="17"/>
          <w:color w:val="auto"/>
        </w:rPr>
        <w:t>circumstances, that interest expense for fiscal 1998 will be approximately the</w:t>
      </w:r>
    </w:p>
    <w:p>
      <w:pPr>
        <w:spacing w:after="0"/>
        <w:rPr>
          <w:sz w:val="20"/>
          <w:szCs w:val="20"/>
          <w:color w:val="auto"/>
        </w:rPr>
      </w:pPr>
      <w:r>
        <w:rPr>
          <w:rFonts w:ascii="Courier New" w:cs="Courier New" w:eastAsia="Courier New" w:hAnsi="Courier New"/>
          <w:sz w:val="17"/>
          <w:szCs w:val="17"/>
          <w:color w:val="auto"/>
        </w:rPr>
        <w:t>same as the prior year due to the anticipated additional borrowings under the</w:t>
      </w:r>
    </w:p>
    <w:p>
      <w:pPr>
        <w:spacing w:after="0"/>
        <w:rPr>
          <w:sz w:val="20"/>
          <w:szCs w:val="20"/>
          <w:color w:val="auto"/>
        </w:rPr>
      </w:pPr>
      <w:r>
        <w:rPr>
          <w:rFonts w:ascii="Courier New" w:cs="Courier New" w:eastAsia="Courier New" w:hAnsi="Courier New"/>
          <w:sz w:val="17"/>
          <w:szCs w:val="17"/>
          <w:color w:val="auto"/>
        </w:rPr>
        <w:t>Company's revolving facility primarily to fund payments necessary for lease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terminations associated with the closing of unprofitable stores, acquisition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25 outlet stores and special purchases of merchandise for the Levi's(R)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Dockers(R) Outlet by Designs stores.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Income</w:t>
      </w: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Interest income for the third quarter of fiscal 1998 was $31,000 compared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$26,000 in the third quarter of fiscal year 1997. For the nine-month and rolling</w:t>
      </w:r>
    </w:p>
    <w:p>
      <w:pPr>
        <w:sectPr>
          <w:pgSz w:w="11900" w:h="16905" w:orient="portrait"/>
          <w:cols w:equalWidth="0" w:num="1">
            <w:col w:w="10219"/>
          </w:cols>
          <w:pgMar w:left="240" w:top="136" w:right="1440" w:bottom="0" w:gutter="0" w:footer="0" w:header="0"/>
        </w:sectPr>
      </w:pPr>
    </w:p>
    <w:bookmarkStart w:id="13" w:name="page14"/>
    <w:bookmarkEnd w:id="13"/>
    <w:p>
      <w:pPr>
        <w:spacing w:after="0" w:line="89" w:lineRule="exact"/>
        <w:rPr>
          <w:sz w:val="20"/>
          <w:szCs w:val="20"/>
          <w:color w:val="auto"/>
        </w:rPr>
      </w:pPr>
    </w:p>
    <w:p>
      <w:pPr>
        <w:ind w:right="2800"/>
        <w:spacing w:after="0" w:line="238" w:lineRule="auto"/>
        <w:rPr>
          <w:sz w:val="20"/>
          <w:szCs w:val="20"/>
          <w:color w:val="auto"/>
        </w:rPr>
      </w:pPr>
      <w:r>
        <w:rPr>
          <w:rFonts w:ascii="Courier New" w:cs="Courier New" w:eastAsia="Courier New" w:hAnsi="Courier New"/>
          <w:sz w:val="17"/>
          <w:szCs w:val="17"/>
          <w:color w:val="auto"/>
        </w:rPr>
        <w:t>twelve-month periods, interest income was $70,000 and $121,000, respectively, as compared to $94,000 and $355,000 for the comparable periods in the prior year. The decrease in interest income is attributable to lower average investment balances compared to the same periods in the prior year. The Company anticipates that interest income will be minimal through fiscal 1998.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Profit/Loss</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jc w:val="both"/>
        <w:ind w:right="2800"/>
        <w:spacing w:after="0" w:line="237" w:lineRule="auto"/>
        <w:rPr>
          <w:sz w:val="20"/>
          <w:szCs w:val="20"/>
          <w:color w:val="auto"/>
        </w:rPr>
      </w:pPr>
      <w:r>
        <w:rPr>
          <w:rFonts w:ascii="Courier New" w:cs="Courier New" w:eastAsia="Courier New" w:hAnsi="Courier New"/>
          <w:sz w:val="17"/>
          <w:szCs w:val="17"/>
          <w:color w:val="auto"/>
        </w:rPr>
        <w:t>Set forth below is the net loss for the Company for the third quarter of fiscal 1998 and the nine month and twelve month rolling periods ended October 31, 1998, and for these same periods in the prior fiscal year.</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Net Loss</w:t>
      </w:r>
    </w:p>
    <w:p>
      <w:pPr>
        <w:spacing w:after="0"/>
        <w:tabs>
          <w:tab w:leader="none" w:pos="3300" w:val="left"/>
          <w:tab w:leader="none" w:pos="6400" w:val="left"/>
        </w:tabs>
        <w:rPr>
          <w:sz w:val="20"/>
          <w:szCs w:val="20"/>
          <w:color w:val="auto"/>
        </w:rPr>
      </w:pPr>
      <w:r>
        <w:rPr>
          <w:rFonts w:ascii="Courier New" w:cs="Courier New" w:eastAsia="Courier New" w:hAnsi="Courier New"/>
          <w:sz w:val="17"/>
          <w:szCs w:val="17"/>
          <w:color w:val="auto"/>
        </w:rPr>
        <w:t>(In thousands, except</w:t>
      </w:r>
      <w:r>
        <w:rPr>
          <w:sz w:val="20"/>
          <w:szCs w:val="20"/>
          <w:color w:val="auto"/>
        </w:rPr>
        <w:tab/>
      </w:r>
      <w:r>
        <w:rPr>
          <w:rFonts w:ascii="Courier New" w:cs="Courier New" w:eastAsia="Courier New" w:hAnsi="Courier New"/>
          <w:sz w:val="17"/>
          <w:szCs w:val="17"/>
          <w:color w:val="auto"/>
        </w:rPr>
        <w:t>10/31/98</w:t>
      </w:r>
      <w:r>
        <w:rPr>
          <w:sz w:val="20"/>
          <w:szCs w:val="20"/>
          <w:color w:val="auto"/>
        </w:rPr>
        <w:tab/>
      </w:r>
      <w:r>
        <w:rPr>
          <w:rFonts w:ascii="Courier New" w:cs="Courier New" w:eastAsia="Courier New" w:hAnsi="Courier New"/>
          <w:sz w:val="16"/>
          <w:szCs w:val="16"/>
          <w:color w:val="auto"/>
        </w:rPr>
        <w:t>11/1/97</w:t>
      </w:r>
    </w:p>
    <w:p>
      <w:pPr>
        <w:ind w:left="200"/>
        <w:spacing w:after="0"/>
        <w:tabs>
          <w:tab w:leader="none" w:pos="2880" w:val="left"/>
          <w:tab w:leader="none" w:pos="4200" w:val="left"/>
          <w:tab w:leader="none" w:pos="6100" w:val="left"/>
          <w:tab w:leader="none" w:pos="6900" w:val="left"/>
        </w:tabs>
        <w:rPr>
          <w:sz w:val="20"/>
          <w:szCs w:val="20"/>
          <w:color w:val="auto"/>
        </w:rPr>
      </w:pPr>
      <w:r>
        <w:rPr>
          <w:rFonts w:ascii="Courier New" w:cs="Courier New" w:eastAsia="Courier New" w:hAnsi="Courier New"/>
          <w:sz w:val="17"/>
          <w:szCs w:val="17"/>
          <w:color w:val="auto"/>
        </w:rPr>
        <w:t>per share data)</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per share</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per share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Three months ended</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 (8,746)</w:t>
            </w:r>
          </w:p>
        </w:tc>
        <w:tc>
          <w:tcPr>
            <w:tcW w:w="14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$(0.55)</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( 567)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$(0.04)</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Nine months ended</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(14,892)</w:t>
            </w:r>
          </w:p>
        </w:tc>
        <w:tc>
          <w:tcPr>
            <w:tcW w:w="14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(0.94)</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(20,331)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(1.30)</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Twelve months ended</w:t>
            </w:r>
          </w:p>
        </w:tc>
        <w:tc>
          <w:tcPr>
            <w:tcW w:w="16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(23,606)</w:t>
            </w:r>
          </w:p>
        </w:tc>
        <w:tc>
          <w:tcPr>
            <w:tcW w:w="14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(1.50)</w:t>
            </w:r>
          </w:p>
        </w:tc>
        <w:tc>
          <w:tcPr>
            <w:tcW w:w="14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(18,140)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(1.16)</w:t>
            </w:r>
          </w:p>
        </w:tc>
      </w:tr>
    </w:tbl>
    <w:p>
      <w:pPr>
        <w:spacing w:after="0" w:line="391" w:lineRule="exact"/>
        <w:rPr>
          <w:sz w:val="20"/>
          <w:szCs w:val="20"/>
          <w:color w:val="auto"/>
        </w:rPr>
      </w:pPr>
    </w:p>
    <w:p>
      <w:pPr>
        <w:ind w:right="3600"/>
        <w:spacing w:after="0" w:line="236" w:lineRule="auto"/>
        <w:rPr>
          <w:sz w:val="20"/>
          <w:szCs w:val="20"/>
          <w:color w:val="auto"/>
        </w:rPr>
      </w:pPr>
      <w:r>
        <w:rPr>
          <w:rFonts w:ascii="Courier New" w:cs="Courier New" w:eastAsia="Courier New" w:hAnsi="Courier New"/>
          <w:sz w:val="17"/>
          <w:szCs w:val="17"/>
          <w:color w:val="auto"/>
        </w:rPr>
        <w:t>Below is a summary of certain pre-tax charges included in the net income reported during the respective periods:</w:t>
      </w:r>
    </w:p>
    <w:p>
      <w:pPr>
        <w:sectPr>
          <w:pgSz w:w="11900" w:h="16927" w:orient="portrait"/>
          <w:cols w:equalWidth="0" w:num="1">
            <w:col w:w="10820"/>
          </w:cols>
          <w:pgMar w:left="240" w:top="142" w:right="839" w:bottom="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thousands,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per share data)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900" w:firstLine="201"/>
        <w:spacing w:after="0" w:line="238" w:lineRule="auto"/>
        <w:rPr>
          <w:sz w:val="20"/>
          <w:szCs w:val="20"/>
          <w:color w:val="auto"/>
        </w:rPr>
      </w:pPr>
      <w:r>
        <w:rPr>
          <w:rFonts w:ascii="Courier New" w:cs="Courier New" w:eastAsia="Courier New" w:hAnsi="Courier New"/>
          <w:sz w:val="17"/>
          <w:szCs w:val="17"/>
          <w:color w:val="auto"/>
        </w:rPr>
        <w:t>For the Three For the Nine For the Twelve months ended months ended months ended 10/31/98 11/1/97 10/31/98 11/1/97 10/31/98 11/1/97 -----------------------------------------------------</w:t>
      </w:r>
    </w:p>
    <w:p>
      <w:pPr>
        <w:spacing w:after="0" w:line="7" w:lineRule="exact"/>
        <w:rPr>
          <w:sz w:val="20"/>
          <w:szCs w:val="20"/>
          <w:color w:val="auto"/>
        </w:rPr>
      </w:pPr>
    </w:p>
    <w:p>
      <w:pPr>
        <w:sectPr>
          <w:pgSz w:w="11900" w:h="16927" w:orient="portrait"/>
          <w:cols w:equalWidth="0" w:num="2">
            <w:col w:w="2200" w:space="400"/>
            <w:col w:w="8220"/>
          </w:cols>
          <w:pgMar w:left="240" w:top="142" w:right="83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Store Closing Reserve</w:t>
      </w:r>
    </w:p>
    <w:p>
      <w:pPr>
        <w:sectPr>
          <w:pgSz w:w="11900" w:h="16927" w:orient="portrait"/>
          <w:cols w:equalWidth="0" w:num="1">
            <w:col w:w="10820"/>
          </w:cols>
          <w:pgMar w:left="240" w:top="142" w:right="839" w:bottom="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recorded in Q3'98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$13,400</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$13,400</w:t>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$13,400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ectPr>
          <w:pgSz w:w="11900" w:h="16927" w:orient="portrait"/>
          <w:cols w:equalWidth="0" w:num="5">
            <w:col w:w="2000" w:space="700"/>
            <w:col w:w="720" w:space="600"/>
            <w:col w:w="1300" w:space="600"/>
            <w:col w:w="1200" w:space="500"/>
            <w:col w:w="3200"/>
          </w:cols>
          <w:pgMar w:left="240" w:top="142" w:right="83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Reduction in Force</w:t>
      </w:r>
    </w:p>
    <w:p>
      <w:pPr>
        <w:sectPr>
          <w:pgSz w:w="11900" w:h="16927" w:orient="portrait"/>
          <w:cols w:equalWidth="0" w:num="1">
            <w:col w:w="10820"/>
          </w:cols>
          <w:pgMar w:left="240" w:top="142" w:right="839" w:bottom="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recorded in Q4'97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1,600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ectPr>
          <w:pgSz w:w="11900" w:h="16927" w:orient="portrait"/>
          <w:cols w:equalWidth="0" w:num="6">
            <w:col w:w="2380" w:space="720"/>
            <w:col w:w="220" w:space="700"/>
            <w:col w:w="280" w:space="720"/>
            <w:col w:w="200" w:space="700"/>
            <w:col w:w="1200" w:space="500"/>
            <w:col w:w="3200"/>
          </w:cols>
          <w:pgMar w:left="240" w:top="142" w:right="83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Store Closing Reserve</w:t>
      </w:r>
    </w:p>
    <w:p>
      <w:pPr>
        <w:ind w:left="300"/>
        <w:spacing w:after="0"/>
        <w:rPr>
          <w:sz w:val="20"/>
          <w:szCs w:val="20"/>
          <w:color w:val="auto"/>
        </w:rPr>
      </w:pPr>
      <w:r>
        <w:rPr>
          <w:rFonts w:ascii="Courier New" w:cs="Courier New" w:eastAsia="Courier New" w:hAnsi="Courier New"/>
          <w:sz w:val="17"/>
          <w:szCs w:val="17"/>
          <w:color w:val="auto"/>
        </w:rPr>
        <w:t>and abandonment of</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vertical integration</w:t>
      </w:r>
    </w:p>
    <w:p>
      <w:pPr>
        <w:sectPr>
          <w:pgSz w:w="11900" w:h="16927" w:orient="portrait"/>
          <w:cols w:equalWidth="0" w:num="1">
            <w:col w:w="10820"/>
          </w:cols>
          <w:pgMar w:left="240" w:top="142" w:right="839" w:bottom="0" w:gutter="0" w:footer="0" w:header="0"/>
          <w:type w:val="continuous"/>
        </w:sectPr>
      </w:pPr>
    </w:p>
    <w:p>
      <w:pPr>
        <w:spacing w:after="0" w:line="11" w:lineRule="exact"/>
        <w:rPr>
          <w:sz w:val="20"/>
          <w:szCs w:val="20"/>
          <w:color w:val="auto"/>
        </w:rPr>
      </w:pPr>
    </w:p>
    <w:p>
      <w:pPr>
        <w:ind w:left="300"/>
        <w:spacing w:after="0" w:line="510" w:lineRule="auto"/>
        <w:rPr>
          <w:sz w:val="20"/>
          <w:szCs w:val="20"/>
          <w:color w:val="auto"/>
        </w:rPr>
      </w:pPr>
      <w:r>
        <w:rPr>
          <w:rFonts w:ascii="Courier New" w:cs="Courier New" w:eastAsia="Courier New" w:hAnsi="Courier New"/>
          <w:sz w:val="16"/>
          <w:szCs w:val="16"/>
          <w:color w:val="auto"/>
        </w:rPr>
        <w:t>strategy in Q2'97 Total charges</w:t>
      </w:r>
    </w:p>
    <w:p>
      <w:pPr>
        <w:spacing w:after="0" w:line="20" w:lineRule="exact"/>
        <w:rPr>
          <w:sz w:val="20"/>
          <w:szCs w:val="20"/>
          <w:color w:val="auto"/>
        </w:rPr>
      </w:pPr>
      <w:r>
        <w:rPr>
          <w:sz w:val="20"/>
          <w:szCs w:val="20"/>
          <w:color w:val="auto"/>
        </w:rPr>
        <w:br w:type="column"/>
      </w:r>
    </w:p>
    <w:p>
      <w:pPr>
        <w:jc w:val="both"/>
        <w:ind w:right="2900" w:firstLine="501"/>
        <w:spacing w:after="0" w:line="255" w:lineRule="auto"/>
        <w:rPr>
          <w:sz w:val="20"/>
          <w:szCs w:val="20"/>
          <w:color w:val="auto"/>
        </w:rPr>
      </w:pPr>
      <w:r>
        <w:rPr>
          <w:rFonts w:ascii="Courier New" w:cs="Courier New" w:eastAsia="Courier New" w:hAnsi="Courier New"/>
          <w:sz w:val="16"/>
          <w:szCs w:val="16"/>
          <w:color w:val="auto"/>
        </w:rPr>
        <w:t>-- -- -- $20,000 -- $20,000 ---------------------------------------------------- $13,400 -- $13,400 $20,000 $15,000 20,000 ====================================================</w:t>
      </w:r>
    </w:p>
    <w:p>
      <w:pPr>
        <w:spacing w:after="0" w:line="1" w:lineRule="exact"/>
        <w:rPr>
          <w:sz w:val="20"/>
          <w:szCs w:val="20"/>
          <w:color w:val="auto"/>
        </w:rPr>
      </w:pPr>
    </w:p>
    <w:p>
      <w:pPr>
        <w:sectPr>
          <w:pgSz w:w="11900" w:h="16927" w:orient="portrait"/>
          <w:cols w:equalWidth="0" w:num="2">
            <w:col w:w="2000" w:space="700"/>
            <w:col w:w="8120"/>
          </w:cols>
          <w:pgMar w:left="240" w:top="142" w:right="839" w:bottom="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Earnings(loss) per share</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impact of charges</w:t>
      </w:r>
    </w:p>
    <w:p>
      <w:pPr>
        <w:ind w:left="300"/>
        <w:spacing w:after="0"/>
        <w:rPr>
          <w:sz w:val="20"/>
          <w:szCs w:val="20"/>
          <w:color w:val="auto"/>
        </w:rPr>
      </w:pPr>
      <w:r>
        <w:rPr>
          <w:rFonts w:ascii="Courier New" w:cs="Courier New" w:eastAsia="Courier New" w:hAnsi="Courier New"/>
          <w:sz w:val="17"/>
          <w:szCs w:val="17"/>
          <w:color w:val="auto"/>
        </w:rPr>
        <w:t>for each period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200"/>
        <w:spacing w:after="0"/>
        <w:tabs>
          <w:tab w:leader="none" w:pos="1500" w:val="left"/>
          <w:tab w:leader="none" w:pos="2100" w:val="left"/>
          <w:tab w:leader="none" w:pos="3000" w:val="left"/>
        </w:tabs>
        <w:rPr>
          <w:sz w:val="20"/>
          <w:szCs w:val="20"/>
          <w:color w:val="auto"/>
        </w:rPr>
      </w:pPr>
      <w:r>
        <w:rPr>
          <w:rFonts w:ascii="Courier New" w:cs="Courier New" w:eastAsia="Courier New" w:hAnsi="Courier New"/>
          <w:sz w:val="17"/>
          <w:szCs w:val="17"/>
          <w:color w:val="auto"/>
        </w:rPr>
        <w:t>$(0.47)</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$(0.47)</w:t>
      </w:r>
      <w:r>
        <w:rPr>
          <w:sz w:val="20"/>
          <w:szCs w:val="20"/>
          <w:color w:val="auto"/>
        </w:rPr>
        <w:tab/>
      </w:r>
      <w:r>
        <w:rPr>
          <w:rFonts w:ascii="Courier New" w:cs="Courier New" w:eastAsia="Courier New" w:hAnsi="Courier New"/>
          <w:sz w:val="16"/>
          <w:szCs w:val="16"/>
          <w:color w:val="auto"/>
        </w:rPr>
        <w:t>$(0.75) $(0.53) $(0.75)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ectPr>
          <w:pgSz w:w="11900" w:h="16927" w:orient="portrait"/>
          <w:cols w:equalWidth="0" w:num="2">
            <w:col w:w="2600" w:space="0"/>
            <w:col w:w="8220"/>
          </w:cols>
          <w:pgMar w:left="240" w:top="142" w:right="83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Earnings(loss) per share</w:t>
      </w:r>
    </w:p>
    <w:p>
      <w:pPr>
        <w:ind w:left="300"/>
        <w:spacing w:after="0"/>
        <w:rPr>
          <w:sz w:val="20"/>
          <w:szCs w:val="20"/>
          <w:color w:val="auto"/>
        </w:rPr>
      </w:pPr>
      <w:r>
        <w:rPr>
          <w:rFonts w:ascii="Courier New" w:cs="Courier New" w:eastAsia="Courier New" w:hAnsi="Courier New"/>
          <w:sz w:val="17"/>
          <w:szCs w:val="17"/>
          <w:color w:val="auto"/>
        </w:rPr>
        <w:t>exclusive of the above</w:t>
      </w:r>
    </w:p>
    <w:p>
      <w:pPr>
        <w:ind w:left="300"/>
        <w:spacing w:after="0"/>
        <w:tabs>
          <w:tab w:leader="none" w:pos="2780" w:val="left"/>
          <w:tab w:leader="none" w:pos="3700" w:val="left"/>
          <w:tab w:leader="none" w:pos="4700" w:val="left"/>
          <w:tab w:leader="none" w:pos="5600" w:val="left"/>
        </w:tabs>
        <w:rPr>
          <w:sz w:val="20"/>
          <w:szCs w:val="20"/>
          <w:color w:val="auto"/>
        </w:rPr>
      </w:pPr>
      <w:r>
        <w:rPr>
          <w:rFonts w:ascii="Courier New" w:cs="Courier New" w:eastAsia="Courier New" w:hAnsi="Courier New"/>
          <w:sz w:val="17"/>
          <w:szCs w:val="17"/>
          <w:color w:val="auto"/>
        </w:rPr>
        <w:t>charges</w:t>
      </w:r>
      <w:r>
        <w:rPr>
          <w:sz w:val="20"/>
          <w:szCs w:val="20"/>
          <w:color w:val="auto"/>
        </w:rPr>
        <w:tab/>
      </w:r>
      <w:r>
        <w:rPr>
          <w:rFonts w:ascii="Courier New" w:cs="Courier New" w:eastAsia="Courier New" w:hAnsi="Courier New"/>
          <w:sz w:val="17"/>
          <w:szCs w:val="17"/>
          <w:color w:val="auto"/>
        </w:rPr>
        <w:t>$(0.08)</w:t>
        <w:tab/>
        <w:t>$(0.04)</w:t>
        <w:tab/>
        <w:t>$(0.47)</w:t>
      </w:r>
      <w:r>
        <w:rPr>
          <w:sz w:val="20"/>
          <w:szCs w:val="20"/>
          <w:color w:val="auto"/>
        </w:rPr>
        <w:tab/>
      </w:r>
      <w:r>
        <w:rPr>
          <w:rFonts w:ascii="Courier New" w:cs="Courier New" w:eastAsia="Courier New" w:hAnsi="Courier New"/>
          <w:sz w:val="16"/>
          <w:szCs w:val="16"/>
          <w:color w:val="auto"/>
        </w:rPr>
        <w:t>$(0.55) $(0.97) $(0.41)</w:t>
      </w:r>
    </w:p>
    <w:p>
      <w:pPr>
        <w:ind w:left="26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INFORMATION AND IMPACT OF THIRD QUARTER TRANSACTIONS</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7"/>
          <w:szCs w:val="17"/>
          <w:color w:val="auto"/>
        </w:rPr>
        <w:t>As described above,during the third quarter of fiscal 1998, the following transactions occurred:</w:t>
      </w:r>
    </w:p>
    <w:p>
      <w:pPr>
        <w:spacing w:after="0" w:line="7" w:lineRule="exact"/>
        <w:rPr>
          <w:sz w:val="20"/>
          <w:szCs w:val="20"/>
          <w:color w:val="auto"/>
        </w:rPr>
      </w:pPr>
    </w:p>
    <w:p>
      <w:pPr>
        <w:ind w:left="700" w:hanging="397"/>
        <w:spacing w:after="0"/>
        <w:tabs>
          <w:tab w:leader="none" w:pos="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acquired 16 Dockers(R) Outlet and 9 Levi's(R) Outlet stores.</w:t>
      </w:r>
    </w:p>
    <w:p>
      <w:pPr>
        <w:spacing w:after="0" w:line="11" w:lineRule="exact"/>
        <w:rPr>
          <w:rFonts w:ascii="Courier New" w:cs="Courier New" w:eastAsia="Courier New" w:hAnsi="Courier New"/>
          <w:sz w:val="16"/>
          <w:szCs w:val="16"/>
          <w:color w:val="auto"/>
        </w:rPr>
      </w:pPr>
    </w:p>
    <w:p>
      <w:pPr>
        <w:ind w:left="900" w:right="3200" w:hanging="597"/>
        <w:spacing w:after="0" w:line="236" w:lineRule="auto"/>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received a distribution of 11 additional Levi's(R) Outlet stores from the OLS Partnership.</w:t>
      </w:r>
    </w:p>
    <w:p>
      <w:pPr>
        <w:spacing w:after="0" w:line="1" w:lineRule="exact"/>
        <w:rPr>
          <w:rFonts w:ascii="Courier New" w:cs="Courier New" w:eastAsia="Courier New" w:hAnsi="Courier New"/>
          <w:sz w:val="17"/>
          <w:szCs w:val="17"/>
          <w:color w:val="auto"/>
        </w:rPr>
      </w:pPr>
    </w:p>
    <w:p>
      <w:pPr>
        <w:ind w:left="700" w:hanging="397"/>
        <w:spacing w:after="0"/>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announced plans to dissolve and wind up the</w:t>
      </w:r>
    </w:p>
    <w:p>
      <w:pPr>
        <w:spacing w:after="0" w:line="198" w:lineRule="exact"/>
        <w:rPr>
          <w:sz w:val="20"/>
          <w:szCs w:val="20"/>
          <w:color w:val="auto"/>
        </w:rPr>
      </w:pPr>
    </w:p>
    <w:p>
      <w:pPr>
        <w:ind w:left="900" w:hanging="597"/>
        <w:spacing w:after="0"/>
        <w:tabs>
          <w:tab w:leader="none" w:pos="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decided to close 30 unprofitable stores and record a $13.4</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million pre-tax charge for these store closings.</w:t>
      </w:r>
    </w:p>
    <w:p>
      <w:pPr>
        <w:spacing w:after="0"/>
        <w:rPr>
          <w:sz w:val="20"/>
          <w:szCs w:val="20"/>
          <w:color w:val="auto"/>
        </w:rPr>
      </w:pPr>
      <w:r>
        <w:rPr>
          <w:rFonts w:ascii="Courier New" w:cs="Courier New" w:eastAsia="Courier New" w:hAnsi="Courier New"/>
          <w:sz w:val="17"/>
          <w:szCs w:val="17"/>
          <w:color w:val="auto"/>
        </w:rPr>
        <w:t>As a result of these transactions, the Company now operates two store groups:</w:t>
      </w:r>
    </w:p>
    <w:p>
      <w:pPr>
        <w:spacing w:after="0"/>
        <w:rPr>
          <w:sz w:val="20"/>
          <w:szCs w:val="20"/>
          <w:color w:val="auto"/>
        </w:rPr>
      </w:pPr>
      <w:r>
        <w:rPr>
          <w:rFonts w:ascii="Courier New" w:cs="Courier New" w:eastAsia="Courier New" w:hAnsi="Courier New"/>
          <w:sz w:val="17"/>
          <w:szCs w:val="17"/>
          <w:color w:val="auto"/>
        </w:rPr>
        <w:t>(i) 100 Outlet stores and (ii) 9 Specialty stores.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Outlet Store Group</w:t>
      </w: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At October 31, 1998, the Outlet Store Group consisted of:</w:t>
      </w:r>
    </w:p>
    <w:p>
      <w:pPr>
        <w:ind w:left="700" w:hanging="296"/>
        <w:spacing w:after="0"/>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59 Levi's(R) Outlet by Designs stores</w:t>
      </w:r>
    </w:p>
    <w:p>
      <w:pPr>
        <w:spacing w:after="0" w:line="5" w:lineRule="exact"/>
        <w:rPr>
          <w:rFonts w:ascii="Courier New" w:cs="Courier New" w:eastAsia="Courier New" w:hAnsi="Courier New"/>
          <w:sz w:val="17"/>
          <w:szCs w:val="17"/>
          <w:color w:val="auto"/>
        </w:rPr>
      </w:pPr>
    </w:p>
    <w:p>
      <w:pPr>
        <w:ind w:left="800" w:right="3100" w:hanging="396"/>
        <w:spacing w:after="0" w:line="236" w:lineRule="auto"/>
        <w:tabs>
          <w:tab w:leader="none" w:pos="8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 Dockers(R) Outlet by Designs and the 9 Levi's(R) Outlet by Designs stores that were acquired on September 30, 1998</w:t>
      </w:r>
    </w:p>
    <w:p>
      <w:pPr>
        <w:spacing w:after="0" w:line="6" w:lineRule="exact"/>
        <w:rPr>
          <w:rFonts w:ascii="Courier New" w:cs="Courier New" w:eastAsia="Courier New" w:hAnsi="Courier New"/>
          <w:sz w:val="17"/>
          <w:szCs w:val="17"/>
          <w:color w:val="auto"/>
        </w:rPr>
      </w:pPr>
    </w:p>
    <w:p>
      <w:pPr>
        <w:ind w:left="800" w:right="3100" w:hanging="396"/>
        <w:spacing w:after="0" w:line="236" w:lineRule="auto"/>
        <w:tabs>
          <w:tab w:leader="none" w:pos="8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 Levi's(R) Outlet stores which were owned and operated by the joint venture through October 31, 1998</w:t>
      </w:r>
    </w:p>
    <w:p>
      <w:pPr>
        <w:spacing w:after="0" w:line="1" w:lineRule="exact"/>
        <w:rPr>
          <w:rFonts w:ascii="Courier New" w:cs="Courier New" w:eastAsia="Courier New" w:hAnsi="Courier New"/>
          <w:sz w:val="17"/>
          <w:szCs w:val="17"/>
          <w:color w:val="auto"/>
        </w:rPr>
      </w:pPr>
    </w:p>
    <w:p>
      <w:pPr>
        <w:ind w:left="700" w:hanging="296"/>
        <w:spacing w:after="0"/>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5 Buffalo Jeans Factory Stores</w:t>
      </w:r>
    </w:p>
    <w:p>
      <w:pPr>
        <w:spacing w:after="0" w:line="198" w:lineRule="exact"/>
        <w:rPr>
          <w:sz w:val="20"/>
          <w:szCs w:val="20"/>
          <w:color w:val="auto"/>
        </w:rPr>
      </w:pPr>
    </w:p>
    <w:p>
      <w:pPr>
        <w:ind w:right="2800"/>
        <w:spacing w:after="0" w:line="238" w:lineRule="auto"/>
        <w:rPr>
          <w:sz w:val="20"/>
          <w:szCs w:val="20"/>
          <w:color w:val="auto"/>
        </w:rPr>
      </w:pPr>
      <w:r>
        <w:rPr>
          <w:rFonts w:ascii="Courier New" w:cs="Courier New" w:eastAsia="Courier New" w:hAnsi="Courier New"/>
          <w:sz w:val="17"/>
          <w:szCs w:val="17"/>
          <w:color w:val="auto"/>
        </w:rPr>
        <w:t>The following table sets forth certain information for the Outlet Store Group for the three, nine and twelve month rolling periods ended October 31, 1998, and for the same periods in the prior year and certain balance sheet information as of October 31, 1998.</w:t>
      </w:r>
    </w:p>
    <w:p>
      <w:pPr>
        <w:sectPr>
          <w:pgSz w:w="11900" w:h="16927" w:orient="portrait"/>
          <w:cols w:equalWidth="0" w:num="1">
            <w:col w:w="10820"/>
          </w:cols>
          <w:pgMar w:left="240" w:top="142" w:right="839" w:bottom="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Three months ended</w:t>
      </w:r>
    </w:p>
    <w:p>
      <w:pPr>
        <w:spacing w:after="0" w:line="6" w:lineRule="exact"/>
        <w:rPr>
          <w:sz w:val="20"/>
          <w:szCs w:val="20"/>
          <w:color w:val="auto"/>
        </w:rPr>
      </w:pPr>
    </w:p>
    <w:p>
      <w:pPr>
        <w:ind w:left="3320"/>
        <w:spacing w:after="0"/>
        <w:tabs>
          <w:tab w:leader="none" w:pos="4300" w:val="left"/>
        </w:tabs>
        <w:rPr>
          <w:sz w:val="20"/>
          <w:szCs w:val="20"/>
          <w:color w:val="auto"/>
        </w:rPr>
      </w:pPr>
      <w:r>
        <w:rPr>
          <w:rFonts w:ascii="Courier New" w:cs="Courier New" w:eastAsia="Courier New" w:hAnsi="Courier New"/>
          <w:sz w:val="17"/>
          <w:szCs w:val="17"/>
          <w:color w:val="auto"/>
        </w:rPr>
        <w:t>10/31/98</w:t>
      </w:r>
      <w:r>
        <w:rPr>
          <w:sz w:val="20"/>
          <w:szCs w:val="20"/>
          <w:color w:val="auto"/>
        </w:rPr>
        <w:tab/>
      </w:r>
      <w:r>
        <w:rPr>
          <w:rFonts w:ascii="Courier New" w:cs="Courier New" w:eastAsia="Courier New" w:hAnsi="Courier New"/>
          <w:sz w:val="16"/>
          <w:szCs w:val="16"/>
          <w:color w:val="auto"/>
        </w:rPr>
        <w:t>11/1/97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firstLine="200"/>
        <w:spacing w:after="0" w:line="262" w:lineRule="auto"/>
        <w:rPr>
          <w:sz w:val="20"/>
          <w:szCs w:val="20"/>
          <w:color w:val="auto"/>
        </w:rPr>
      </w:pPr>
      <w:r>
        <w:rPr>
          <w:rFonts w:ascii="Courier New" w:cs="Courier New" w:eastAsia="Courier New" w:hAnsi="Courier New"/>
          <w:sz w:val="16"/>
          <w:szCs w:val="16"/>
          <w:color w:val="auto"/>
        </w:rPr>
        <w:t>Nine months ended 10/31/98 11/1/97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jc w:val="both"/>
        <w:ind w:firstLine="200"/>
        <w:spacing w:after="0" w:line="262" w:lineRule="auto"/>
        <w:rPr>
          <w:sz w:val="20"/>
          <w:szCs w:val="20"/>
          <w:color w:val="auto"/>
        </w:rPr>
      </w:pPr>
      <w:r>
        <w:rPr>
          <w:rFonts w:ascii="Courier New" w:cs="Courier New" w:eastAsia="Courier New" w:hAnsi="Courier New"/>
          <w:sz w:val="16"/>
          <w:szCs w:val="16"/>
          <w:color w:val="auto"/>
        </w:rPr>
        <w:t>Twelve months ended 10/31/98 11/1/97 %</w:t>
      </w:r>
    </w:p>
    <w:p>
      <w:pPr>
        <w:sectPr>
          <w:pgSz w:w="11900" w:h="16927" w:orient="portrait"/>
          <w:cols w:equalWidth="0" w:num="5">
            <w:col w:w="5320" w:space="100"/>
            <w:col w:w="100" w:space="500"/>
            <w:col w:w="1900" w:space="300"/>
            <w:col w:w="100" w:space="400"/>
            <w:col w:w="2100"/>
          </w:cols>
          <w:pgMar w:left="240" w:top="142" w:right="839" w:bottom="0" w:gutter="0" w:footer="0" w:header="0"/>
          <w:type w:val="continuous"/>
        </w:sectPr>
      </w:pPr>
    </w:p>
    <w:bookmarkStart w:id="14" w:name="page15"/>
    <w:bookmarkEnd w:id="14"/>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rPr>
                <w:sz w:val="16"/>
                <w:szCs w:val="16"/>
                <w:color w:val="auto"/>
              </w:rPr>
            </w:pPr>
          </w:p>
        </w:tc>
        <w:tc>
          <w:tcPr>
            <w:tcW w:w="322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860" w:type="dxa"/>
            <w:vAlign w:val="bottom"/>
            <w:gridSpan w:val="3"/>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6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260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$ 44,808</w:t>
            </w:r>
          </w:p>
        </w:tc>
        <w:tc>
          <w:tcPr>
            <w:tcW w:w="17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$ 53,046 (15.5%)</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$108,303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$135,382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$148,000</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$183,817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(19.5%)</w:t>
            </w:r>
          </w:p>
        </w:tc>
      </w:tr>
      <w:tr>
        <w:trPr>
          <w:trHeight w:val="193"/>
        </w:trPr>
        <w:tc>
          <w:tcPr>
            <w:tcW w:w="2600" w:type="dxa"/>
            <w:vAlign w:val="bottom"/>
          </w:tcPr>
          <w:p>
            <w:pPr>
              <w:spacing w:after="0"/>
              <w:rPr>
                <w:sz w:val="20"/>
                <w:szCs w:val="20"/>
                <w:color w:val="auto"/>
              </w:rPr>
            </w:pPr>
            <w:r>
              <w:rPr>
                <w:rFonts w:ascii="Courier New" w:cs="Courier New" w:eastAsia="Courier New" w:hAnsi="Courier New"/>
                <w:sz w:val="17"/>
                <w:szCs w:val="17"/>
                <w:color w:val="auto"/>
              </w:rPr>
              <w:t>Gross Margin, net of</w:t>
            </w:r>
          </w:p>
        </w:tc>
        <w:tc>
          <w:tcPr>
            <w:tcW w:w="1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600" w:type="dxa"/>
            <w:vAlign w:val="bottom"/>
          </w:tcPr>
          <w:p>
            <w:pPr>
              <w:ind w:left="300"/>
              <w:spacing w:after="0"/>
              <w:rPr>
                <w:sz w:val="20"/>
                <w:szCs w:val="20"/>
                <w:color w:val="auto"/>
              </w:rPr>
            </w:pPr>
            <w:r>
              <w:rPr>
                <w:rFonts w:ascii="Courier New" w:cs="Courier New" w:eastAsia="Courier New" w:hAnsi="Courier New"/>
                <w:sz w:val="17"/>
                <w:szCs w:val="17"/>
                <w:color w:val="auto"/>
              </w:rPr>
              <w:t>occupancy costs</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13,165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14,613</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30,399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40,025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(24.0%)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42,067</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57,831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(27.3%)</w:t>
            </w:r>
          </w:p>
        </w:tc>
      </w:tr>
      <w:tr>
        <w:trPr>
          <w:trHeight w:val="385"/>
        </w:trPr>
        <w:tc>
          <w:tcPr>
            <w:tcW w:w="2600" w:type="dxa"/>
            <w:vAlign w:val="bottom"/>
          </w:tcPr>
          <w:p>
            <w:pPr>
              <w:spacing w:after="0"/>
              <w:rPr>
                <w:sz w:val="20"/>
                <w:szCs w:val="20"/>
                <w:color w:val="auto"/>
              </w:rPr>
            </w:pPr>
            <w:r>
              <w:rPr>
                <w:rFonts w:ascii="Courier New" w:cs="Courier New" w:eastAsia="Courier New" w:hAnsi="Courier New"/>
                <w:sz w:val="17"/>
                <w:szCs w:val="17"/>
                <w:color w:val="auto"/>
              </w:rPr>
              <w:t>Gross Margin Rate</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29.4%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27.6%</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28.1%</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29.6%</w:t>
            </w:r>
          </w:p>
        </w:tc>
        <w:tc>
          <w:tcPr>
            <w:tcW w:w="8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28.4%</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31.5%</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(9.7%)</w:t>
            </w:r>
          </w:p>
        </w:tc>
      </w:tr>
      <w:tr>
        <w:trPr>
          <w:trHeight w:val="385"/>
        </w:trPr>
        <w:tc>
          <w:tcPr>
            <w:tcW w:w="2600" w:type="dxa"/>
            <w:vAlign w:val="bottom"/>
          </w:tcPr>
          <w:p>
            <w:pPr>
              <w:spacing w:after="0"/>
              <w:rPr>
                <w:sz w:val="20"/>
                <w:szCs w:val="20"/>
                <w:color w:val="auto"/>
              </w:rPr>
            </w:pPr>
            <w:r>
              <w:rPr>
                <w:rFonts w:ascii="Courier New" w:cs="Courier New" w:eastAsia="Courier New" w:hAnsi="Courier New"/>
                <w:sz w:val="17"/>
                <w:szCs w:val="17"/>
                <w:color w:val="auto"/>
              </w:rPr>
              <w:t>Contribution to</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2600" w:type="dxa"/>
            <w:vAlign w:val="bottom"/>
          </w:tcPr>
          <w:p>
            <w:pPr>
              <w:ind w:left="300"/>
              <w:spacing w:after="0"/>
              <w:rPr>
                <w:sz w:val="20"/>
                <w:szCs w:val="20"/>
                <w:color w:val="auto"/>
              </w:rPr>
            </w:pPr>
            <w:r>
              <w:rPr>
                <w:rFonts w:ascii="Courier New" w:cs="Courier New" w:eastAsia="Courier New" w:hAnsi="Courier New"/>
                <w:sz w:val="17"/>
                <w:szCs w:val="17"/>
                <w:color w:val="auto"/>
              </w:rPr>
              <w:t>profit (1)</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6,505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7,203</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12,069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18,884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(36.1%)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17,604</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30,151</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(41.6%)</w:t>
            </w:r>
          </w:p>
        </w:tc>
      </w:tr>
      <w:tr>
        <w:trPr>
          <w:trHeight w:val="385"/>
        </w:trPr>
        <w:tc>
          <w:tcPr>
            <w:tcW w:w="2600" w:type="dxa"/>
            <w:vAlign w:val="bottom"/>
          </w:tcPr>
          <w:p>
            <w:pPr>
              <w:spacing w:after="0"/>
              <w:rPr>
                <w:sz w:val="20"/>
                <w:szCs w:val="20"/>
                <w:color w:val="auto"/>
              </w:rPr>
            </w:pPr>
            <w:r>
              <w:rPr>
                <w:rFonts w:ascii="Courier New" w:cs="Courier New" w:eastAsia="Courier New" w:hAnsi="Courier New"/>
                <w:sz w:val="17"/>
                <w:szCs w:val="17"/>
                <w:color w:val="auto"/>
              </w:rPr>
              <w:t>Cash Flow from</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3"/>
        </w:trPr>
        <w:tc>
          <w:tcPr>
            <w:tcW w:w="2600" w:type="dxa"/>
            <w:vAlign w:val="bottom"/>
          </w:tcPr>
          <w:p>
            <w:pPr>
              <w:ind w:left="300"/>
              <w:spacing w:after="0"/>
              <w:rPr>
                <w:sz w:val="20"/>
                <w:szCs w:val="20"/>
                <w:color w:val="auto"/>
              </w:rPr>
            </w:pPr>
            <w:r>
              <w:rPr>
                <w:rFonts w:ascii="Courier New" w:cs="Courier New" w:eastAsia="Courier New" w:hAnsi="Courier New"/>
                <w:sz w:val="17"/>
                <w:szCs w:val="17"/>
                <w:color w:val="auto"/>
              </w:rPr>
              <w:t>operations</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7,448</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7,982</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14,452</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21,295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(32.1%)</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20,505</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33,373</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(38.6%)</w:t>
            </w:r>
          </w:p>
        </w:tc>
      </w:tr>
    </w:tbl>
    <w:p>
      <w:pPr>
        <w:spacing w:after="0" w:line="198" w:lineRule="exact"/>
        <w:rPr>
          <w:sz w:val="20"/>
          <w:szCs w:val="20"/>
          <w:color w:val="auto"/>
        </w:rPr>
      </w:pPr>
    </w:p>
    <w:p>
      <w:pPr>
        <w:ind w:left="200" w:hanging="197"/>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 stores open: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Levi's(R)Outlet by Designs</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59</w:t>
            </w: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59</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w:t>
            </w:r>
          </w:p>
        </w:tc>
        <w:tc>
          <w:tcPr>
            <w:tcW w:w="13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59</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59</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Joint Venture Levi's(R)Outlets</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11</w:t>
            </w: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11</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w:t>
            </w:r>
          </w:p>
        </w:tc>
        <w:tc>
          <w:tcPr>
            <w:tcW w:w="13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11</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11</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Levi's(R)Outlets purchased (3)</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9</w:t>
            </w: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w:t>
            </w:r>
          </w:p>
        </w:tc>
        <w:tc>
          <w:tcPr>
            <w:tcW w:w="13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Dockers(R)Outlets purchased (3)</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16</w:t>
            </w: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w:t>
            </w:r>
          </w:p>
        </w:tc>
        <w:tc>
          <w:tcPr>
            <w:tcW w:w="13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Buffalo Jeans Factory Stores</w:t>
            </w:r>
          </w:p>
        </w:tc>
        <w:tc>
          <w:tcPr>
            <w:tcW w:w="9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5</w:t>
            </w:r>
          </w:p>
        </w:tc>
        <w:tc>
          <w:tcPr>
            <w:tcW w:w="13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w:t>
            </w:r>
          </w:p>
        </w:tc>
        <w:tc>
          <w:tcPr>
            <w:tcW w:w="136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00" w:type="dxa"/>
            <w:vAlign w:val="bottom"/>
          </w:tcPr>
          <w:p>
            <w:pPr>
              <w:ind w:left="700"/>
              <w:spacing w:after="0"/>
              <w:rPr>
                <w:sz w:val="20"/>
                <w:szCs w:val="20"/>
                <w:color w:val="auto"/>
              </w:rPr>
            </w:pPr>
            <w:r>
              <w:rPr>
                <w:rFonts w:ascii="Courier New" w:cs="Courier New" w:eastAsia="Courier New" w:hAnsi="Courier New"/>
                <w:sz w:val="17"/>
                <w:szCs w:val="17"/>
                <w:color w:val="auto"/>
              </w:rPr>
              <w:t>Total stores</w:t>
            </w:r>
          </w:p>
        </w:tc>
        <w:tc>
          <w:tcPr>
            <w:tcW w:w="15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100</w:t>
            </w:r>
          </w:p>
        </w:tc>
        <w:tc>
          <w:tcPr>
            <w:tcW w:w="11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70</w:t>
            </w:r>
          </w:p>
        </w:tc>
        <w:tc>
          <w:tcPr>
            <w:tcW w:w="15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100</w:t>
            </w:r>
          </w:p>
        </w:tc>
        <w:tc>
          <w:tcPr>
            <w:tcW w:w="15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70</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100</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70</w:t>
            </w:r>
          </w:p>
        </w:tc>
      </w:tr>
      <w:tr>
        <w:trPr>
          <w:trHeight w:val="385"/>
        </w:trPr>
        <w:tc>
          <w:tcPr>
            <w:tcW w:w="2800" w:type="dxa"/>
            <w:vAlign w:val="bottom"/>
          </w:tcPr>
          <w:p>
            <w:pPr>
              <w:spacing w:after="0"/>
              <w:rPr>
                <w:sz w:val="20"/>
                <w:szCs w:val="20"/>
                <w:color w:val="auto"/>
              </w:rPr>
            </w:pPr>
            <w:r>
              <w:rPr>
                <w:rFonts w:ascii="Courier New" w:cs="Courier New" w:eastAsia="Courier New" w:hAnsi="Courier New"/>
                <w:sz w:val="17"/>
                <w:szCs w:val="17"/>
                <w:color w:val="auto"/>
              </w:rPr>
              <w:t>Balance Sheet at:</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10/31/98</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11/1/97</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Inventory,</w:t>
            </w:r>
          </w:p>
        </w:tc>
        <w:tc>
          <w:tcPr>
            <w:tcW w:w="3500" w:type="dxa"/>
            <w:vAlign w:val="bottom"/>
          </w:tcPr>
          <w:p>
            <w:pPr>
              <w:jc w:val="center"/>
              <w:ind w:right="3036"/>
              <w:spacing w:after="0"/>
              <w:rPr>
                <w:sz w:val="20"/>
                <w:szCs w:val="20"/>
                <w:color w:val="auto"/>
              </w:rPr>
            </w:pPr>
            <w:r>
              <w:rPr>
                <w:rFonts w:ascii="Courier New" w:cs="Courier New" w:eastAsia="Courier New" w:hAnsi="Courier New"/>
                <w:sz w:val="17"/>
                <w:szCs w:val="17"/>
                <w:color w:val="auto"/>
                <w:w w:val="97"/>
              </w:rPr>
              <w:t>net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$ 50,813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$ 53,486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193"/>
        </w:trPr>
        <w:tc>
          <w:tcPr>
            <w:tcW w:w="4560" w:type="dxa"/>
            <w:vAlign w:val="bottom"/>
            <w:gridSpan w:val="2"/>
          </w:tcPr>
          <w:p>
            <w:pPr>
              <w:spacing w:after="0"/>
              <w:rPr>
                <w:sz w:val="20"/>
                <w:szCs w:val="20"/>
                <w:color w:val="auto"/>
              </w:rPr>
            </w:pPr>
            <w:r>
              <w:rPr>
                <w:rFonts w:ascii="Courier New" w:cs="Courier New" w:eastAsia="Courier New" w:hAnsi="Courier New"/>
                <w:sz w:val="17"/>
                <w:szCs w:val="17"/>
                <w:color w:val="auto"/>
              </w:rPr>
              <w:t>Merchandise Receipts</w:t>
            </w:r>
          </w:p>
        </w:tc>
        <w:tc>
          <w:tcPr>
            <w:tcW w:w="2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4560" w:type="dxa"/>
            <w:vAlign w:val="bottom"/>
            <w:gridSpan w:val="2"/>
          </w:tcPr>
          <w:p>
            <w:pPr>
              <w:jc w:val="center"/>
              <w:ind w:right="1976"/>
              <w:spacing w:after="0"/>
              <w:rPr>
                <w:sz w:val="20"/>
                <w:szCs w:val="20"/>
                <w:color w:val="auto"/>
              </w:rPr>
            </w:pPr>
            <w:r>
              <w:rPr>
                <w:rFonts w:ascii="Courier New" w:cs="Courier New" w:eastAsia="Courier New" w:hAnsi="Courier New"/>
                <w:sz w:val="17"/>
                <w:szCs w:val="17"/>
                <w:color w:val="auto"/>
                <w:w w:val="98"/>
              </w:rPr>
              <w:t>for the nine months</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67,411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86,439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(22.0%)</w:t>
            </w:r>
          </w:p>
        </w:tc>
      </w:tr>
      <w:tr>
        <w:trPr>
          <w:trHeight w:val="385"/>
        </w:trPr>
        <w:tc>
          <w:tcPr>
            <w:tcW w:w="4560" w:type="dxa"/>
            <w:vAlign w:val="bottom"/>
            <w:gridSpan w:val="2"/>
          </w:tcPr>
          <w:p>
            <w:pPr>
              <w:spacing w:after="0"/>
              <w:rPr>
                <w:sz w:val="20"/>
                <w:szCs w:val="20"/>
                <w:color w:val="auto"/>
              </w:rPr>
            </w:pPr>
            <w:r>
              <w:rPr>
                <w:rFonts w:ascii="Courier New" w:cs="Courier New" w:eastAsia="Courier New" w:hAnsi="Courier New"/>
                <w:sz w:val="17"/>
                <w:szCs w:val="17"/>
                <w:color w:val="auto"/>
              </w:rPr>
              <w:t>Fixed Assets</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10,220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8,305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23.1%</w:t>
            </w:r>
          </w:p>
        </w:tc>
      </w:tr>
      <w:tr>
        <w:trPr>
          <w:trHeight w:val="385"/>
        </w:trPr>
        <w:tc>
          <w:tcPr>
            <w:tcW w:w="4560" w:type="dxa"/>
            <w:vAlign w:val="bottom"/>
            <w:gridSpan w:val="2"/>
          </w:tcPr>
          <w:p>
            <w:pPr>
              <w:spacing w:after="0"/>
              <w:rPr>
                <w:sz w:val="20"/>
                <w:szCs w:val="20"/>
                <w:color w:val="auto"/>
              </w:rPr>
            </w:pPr>
            <w:r>
              <w:rPr>
                <w:rFonts w:ascii="Courier New" w:cs="Courier New" w:eastAsia="Courier New" w:hAnsi="Courier New"/>
                <w:sz w:val="17"/>
                <w:szCs w:val="17"/>
                <w:color w:val="auto"/>
              </w:rPr>
              <w:t>Contingent Lease Obligations (2)</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62,320</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24"/>
                <w:szCs w:val="24"/>
                <w:color w:val="auto"/>
              </w:rPr>
            </w:pPr>
          </w:p>
        </w:tc>
      </w:tr>
    </w:tbl>
    <w:p>
      <w:pPr>
        <w:spacing w:after="0" w:line="391" w:lineRule="exact"/>
        <w:rPr>
          <w:sz w:val="20"/>
          <w:szCs w:val="20"/>
          <w:color w:val="auto"/>
        </w:rPr>
      </w:pPr>
    </w:p>
    <w:p>
      <w:pPr>
        <w:ind w:left="500" w:right="3700" w:hanging="497"/>
        <w:spacing w:after="0" w:line="238"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analyzes individual store profitability in terms of a store's "Contribution to Profit" which is defined by the Company as gross margin less occupancy costs and all store specific expenses such as payroll, advertising, insurance and depreciation.</w:t>
      </w:r>
    </w:p>
    <w:p>
      <w:pPr>
        <w:spacing w:after="0" w:line="199" w:lineRule="exact"/>
        <w:rPr>
          <w:rFonts w:ascii="Courier New" w:cs="Courier New" w:eastAsia="Courier New" w:hAnsi="Courier New"/>
          <w:sz w:val="17"/>
          <w:szCs w:val="17"/>
          <w:color w:val="auto"/>
        </w:rPr>
      </w:pPr>
    </w:p>
    <w:p>
      <w:pPr>
        <w:ind w:left="500" w:right="3900" w:hanging="497"/>
        <w:spacing w:after="0" w:line="237"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Contingent Lease Obligations represents the total future minimum rental payments that the Company is obligated to pay under its existing store leases.</w:t>
      </w:r>
    </w:p>
    <w:p>
      <w:pPr>
        <w:spacing w:after="0" w:line="200" w:lineRule="exact"/>
        <w:rPr>
          <w:rFonts w:ascii="Courier New" w:cs="Courier New" w:eastAsia="Courier New" w:hAnsi="Courier New"/>
          <w:sz w:val="17"/>
          <w:szCs w:val="17"/>
          <w:color w:val="auto"/>
        </w:rPr>
      </w:pPr>
    </w:p>
    <w:p>
      <w:pPr>
        <w:ind w:left="500" w:right="3600" w:hanging="497"/>
        <w:spacing w:after="0" w:line="238"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Levi's(R) Outlet stores and the Dockers(R) Outlet stores purchased by the Company on September 30, 1998 are included in the Company's results of operations since September 30, 1998. Sales and contribution to profit for these 25 stores for the period September 30, 1998 to October 31, 1998 were $1,733,000 and $52,000, respectively.</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Specialty Store Group</w:t>
      </w: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At October 31, 1998, the Specialty Store Group consisted of:</w:t>
      </w:r>
    </w:p>
    <w:p>
      <w:pPr>
        <w:ind w:left="700" w:hanging="296"/>
        <w:spacing w:after="0"/>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Six Designs stores</w:t>
      </w:r>
    </w:p>
    <w:p>
      <w:pPr>
        <w:ind w:left="700" w:hanging="296"/>
        <w:spacing w:after="0"/>
        <w:tabs>
          <w:tab w:leader="none" w:pos="7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Three BTC(TM) stores</w:t>
      </w:r>
    </w:p>
    <w:p>
      <w:pPr>
        <w:spacing w:after="0" w:line="6"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7"/>
          <w:szCs w:val="17"/>
          <w:color w:val="auto"/>
        </w:rPr>
        <w:t>The Company expects to continue to test its multi-branded specialty store concept through fiscal 1999.</w:t>
      </w:r>
    </w:p>
    <w:p>
      <w:pPr>
        <w:spacing w:after="0" w:line="199" w:lineRule="exact"/>
        <w:rPr>
          <w:sz w:val="20"/>
          <w:szCs w:val="20"/>
          <w:color w:val="auto"/>
        </w:rPr>
      </w:pPr>
    </w:p>
    <w:p>
      <w:pPr>
        <w:jc w:val="both"/>
        <w:ind w:right="3500"/>
        <w:spacing w:after="0" w:line="238" w:lineRule="auto"/>
        <w:rPr>
          <w:sz w:val="20"/>
          <w:szCs w:val="20"/>
          <w:color w:val="auto"/>
        </w:rPr>
      </w:pPr>
      <w:r>
        <w:rPr>
          <w:rFonts w:ascii="Courier New" w:cs="Courier New" w:eastAsia="Courier New" w:hAnsi="Courier New"/>
          <w:sz w:val="17"/>
          <w:szCs w:val="17"/>
          <w:color w:val="auto"/>
        </w:rPr>
        <w:t>The following table sets forth certain information for the Specialty Store Group for the three, nine and twelve month rolling periods ended October 31, 1998, and for the same periods in the prior year and certain balance sheet information as of October 31, 1998.</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00" w:type="dxa"/>
            <w:vAlign w:val="bottom"/>
          </w:tcPr>
          <w:p>
            <w:pPr>
              <w:spacing w:after="0"/>
              <w:rPr>
                <w:sz w:val="16"/>
                <w:szCs w:val="16"/>
                <w:color w:val="auto"/>
              </w:rPr>
            </w:pPr>
          </w:p>
        </w:tc>
        <w:tc>
          <w:tcPr>
            <w:tcW w:w="3160" w:type="dxa"/>
            <w:vAlign w:val="bottom"/>
            <w:gridSpan w:val="3"/>
          </w:tcPr>
          <w:p>
            <w:pPr>
              <w:jc w:val="right"/>
              <w:ind w:right="456"/>
              <w:spacing w:after="0"/>
              <w:rPr>
                <w:sz w:val="20"/>
                <w:szCs w:val="20"/>
                <w:color w:val="auto"/>
              </w:rPr>
            </w:pPr>
            <w:r>
              <w:rPr>
                <w:rFonts w:ascii="Courier New" w:cs="Courier New" w:eastAsia="Courier New" w:hAnsi="Courier New"/>
                <w:sz w:val="17"/>
                <w:szCs w:val="17"/>
                <w:color w:val="auto"/>
              </w:rPr>
              <w:t>Three months ended</w:t>
            </w:r>
          </w:p>
        </w:tc>
        <w:tc>
          <w:tcPr>
            <w:tcW w:w="276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Nine months ended</w:t>
            </w:r>
          </w:p>
        </w:tc>
        <w:tc>
          <w:tcPr>
            <w:tcW w:w="270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Twelve months ended</w:t>
            </w:r>
          </w:p>
        </w:tc>
      </w:tr>
      <w:tr>
        <w:trPr>
          <w:trHeight w:val="193"/>
        </w:trPr>
        <w:tc>
          <w:tcPr>
            <w:tcW w:w="2700" w:type="dxa"/>
            <w:vAlign w:val="bottom"/>
          </w:tcPr>
          <w:p>
            <w:pPr>
              <w:spacing w:after="0"/>
              <w:rPr>
                <w:sz w:val="16"/>
                <w:szCs w:val="16"/>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10/31/98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11/1/97</w:t>
            </w:r>
          </w:p>
        </w:tc>
        <w:tc>
          <w:tcPr>
            <w:tcW w:w="9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7"/>
                <w:szCs w:val="17"/>
                <w:color w:val="auto"/>
              </w:rPr>
              <w:t>10/31/98</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11/1/97</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10/31/98</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11/1/97</w:t>
            </w:r>
          </w:p>
        </w:tc>
        <w:tc>
          <w:tcPr>
            <w:tcW w:w="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2700" w:type="dxa"/>
            <w:vAlign w:val="bottom"/>
          </w:tcPr>
          <w:p>
            <w:pPr>
              <w:spacing w:after="0"/>
              <w:rPr>
                <w:sz w:val="16"/>
                <w:szCs w:val="16"/>
                <w:color w:val="auto"/>
              </w:rPr>
            </w:pPr>
          </w:p>
        </w:tc>
        <w:tc>
          <w:tcPr>
            <w:tcW w:w="3160" w:type="dxa"/>
            <w:vAlign w:val="bottom"/>
            <w:gridSpan w:val="3"/>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7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w:t>
            </w:r>
          </w:p>
        </w:tc>
        <w:tc>
          <w:tcPr>
            <w:tcW w:w="270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270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$ 3,380</w:t>
            </w:r>
          </w:p>
        </w:tc>
        <w:tc>
          <w:tcPr>
            <w:tcW w:w="1740" w:type="dxa"/>
            <w:vAlign w:val="bottom"/>
            <w:gridSpan w:val="2"/>
          </w:tcPr>
          <w:p>
            <w:pPr>
              <w:jc w:val="right"/>
              <w:ind w:right="56"/>
              <w:spacing w:after="0"/>
              <w:rPr>
                <w:sz w:val="20"/>
                <w:szCs w:val="20"/>
                <w:color w:val="auto"/>
              </w:rPr>
            </w:pPr>
            <w:r>
              <w:rPr>
                <w:rFonts w:ascii="Courier New" w:cs="Courier New" w:eastAsia="Courier New" w:hAnsi="Courier New"/>
                <w:sz w:val="17"/>
                <w:szCs w:val="17"/>
                <w:color w:val="auto"/>
              </w:rPr>
              <w:t>$ 3,888 (13.1%)</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$ 8,535</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$ 9,311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$ 13,536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$ 14,727</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(8.1%)</w:t>
            </w:r>
          </w:p>
        </w:tc>
      </w:tr>
      <w:tr>
        <w:trPr>
          <w:trHeight w:val="193"/>
        </w:trPr>
        <w:tc>
          <w:tcPr>
            <w:tcW w:w="2700" w:type="dxa"/>
            <w:vAlign w:val="bottom"/>
          </w:tcPr>
          <w:p>
            <w:pPr>
              <w:spacing w:after="0"/>
              <w:rPr>
                <w:sz w:val="20"/>
                <w:szCs w:val="20"/>
                <w:color w:val="auto"/>
              </w:rPr>
            </w:pPr>
            <w:r>
              <w:rPr>
                <w:rFonts w:ascii="Courier New" w:cs="Courier New" w:eastAsia="Courier New" w:hAnsi="Courier New"/>
                <w:sz w:val="17"/>
                <w:szCs w:val="17"/>
                <w:color w:val="auto"/>
              </w:rPr>
              <w:t>Gross Margin, net of</w:t>
            </w:r>
          </w:p>
        </w:tc>
        <w:tc>
          <w:tcPr>
            <w:tcW w:w="1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3"/>
        </w:trPr>
        <w:tc>
          <w:tcPr>
            <w:tcW w:w="2700" w:type="dxa"/>
            <w:vAlign w:val="bottom"/>
          </w:tcPr>
          <w:p>
            <w:pPr>
              <w:ind w:left="200"/>
              <w:spacing w:after="0"/>
              <w:rPr>
                <w:sz w:val="20"/>
                <w:szCs w:val="20"/>
                <w:color w:val="auto"/>
              </w:rPr>
            </w:pPr>
            <w:r>
              <w:rPr>
                <w:rFonts w:ascii="Courier New" w:cs="Courier New" w:eastAsia="Courier New" w:hAnsi="Courier New"/>
                <w:sz w:val="17"/>
                <w:szCs w:val="17"/>
                <w:color w:val="auto"/>
              </w:rPr>
              <w:t>occupancy costs</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1,080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837</w:t>
            </w:r>
          </w:p>
        </w:tc>
        <w:tc>
          <w:tcPr>
            <w:tcW w:w="9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29.0%</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2,720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1,999</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36.1%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3,908</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3,913</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385"/>
        </w:trPr>
        <w:tc>
          <w:tcPr>
            <w:tcW w:w="2700" w:type="dxa"/>
            <w:vAlign w:val="bottom"/>
          </w:tcPr>
          <w:p>
            <w:pPr>
              <w:spacing w:after="0"/>
              <w:rPr>
                <w:sz w:val="20"/>
                <w:szCs w:val="20"/>
                <w:color w:val="auto"/>
              </w:rPr>
            </w:pPr>
            <w:r>
              <w:rPr>
                <w:rFonts w:ascii="Courier New" w:cs="Courier New" w:eastAsia="Courier New" w:hAnsi="Courier New"/>
                <w:sz w:val="17"/>
                <w:szCs w:val="17"/>
                <w:color w:val="auto"/>
              </w:rPr>
              <w:t>Gross Margin Rate</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32.0%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21.5%</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48.8 %</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31.9%</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21.5%</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48.4%</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385"/>
        </w:trPr>
        <w:tc>
          <w:tcPr>
            <w:tcW w:w="2700" w:type="dxa"/>
            <w:vAlign w:val="bottom"/>
          </w:tcPr>
          <w:p>
            <w:pPr>
              <w:spacing w:after="0"/>
              <w:rPr>
                <w:sz w:val="20"/>
                <w:szCs w:val="20"/>
                <w:color w:val="auto"/>
              </w:rPr>
            </w:pPr>
            <w:r>
              <w:rPr>
                <w:rFonts w:ascii="Courier New" w:cs="Courier New" w:eastAsia="Courier New" w:hAnsi="Courier New"/>
                <w:sz w:val="17"/>
                <w:szCs w:val="17"/>
                <w:color w:val="auto"/>
              </w:rPr>
              <w:t>Contribution to Profit</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(588)</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(815)</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(27.9%)</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(1,847)</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(2,561)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(27.9%)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(2,275)</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(2,414)</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r>
      <w:tr>
        <w:trPr>
          <w:trHeight w:val="385"/>
        </w:trPr>
        <w:tc>
          <w:tcPr>
            <w:tcW w:w="2700" w:type="dxa"/>
            <w:vAlign w:val="bottom"/>
          </w:tcPr>
          <w:p>
            <w:pPr>
              <w:spacing w:after="0"/>
              <w:rPr>
                <w:sz w:val="20"/>
                <w:szCs w:val="20"/>
                <w:color w:val="auto"/>
              </w:rPr>
            </w:pPr>
            <w:r>
              <w:rPr>
                <w:rFonts w:ascii="Courier New" w:cs="Courier New" w:eastAsia="Courier New" w:hAnsi="Courier New"/>
                <w:sz w:val="17"/>
                <w:szCs w:val="17"/>
                <w:color w:val="auto"/>
              </w:rPr>
              <w:t>Cash Flow from</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3"/>
        </w:trPr>
        <w:tc>
          <w:tcPr>
            <w:tcW w:w="2700" w:type="dxa"/>
            <w:vAlign w:val="bottom"/>
          </w:tcPr>
          <w:p>
            <w:pPr>
              <w:ind w:left="200"/>
              <w:spacing w:after="0"/>
              <w:rPr>
                <w:sz w:val="20"/>
                <w:szCs w:val="20"/>
                <w:color w:val="auto"/>
              </w:rPr>
            </w:pPr>
            <w:r>
              <w:rPr>
                <w:rFonts w:ascii="Courier New" w:cs="Courier New" w:eastAsia="Courier New" w:hAnsi="Courier New"/>
                <w:sz w:val="17"/>
                <w:szCs w:val="17"/>
                <w:color w:val="auto"/>
              </w:rPr>
              <w:t>operations</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(423)</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(649)</w:t>
            </w:r>
          </w:p>
        </w:tc>
        <w:tc>
          <w:tcPr>
            <w:tcW w:w="9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(34.8%)</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(1,353)</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(2,057)</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(34.2%)</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(1,615)</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(1,248)</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29.4%</w:t>
            </w:r>
          </w:p>
        </w:tc>
      </w:tr>
    </w:tbl>
    <w:p>
      <w:pPr>
        <w:spacing w:after="0" w:line="198" w:lineRule="exact"/>
        <w:rPr>
          <w:sz w:val="20"/>
          <w:szCs w:val="20"/>
          <w:color w:val="auto"/>
        </w:rPr>
      </w:pPr>
    </w:p>
    <w:p>
      <w:pPr>
        <w:ind w:left="200" w:hanging="197"/>
        <w:spacing w:after="0"/>
        <w:tabs>
          <w:tab w:leader="none" w:pos="2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 stores open: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BTC(TM)/Boston Trading Co.(R)</w:t>
            </w:r>
          </w:p>
        </w:tc>
        <w:tc>
          <w:tcPr>
            <w:tcW w:w="9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w:t>
            </w:r>
          </w:p>
        </w:tc>
        <w:tc>
          <w:tcPr>
            <w:tcW w:w="14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3</w:t>
            </w:r>
          </w:p>
        </w:tc>
        <w:tc>
          <w:tcPr>
            <w:tcW w:w="14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3</w:t>
            </w:r>
          </w:p>
        </w:tc>
        <w:tc>
          <w:tcPr>
            <w:tcW w:w="14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3</w:t>
            </w:r>
          </w:p>
        </w:tc>
        <w:tc>
          <w:tcPr>
            <w:tcW w:w="14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bl>
    <w:p>
      <w:pPr>
        <w:sectPr>
          <w:pgSz w:w="11900" w:h="16911" w:orient="portrait"/>
          <w:cols w:equalWidth="0" w:num="1">
            <w:col w:w="11520"/>
          </w:cols>
          <w:pgMar w:left="240" w:top="136" w:right="139" w:bottom="0" w:gutter="0" w:footer="0" w:header="0"/>
        </w:sectPr>
      </w:pPr>
    </w:p>
    <w:bookmarkStart w:id="15" w:name="page16"/>
    <w:bookmarkEnd w:id="15"/>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rPr>
                <w:sz w:val="20"/>
                <w:szCs w:val="20"/>
                <w:color w:val="auto"/>
              </w:rPr>
            </w:pPr>
            <w:r>
              <w:rPr>
                <w:rFonts w:ascii="Courier New" w:cs="Courier New" w:eastAsia="Courier New" w:hAnsi="Courier New"/>
                <w:sz w:val="17"/>
                <w:szCs w:val="17"/>
                <w:color w:val="auto"/>
              </w:rPr>
              <w:t>Designs stores</w:t>
            </w:r>
          </w:p>
        </w:tc>
        <w:tc>
          <w:tcPr>
            <w:tcW w:w="17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w:t>
            </w:r>
          </w:p>
        </w:tc>
        <w:tc>
          <w:tcPr>
            <w:tcW w:w="14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6</w:t>
            </w:r>
          </w:p>
        </w:tc>
        <w:tc>
          <w:tcPr>
            <w:tcW w:w="14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6</w:t>
            </w:r>
          </w:p>
        </w:tc>
        <w:tc>
          <w:tcPr>
            <w:tcW w:w="14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6</w:t>
            </w:r>
          </w:p>
        </w:tc>
        <w:tc>
          <w:tcPr>
            <w:tcW w:w="14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60" w:type="dxa"/>
            <w:vAlign w:val="bottom"/>
          </w:tcPr>
          <w:p>
            <w:pPr>
              <w:ind w:left="300"/>
              <w:spacing w:after="0"/>
              <w:rPr>
                <w:sz w:val="20"/>
                <w:szCs w:val="20"/>
                <w:color w:val="auto"/>
              </w:rPr>
            </w:pPr>
            <w:r>
              <w:rPr>
                <w:rFonts w:ascii="Courier New" w:cs="Courier New" w:eastAsia="Courier New" w:hAnsi="Courier New"/>
                <w:sz w:val="17"/>
                <w:szCs w:val="17"/>
                <w:color w:val="auto"/>
              </w:rPr>
              <w:t>Total stores</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w:t>
            </w:r>
          </w:p>
        </w:tc>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w:t>
            </w:r>
          </w:p>
        </w:tc>
        <w:tc>
          <w:tcPr>
            <w:tcW w:w="15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w:t>
            </w:r>
          </w:p>
        </w:tc>
        <w:tc>
          <w:tcPr>
            <w:tcW w:w="166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9</w:t>
            </w:r>
          </w:p>
        </w:tc>
        <w:tc>
          <w:tcPr>
            <w:tcW w:w="13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r>
      <w:tr>
        <w:trPr>
          <w:trHeight w:val="578"/>
        </w:trPr>
        <w:tc>
          <w:tcPr>
            <w:tcW w:w="2760" w:type="dxa"/>
            <w:vAlign w:val="bottom"/>
          </w:tcPr>
          <w:p>
            <w:pPr>
              <w:spacing w:after="0"/>
              <w:rPr>
                <w:sz w:val="20"/>
                <w:szCs w:val="20"/>
                <w:color w:val="auto"/>
              </w:rPr>
            </w:pPr>
            <w:r>
              <w:rPr>
                <w:rFonts w:ascii="Courier New" w:cs="Courier New" w:eastAsia="Courier New" w:hAnsi="Courier New"/>
                <w:sz w:val="17"/>
                <w:szCs w:val="17"/>
                <w:color w:val="auto"/>
              </w:rPr>
              <w:t>Balance Sheet at:</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10/31/98</w:t>
            </w:r>
          </w:p>
        </w:tc>
        <w:tc>
          <w:tcPr>
            <w:tcW w:w="166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11/1/97</w:t>
            </w: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Inventory,</w:t>
            </w:r>
          </w:p>
        </w:tc>
        <w:tc>
          <w:tcPr>
            <w:tcW w:w="3460" w:type="dxa"/>
            <w:vAlign w:val="bottom"/>
          </w:tcPr>
          <w:p>
            <w:pPr>
              <w:jc w:val="center"/>
              <w:ind w:right="2996"/>
              <w:spacing w:after="0"/>
              <w:rPr>
                <w:sz w:val="20"/>
                <w:szCs w:val="20"/>
                <w:color w:val="auto"/>
              </w:rPr>
            </w:pPr>
            <w:r>
              <w:rPr>
                <w:rFonts w:ascii="Courier New" w:cs="Courier New" w:eastAsia="Courier New" w:hAnsi="Courier New"/>
                <w:sz w:val="17"/>
                <w:szCs w:val="17"/>
                <w:color w:val="auto"/>
                <w:w w:val="97"/>
              </w:rPr>
              <w:t>net</w:t>
            </w:r>
          </w:p>
        </w:tc>
        <w:tc>
          <w:tcPr>
            <w:tcW w:w="2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3,930</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3,979</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(1.2%)</w:t>
            </w:r>
          </w:p>
        </w:tc>
      </w:tr>
      <w:tr>
        <w:trPr>
          <w:trHeight w:val="193"/>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Merchandise Receipts</w:t>
            </w:r>
          </w:p>
        </w:tc>
        <w:tc>
          <w:tcPr>
            <w:tcW w:w="2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4520" w:type="dxa"/>
            <w:vAlign w:val="bottom"/>
            <w:gridSpan w:val="2"/>
          </w:tcPr>
          <w:p>
            <w:pPr>
              <w:jc w:val="center"/>
              <w:ind w:right="1936"/>
              <w:spacing w:after="0"/>
              <w:rPr>
                <w:sz w:val="20"/>
                <w:szCs w:val="20"/>
                <w:color w:val="auto"/>
              </w:rPr>
            </w:pPr>
            <w:r>
              <w:rPr>
                <w:rFonts w:ascii="Courier New" w:cs="Courier New" w:eastAsia="Courier New" w:hAnsi="Courier New"/>
                <w:sz w:val="17"/>
                <w:szCs w:val="17"/>
                <w:color w:val="auto"/>
                <w:w w:val="98"/>
              </w:rPr>
              <w:t>for the nine months</w:t>
            </w:r>
          </w:p>
        </w:tc>
        <w:tc>
          <w:tcPr>
            <w:tcW w:w="2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6,234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7,917</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w w:val="95"/>
              </w:rPr>
              <w:t>(21.3%)</w:t>
            </w:r>
          </w:p>
        </w:tc>
      </w:tr>
      <w:tr>
        <w:trPr>
          <w:trHeight w:val="385"/>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Fixed Assets</w:t>
            </w:r>
          </w:p>
        </w:tc>
        <w:tc>
          <w:tcPr>
            <w:tcW w:w="2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1,783</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2,301</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w w:val="95"/>
              </w:rPr>
              <w:t>(22.5%)</w:t>
            </w:r>
          </w:p>
        </w:tc>
      </w:tr>
      <w:tr>
        <w:trPr>
          <w:trHeight w:val="385"/>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Contingent Lease Obligations</w:t>
            </w:r>
          </w:p>
        </w:tc>
        <w:tc>
          <w:tcPr>
            <w:tcW w:w="24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6,032</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Closed and Other Stores</w:t>
      </w: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This group of stores includes:</w:t>
      </w:r>
    </w:p>
    <w:p>
      <w:pPr>
        <w:spacing w:after="0" w:line="6" w:lineRule="exact"/>
        <w:rPr>
          <w:sz w:val="20"/>
          <w:szCs w:val="20"/>
          <w:color w:val="auto"/>
        </w:rPr>
      </w:pPr>
    </w:p>
    <w:p>
      <w:pPr>
        <w:ind w:left="700" w:right="3500" w:hanging="296"/>
        <w:spacing w:after="0" w:line="255" w:lineRule="auto"/>
        <w:tabs>
          <w:tab w:leader="none" w:pos="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Designs and Boston Traders(R) Outlet stores closed as part of the fiscal year 1997 store closing program Designs, Boston Trading Co.(R)/BTC(TM) stores that will close as part of the fiscal 1998 store closing program.</w:t>
      </w:r>
    </w:p>
    <w:p>
      <w:pPr>
        <w:ind w:left="700" w:right="3400" w:hanging="296"/>
        <w:spacing w:after="0" w:line="237" w:lineRule="auto"/>
        <w:tabs>
          <w:tab w:leader="none" w:pos="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operations of the joint venture stores that are closing and the three Original Levi's Stores(R) that were distributed as part of the dissolution of the joint venture.</w:t>
      </w:r>
    </w:p>
    <w:p>
      <w:pPr>
        <w:spacing w:after="0" w:line="7" w:lineRule="exact"/>
        <w:rPr>
          <w:rFonts w:ascii="Courier New" w:cs="Courier New" w:eastAsia="Courier New" w:hAnsi="Courier New"/>
          <w:sz w:val="17"/>
          <w:szCs w:val="17"/>
          <w:color w:val="auto"/>
        </w:rPr>
      </w:pPr>
    </w:p>
    <w:p>
      <w:pPr>
        <w:ind w:left="700" w:right="3600" w:hanging="296"/>
        <w:spacing w:after="0" w:line="236" w:lineRule="auto"/>
        <w:tabs>
          <w:tab w:leader="none" w:pos="7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 Boston Traders(R) Outlet stores that will either be closed or will be converted to Dockers(R) Outlet stores during fiscal 1999.</w:t>
      </w:r>
    </w:p>
    <w:p>
      <w:pPr>
        <w:spacing w:after="0" w:line="199" w:lineRule="exact"/>
        <w:rPr>
          <w:sz w:val="20"/>
          <w:szCs w:val="20"/>
          <w:color w:val="auto"/>
        </w:rPr>
      </w:pPr>
    </w:p>
    <w:p>
      <w:pPr>
        <w:ind w:right="3600"/>
        <w:spacing w:after="0" w:line="238" w:lineRule="auto"/>
        <w:rPr>
          <w:sz w:val="20"/>
          <w:szCs w:val="20"/>
          <w:color w:val="auto"/>
        </w:rPr>
      </w:pPr>
      <w:r>
        <w:rPr>
          <w:rFonts w:ascii="Courier New" w:cs="Courier New" w:eastAsia="Courier New" w:hAnsi="Courier New"/>
          <w:sz w:val="17"/>
          <w:szCs w:val="17"/>
          <w:color w:val="auto"/>
        </w:rPr>
        <w:t>The following table sets forth certain information for the Closed and Other Store Group for the three, nine and twelve month rolling periods ended October 31, 1998, and for the same periods in the prior year and certain balance sheet information as of October 31, 1998.</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Three</w:t>
            </w:r>
          </w:p>
        </w:tc>
        <w:tc>
          <w:tcPr>
            <w:tcW w:w="1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6"/>
              </w:rPr>
              <w:t>months ended</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Nine</w:t>
            </w:r>
          </w:p>
        </w:tc>
        <w:tc>
          <w:tcPr>
            <w:tcW w:w="1820" w:type="dxa"/>
            <w:vAlign w:val="bottom"/>
            <w:gridSpan w:val="2"/>
          </w:tcPr>
          <w:p>
            <w:pPr>
              <w:jc w:val="right"/>
              <w:ind w:right="476"/>
              <w:spacing w:after="0"/>
              <w:rPr>
                <w:sz w:val="20"/>
                <w:szCs w:val="20"/>
                <w:color w:val="auto"/>
              </w:rPr>
            </w:pPr>
            <w:r>
              <w:rPr>
                <w:rFonts w:ascii="Courier New" w:cs="Courier New" w:eastAsia="Courier New" w:hAnsi="Courier New"/>
                <w:sz w:val="17"/>
                <w:szCs w:val="17"/>
                <w:color w:val="auto"/>
              </w:rPr>
              <w:t>months ended</w:t>
            </w:r>
          </w:p>
        </w:tc>
        <w:tc>
          <w:tcPr>
            <w:tcW w:w="274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Twelve months ended</w:t>
            </w:r>
          </w:p>
        </w:tc>
      </w:tr>
      <w:tr>
        <w:trPr>
          <w:trHeight w:val="193"/>
        </w:trPr>
        <w:tc>
          <w:tcPr>
            <w:tcW w:w="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10/31/98</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11/1/97</w:t>
            </w: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10/31/98</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11/1/97</w:t>
            </w: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10/31/98</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11/1/97</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0"/>
              </w:rPr>
              <w:t>-------------------------</w:t>
            </w:r>
          </w:p>
        </w:tc>
        <w:tc>
          <w:tcPr>
            <w:tcW w:w="900" w:type="dxa"/>
            <w:vAlign w:val="bottom"/>
          </w:tcPr>
          <w:p>
            <w:pPr>
              <w:spacing w:after="0"/>
              <w:rPr>
                <w:sz w:val="16"/>
                <w:szCs w:val="16"/>
                <w:color w:val="auto"/>
              </w:rPr>
            </w:pPr>
          </w:p>
        </w:tc>
        <w:tc>
          <w:tcPr>
            <w:tcW w:w="2760" w:type="dxa"/>
            <w:vAlign w:val="bottom"/>
            <w:gridSpan w:val="3"/>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274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w w:val="98"/>
              </w:rPr>
              <w:t>--------------------------</w:t>
            </w:r>
          </w:p>
        </w:tc>
      </w:tr>
      <w:tr>
        <w:trPr>
          <w:trHeight w:val="385"/>
        </w:trPr>
        <w:tc>
          <w:tcPr>
            <w:tcW w:w="56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21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$ 10,526</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$ 20,525</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(48.7%)</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$32,355</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$ 52,779</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(38.7%)</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$ 55,910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$ 77,703</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(28.0%)</w:t>
            </w:r>
          </w:p>
        </w:tc>
      </w:t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Gross</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Margin, net</w:t>
            </w: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560" w:type="dxa"/>
            <w:vAlign w:val="bottom"/>
          </w:tcPr>
          <w:p>
            <w:pPr>
              <w:ind w:left="300"/>
              <w:spacing w:after="0"/>
              <w:rPr>
                <w:sz w:val="20"/>
                <w:szCs w:val="20"/>
                <w:color w:val="auto"/>
              </w:rPr>
            </w:pPr>
            <w:r>
              <w:rPr>
                <w:rFonts w:ascii="Courier New" w:cs="Courier New" w:eastAsia="Courier New" w:hAnsi="Courier New"/>
                <w:sz w:val="17"/>
                <w:szCs w:val="17"/>
                <w:color w:val="auto"/>
              </w:rPr>
              <w:t>of</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Occupancy costs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4,110</w:t>
            </w:r>
          </w:p>
        </w:tc>
        <w:tc>
          <w:tcPr>
            <w:tcW w:w="9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(101.2%)</w:t>
            </w:r>
          </w:p>
        </w:tc>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1,365</w:t>
            </w:r>
          </w:p>
        </w:tc>
        <w:tc>
          <w:tcPr>
            <w:tcW w:w="1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3,877</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(64.8%)</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(2,090)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6,736</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(131.0%)</w:t>
            </w:r>
          </w:p>
        </w:tc>
      </w:tr>
      <w:tr>
        <w:trPr>
          <w:trHeight w:val="385"/>
        </w:trPr>
        <w:tc>
          <w:tcPr>
            <w:tcW w:w="2700" w:type="dxa"/>
            <w:vAlign w:val="bottom"/>
            <w:gridSpan w:val="2"/>
          </w:tcPr>
          <w:p>
            <w:pPr>
              <w:spacing w:after="0"/>
              <w:rPr>
                <w:sz w:val="20"/>
                <w:szCs w:val="20"/>
                <w:color w:val="auto"/>
              </w:rPr>
            </w:pPr>
            <w:r>
              <w:rPr>
                <w:rFonts w:ascii="Courier New" w:cs="Courier New" w:eastAsia="Courier New" w:hAnsi="Courier New"/>
                <w:sz w:val="17"/>
                <w:szCs w:val="17"/>
                <w:color w:val="auto"/>
              </w:rPr>
              <w:t>Contribution to Profit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(3,674)</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(1,796)</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104.6%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(9,681)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(11,204)</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(13.6%)</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(18,675)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(13,404)</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39.3%</w:t>
            </w:r>
          </w:p>
        </w:tc>
      </w:t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Store</w:t>
            </w:r>
          </w:p>
        </w:tc>
        <w:tc>
          <w:tcPr>
            <w:tcW w:w="2140" w:type="dxa"/>
            <w:vAlign w:val="bottom"/>
          </w:tcPr>
          <w:p>
            <w:pPr>
              <w:ind w:left="40"/>
              <w:spacing w:after="0"/>
              <w:rPr>
                <w:sz w:val="20"/>
                <w:szCs w:val="20"/>
                <w:color w:val="auto"/>
              </w:rPr>
            </w:pPr>
            <w:r>
              <w:rPr>
                <w:rFonts w:ascii="Courier New" w:cs="Courier New" w:eastAsia="Courier New" w:hAnsi="Courier New"/>
                <w:sz w:val="17"/>
                <w:szCs w:val="17"/>
                <w:color w:val="auto"/>
              </w:rPr>
              <w:t>Closing Charges</w:t>
            </w:r>
          </w:p>
        </w:tc>
        <w:tc>
          <w:tcPr>
            <w:tcW w:w="14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(13,400</w:t>
            </w: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(13,400)</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c>
          <w:tcPr>
            <w:tcW w:w="80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(15,000)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c>
          <w:tcPr>
            <w:tcW w:w="800" w:type="dxa"/>
            <w:vAlign w:val="bottom"/>
          </w:tcPr>
          <w:p>
            <w:pPr>
              <w:spacing w:after="0"/>
              <w:rPr>
                <w:sz w:val="16"/>
                <w:szCs w:val="16"/>
                <w:color w:val="auto"/>
              </w:rPr>
            </w:pPr>
          </w:p>
        </w:tc>
      </w:tr>
    </w:tbl>
    <w:p>
      <w:pPr>
        <w:spacing w:after="0" w:line="198" w:lineRule="exact"/>
        <w:rPr>
          <w:sz w:val="20"/>
          <w:szCs w:val="20"/>
          <w:color w:val="auto"/>
        </w:rPr>
      </w:pPr>
    </w:p>
    <w:p>
      <w:pPr>
        <w:ind w:left="200" w:hanging="197"/>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Reconciliation of Contribution to Profit to Operating Income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60" w:type="dxa"/>
            <w:vAlign w:val="bottom"/>
          </w:tcPr>
          <w:p>
            <w:pPr>
              <w:spacing w:after="0"/>
              <w:rPr>
                <w:sz w:val="20"/>
                <w:szCs w:val="20"/>
                <w:color w:val="auto"/>
              </w:rPr>
            </w:pPr>
            <w:r>
              <w:rPr>
                <w:rFonts w:ascii="Courier New" w:cs="Courier New" w:eastAsia="Courier New" w:hAnsi="Courier New"/>
                <w:sz w:val="17"/>
                <w:szCs w:val="17"/>
                <w:color w:val="auto"/>
              </w:rPr>
              <w:t>Contribution to Profit:</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3"/>
        </w:trPr>
        <w:tc>
          <w:tcPr>
            <w:tcW w:w="2960" w:type="dxa"/>
            <w:vAlign w:val="bottom"/>
          </w:tcPr>
          <w:p>
            <w:pPr>
              <w:ind w:left="300"/>
              <w:spacing w:after="0"/>
              <w:rPr>
                <w:sz w:val="20"/>
                <w:szCs w:val="20"/>
                <w:color w:val="auto"/>
              </w:rPr>
            </w:pPr>
            <w:r>
              <w:rPr>
                <w:rFonts w:ascii="Courier New" w:cs="Courier New" w:eastAsia="Courier New" w:hAnsi="Courier New"/>
                <w:sz w:val="17"/>
                <w:szCs w:val="17"/>
                <w:color w:val="auto"/>
              </w:rPr>
              <w:t>Outlet Store Group</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6,505</w:t>
            </w:r>
          </w:p>
        </w:tc>
        <w:tc>
          <w:tcPr>
            <w:tcW w:w="13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7,203</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12,069</w:t>
            </w:r>
          </w:p>
        </w:tc>
        <w:tc>
          <w:tcPr>
            <w:tcW w:w="14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18,884</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17,604</w:t>
            </w:r>
          </w:p>
        </w:tc>
        <w:tc>
          <w:tcPr>
            <w:tcW w:w="8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30,151</w:t>
            </w:r>
          </w:p>
        </w:tc>
      </w:tr>
      <w:tr>
        <w:trPr>
          <w:trHeight w:val="193"/>
        </w:trPr>
        <w:tc>
          <w:tcPr>
            <w:tcW w:w="2960" w:type="dxa"/>
            <w:vAlign w:val="bottom"/>
          </w:tcPr>
          <w:p>
            <w:pPr>
              <w:ind w:left="300"/>
              <w:spacing w:after="0"/>
              <w:rPr>
                <w:sz w:val="20"/>
                <w:szCs w:val="20"/>
                <w:color w:val="auto"/>
              </w:rPr>
            </w:pPr>
            <w:r>
              <w:rPr>
                <w:rFonts w:ascii="Courier New" w:cs="Courier New" w:eastAsia="Courier New" w:hAnsi="Courier New"/>
                <w:sz w:val="17"/>
                <w:szCs w:val="17"/>
                <w:color w:val="auto"/>
              </w:rPr>
              <w:t>Specialty Store Group</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(588)</w:t>
            </w: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(815)</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(1,847)</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(2,561)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(2,275)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(2,414)</w:t>
            </w:r>
          </w:p>
        </w:tc>
      </w:tr>
      <w:tr>
        <w:trPr>
          <w:trHeight w:val="193"/>
        </w:trPr>
        <w:tc>
          <w:tcPr>
            <w:tcW w:w="2960" w:type="dxa"/>
            <w:vAlign w:val="bottom"/>
          </w:tcPr>
          <w:p>
            <w:pPr>
              <w:ind w:left="300"/>
              <w:spacing w:after="0"/>
              <w:rPr>
                <w:sz w:val="20"/>
                <w:szCs w:val="20"/>
                <w:color w:val="auto"/>
              </w:rPr>
            </w:pPr>
            <w:r>
              <w:rPr>
                <w:rFonts w:ascii="Courier New" w:cs="Courier New" w:eastAsia="Courier New" w:hAnsi="Courier New"/>
                <w:sz w:val="17"/>
                <w:szCs w:val="17"/>
                <w:color w:val="auto"/>
              </w:rPr>
              <w:t>Closed Store Group</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(3,674)</w:t>
            </w: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(1,796)</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(9,681)</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(11,204)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(18,675)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(13,404)</w:t>
            </w:r>
          </w:p>
        </w:tc>
      </w:tr>
      <w:tr>
        <w:trPr>
          <w:trHeight w:val="193"/>
        </w:trPr>
        <w:tc>
          <w:tcPr>
            <w:tcW w:w="2960" w:type="dxa"/>
            <w:vAlign w:val="bottom"/>
          </w:tcPr>
          <w:p>
            <w:pPr>
              <w:ind w:left="300"/>
              <w:spacing w:after="0"/>
              <w:rPr>
                <w:sz w:val="20"/>
                <w:szCs w:val="20"/>
                <w:color w:val="auto"/>
              </w:rPr>
            </w:pPr>
            <w:r>
              <w:rPr>
                <w:rFonts w:ascii="Courier New" w:cs="Courier New" w:eastAsia="Courier New" w:hAnsi="Courier New"/>
                <w:sz w:val="17"/>
                <w:szCs w:val="17"/>
                <w:color w:val="auto"/>
              </w:rPr>
              <w:t>Store Closing Charges</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(13,400)</w:t>
            </w:r>
          </w:p>
        </w:tc>
        <w:tc>
          <w:tcPr>
            <w:tcW w:w="13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(13,400)</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r>
      <w:tr>
        <w:trPr>
          <w:trHeight w:val="193"/>
        </w:trPr>
        <w:tc>
          <w:tcPr>
            <w:tcW w:w="296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(4,114)</w:t>
            </w:r>
          </w:p>
        </w:tc>
        <w:tc>
          <w:tcPr>
            <w:tcW w:w="13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(5,057)</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(12,647)</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(19,400)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(19,034)</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(24,976)</w:t>
            </w:r>
          </w:p>
        </w:tc>
      </w:tr>
    </w:tbl>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Total Operating Loss</w:t>
            </w:r>
          </w:p>
        </w:tc>
        <w:tc>
          <w:tcPr>
            <w:tcW w:w="16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(15,271)</w:t>
            </w:r>
          </w:p>
        </w:tc>
        <w:tc>
          <w:tcPr>
            <w:tcW w:w="1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(465)</w:t>
            </w:r>
          </w:p>
        </w:tc>
        <w:tc>
          <w:tcPr>
            <w:tcW w:w="2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(25,506)  (34,281)</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(37,380) (30,643)</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w:t>
      </w:r>
    </w:p>
    <w:p>
      <w:pPr>
        <w:spacing w:after="0" w:line="198"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6"/>
          <w:szCs w:val="16"/>
          <w:color w:val="auto"/>
        </w:rPr>
        <w:t>The Company's business has historically been seasonal, reflecting increased consumer buying in the "Fall" and "Holiday" seasons. Historically, the second half of each fiscal year provides a greater portion of the Company's annual sales and operating income. In recent years, the Company's focus has shifted towards its outlet store business and the percentage of this business has increased (and is anticipated to continue to increase) because of the shift in the Company's store mix towards outlet stores and away from closed and closing mall-based specialty stores. Accordingly, the Company's third and fourth quarters, although continuing to generate a greater proportion of total sales, have become less significant to total sales as had previously been the case. This change is due to a difference in seasonality of the Company's outlet business as compared with the mall-based specialty stores.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8" w:lineRule="exact"/>
        <w:rPr>
          <w:sz w:val="20"/>
          <w:szCs w:val="20"/>
          <w:color w:val="auto"/>
        </w:rPr>
      </w:pPr>
    </w:p>
    <w:p>
      <w:pPr>
        <w:ind w:right="3600"/>
        <w:spacing w:after="0" w:line="257" w:lineRule="auto"/>
        <w:rPr>
          <w:sz w:val="20"/>
          <w:szCs w:val="20"/>
          <w:color w:val="auto"/>
        </w:rPr>
      </w:pPr>
      <w:r>
        <w:rPr>
          <w:rFonts w:ascii="Courier New" w:cs="Courier New" w:eastAsia="Courier New" w:hAnsi="Courier New"/>
          <w:sz w:val="16"/>
          <w:szCs w:val="16"/>
          <w:color w:val="auto"/>
        </w:rPr>
        <w:t>The Company's primary cash needs have been for operating expenses, including cash outlays associated with inventory purchases, capital expenditures for new and remodeled stores, and the purchase of 25 outlet stores from Levi's Only Stores, Inc. In fiscal 1999, the Company expects to incur capital expenditures related to system enhancements, new outlet stores and outlet store relocations</w:t>
      </w:r>
    </w:p>
    <w:p>
      <w:pPr>
        <w:sectPr>
          <w:pgSz w:w="11900" w:h="16924" w:orient="portrait"/>
          <w:cols w:equalWidth="0" w:num="1">
            <w:col w:w="11420"/>
          </w:cols>
          <w:pgMar w:left="240" w:top="136" w:right="239" w:bottom="0" w:gutter="0" w:footer="0" w:header="0"/>
        </w:sectPr>
      </w:pPr>
    </w:p>
    <w:bookmarkStart w:id="16" w:name="page17"/>
    <w:bookmarkEnd w:id="16"/>
    <w:p>
      <w:pPr>
        <w:ind w:right="2299"/>
        <w:spacing w:after="0" w:line="237" w:lineRule="auto"/>
        <w:rPr>
          <w:sz w:val="20"/>
          <w:szCs w:val="20"/>
          <w:color w:val="auto"/>
        </w:rPr>
      </w:pPr>
      <w:r>
        <w:rPr>
          <w:rFonts w:ascii="Courier New" w:cs="Courier New" w:eastAsia="Courier New" w:hAnsi="Courier New"/>
          <w:sz w:val="17"/>
          <w:szCs w:val="17"/>
          <w:color w:val="auto"/>
        </w:rPr>
        <w:t>of $2.6 million. The Company expects that cash flow from operations, short-term revolving borrowings and trade credit will enable it to finance its current working capital, store remodeling and acquisition requirements.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WORKING CAPITAL AND CASH FLOWS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To date, the Company has financed its working capital requirements and store opening and remodeling programs with cash flow from operations, income tax refunds, borrowings under the Company's credit facility and proceeds from Common Stock offerings. Cash provided by operations for the first nine months of fiscal 1998 was $10.2 million as compared to cash used for operations of $7.7 million for the same period in the prior year. This $17.9 million improvement is the result of the receipt of a federal income tax refund, lower inventory purchases, expense control initiatives, the closure of stores and the timing of other working capital accounts.</w:t>
      </w:r>
    </w:p>
    <w:p>
      <w:pPr>
        <w:spacing w:after="0" w:line="201"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The Company's cash and investment position at October 31, 1998 was approximately $1.5 million, compared to $2.4 million at November 1, 1997. At October 31, 1998, the Company had borrowings of $10.3 million outstanding under its revolving credit facility as compared to borrowings outstanding of $9.0 million at November 1, 1997. The Company expects that average borrowings in the fourth quarter of fiscal 1998 will be higher than those in the fourth quarter of fiscal 1997 as a result of borrowings under the facility to fund the acquisition of the 25 outlet stores, special purchases of merchandise for the Levi's(R) and Dockers(R) Outlet by Designs stores, and the cost of lease terminations associated with the closing of unprofitable stores, as described above.</w:t>
      </w:r>
    </w:p>
    <w:p>
      <w:pPr>
        <w:spacing w:after="0" w:line="18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Company's working capital at October 31, 1998 was approximately $37.4 million, compared to $52.2 million at November 1, 1997. This decrease in working capital was primarily attributable to operating losses for the twelve months ending October 31, 1998. At October 31, 1998, total inventory equaled $58.9 million, compared to $82.8 million at November 1, 1997. The decrease of 29 percent in the Company's inventory level was primarily due to the liquidation of private label product, the closing of unprofitable stores, and reduced purchases of Levi Strauss &amp; Co. brands of merchandise. The Company continues to evaluate and, within the discretion of management, act upon opportunities to purchase substantial quantities of Levi's(R) and Dockers(R) brand products for its Levi's(R) and Dockers(R) Outlet by Designs stores.</w:t>
      </w:r>
    </w:p>
    <w:p>
      <w:pPr>
        <w:spacing w:after="0" w:line="203"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During the first nine months of fiscal 1998, the Company experienced limited availability of merchandise from Levi Strauss &amp; Co. The Company stocks its Levi's(R) Outlet by Designs and Dockers(R) Outlet by Designs exclusively with manufacturing overruns, discontinued lines and irregulars purchased directly from Levi Strauss &amp; Co., and end of season merchandise transferred from the Company's mall-based stores. By its nature, this merchandise, including the most popular Levi Strauss &amp; Co. styles of merchandise and the breadth of the mix of this merchandise, is subject to limited availability. During the fourth quarter of fiscal year 1998, the Company expects, barring unforeseen circumstances, to purchase approximately $10 million at cost in special purchases of Levi's(R) tops and bottoms to compensate for the any decrease in availability of merchandise from Levi Strauss &amp; Co. during fiscal 1999. The Company may act upon similar opportunities to purchase substantial quantities of Levi's(R) brand products for its Levi's(R) and Dockers(R) outlet stores into fiscal 1999.</w:t>
      </w:r>
    </w:p>
    <w:p>
      <w:pPr>
        <w:spacing w:after="0" w:line="195"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At October 31, 1998, the accounts payable balance was $11.6 million as compared with a balance of $27.2 million at November 1, 1997. This 57 percent decrease was primarily related to the timing of payments to vendors associated with a reduced store count and reduced availability of certain products. The Company's trade payables to Levi Strauss &amp; Co., its principal vendor, generally are due 30 days after the date of invoice. In fiscal 1997, prior to the abandonment of a vertically-integrated strategy, the Company sourced private label products primarily with offshore vendors. Payment to these vendors was through the use of letters of credit, which required payment upon presentation of shipping documents. During the third quarter of 1998 the Company was current with all outstanding merchandise payables to vendors. The Company expects, barring unforeseen circumstances, that any purchases of branded merchandise from vendors other than Levi Strauss &amp; Co. will be limited and will be in accordance with customary industry credit terms.</w:t>
      </w:r>
    </w:p>
    <w:p>
      <w:pPr>
        <w:spacing w:after="0" w:line="20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On June 4, 1998 the Company entered into an Amended and Restated Loan and Security Agreement with a subsidiary of BankBoston, N.A., BankBoston Retail Finance Inc., as agent for the lenders named therein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 obligations under the Credit Agreement are secured by a lien on all of the Company's assets, except the assets of the OLS Partnership.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w:t>
      </w:r>
    </w:p>
    <w:p>
      <w:pPr>
        <w:sectPr>
          <w:pgSz w:w="11900" w:h="16838" w:orient="portrait"/>
          <w:cols w:equalWidth="0" w:num="1">
            <w:col w:w="10219"/>
          </w:cols>
          <w:pgMar w:left="240" w:top="142" w:right="1440" w:bottom="0" w:gutter="0" w:footer="0" w:header="0"/>
        </w:sectPr>
      </w:pPr>
    </w:p>
    <w:bookmarkStart w:id="17" w:name="page18"/>
    <w:bookmarkEnd w:id="17"/>
    <w:p>
      <w:pPr>
        <w:spacing w:after="0" w:line="89"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events of default customary for credit facilities of this nature, including change of control provisions and limitations on payment of dividends by the Company. The Company is subject to a prepayment penalty of $250,000 to $500,000 if the Credit Agreement terminates prior to June 4, 2000.</w:t>
      </w:r>
    </w:p>
    <w:p>
      <w:pPr>
        <w:spacing w:after="0" w:line="200"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In the third quarter of fiscal 1998, the Credit Agreement was amended to, among other things, permit and acknowledge the Company's acquisition of the 25 outlet stores from Levi's Only Stores, Inc. and the transactions associated with the agreement to dissolve and wind up of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its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195"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At October 31, 1998, the Company had borrowings of $10.3 million outstanding under this facility and had two outstanding standby letters of credit totaling approximately $228,000. The Company was in compliance with all debt covenants under the credit agreement at the end of the third quarter.</w:t>
      </w:r>
    </w:p>
    <w:p>
      <w:pPr>
        <w:spacing w:after="0" w:line="200"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During the third quarter of fiscal 1996, the Company entered into a Credit Agreement (the "OLS Credit Agreement") with the OLS Partnership and Levi's Only Stores, Inc. under which the Company and Levi's Only Stores, Inc. were committed to make advances to the OLS Partnership in amounts up to $3.5 million and $1.5 million, respectively. There were never any borrowings under this credit facility since its inception. The OLS Credit Agreement expired on September 30, 1998.</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EXPENDITURES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cash outlays for capital expenditures for the first nine months of fiscal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were $391,000, which represents the cost of store and corporate capital</w:t>
      </w:r>
    </w:p>
    <w:p>
      <w:pPr>
        <w:spacing w:after="0"/>
        <w:rPr>
          <w:sz w:val="20"/>
          <w:szCs w:val="20"/>
          <w:color w:val="auto"/>
        </w:rPr>
      </w:pPr>
      <w:r>
        <w:rPr>
          <w:rFonts w:ascii="Courier New" w:cs="Courier New" w:eastAsia="Courier New" w:hAnsi="Courier New"/>
          <w:sz w:val="17"/>
          <w:szCs w:val="17"/>
          <w:color w:val="auto"/>
        </w:rPr>
        <w:t>expenditures. Total cash outlays for the first nine months of fiscal 1997 were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 million. During the first six months of fiscal 1997, the Company opened six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Boston Trading Co.(R) stores, remodeled one Levi's(R) Outlet by Designs</w:t>
      </w:r>
    </w:p>
    <w:p>
      <w:pPr>
        <w:spacing w:after="0"/>
        <w:rPr>
          <w:sz w:val="20"/>
          <w:szCs w:val="20"/>
          <w:color w:val="auto"/>
        </w:rPr>
      </w:pPr>
      <w:r>
        <w:rPr>
          <w:rFonts w:ascii="Courier New" w:cs="Courier New" w:eastAsia="Courier New" w:hAnsi="Courier New"/>
          <w:sz w:val="17"/>
          <w:szCs w:val="17"/>
          <w:color w:val="auto"/>
        </w:rPr>
        <w:t>store and five Boston Traders(R) Outlet stores. During the nine months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31, 1998, the Company has closed 20 stores as part its strategy to close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unprofitable stores.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fiscal year 1998 the Company was presented with an opportunity to test another branded outlet store concept. This new outlet store concept features a collection of tops and bottoms designed and produced under the Buffalo Jeans label. In the third quarter of fiscal year 1998, the Company opened five Buffalo Jeans Factory Stores in locations that were previously occupied by Boston Traders(R) Outlet stores. Buffalo Jeans Factory Stores sell in-season merchandise and manufacturers close-outs from this Canadian manufacturer of fashion apparel. Over time, based on the performance of the five test stores, the Company could open additional Buffalo Jeans Factory Stores. As a group, the Buffalo Jeans Factory Stores had approximately $514,000 in sales in the first three months of operations. Buffalo Jeans is a well-known Canadian jeans and sportswear brand with a number stores in Canada, full-price U.S. retail distribution in stores such as Macy's Neiman Marcus, Burdines, Bloomingdales and select specialty stores.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500" w:right="2299" w:hanging="497"/>
        <w:spacing w:after="0" w:line="239" w:lineRule="auto"/>
        <w:tabs>
          <w:tab w:leader="none" w:pos="5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 of Readiness: Most of the Company's computer and process control systems were designed to use only two digits to represent years. As a result , they may not recognize "00" as representing the year 2000, but rather the year 1900 which could result in errors or system failures. The Company is in the process of converting technology and its information systems to be Year 2000 compliant. Barring unforeseen circumstances, the Company anticipates that the conversion will be complete by the end of calendar year 1999.</w:t>
      </w:r>
    </w:p>
    <w:p>
      <w:pPr>
        <w:spacing w:after="0" w:line="200" w:lineRule="exact"/>
        <w:rPr>
          <w:rFonts w:ascii="Courier New" w:cs="Courier New" w:eastAsia="Courier New" w:hAnsi="Courier New"/>
          <w:sz w:val="17"/>
          <w:szCs w:val="17"/>
          <w:color w:val="auto"/>
        </w:rPr>
      </w:pPr>
    </w:p>
    <w:p>
      <w:pPr>
        <w:ind w:left="500" w:right="229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Company's primary data processing systems for financial reporting, and merchandise management have been upgraded with new releases of year 2000 compliant software. Other significant systems utilized by the Company, which includes point of sale is in the process of being upgraded and will be complete in the first quarter of 1999. The payroll system is in process of being reviewed and the Company plans to upgrade this system in 1999.</w:t>
      </w:r>
    </w:p>
    <w:p>
      <w:pPr>
        <w:spacing w:after="0" w:line="189" w:lineRule="exact"/>
        <w:rPr>
          <w:rFonts w:ascii="Courier New" w:cs="Courier New" w:eastAsia="Courier New" w:hAnsi="Courier New"/>
          <w:sz w:val="17"/>
          <w:szCs w:val="17"/>
          <w:color w:val="auto"/>
        </w:rPr>
      </w:pPr>
    </w:p>
    <w:p>
      <w:pPr>
        <w:ind w:left="500"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Embedded systems impacted by the year 2000 issue are being reviewed by management and a plan has been developed to address embedded systems based upon how critical they are to the business. During the first quarter of 1999 the Company expects to implement a plan to determine the year 2000 readiness of the Company's vendors including, Levi Strauss &amp; Co. and the Company's other merchandise vendors.</w:t>
      </w:r>
    </w:p>
    <w:p>
      <w:pPr>
        <w:spacing w:after="0" w:line="198" w:lineRule="exact"/>
        <w:rPr>
          <w:sz w:val="20"/>
          <w:szCs w:val="20"/>
          <w:color w:val="auto"/>
        </w:rPr>
      </w:pPr>
    </w:p>
    <w:p>
      <w:pPr>
        <w:ind w:left="500" w:right="2499" w:hanging="497"/>
        <w:spacing w:after="0" w:line="262" w:lineRule="auto"/>
        <w:tabs>
          <w:tab w:leader="none" w:pos="5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to Address Year 2000 Issues: The Company expects to spend approximately $500,000,which will be expensed to the Company's financial</w:t>
      </w:r>
    </w:p>
    <w:p>
      <w:pPr>
        <w:sectPr>
          <w:pgSz w:w="11900" w:h="16927" w:orient="portrait"/>
          <w:cols w:equalWidth="0" w:num="1">
            <w:col w:w="10219"/>
          </w:cols>
          <w:pgMar w:left="240" w:top="142" w:right="1440" w:bottom="0" w:gutter="0" w:footer="0" w:header="0"/>
        </w:sectPr>
      </w:pPr>
    </w:p>
    <w:bookmarkStart w:id="18" w:name="page19"/>
    <w:bookmarkEnd w:id="18"/>
    <w:p>
      <w:pPr>
        <w:spacing w:after="0" w:line="6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statements, in the conversion and upgrade costs, primarily in fiscal 1998</w:t>
      </w:r>
    </w:p>
    <w:p>
      <w:pPr>
        <w:ind w:left="500"/>
        <w:spacing w:after="0"/>
        <w:rPr>
          <w:sz w:val="20"/>
          <w:szCs w:val="20"/>
          <w:color w:val="auto"/>
        </w:rPr>
      </w:pPr>
      <w:r>
        <w:rPr>
          <w:rFonts w:ascii="Courier New" w:cs="Courier New" w:eastAsia="Courier New" w:hAnsi="Courier New"/>
          <w:sz w:val="17"/>
          <w:szCs w:val="17"/>
          <w:color w:val="auto"/>
        </w:rPr>
        <w:t>to accomplish this. To date the Company has incurred approximately</w:t>
      </w:r>
    </w:p>
    <w:p>
      <w:pPr>
        <w:ind w:left="500"/>
        <w:spacing w:after="0"/>
        <w:rPr>
          <w:sz w:val="20"/>
          <w:szCs w:val="20"/>
          <w:color w:val="auto"/>
        </w:rPr>
      </w:pPr>
      <w:r>
        <w:rPr>
          <w:rFonts w:ascii="Courier New" w:cs="Courier New" w:eastAsia="Courier New" w:hAnsi="Courier New"/>
          <w:sz w:val="17"/>
          <w:szCs w:val="17"/>
          <w:color w:val="auto"/>
        </w:rPr>
        <w:t>$300,000, which does not include internal costs of approximately $25,000,</w:t>
      </w:r>
    </w:p>
    <w:p>
      <w:pPr>
        <w:ind w:left="500"/>
        <w:spacing w:after="0"/>
        <w:tabs>
          <w:tab w:leader="none" w:pos="4900" w:val="left"/>
        </w:tabs>
        <w:rPr>
          <w:sz w:val="20"/>
          <w:szCs w:val="20"/>
          <w:color w:val="auto"/>
        </w:rPr>
      </w:pPr>
      <w:r>
        <w:rPr>
          <w:rFonts w:ascii="Courier New" w:cs="Courier New" w:eastAsia="Courier New" w:hAnsi="Courier New"/>
          <w:sz w:val="17"/>
          <w:szCs w:val="17"/>
          <w:color w:val="auto"/>
        </w:rPr>
        <w:t>in the remediation of the year 2000 issue.</w:t>
      </w:r>
      <w:r>
        <w:rPr>
          <w:sz w:val="20"/>
          <w:szCs w:val="20"/>
          <w:color w:val="auto"/>
        </w:rPr>
        <w:tab/>
      </w:r>
      <w:r>
        <w:rPr>
          <w:rFonts w:ascii="Courier New" w:cs="Courier New" w:eastAsia="Courier New" w:hAnsi="Courier New"/>
          <w:sz w:val="16"/>
          <w:szCs w:val="16"/>
          <w:color w:val="auto"/>
        </w:rPr>
        <w:t>The Company expects that cash</w:t>
      </w:r>
    </w:p>
    <w:p>
      <w:pPr>
        <w:ind w:left="500"/>
        <w:spacing w:after="0"/>
        <w:rPr>
          <w:sz w:val="20"/>
          <w:szCs w:val="20"/>
          <w:color w:val="auto"/>
        </w:rPr>
      </w:pPr>
      <w:r>
        <w:rPr>
          <w:rFonts w:ascii="Courier New" w:cs="Courier New" w:eastAsia="Courier New" w:hAnsi="Courier New"/>
          <w:sz w:val="17"/>
          <w:szCs w:val="17"/>
          <w:color w:val="auto"/>
        </w:rPr>
        <w:t>flow from operations, and short-term revolving borrowings will enable it</w:t>
      </w:r>
    </w:p>
    <w:p>
      <w:pPr>
        <w:ind w:left="500"/>
        <w:spacing w:after="0"/>
        <w:rPr>
          <w:sz w:val="20"/>
          <w:szCs w:val="20"/>
          <w:color w:val="auto"/>
        </w:rPr>
      </w:pPr>
      <w:r>
        <w:rPr>
          <w:rFonts w:ascii="Courier New" w:cs="Courier New" w:eastAsia="Courier New" w:hAnsi="Courier New"/>
          <w:sz w:val="17"/>
          <w:szCs w:val="17"/>
          <w:color w:val="auto"/>
        </w:rPr>
        <w:t>to fund its Year 2000 remediation .</w:t>
      </w:r>
    </w:p>
    <w:p>
      <w:pPr>
        <w:spacing w:after="0" w:line="198" w:lineRule="exact"/>
        <w:rPr>
          <w:sz w:val="20"/>
          <w:szCs w:val="20"/>
          <w:color w:val="auto"/>
        </w:rPr>
      </w:pPr>
    </w:p>
    <w:p>
      <w:pPr>
        <w:ind w:left="500" w:right="2199" w:hanging="497"/>
        <w:spacing w:after="0" w:line="239" w:lineRule="auto"/>
        <w:tabs>
          <w:tab w:leader="none" w:pos="5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Risks related to the Company's Year 2000 Issues: In the worst case scenario the Company's ability to operate would be impacted by the lack of electronic transmission of data from its merchandise vendors and would result in the implementation of manual processes to account for receipt of merchandise. The implementation of manual processes would result in a slow down of product shipments to the Company's stores, which could have an adverse impact on sales.</w:t>
      </w:r>
    </w:p>
    <w:p>
      <w:pPr>
        <w:spacing w:after="0" w:line="199" w:lineRule="exact"/>
        <w:rPr>
          <w:sz w:val="20"/>
          <w:szCs w:val="20"/>
          <w:color w:val="auto"/>
        </w:rPr>
      </w:pPr>
    </w:p>
    <w:p>
      <w:pPr>
        <w:ind w:left="500" w:right="2399" w:hanging="499"/>
        <w:spacing w:after="0" w:line="239" w:lineRule="auto"/>
        <w:tabs>
          <w:tab w:leader="none" w:pos="480" w:val="left"/>
        </w:tabs>
        <w:rPr>
          <w:sz w:val="20"/>
          <w:szCs w:val="20"/>
          <w:color w:val="auto"/>
        </w:rPr>
      </w:pPr>
      <w:r>
        <w:rPr>
          <w:rFonts w:ascii="Courier New" w:cs="Courier New" w:eastAsia="Courier New" w:hAnsi="Courier New"/>
          <w:sz w:val="17"/>
          <w:szCs w:val="17"/>
          <w:color w:val="auto"/>
        </w:rPr>
        <w:t>IV.</w:t>
        <w:tab/>
        <w:t>Company's Contingency Plan: The Company's contingency plan in the event that a slow down of shipments from Levi Strauss would occur includes increasing purchases in advance of the beginning of the year 2000 to ensure adequate supplies of merchandise would be available. Embedded systems impacted by the year 2000 issue are being reviewed by management and will be addressed based upon how critical they are in relation to the business. During the first quarter of 1999 the Company expects to implement a plan to determine the year 2000 readiness of the Company's vendors including, Levi Strauss &amp; Co. and the Company's other merchandise vendors.</w:t>
      </w:r>
    </w:p>
    <w:p>
      <w:pPr>
        <w:spacing w:after="0" w:line="202"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("Boston Trading") in accordance with the terms of an Asset Purchase Agreement dated April 21, 1995. The Company paid $5.4 million in cash, financed by operations, and delivered a non-negotiable promissory note in the original principal amount of $1 million (the "Purchase Note"). The principal amount of the Purchase Note was payable in two equal installments through May 1997. 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the value of its indemnification claim. Accordingly, based on these indemnification rights, the Company ultimately did not make either of the $500,000 payments of principal on the Purchase Note that were due on May 2, 1996 and May 2, 1997. Nevertheless, the Company continued to pay interest on the original principal amount of the Purchase Note through May 2, 1996 and continued to pay interest thereafter through November 2, 1997 on $500,000 of principal. The portion of the principal amount of the Purchase Note ultimately to be paid by the Company depends upon whether its claims are satisfied by Boston Trading and its stockholders.</w:t>
      </w:r>
    </w:p>
    <w:p>
      <w:pPr>
        <w:spacing w:after="0" w:line="196" w:lineRule="exact"/>
        <w:rPr>
          <w:sz w:val="20"/>
          <w:szCs w:val="20"/>
          <w:color w:val="auto"/>
        </w:rPr>
      </w:pPr>
    </w:p>
    <w:p>
      <w:pPr>
        <w:ind w:right="2199"/>
        <w:spacing w:after="0" w:line="255" w:lineRule="auto"/>
        <w:rPr>
          <w:sz w:val="20"/>
          <w:szCs w:val="20"/>
          <w:color w:val="auto"/>
        </w:rPr>
      </w:pPr>
      <w:r>
        <w:rPr>
          <w:rFonts w:ascii="Courier New" w:cs="Courier New" w:eastAsia="Courier New" w:hAnsi="Courier New"/>
          <w:sz w:val="16"/>
          <w:szCs w:val="16"/>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25 states in the eastern portion of the United States. Subject to certain default provisions, the term of the Outlet License Agreement was extended to September 30, 2004, and the license for any particular store is the period co-terminous with the lease term for such store (including extension options). For the first time, the Outlet License Agreement now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 At October 31, 1998, the average remaining lease term (including extension options) of the Company's Levi's(R) Outlet by Designs and Dockers(R) Outlet by Designs stores was approximately 9.5 years.</w:t>
      </w:r>
    </w:p>
    <w:p>
      <w:pPr>
        <w:spacing w:after="0" w:line="195"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 is currently seeking opportunities to open and operate outlet stores for other manufacturers of branded apparel. Further, as leases expire, the Company may lose the right to use the Levi's(R) and Dockers(R) trademarks in connection with certain Levi's(R)and Dockers(R) Outlet by Designs stores. The Company continues to evaluate the performance of its existing stores and to consider ways to enhance its businesses. As a result of this process, certain store locations could be closed or relocated within a shopping center in the future.</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of the Company's Annual Report on Form 10-K, previously filed with the United States Securities and Exchange Commission on May 1, 1998, which identifies certain risks and uncertainties that may have an impact on future earnings and the direction of the Company.</w:t>
      </w:r>
    </w:p>
    <w:p>
      <w:pPr>
        <w:sectPr>
          <w:pgSz w:w="11900" w:h="16905" w:orient="portrait"/>
          <w:cols w:equalWidth="0" w:num="1">
            <w:col w:w="10219"/>
          </w:cols>
          <w:pgMar w:left="240" w:top="136" w:right="1440" w:bottom="0" w:gutter="0" w:footer="0" w:header="0"/>
        </w:sectPr>
      </w:pPr>
    </w:p>
    <w:bookmarkStart w:id="19" w:name="page20"/>
    <w:bookmarkEnd w:id="19"/>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ectPr>
          <w:pgSz w:w="11900" w:h="16838" w:orient="portrait"/>
          <w:cols w:equalWidth="0" w:num="1">
            <w:col w:w="10219"/>
          </w:cols>
          <w:pgMar w:left="240" w:top="522" w:right="1440" w:bottom="1440" w:gutter="0" w:footer="0" w:header="0"/>
        </w:sectPr>
      </w:pPr>
    </w:p>
    <w:p>
      <w:pPr>
        <w:spacing w:after="0" w:line="198"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522" w:right="1440" w:bottom="1440" w:gutter="0" w:footer="0" w:header="0"/>
          <w:type w:val="continuous"/>
        </w:sectPr>
      </w:pPr>
    </w:p>
    <w:bookmarkStart w:id="20" w:name="page21"/>
    <w:bookmarkEnd w:id="20"/>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39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In January 1998 Atlantic Harbor, Inc. (formerly known as "Boston Trading Ltd., Inc.") filed a lawsuit against the Company for failing to pay the outstanding principal amount of the Purchase Note. Thereafter, the Company filed claims against Atlantic Harbor, Inc. and its stockholders alleging that the Company was damaged in excess of $1 million because of the breach of certain representations and warranties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202"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The Company is a party to other litigation and claims arising in the normal course of its business. Barring unforeseen circumstances, management does not expect the results of these actions to have a material adverse effect on the Company's business or financial condition.</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None.</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None.</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3"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None.</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8" w:lineRule="exact"/>
        <w:rPr>
          <w:sz w:val="20"/>
          <w:szCs w:val="20"/>
          <w:color w:val="auto"/>
        </w:rPr>
      </w:pPr>
    </w:p>
    <w:p>
      <w:pPr>
        <w:ind w:left="900" w:right="7319" w:hanging="897"/>
        <w:spacing w:after="0" w:line="713" w:lineRule="auto"/>
        <w:tabs>
          <w:tab w:leader="none" w:pos="9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199" w:lineRule="exact"/>
        <w:rPr>
          <w:rFonts w:ascii="Courier New" w:cs="Courier New" w:eastAsia="Courier New" w:hAnsi="Courier New"/>
          <w:sz w:val="17"/>
          <w:szCs w:val="17"/>
          <w:color w:val="auto"/>
        </w:rPr>
      </w:pPr>
    </w:p>
    <w:p>
      <w:pPr>
        <w:ind w:left="900" w:hanging="897"/>
        <w:spacing w:after="0"/>
        <w:tabs>
          <w:tab w:leader="none" w:pos="9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Restated Certificate of Incorporation of the Company, as amended</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(included as Exhibit 3.1 to Amendment No. 3 of the Company's</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w w:val="98"/>
              </w:rPr>
              <w:t>Registration Statement on Form S-1 (No. 33-13402), and incorporated</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herein by reference).</w:t>
            </w: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7260" w:type="dxa"/>
            <w:vAlign w:val="bottom"/>
            <w:gridSpan w:val="2"/>
          </w:tcPr>
          <w:p>
            <w:pPr>
              <w:ind w:left="340"/>
              <w:spacing w:after="0"/>
              <w:rPr>
                <w:sz w:val="20"/>
                <w:szCs w:val="20"/>
                <w:color w:val="auto"/>
              </w:rPr>
            </w:pPr>
            <w:r>
              <w:rPr>
                <w:rFonts w:ascii="Courier New" w:cs="Courier New" w:eastAsia="Courier New" w:hAnsi="Courier New"/>
                <w:sz w:val="17"/>
                <w:szCs w:val="17"/>
                <w:color w:val="auto"/>
                <w:w w:val="98"/>
              </w:rPr>
              <w:t>Certificate of Amendment to Restated Certificate of Incorporation, as</w:t>
            </w: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amended, dated June 22, 1993 (included as Exhibit 3.2 to the</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Company's Quarterly Report on Form 10-Q dated June 17, 1996, and</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incorporated herein by reference). *</w:t>
            </w:r>
          </w:p>
        </w:tc>
        <w:tc>
          <w:tcPr>
            <w:tcW w:w="200" w:type="dxa"/>
            <w:vAlign w:val="bottom"/>
          </w:tcPr>
          <w:p>
            <w:pPr>
              <w:spacing w:after="0"/>
              <w:rPr>
                <w:sz w:val="16"/>
                <w:szCs w:val="16"/>
                <w:color w:val="auto"/>
              </w:rPr>
            </w:pP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3.3</w:t>
            </w: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w w:val="99"/>
              </w:rPr>
              <w:t>Certificate of Designations, Preferences and Rights of a Series of</w:t>
            </w:r>
          </w:p>
        </w:tc>
        <w:tc>
          <w:tcPr>
            <w:tcW w:w="200" w:type="dxa"/>
            <w:vAlign w:val="bottom"/>
          </w:tcPr>
          <w:p>
            <w:pPr>
              <w:spacing w:after="0"/>
              <w:rPr>
                <w:sz w:val="24"/>
                <w:szCs w:val="24"/>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Preferred Stock of the Company establishing Series A Junior</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260" w:type="dxa"/>
            <w:vAlign w:val="bottom"/>
            <w:gridSpan w:val="2"/>
          </w:tcPr>
          <w:p>
            <w:pPr>
              <w:ind w:left="340"/>
              <w:spacing w:after="0"/>
              <w:rPr>
                <w:sz w:val="20"/>
                <w:szCs w:val="20"/>
                <w:color w:val="auto"/>
              </w:rPr>
            </w:pPr>
            <w:r>
              <w:rPr>
                <w:rFonts w:ascii="Courier New" w:cs="Courier New" w:eastAsia="Courier New" w:hAnsi="Courier New"/>
                <w:sz w:val="17"/>
                <w:szCs w:val="17"/>
                <w:color w:val="auto"/>
                <w:w w:val="99"/>
              </w:rPr>
              <w:t>Participating Cumulative Preferred Stock dated May 1, 1995 (included</w:t>
            </w:r>
          </w:p>
        </w:tc>
      </w:tr>
      <w:tr>
        <w:trPr>
          <w:trHeight w:val="193"/>
        </w:trPr>
        <w:tc>
          <w:tcPr>
            <w:tcW w:w="760" w:type="dxa"/>
            <w:vAlign w:val="bottom"/>
          </w:tcPr>
          <w:p>
            <w:pPr>
              <w:spacing w:after="0"/>
              <w:rPr>
                <w:sz w:val="16"/>
                <w:szCs w:val="16"/>
                <w:color w:val="auto"/>
              </w:rPr>
            </w:pPr>
          </w:p>
        </w:tc>
        <w:tc>
          <w:tcPr>
            <w:tcW w:w="7260" w:type="dxa"/>
            <w:vAlign w:val="bottom"/>
            <w:gridSpan w:val="2"/>
          </w:tcPr>
          <w:p>
            <w:pPr>
              <w:ind w:left="340"/>
              <w:spacing w:after="0"/>
              <w:rPr>
                <w:sz w:val="20"/>
                <w:szCs w:val="20"/>
                <w:color w:val="auto"/>
              </w:rPr>
            </w:pPr>
            <w:r>
              <w:rPr>
                <w:rFonts w:ascii="Courier New" w:cs="Courier New" w:eastAsia="Courier New" w:hAnsi="Courier New"/>
                <w:sz w:val="17"/>
                <w:szCs w:val="17"/>
                <w:color w:val="auto"/>
                <w:w w:val="98"/>
              </w:rPr>
              <w:t>as Exhibit 3.2 to the Company's Annual Report on Form 10-K dated May,</w:t>
            </w: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1996, and incorporated herein by reference). *</w:t>
            </w:r>
          </w:p>
        </w:tc>
        <w:tc>
          <w:tcPr>
            <w:tcW w:w="200" w:type="dxa"/>
            <w:vAlign w:val="bottom"/>
          </w:tcPr>
          <w:p>
            <w:pPr>
              <w:spacing w:after="0"/>
              <w:rPr>
                <w:sz w:val="16"/>
                <w:szCs w:val="16"/>
                <w:color w:val="auto"/>
              </w:rPr>
            </w:pP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3.4</w:t>
            </w: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By-Laws of the Company, as amended.</w:t>
            </w:r>
          </w:p>
        </w:tc>
        <w:tc>
          <w:tcPr>
            <w:tcW w:w="200" w:type="dxa"/>
            <w:vAlign w:val="bottom"/>
          </w:tcPr>
          <w:p>
            <w:pPr>
              <w:spacing w:after="0"/>
              <w:rPr>
                <w:sz w:val="24"/>
                <w:szCs w:val="24"/>
                <w:color w:val="auto"/>
              </w:rPr>
            </w:pP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Shareholder Rights Agreement dated as of May 1, 1995 between the</w:t>
            </w:r>
          </w:p>
        </w:tc>
        <w:tc>
          <w:tcPr>
            <w:tcW w:w="200" w:type="dxa"/>
            <w:vAlign w:val="bottom"/>
          </w:tcPr>
          <w:p>
            <w:pPr>
              <w:spacing w:after="0"/>
              <w:rPr>
                <w:sz w:val="24"/>
                <w:szCs w:val="24"/>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Company and its transfer agent (included as Exhibit 4.1 to the</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Company's Current Report on Form 8-K dated May 1, 1995, and</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incorporated herein by reference). *</w:t>
            </w:r>
          </w:p>
        </w:tc>
        <w:tc>
          <w:tcPr>
            <w:tcW w:w="200" w:type="dxa"/>
            <w:vAlign w:val="bottom"/>
          </w:tcPr>
          <w:p>
            <w:pPr>
              <w:spacing w:after="0"/>
              <w:rPr>
                <w:sz w:val="16"/>
                <w:szCs w:val="16"/>
                <w:color w:val="auto"/>
              </w:rPr>
            </w:pP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7260" w:type="dxa"/>
            <w:vAlign w:val="bottom"/>
            <w:gridSpan w:val="2"/>
          </w:tcPr>
          <w:p>
            <w:pPr>
              <w:ind w:left="340"/>
              <w:spacing w:after="0"/>
              <w:rPr>
                <w:sz w:val="20"/>
                <w:szCs w:val="20"/>
                <w:color w:val="auto"/>
              </w:rPr>
            </w:pPr>
            <w:r>
              <w:rPr>
                <w:rFonts w:ascii="Courier New" w:cs="Courier New" w:eastAsia="Courier New" w:hAnsi="Courier New"/>
                <w:sz w:val="17"/>
                <w:szCs w:val="17"/>
                <w:color w:val="auto"/>
                <w:w w:val="98"/>
              </w:rPr>
              <w:t>First Amendment dated as of October 6, 1997 to the Shareholder Rights</w:t>
            </w: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w w:val="99"/>
              </w:rPr>
              <w:t>Agreement dated as of May 1, 1995 between the Company its transfer</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agent (included as Exhibit 4.1 to the Company's Current Report on</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Form 8-K dated October 9, 1997, and incorporated herein by</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reference). *</w:t>
            </w:r>
          </w:p>
        </w:tc>
        <w:tc>
          <w:tcPr>
            <w:tcW w:w="200" w:type="dxa"/>
            <w:vAlign w:val="bottom"/>
          </w:tcPr>
          <w:p>
            <w:pPr>
              <w:spacing w:after="0"/>
              <w:rPr>
                <w:sz w:val="16"/>
                <w:szCs w:val="16"/>
                <w:color w:val="auto"/>
              </w:rPr>
            </w:pP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10.1</w:t>
            </w: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1987 Incentive Stock Option Plan, as amended (included as</w:t>
            </w:r>
          </w:p>
        </w:tc>
        <w:tc>
          <w:tcPr>
            <w:tcW w:w="200" w:type="dxa"/>
            <w:vAlign w:val="bottom"/>
          </w:tcPr>
          <w:p>
            <w:pPr>
              <w:spacing w:after="0"/>
              <w:rPr>
                <w:sz w:val="24"/>
                <w:szCs w:val="24"/>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Exhibit 10.1 to the Company's Annual Report on Form 10-K dated</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April 29, 1993, and incorporated herein by reference).</w:t>
            </w: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10.2</w:t>
            </w: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1987 Non-Qualified Stock Option Plan, as amended (included as</w:t>
            </w:r>
          </w:p>
        </w:tc>
        <w:tc>
          <w:tcPr>
            <w:tcW w:w="200" w:type="dxa"/>
            <w:vAlign w:val="bottom"/>
          </w:tcPr>
          <w:p>
            <w:pPr>
              <w:spacing w:after="0"/>
              <w:rPr>
                <w:sz w:val="24"/>
                <w:szCs w:val="24"/>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Exhibit 10.2 to the Company's Annual Report on Form 10-K</w:t>
            </w:r>
          </w:p>
        </w:tc>
        <w:tc>
          <w:tcPr>
            <w:tcW w:w="200" w:type="dxa"/>
            <w:vAlign w:val="bottom"/>
          </w:tcPr>
          <w:p>
            <w:pPr>
              <w:spacing w:after="0"/>
              <w:rPr>
                <w:sz w:val="16"/>
                <w:szCs w:val="16"/>
                <w:color w:val="auto"/>
              </w:rPr>
            </w:pPr>
          </w:p>
        </w:tc>
      </w:tr>
      <w:tr>
        <w:trPr>
          <w:trHeight w:val="193"/>
        </w:trPr>
        <w:tc>
          <w:tcPr>
            <w:tcW w:w="760" w:type="dxa"/>
            <w:vAlign w:val="bottom"/>
          </w:tcPr>
          <w:p>
            <w:pPr>
              <w:spacing w:after="0"/>
              <w:rPr>
                <w:sz w:val="16"/>
                <w:szCs w:val="16"/>
                <w:color w:val="auto"/>
              </w:rPr>
            </w:pP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rPr>
              <w:t>dated April 29, 1993, and incorporated herein by reference).</w:t>
            </w:r>
          </w:p>
        </w:tc>
        <w:tc>
          <w:tcPr>
            <w:tcW w:w="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77"/>
              </w:rPr>
              <w:t>*</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10.3</w:t>
            </w:r>
          </w:p>
        </w:tc>
        <w:tc>
          <w:tcPr>
            <w:tcW w:w="7060" w:type="dxa"/>
            <w:vAlign w:val="bottom"/>
          </w:tcPr>
          <w:p>
            <w:pPr>
              <w:ind w:left="340"/>
              <w:spacing w:after="0"/>
              <w:rPr>
                <w:sz w:val="20"/>
                <w:szCs w:val="20"/>
                <w:color w:val="auto"/>
              </w:rPr>
            </w:pPr>
            <w:r>
              <w:rPr>
                <w:rFonts w:ascii="Courier New" w:cs="Courier New" w:eastAsia="Courier New" w:hAnsi="Courier New"/>
                <w:sz w:val="17"/>
                <w:szCs w:val="17"/>
                <w:color w:val="auto"/>
                <w:w w:val="99"/>
              </w:rPr>
              <w:t>1992 Stock Incentive Plan, as amended (included as Exhibit 10.3 to</w:t>
            </w:r>
          </w:p>
        </w:tc>
        <w:tc>
          <w:tcPr>
            <w:tcW w:w="200" w:type="dxa"/>
            <w:vAlign w:val="bottom"/>
          </w:tcPr>
          <w:p>
            <w:pPr>
              <w:spacing w:after="0"/>
              <w:rPr>
                <w:sz w:val="24"/>
                <w:szCs w:val="24"/>
                <w:color w:val="auto"/>
              </w:rPr>
            </w:pPr>
          </w:p>
        </w:tc>
      </w:tr>
    </w:tbl>
    <w:p>
      <w:pPr>
        <w:sectPr>
          <w:pgSz w:w="11900" w:h="16886" w:orient="portrait"/>
          <w:cols w:equalWidth="0" w:num="1">
            <w:col w:w="10219"/>
          </w:cols>
          <w:pgMar w:left="240" w:top="881" w:right="1440" w:bottom="0" w:gutter="0" w:footer="0" w:header="0"/>
        </w:sectPr>
      </w:pPr>
    </w:p>
    <w:bookmarkStart w:id="21" w:name="page22"/>
    <w:bookmarkEnd w:id="21"/>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the Company's Quarterly Report on Form 10-Q dated June</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16, 1998,</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and incorporated herein by reference).</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10.4</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Senior Executive Incentive Plan effective beginning with the fiscal</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year ended February 1, 1997 (included as Exhibit 10.4 to the</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Company's Quarterly Report on Form 10-Q dated September 17, 1996, and</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incorporated herein by reference). *</w:t>
            </w:r>
          </w:p>
        </w:tc>
        <w:tc>
          <w:tcPr>
            <w:tcW w:w="1360" w:type="dxa"/>
            <w:vAlign w:val="bottom"/>
          </w:tcPr>
          <w:p>
            <w:pPr>
              <w:spacing w:after="0"/>
              <w:rPr>
                <w:sz w:val="16"/>
                <w:szCs w:val="16"/>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10.5</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License Agreement between the Company and Levi Strauss &amp; Co. dated</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as of April 14, 1992 (included as Exhibit 10.8 to the Company's</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Annual Report on Form 10-K dated April 29, 1993, and incorporated</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herein by reference).</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10.6</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Amended and Restated Trademark License Agreement between the</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Company and Levi Strauss &amp; Co. dated as of October 31, 1998</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(included as Exhibit 10.4 to the Company's Current Report on</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Form 8-K dated December 3, 1998, and incorporated herein by</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reference).</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10.7</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Amended and Restated Loan and Security Agreement dated as of June 4,</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1998, between the Company and BankBoston Retail Finance Inc., as</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agent for the Lender(s) identified therein ("BRBF"), and the</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Lender(s) (included as Exhibit 10.1 to the Company's Current Report</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on Form 8-K dated June 11, 1998, and incorporated herein by</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reference). *</w:t>
            </w:r>
          </w:p>
        </w:tc>
        <w:tc>
          <w:tcPr>
            <w:tcW w:w="1360" w:type="dxa"/>
            <w:vAlign w:val="bottom"/>
          </w:tcPr>
          <w:p>
            <w:pPr>
              <w:spacing w:after="0"/>
              <w:rPr>
                <w:sz w:val="16"/>
                <w:szCs w:val="16"/>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10.8</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Fee letter dated as of June 4, 1998, between the Company and BBRF</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(included as Exhibit 10.2 to the Company's Current Report on Form 8-K</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dated June 11, 1998, and incorporated herein by reference). *</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10.9</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First Amendment to Loan and Security Agreement dated as of September</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29, 1998 among the Company, BBRF and the Lender(s) identified therein</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(included as Exhibit 10.5 to the Company's Current Report on Form 8-K</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dated December 3, 1998, and incorporated herein by reference). *</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10.10</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Second Amendment to Loan and Security Agreement dated as of October</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31, 1998 among the Company, BBRF and the Lender(s) identified therein</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(included as Exhibit 10.6 to the Company's Current Report on Form 8-K</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dated December 3, 1998, and incorporated herein by reference). *</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10.11</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Participation Agreement among Designs JV Corp. (the "Designs</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Partner"), the Company, LDJV Inc. (the "LOS Partner"), Levi's</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Only Stores, Inc. ("LOS"), Levi Strauss &amp; Co. ("LS&amp;CO") and Levi</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Strauss Associates Inc. ("LSAI") dated January 28, 1995 (included</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as Exhibit 10.1 to the Company's Current Report on Form 8-K dated</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April 24, 1995, and incorporated herein by reference).</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10.12</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Partnership Agreement of The Designs/OLS Partnership (the "OLS</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Partnership") between the LOS Partner and the Designs Partner dated</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January 28, 1995 (included as Exhibit 10.2 to the Company's Current</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Report on Form 8-K dated April 24, 1995, and incorporated herein by</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reference). *</w:t>
            </w:r>
          </w:p>
        </w:tc>
        <w:tc>
          <w:tcPr>
            <w:tcW w:w="1360" w:type="dxa"/>
            <w:vAlign w:val="bottom"/>
          </w:tcPr>
          <w:p>
            <w:pPr>
              <w:spacing w:after="0"/>
              <w:rPr>
                <w:sz w:val="16"/>
                <w:szCs w:val="16"/>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10.13</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Glossary executed by the Designs Partner, the Company, the LOS</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Partner, LOS, LS&amp;CO, LSAI and the OLS Partnership dated January 28,</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1995 (included as Exhibit 10.3 to the Company's Current Report on</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Form 8-K dated April 24, 1995, and incorporated herein by reference).</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10.14</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Sublicense Agreement between LOS and the LOS Partner dated January</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28, 1995 (included as Exhibit 10.4 to the Company's Current Report on</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Form 8-K dated April 24, 1995, and incorporated herein by reference).</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spacing w:after="0"/>
              <w:rPr>
                <w:sz w:val="16"/>
                <w:szCs w:val="16"/>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10.15</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9"/>
              </w:rPr>
              <w:t>Sublicense Agreement between the LOS Partner and the OLS Partnership</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dated January 28, 1995 (included as Exhibit 10.5 to the Company's</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Current Report on Form 8-K dated April 24, 1995, and incorporated</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herein by reference). *</w:t>
            </w:r>
          </w:p>
        </w:tc>
        <w:tc>
          <w:tcPr>
            <w:tcW w:w="1360" w:type="dxa"/>
            <w:vAlign w:val="bottom"/>
          </w:tcPr>
          <w:p>
            <w:pPr>
              <w:spacing w:after="0"/>
              <w:rPr>
                <w:sz w:val="16"/>
                <w:szCs w:val="16"/>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10.16</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License Agreement between the Company and the OLS Partnership dated</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January 28, 1995 (included as Exhibit 10.6 to the Company's Current</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Report on Form 8-K dated April 24, 1995, and incorporated herein by</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reference). *</w:t>
            </w:r>
          </w:p>
        </w:tc>
        <w:tc>
          <w:tcPr>
            <w:tcW w:w="1360" w:type="dxa"/>
            <w:vAlign w:val="bottom"/>
          </w:tcPr>
          <w:p>
            <w:pPr>
              <w:spacing w:after="0"/>
              <w:rPr>
                <w:sz w:val="16"/>
                <w:szCs w:val="16"/>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10.17</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Administrative Services Agreement between the Company and the OLS</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Partnership dated January 28, 1995 (included as Exhibit 10.7 to the</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Company's Current Report on Form 8-K dated April 24, 1995, and</w:t>
            </w:r>
          </w:p>
        </w:tc>
      </w:tr>
      <w:tr>
        <w:trPr>
          <w:trHeight w:val="193"/>
        </w:trPr>
        <w:tc>
          <w:tcPr>
            <w:tcW w:w="800" w:type="dxa"/>
            <w:vAlign w:val="bottom"/>
          </w:tcPr>
          <w:p>
            <w:pPr>
              <w:spacing w:after="0"/>
              <w:rPr>
                <w:sz w:val="16"/>
                <w:szCs w:val="16"/>
                <w:color w:val="auto"/>
              </w:rPr>
            </w:pPr>
          </w:p>
        </w:tc>
        <w:tc>
          <w:tcPr>
            <w:tcW w:w="5860" w:type="dxa"/>
            <w:vAlign w:val="bottom"/>
          </w:tcPr>
          <w:p>
            <w:pPr>
              <w:ind w:left="300"/>
              <w:spacing w:after="0"/>
              <w:rPr>
                <w:sz w:val="20"/>
                <w:szCs w:val="20"/>
                <w:color w:val="auto"/>
              </w:rPr>
            </w:pPr>
            <w:r>
              <w:rPr>
                <w:rFonts w:ascii="Courier New" w:cs="Courier New" w:eastAsia="Courier New" w:hAnsi="Courier New"/>
                <w:sz w:val="17"/>
                <w:szCs w:val="17"/>
                <w:color w:val="auto"/>
              </w:rPr>
              <w:t>incorporated herein by reference). *</w:t>
            </w:r>
          </w:p>
        </w:tc>
        <w:tc>
          <w:tcPr>
            <w:tcW w:w="1360" w:type="dxa"/>
            <w:vAlign w:val="bottom"/>
          </w:tcPr>
          <w:p>
            <w:pPr>
              <w:spacing w:after="0"/>
              <w:rPr>
                <w:sz w:val="16"/>
                <w:szCs w:val="16"/>
                <w:color w:val="auto"/>
              </w:rPr>
            </w:pP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10.18</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Amendment and Distribution Agreement dated as of October 31, 1998</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among the Designs Partner, the LOS Partner and the OLS Partnership</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8"/>
              </w:rPr>
              <w:t>(included as Exhibit 10.2 to the Company's Current Report on Form 8-K</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dated December 3, 1998, and incorporated herein by reference). *</w:t>
            </w:r>
          </w:p>
        </w:tc>
      </w:tr>
      <w:tr>
        <w:trPr>
          <w:trHeight w:val="385"/>
        </w:trPr>
        <w:tc>
          <w:tcPr>
            <w:tcW w:w="800" w:type="dxa"/>
            <w:vAlign w:val="bottom"/>
          </w:tcPr>
          <w:p>
            <w:pPr>
              <w:spacing w:after="0"/>
              <w:rPr>
                <w:sz w:val="20"/>
                <w:szCs w:val="20"/>
                <w:color w:val="auto"/>
              </w:rPr>
            </w:pPr>
            <w:r>
              <w:rPr>
                <w:rFonts w:ascii="Courier New" w:cs="Courier New" w:eastAsia="Courier New" w:hAnsi="Courier New"/>
                <w:sz w:val="17"/>
                <w:szCs w:val="17"/>
                <w:color w:val="auto"/>
              </w:rPr>
              <w:t>10.19</w:t>
            </w: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Guaranty by the Company of the indemnification obligation of the</w:t>
            </w:r>
          </w:p>
        </w:tc>
      </w:tr>
      <w:tr>
        <w:trPr>
          <w:trHeight w:val="193"/>
        </w:trPr>
        <w:tc>
          <w:tcPr>
            <w:tcW w:w="800" w:type="dxa"/>
            <w:vAlign w:val="bottom"/>
          </w:tcPr>
          <w:p>
            <w:pPr>
              <w:spacing w:after="0"/>
              <w:rPr>
                <w:sz w:val="16"/>
                <w:szCs w:val="16"/>
                <w:color w:val="auto"/>
              </w:rPr>
            </w:pPr>
          </w:p>
        </w:tc>
        <w:tc>
          <w:tcPr>
            <w:tcW w:w="72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Designs Partner dated as of October 31, 1998 in favor of LS&amp; Co.</w:t>
            </w:r>
          </w:p>
        </w:tc>
      </w:tr>
    </w:tbl>
    <w:p>
      <w:pPr>
        <w:sectPr>
          <w:pgSz w:w="11900" w:h="16911" w:orient="portrait"/>
          <w:cols w:equalWidth="0" w:num="1">
            <w:col w:w="10219"/>
          </w:cols>
          <w:pgMar w:left="240" w:top="136" w:right="1440" w:bottom="0" w:gutter="0" w:footer="0" w:header="0"/>
        </w:sectPr>
      </w:pPr>
    </w:p>
    <w:bookmarkStart w:id="22" w:name="page23"/>
    <w:bookmarkEnd w:id="22"/>
    <w:p>
      <w:pPr>
        <w:ind w:left="1100" w:right="2199"/>
        <w:spacing w:after="0" w:line="262" w:lineRule="auto"/>
        <w:rPr>
          <w:sz w:val="20"/>
          <w:szCs w:val="20"/>
          <w:color w:val="auto"/>
        </w:rPr>
      </w:pPr>
      <w:r>
        <w:rPr>
          <w:rFonts w:ascii="Courier New" w:cs="Courier New" w:eastAsia="Courier New" w:hAnsi="Courier New"/>
          <w:sz w:val="16"/>
          <w:szCs w:val="16"/>
          <w:color w:val="auto"/>
        </w:rPr>
        <w:t>(included as Exhibit 10.3 to the Company's Current Report on Form 8-K dated December 3, 1998, and incorporated herein by reference). *</w:t>
      </w:r>
    </w:p>
    <w:p>
      <w:pPr>
        <w:spacing w:after="0" w:line="182" w:lineRule="exact"/>
        <w:rPr>
          <w:sz w:val="20"/>
          <w:szCs w:val="20"/>
          <w:color w:val="auto"/>
        </w:rPr>
      </w:pPr>
    </w:p>
    <w:p>
      <w:pPr>
        <w:ind w:left="1100" w:right="21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10.20</w:t>
      </w:r>
      <w:r>
        <w:rPr>
          <w:sz w:val="20"/>
          <w:szCs w:val="20"/>
          <w:color w:val="auto"/>
        </w:rPr>
        <w:tab/>
      </w:r>
      <w:r>
        <w:rPr>
          <w:rFonts w:ascii="Courier New" w:cs="Courier New" w:eastAsia="Courier New" w:hAnsi="Courier New"/>
          <w:sz w:val="17"/>
          <w:szCs w:val="17"/>
          <w:color w:val="auto"/>
        </w:rPr>
        <w:t>Credit Agreement among the Company, LOS and the OLS Partnership dated as of October 1, 1996 (included as Exhibit 10.15 to the Company's Quarterly Report on Form 10-Q dated December 17, 1996, and incorporated herein by reference). *</w:t>
      </w:r>
    </w:p>
    <w:p>
      <w:pPr>
        <w:spacing w:after="0" w:line="200" w:lineRule="exact"/>
        <w:rPr>
          <w:sz w:val="20"/>
          <w:szCs w:val="20"/>
          <w:color w:val="auto"/>
        </w:rPr>
      </w:pPr>
    </w:p>
    <w:p>
      <w:pPr>
        <w:ind w:left="1100" w:right="23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10.21</w:t>
      </w:r>
      <w:r>
        <w:rPr>
          <w:sz w:val="20"/>
          <w:szCs w:val="20"/>
          <w:color w:val="auto"/>
        </w:rPr>
        <w:tab/>
      </w:r>
      <w:r>
        <w:rPr>
          <w:rFonts w:ascii="Courier New" w:cs="Courier New" w:eastAsia="Courier New" w:hAnsi="Courier New"/>
          <w:sz w:val="17"/>
          <w:szCs w:val="17"/>
          <w:color w:val="auto"/>
        </w:rPr>
        <w:t>First Amendment to Credit Agreement among the Company, LOS and the OLS Partnership dated as of October 29, 1997 (included as Exhibit 10.16 to the Company's Quarterly Report on Form 10-Q dated December 16, 1997, and incorporated herein by reference). *</w:t>
      </w:r>
    </w:p>
    <w:p>
      <w:pPr>
        <w:spacing w:after="0" w:line="200" w:lineRule="exact"/>
        <w:rPr>
          <w:sz w:val="20"/>
          <w:szCs w:val="20"/>
          <w:color w:val="auto"/>
        </w:rPr>
      </w:pPr>
    </w:p>
    <w:p>
      <w:pPr>
        <w:ind w:left="1100" w:right="21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10.22</w:t>
      </w:r>
      <w:r>
        <w:rPr>
          <w:sz w:val="20"/>
          <w:szCs w:val="20"/>
          <w:color w:val="auto"/>
        </w:rPr>
        <w:tab/>
      </w:r>
      <w:r>
        <w:rPr>
          <w:rFonts w:ascii="Courier New" w:cs="Courier New" w:eastAsia="Courier New" w:hAnsi="Courier New"/>
          <w:sz w:val="17"/>
          <w:szCs w:val="17"/>
          <w:color w:val="auto"/>
        </w:rPr>
        <w:t>Asset Purchase Agreement between LOS and the Company relating to the sale by the Company of stores located in Minneapolis, Minnesota dated January 28, 1995 (included as Exhibit 10.9 to the Company's Current Report on Form 8-K dated April 24, 1995, and incorporated herein by reference). *</w:t>
      </w:r>
    </w:p>
    <w:p>
      <w:pPr>
        <w:spacing w:after="0" w:line="202" w:lineRule="exact"/>
        <w:rPr>
          <w:sz w:val="20"/>
          <w:szCs w:val="20"/>
          <w:color w:val="auto"/>
        </w:rPr>
      </w:pPr>
    </w:p>
    <w:p>
      <w:pPr>
        <w:ind w:left="1100" w:right="2499" w:hanging="1101"/>
        <w:spacing w:after="0" w:line="257" w:lineRule="auto"/>
        <w:tabs>
          <w:tab w:leader="none" w:pos="1080" w:val="left"/>
        </w:tabs>
        <w:rPr>
          <w:sz w:val="20"/>
          <w:szCs w:val="20"/>
          <w:color w:val="auto"/>
        </w:rPr>
      </w:pPr>
      <w:r>
        <w:rPr>
          <w:rFonts w:ascii="Courier New" w:cs="Courier New" w:eastAsia="Courier New" w:hAnsi="Courier New"/>
          <w:sz w:val="17"/>
          <w:szCs w:val="17"/>
          <w:color w:val="auto"/>
        </w:rPr>
        <w:t>10.23</w:t>
      </w:r>
      <w:r>
        <w:rPr>
          <w:sz w:val="20"/>
          <w:szCs w:val="20"/>
          <w:color w:val="auto"/>
        </w:rPr>
        <w:tab/>
      </w:r>
      <w:r>
        <w:rPr>
          <w:rFonts w:ascii="Courier New" w:cs="Courier New" w:eastAsia="Courier New" w:hAnsi="Courier New"/>
          <w:sz w:val="16"/>
          <w:szCs w:val="16"/>
          <w:color w:val="auto"/>
        </w:rPr>
        <w:t>Asset Purchase Agreement among Boston Trading Ltd., Inc., Designs Acquisition Corp., the Company and others dated April 21, 1995 (included as 10.16 to the Company's Quarterly Report on Form 10-Q dated September 12, 1995, and incorporated herein by reference). *</w:t>
      </w:r>
    </w:p>
    <w:p>
      <w:pPr>
        <w:spacing w:after="0" w:line="187" w:lineRule="exact"/>
        <w:rPr>
          <w:sz w:val="20"/>
          <w:szCs w:val="20"/>
          <w:color w:val="auto"/>
        </w:rPr>
      </w:pPr>
    </w:p>
    <w:p>
      <w:pPr>
        <w:ind w:left="1100" w:right="21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10.24</w:t>
      </w:r>
      <w:r>
        <w:rPr>
          <w:sz w:val="20"/>
          <w:szCs w:val="20"/>
          <w:color w:val="auto"/>
        </w:rPr>
        <w:tab/>
      </w:r>
      <w:r>
        <w:rPr>
          <w:rFonts w:ascii="Courier New" w:cs="Courier New" w:eastAsia="Courier New" w:hAnsi="Courier New"/>
          <w:sz w:val="17"/>
          <w:szCs w:val="17"/>
          <w:color w:val="auto"/>
        </w:rPr>
        <w:t>Non-Negotiable Promissory Note between the Company and Atlantic Harbor, Inc., formerly known as Boston Trading Ltd., Inc., dated May 2, 1995 (included as 10.17 to the Company's Quarterly Report on Form 10-Q dated September 12, 1995, and incorporated herein by reference). *</w:t>
      </w:r>
    </w:p>
    <w:p>
      <w:pPr>
        <w:spacing w:after="0" w:line="202" w:lineRule="exact"/>
        <w:rPr>
          <w:sz w:val="20"/>
          <w:szCs w:val="20"/>
          <w:color w:val="auto"/>
        </w:rPr>
      </w:pPr>
    </w:p>
    <w:p>
      <w:pPr>
        <w:ind w:left="1100" w:right="23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10.25</w:t>
      </w:r>
      <w:r>
        <w:rPr>
          <w:sz w:val="20"/>
          <w:szCs w:val="20"/>
          <w:color w:val="auto"/>
        </w:rPr>
        <w:tab/>
      </w:r>
      <w:r>
        <w:rPr>
          <w:rFonts w:ascii="Courier New" w:cs="Courier New" w:eastAsia="Courier New" w:hAnsi="Courier New"/>
          <w:sz w:val="17"/>
          <w:szCs w:val="17"/>
          <w:color w:val="auto"/>
        </w:rPr>
        <w:t>Asset Purchase Agreement dated as of September 30, 1998 between the Company and LOS relating to the purchase by the Company of 16 Dockers(R) Outlet and nine Levi's(R) Outlet stores (included as Exhibit 10.1 to the Company's Current Report on Form 8-K dated December 3, 1998, and incorporated herein by reference). *</w:t>
      </w:r>
    </w:p>
    <w:p>
      <w:pPr>
        <w:spacing w:after="0" w:line="202" w:lineRule="exact"/>
        <w:rPr>
          <w:sz w:val="20"/>
          <w:szCs w:val="20"/>
          <w:color w:val="auto"/>
        </w:rPr>
      </w:pPr>
    </w:p>
    <w:p>
      <w:pPr>
        <w:ind w:left="1100" w:right="21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10.26</w:t>
      </w:r>
      <w:r>
        <w:rPr>
          <w:sz w:val="20"/>
          <w:szCs w:val="20"/>
          <w:color w:val="auto"/>
        </w:rPr>
        <w:tab/>
      </w:r>
      <w:r>
        <w:rPr>
          <w:rFonts w:ascii="Courier New" w:cs="Courier New" w:eastAsia="Courier New" w:hAnsi="Courier New"/>
          <w:sz w:val="17"/>
          <w:szCs w:val="17"/>
          <w:color w:val="auto"/>
        </w:rPr>
        <w:t>Employment Agreement dated as of October 16, 1995 between the Company and Joel H. Reichman (included as Exhibit 10.1 to the Company's Current Report on Form 8-K dated December 6, 1995, and incorporated herein by reference). *</w:t>
      </w:r>
    </w:p>
    <w:p>
      <w:pPr>
        <w:spacing w:after="0" w:line="200" w:lineRule="exact"/>
        <w:rPr>
          <w:sz w:val="20"/>
          <w:szCs w:val="20"/>
          <w:color w:val="auto"/>
        </w:rPr>
      </w:pPr>
    </w:p>
    <w:p>
      <w:pPr>
        <w:jc w:val="both"/>
        <w:ind w:left="1100" w:right="21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10.27</w:t>
      </w:r>
      <w:r>
        <w:rPr>
          <w:sz w:val="20"/>
          <w:szCs w:val="20"/>
          <w:color w:val="auto"/>
        </w:rPr>
        <w:tab/>
      </w:r>
      <w:r>
        <w:rPr>
          <w:rFonts w:ascii="Courier New" w:cs="Courier New" w:eastAsia="Courier New" w:hAnsi="Courier New"/>
          <w:sz w:val="17"/>
          <w:szCs w:val="17"/>
          <w:color w:val="auto"/>
        </w:rPr>
        <w:t>Employment Agreement dated as of October 16, 1995 between the Company and Scott N. Semel (included as Exhibit 10.2 to the Company's Current Report on Form 8-K dated December 6, 1995, and incorporated herein by reference). *</w:t>
      </w:r>
    </w:p>
    <w:p>
      <w:pPr>
        <w:spacing w:after="0" w:line="200" w:lineRule="exact"/>
        <w:rPr>
          <w:sz w:val="20"/>
          <w:szCs w:val="20"/>
          <w:color w:val="auto"/>
        </w:rPr>
      </w:pPr>
    </w:p>
    <w:p>
      <w:pPr>
        <w:ind w:left="1100" w:right="22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10.28</w:t>
      </w:r>
      <w:r>
        <w:rPr>
          <w:sz w:val="20"/>
          <w:szCs w:val="20"/>
          <w:color w:val="auto"/>
        </w:rPr>
        <w:tab/>
      </w:r>
      <w:r>
        <w:rPr>
          <w:rFonts w:ascii="Courier New" w:cs="Courier New" w:eastAsia="Courier New" w:hAnsi="Courier New"/>
          <w:sz w:val="17"/>
          <w:szCs w:val="17"/>
          <w:color w:val="auto"/>
        </w:rPr>
        <w:t>Employment Agreement dated as of May 9, 1997 between the Company and Carolyn R. Faulkner (included as Exhibit 10.23 to the Company's Quarterly Report on Form 10-Q dated June 17, 1997, and incorporated herein by reference). *</w:t>
      </w:r>
    </w:p>
    <w:p>
      <w:pPr>
        <w:spacing w:after="0" w:line="200" w:lineRule="exact"/>
        <w:rPr>
          <w:sz w:val="20"/>
          <w:szCs w:val="20"/>
          <w:color w:val="auto"/>
        </w:rPr>
      </w:pPr>
    </w:p>
    <w:p>
      <w:pPr>
        <w:ind w:left="1100" w:right="2199" w:hanging="1101"/>
        <w:spacing w:after="0" w:line="238" w:lineRule="auto"/>
        <w:tabs>
          <w:tab w:leader="none" w:pos="1080" w:val="left"/>
        </w:tabs>
        <w:rPr>
          <w:sz w:val="20"/>
          <w:szCs w:val="20"/>
          <w:color w:val="auto"/>
        </w:rPr>
      </w:pPr>
      <w:r>
        <w:rPr>
          <w:rFonts w:ascii="Courier New" w:cs="Courier New" w:eastAsia="Courier New" w:hAnsi="Courier New"/>
          <w:sz w:val="17"/>
          <w:szCs w:val="17"/>
          <w:color w:val="auto"/>
        </w:rPr>
        <w:t>10.29</w:t>
      </w:r>
      <w:r>
        <w:rPr>
          <w:sz w:val="20"/>
          <w:szCs w:val="20"/>
          <w:color w:val="auto"/>
        </w:rPr>
        <w:tab/>
      </w:r>
      <w:r>
        <w:rPr>
          <w:rFonts w:ascii="Courier New" w:cs="Courier New" w:eastAsia="Courier New" w:hAnsi="Courier New"/>
          <w:sz w:val="17"/>
          <w:szCs w:val="17"/>
          <w:color w:val="auto"/>
        </w:rPr>
        <w:t>Separation Agreement dated as of February 9, 1998 between the Company and Mark S. Lisnow (included as Exhibit 10.26 to the Company's Annual Report on Form 10-K dated May 1, 1998, and incorporated herein by reference). *</w:t>
      </w:r>
    </w:p>
    <w:p>
      <w:pPr>
        <w:spacing w:after="0" w:line="194" w:lineRule="exact"/>
        <w:rPr>
          <w:sz w:val="20"/>
          <w:szCs w:val="20"/>
          <w:color w:val="auto"/>
        </w:rPr>
      </w:pPr>
    </w:p>
    <w:p>
      <w:pPr>
        <w:ind w:left="1100" w:hanging="1097"/>
        <w:spacing w:after="0"/>
        <w:tabs>
          <w:tab w:leader="none" w:pos="11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re: computation of per share earnings.</w:t>
      </w:r>
    </w:p>
    <w:p>
      <w:pPr>
        <w:spacing w:after="0" w:line="192" w:lineRule="exact"/>
        <w:rPr>
          <w:rFonts w:ascii="Courier New" w:cs="Courier New" w:eastAsia="Courier New" w:hAnsi="Courier New"/>
          <w:sz w:val="17"/>
          <w:szCs w:val="17"/>
          <w:color w:val="auto"/>
        </w:rPr>
      </w:pPr>
    </w:p>
    <w:p>
      <w:pPr>
        <w:ind w:left="1100" w:hanging="1097"/>
        <w:spacing w:after="0"/>
        <w:tabs>
          <w:tab w:leader="none" w:pos="11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Data Schedule.</w:t>
      </w:r>
    </w:p>
    <w:p>
      <w:pPr>
        <w:spacing w:after="0" w:line="198" w:lineRule="exact"/>
        <w:rPr>
          <w:sz w:val="20"/>
          <w:szCs w:val="20"/>
          <w:color w:val="auto"/>
        </w:rPr>
      </w:pPr>
    </w:p>
    <w:p>
      <w:pPr>
        <w:ind w:left="1100" w:right="2199" w:hanging="1101"/>
        <w:spacing w:after="0" w:line="256" w:lineRule="auto"/>
        <w:tabs>
          <w:tab w:leader="none" w:pos="10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Report of the Company dated May 1, 1998 concerning certain cautionary statements of the Company to be taken into account in conjunction with consideration and review of the Company's publicly-disseminated documents (including oral statements made by others on behalf of the Company) that include forward looking information (included as Exhibit 99 to the Company`s Annual Report on Form 10-K dated May 1, 1998 and incorporated herein by reference). *</w:t>
      </w:r>
    </w:p>
    <w:p>
      <w:pPr>
        <w:spacing w:after="0" w:line="189" w:lineRule="exact"/>
        <w:rPr>
          <w:sz w:val="20"/>
          <w:szCs w:val="20"/>
          <w:color w:val="auto"/>
        </w:rPr>
      </w:pPr>
    </w:p>
    <w:p>
      <w:pPr>
        <w:ind w:left="1100" w:right="2299" w:hanging="1101"/>
        <w:spacing w:after="0" w:line="237" w:lineRule="auto"/>
        <w:tabs>
          <w:tab w:leader="none" w:pos="1080" w:val="left"/>
        </w:tabs>
        <w:rPr>
          <w:sz w:val="20"/>
          <w:szCs w:val="20"/>
          <w:color w:val="auto"/>
        </w:rPr>
      </w:pPr>
      <w:r>
        <w:rPr>
          <w:rFonts w:ascii="Courier New" w:cs="Courier New" w:eastAsia="Courier New" w:hAnsi="Courier New"/>
          <w:sz w:val="17"/>
          <w:szCs w:val="17"/>
          <w:color w:val="auto"/>
        </w:rPr>
        <w:t>99.2</w:t>
      </w:r>
      <w:r>
        <w:rPr>
          <w:sz w:val="20"/>
          <w:szCs w:val="20"/>
          <w:color w:val="auto"/>
        </w:rPr>
        <w:tab/>
      </w:r>
      <w:r>
        <w:rPr>
          <w:rFonts w:ascii="Courier New" w:cs="Courier New" w:eastAsia="Courier New" w:hAnsi="Courier New"/>
          <w:sz w:val="17"/>
          <w:szCs w:val="17"/>
          <w:color w:val="auto"/>
        </w:rPr>
        <w:t>Press Release dated December 11, 1998 (included as Exhibit 99.1 to the Company's Current Report on Form 8-K dated December 11, 1998 and incorporated by reference). *</w:t>
      </w:r>
    </w:p>
    <w:p>
      <w:pPr>
        <w:spacing w:after="0" w:line="195"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Previously filed with the Securities and Exchange Commission.</w:t>
      </w:r>
    </w:p>
    <w:p>
      <w:pPr>
        <w:sectPr>
          <w:pgSz w:w="11900" w:h="16838" w:orient="portrait"/>
          <w:cols w:equalWidth="0" w:num="1">
            <w:col w:w="10219"/>
          </w:cols>
          <w:pgMar w:left="240" w:top="142" w:right="1440" w:bottom="1440" w:gutter="0" w:footer="0" w:header="0"/>
        </w:sectPr>
      </w:pPr>
    </w:p>
    <w:bookmarkStart w:id="23" w:name="page24"/>
    <w:bookmarkEnd w:id="23"/>
    <w:p>
      <w:pPr>
        <w:jc w:val="both"/>
        <w:ind w:right="2999"/>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DESIGNS, INC.</w:t>
      </w:r>
    </w:p>
    <w:p>
      <w:pPr>
        <w:sectPr>
          <w:pgSz w:w="11900" w:h="16838" w:orient="portrait"/>
          <w:cols w:equalWidth="0" w:num="1">
            <w:col w:w="10219"/>
          </w:cols>
          <w:pgMar w:left="240" w:top="1272"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15,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Carolyn R. Faulkner</w:t>
      </w:r>
    </w:p>
    <w:p>
      <w:pPr>
        <w:ind w:left="400"/>
        <w:spacing w:after="0"/>
        <w:rPr>
          <w:sz w:val="20"/>
          <w:szCs w:val="20"/>
          <w:color w:val="auto"/>
        </w:rPr>
      </w:pPr>
      <w:r>
        <w:rPr>
          <w:rFonts w:ascii="Courier New" w:cs="Courier New" w:eastAsia="Courier New" w:hAnsi="Courier New"/>
          <w:sz w:val="17"/>
          <w:szCs w:val="17"/>
          <w:color w:val="auto"/>
        </w:rPr>
        <w:t>Carolyn R. Faulkner, Vice President,</w:t>
      </w:r>
    </w:p>
    <w:p>
      <w:pPr>
        <w:spacing w:after="0" w:line="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Chief Financial Officeer and Treasurer</w:t>
      </w:r>
    </w:p>
    <w:p>
      <w:pPr>
        <w:sectPr>
          <w:pgSz w:w="11900" w:h="16838" w:orient="portrait"/>
          <w:cols w:equalWidth="0" w:num="2">
            <w:col w:w="2900" w:space="720"/>
            <w:col w:w="6599"/>
          </w:cols>
          <w:pgMar w:left="240" w:top="1272" w:right="1440" w:bottom="1440" w:gutter="0" w:footer="0" w:header="0"/>
          <w:type w:val="continuous"/>
        </w:sectPr>
      </w:pPr>
    </w:p>
    <w:bookmarkStart w:id="24" w:name="page25"/>
    <w:bookmarkEnd w:id="24"/>
    <w:p>
      <w:pPr>
        <w:spacing w:after="0" w:line="82"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BY-LAWS</w:t>
      </w:r>
    </w:p>
    <w:p>
      <w:pPr>
        <w:ind w:left="3920"/>
        <w:spacing w:after="0"/>
        <w:rPr>
          <w:sz w:val="20"/>
          <w:szCs w:val="20"/>
          <w:color w:val="auto"/>
        </w:rPr>
      </w:pPr>
      <w:r>
        <w:rPr>
          <w:rFonts w:ascii="Courier New" w:cs="Courier New" w:eastAsia="Courier New" w:hAnsi="Courier New"/>
          <w:sz w:val="17"/>
          <w:szCs w:val="17"/>
          <w:color w:val="auto"/>
        </w:rPr>
        <w:t>OF</w:t>
      </w:r>
    </w:p>
    <w:p>
      <w:pPr>
        <w:ind w:left="3420"/>
        <w:spacing w:after="0"/>
        <w:rPr>
          <w:sz w:val="20"/>
          <w:szCs w:val="20"/>
          <w:color w:val="auto"/>
        </w:rPr>
      </w:pPr>
      <w:r>
        <w:rPr>
          <w:rFonts w:ascii="Courier New" w:cs="Courier New" w:eastAsia="Courier New" w:hAnsi="Courier New"/>
          <w:sz w:val="17"/>
          <w:szCs w:val="17"/>
          <w:color w:val="auto"/>
        </w:rPr>
        <w:t>DESIGNS, INC.</w:t>
      </w:r>
    </w:p>
    <w:p>
      <w:pPr>
        <w:spacing w:after="0" w:line="193" w:lineRule="exact"/>
        <w:rPr>
          <w:sz w:val="20"/>
          <w:szCs w:val="20"/>
          <w:color w:val="auto"/>
        </w:rPr>
      </w:pPr>
    </w:p>
    <w:p>
      <w:pPr>
        <w:ind w:left="500"/>
        <w:spacing w:after="0"/>
        <w:tabs>
          <w:tab w:leader="none" w:pos="2480" w:val="left"/>
        </w:tabs>
        <w:rPr>
          <w:sz w:val="20"/>
          <w:szCs w:val="20"/>
          <w:color w:val="auto"/>
        </w:rPr>
      </w:pPr>
      <w:r>
        <w:rPr>
          <w:rFonts w:ascii="Courier New" w:cs="Courier New" w:eastAsia="Courier New" w:hAnsi="Courier New"/>
          <w:sz w:val="17"/>
          <w:szCs w:val="17"/>
          <w:color w:val="auto"/>
        </w:rPr>
        <w:t>Section 1.</w:t>
      </w:r>
      <w:r>
        <w:rPr>
          <w:sz w:val="20"/>
          <w:szCs w:val="20"/>
          <w:color w:val="auto"/>
        </w:rPr>
        <w:tab/>
      </w:r>
      <w:r>
        <w:rPr>
          <w:rFonts w:ascii="Courier New" w:cs="Courier New" w:eastAsia="Courier New" w:hAnsi="Courier New"/>
          <w:sz w:val="16"/>
          <w:szCs w:val="16"/>
          <w:color w:val="auto"/>
        </w:rPr>
        <w:t>CERTIFICATE OF INCORPORATION AND BY-LAWS</w:t>
      </w:r>
    </w:p>
    <w:p>
      <w:pPr>
        <w:spacing w:after="0" w:line="198" w:lineRule="exact"/>
        <w:rPr>
          <w:sz w:val="20"/>
          <w:szCs w:val="20"/>
          <w:color w:val="auto"/>
        </w:rPr>
      </w:pPr>
    </w:p>
    <w:p>
      <w:pPr>
        <w:ind w:right="2499" w:firstLine="501"/>
        <w:spacing w:after="0" w:line="238" w:lineRule="auto"/>
        <w:rPr>
          <w:sz w:val="20"/>
          <w:szCs w:val="20"/>
          <w:color w:val="auto"/>
        </w:rPr>
      </w:pPr>
      <w:r>
        <w:rPr>
          <w:rFonts w:ascii="Courier New" w:cs="Courier New" w:eastAsia="Courier New" w:hAnsi="Courier New"/>
          <w:sz w:val="17"/>
          <w:szCs w:val="17"/>
          <w:color w:val="auto"/>
        </w:rPr>
        <w:t>1.1 These By-Laws are subject to the Certificate of Incorporation of the Corporation. In these By-Laws, references to the Certificate of Incorporation and By-Laws mean the provisions of the Certificate of Incorporation and the By-Laws as are from time to time in effect.</w:t>
      </w:r>
    </w:p>
    <w:p>
      <w:pPr>
        <w:spacing w:after="0" w:line="194" w:lineRule="exact"/>
        <w:rPr>
          <w:sz w:val="20"/>
          <w:szCs w:val="20"/>
          <w:color w:val="auto"/>
        </w:rPr>
      </w:pPr>
    </w:p>
    <w:p>
      <w:pPr>
        <w:ind w:left="500"/>
        <w:spacing w:after="0"/>
        <w:tabs>
          <w:tab w:leader="none" w:pos="2480" w:val="left"/>
        </w:tabs>
        <w:rPr>
          <w:sz w:val="20"/>
          <w:szCs w:val="20"/>
          <w:color w:val="auto"/>
        </w:rPr>
      </w:pPr>
      <w:r>
        <w:rPr>
          <w:rFonts w:ascii="Courier New" w:cs="Courier New" w:eastAsia="Courier New" w:hAnsi="Courier New"/>
          <w:sz w:val="17"/>
          <w:szCs w:val="17"/>
          <w:color w:val="auto"/>
        </w:rPr>
        <w:t>Section 2.</w:t>
      </w:r>
      <w:r>
        <w:rPr>
          <w:sz w:val="20"/>
          <w:szCs w:val="20"/>
          <w:color w:val="auto"/>
        </w:rPr>
        <w:tab/>
      </w:r>
      <w:r>
        <w:rPr>
          <w:rFonts w:ascii="Courier New" w:cs="Courier New" w:eastAsia="Courier New" w:hAnsi="Courier New"/>
          <w:sz w:val="16"/>
          <w:szCs w:val="16"/>
          <w:color w:val="auto"/>
        </w:rPr>
        <w:t>OFFICES</w:t>
      </w:r>
    </w:p>
    <w:p>
      <w:pPr>
        <w:spacing w:after="0" w:line="198" w:lineRule="exact"/>
        <w:rPr>
          <w:sz w:val="20"/>
          <w:szCs w:val="20"/>
          <w:color w:val="auto"/>
        </w:rPr>
      </w:pPr>
    </w:p>
    <w:p>
      <w:pPr>
        <w:ind w:right="2899" w:firstLine="501"/>
        <w:spacing w:after="0" w:line="236" w:lineRule="auto"/>
        <w:rPr>
          <w:sz w:val="20"/>
          <w:szCs w:val="20"/>
          <w:color w:val="auto"/>
        </w:rPr>
      </w:pPr>
      <w:r>
        <w:rPr>
          <w:rFonts w:ascii="Courier New" w:cs="Courier New" w:eastAsia="Courier New" w:hAnsi="Courier New"/>
          <w:sz w:val="17"/>
          <w:szCs w:val="17"/>
          <w:color w:val="auto"/>
        </w:rPr>
        <w:t>2.1 Registered Office. The registered office shall be in the City of Wilmington, County of New Castle, State of Delaware.</w:t>
      </w:r>
    </w:p>
    <w:p>
      <w:pPr>
        <w:spacing w:after="0" w:line="199"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2.2 Other Offices. The Corporation may also have offices at such other places both within and without the State of Delaware as the Board of Directors may from time to time determine or the business of the Corporation may require.</w:t>
      </w:r>
    </w:p>
    <w:p>
      <w:pPr>
        <w:spacing w:after="0" w:line="179" w:lineRule="exact"/>
        <w:rPr>
          <w:sz w:val="20"/>
          <w:szCs w:val="20"/>
          <w:color w:val="auto"/>
        </w:rPr>
      </w:pPr>
    </w:p>
    <w:p>
      <w:pPr>
        <w:ind w:left="500"/>
        <w:spacing w:after="0"/>
        <w:tabs>
          <w:tab w:leader="none" w:pos="2480" w:val="left"/>
        </w:tabs>
        <w:rPr>
          <w:sz w:val="20"/>
          <w:szCs w:val="20"/>
          <w:color w:val="auto"/>
        </w:rPr>
      </w:pPr>
      <w:r>
        <w:rPr>
          <w:rFonts w:ascii="Courier New" w:cs="Courier New" w:eastAsia="Courier New" w:hAnsi="Courier New"/>
          <w:sz w:val="17"/>
          <w:szCs w:val="17"/>
          <w:color w:val="auto"/>
        </w:rPr>
        <w:t>Section 3.</w:t>
      </w:r>
      <w:r>
        <w:rPr>
          <w:sz w:val="20"/>
          <w:szCs w:val="20"/>
          <w:color w:val="auto"/>
        </w:rPr>
        <w:tab/>
      </w:r>
      <w:r>
        <w:rPr>
          <w:rFonts w:ascii="Courier New" w:cs="Courier New" w:eastAsia="Courier New" w:hAnsi="Courier New"/>
          <w:sz w:val="16"/>
          <w:szCs w:val="16"/>
          <w:color w:val="auto"/>
        </w:rPr>
        <w:t>STOCKHOLDERS</w:t>
      </w:r>
    </w:p>
    <w:p>
      <w:pPr>
        <w:spacing w:after="0" w:line="198"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3.1 Location of Meetings.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187"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3.2 Annual Meeting. The annual meeting of stockholders shall be held for the election of directors on the second Tuesday in June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Any other business as may be required or permitted by law or these By-Laws may properly come before the annual meeting.</w:t>
      </w:r>
    </w:p>
    <w:p>
      <w:pPr>
        <w:spacing w:after="0" w:line="18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3.3 Special Meeting in Place of Annual Meeting.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 meeting. Any such special meeting shall be called and the purposes thereof shall be specified in the call, as provided in Section 3.4.</w:t>
      </w:r>
    </w:p>
    <w:p>
      <w:pPr>
        <w:spacing w:after="0" w:line="195"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3.4 Notice of Annual Meeting.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allshares entitled to vote thereon were voted. Prompt notice of all action taken in connection with such waiver of notice shall be given to all stockholders not present or represented at such meeting.</w:t>
      </w:r>
    </w:p>
    <w:p>
      <w:pPr>
        <w:spacing w:after="0" w:line="203"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3.5 Special Meetings.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3.6 Notice of Special Meeting. Written notice of a special meeting of stockholders stating the place, date and hour of the meeting and the purpose or 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203"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3.7 Stockholder List.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w:t>
      </w:r>
    </w:p>
    <w:p>
      <w:pPr>
        <w:sectPr>
          <w:pgSz w:w="11900" w:h="16921" w:orient="portrait"/>
          <w:cols w:equalWidth="0" w:num="1">
            <w:col w:w="10219"/>
          </w:cols>
          <w:pgMar w:left="240" w:top="522" w:right="1440" w:bottom="0" w:gutter="0" w:footer="0" w:header="0"/>
        </w:sectPr>
      </w:pPr>
    </w:p>
    <w:bookmarkStart w:id="25" w:name="page26"/>
    <w:bookmarkEnd w:id="25"/>
    <w:p>
      <w:pPr>
        <w:spacing w:after="0" w:line="6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3.8 Quorum of Stockholders.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shares from the quorum count by declaring his shares absent from the meeting.</w:t>
      </w:r>
    </w:p>
    <w:p>
      <w:pPr>
        <w:spacing w:after="0" w:line="18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3.9 Adjournment.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202"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3.10 Proxy Representation.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96"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3.11 Inspectors. The directors or the person presiding at the meeting may, but need not,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20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3.12 Action by Vote.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200"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3.13 Action Without Meetings.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3.14 Matters to be Considered at Annual Meetings. At any annual meeting of</w:t>
      </w:r>
    </w:p>
    <w:p>
      <w:pPr>
        <w:sectPr>
          <w:pgSz w:w="11900" w:h="16905" w:orient="portrait"/>
          <w:cols w:equalWidth="0" w:num="1">
            <w:col w:w="10219"/>
          </w:cols>
          <w:pgMar w:left="240" w:top="142" w:right="1440" w:bottom="0" w:gutter="0" w:footer="0" w:header="0"/>
        </w:sectPr>
      </w:pPr>
    </w:p>
    <w:bookmarkStart w:id="26" w:name="page27"/>
    <w:bookmarkEnd w:id="26"/>
    <w:p>
      <w:pPr>
        <w:spacing w:after="0" w:line="7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stockholders or any special meeting in lieu of annual meeting of stockholders (for purposes of this Section 3.14 and Section 4.16 hereof, hereinafter referred to as an "Annual Meeting"), only such business shall be conducted, and only such proposals shall be acted upon, as shall have been properly brought before such Annual Meeting.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3.14.</w:t>
      </w:r>
    </w:p>
    <w:p>
      <w:pPr>
        <w:spacing w:after="0" w:line="20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3.14 to the Secretary of the Corporation and (ii) be present at such Annual Meeting, either in person or by a representative. A stockholder's notice shall be timely if delivered to, or mailed to and received by, the Corporation at its principal executive office not less than seventy-five days nor more than one hundred twenty days prior to the anniversary date of the immediately preceding Annual Meeting (for purposes of this Section 3.14 and Section 4.16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at its principal executive office not later than the close of business on the later of (A) the seventy-fifth day prior to the scheduled date of such Annual Meeting or (B) the fifteenth day following the day on which public announcement of the date of such Annual Meeting is first made by the Corporation.</w:t>
      </w:r>
    </w:p>
    <w:p>
      <w:pPr>
        <w:spacing w:after="0" w:line="211"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For purposes of these By-Laws, "public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1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 stockholder's notice to the Secretary shall set forth as to each matter proposed to be brought before an Annual Meeting: (i) a brief description of the business the stockholder desires to bring before such Annual Meeting and the reasons for conducting such business at such Annual Meeting, (ii) the name and address, as they appear on the Corporation's stock transfer books, of the stockholder proposing such business, (iii) the class and number of shares of the Corporation's capital stock beneficially owned by the stockholder proposing such business, (iv) the names and addresses of the beneficial owners, if any, of any capital stock of the Corporation registered in such stockholder's name on such books, and the class and number of shares of the Corporation's capital stock beneficially owned by such beneficial owners, (v) the names and addresses of other stockholders known by the stockholder proposing such business to support such proposal, and the class and number of shares of the Corporation's capital stock beneficially owned by such other stockholders, and (vi) any material interest of the stockholder proposing to bring such business before such meeting (or any other stockholders known to be supporting such proposal) in such proposal.</w:t>
      </w:r>
    </w:p>
    <w:p>
      <w:pPr>
        <w:spacing w:after="0" w:line="20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the Board of Directors or a designated committee thereof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proposal was made in accordance with the terms of this Section 3.14. If the presiding officer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the Board of Directors, a designated committee thereof or the presiding officer determines that a stockholder proposal was made in accordance with the requirements of this Section 3.14, the presiding officer shall so declare at the Annual Meeting and ballots shall be provided for use at the Annual Meeting with respect to such proposal.</w:t>
      </w:r>
    </w:p>
    <w:p>
      <w:pPr>
        <w:spacing w:after="0" w:line="212"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Notwithstanding the foregoing provisions of this Section 3.14, a stockholder shall also comply with all applicable requirements of the Securities Exchange Act of 1934, as amended (the "Exchange Act"), and the rules and regulations thereunder with respect to the matters set forth in this Section</w:t>
      </w:r>
    </w:p>
    <w:p>
      <w:pPr>
        <w:spacing w:after="0" w:line="1"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3.14, and nothing in this Section 3.14 shall be deemed to affect any rights of stockholders to request inclusion of proposals in the Corporation's proxy</w:t>
      </w:r>
    </w:p>
    <w:p>
      <w:pPr>
        <w:sectPr>
          <w:pgSz w:w="11900" w:h="16910" w:orient="portrait"/>
          <w:cols w:equalWidth="0" w:num="1">
            <w:col w:w="10219"/>
          </w:cols>
          <w:pgMar w:left="240" w:top="142" w:right="1440" w:bottom="0" w:gutter="0" w:footer="0" w:header="0"/>
        </w:sectPr>
      </w:pPr>
    </w:p>
    <w:bookmarkStart w:id="27" w:name="page28"/>
    <w:bookmarkEnd w:id="27"/>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 pursuant to Rule 14a-8 under the Exchange Act.</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3.15 Inspection of Stockholder Consents. In the event of the delivery to the Corporation of the requisite written stockholder consents to take corporate action and/or any related revocation or revocations, the Corporation shall engage nationally recognized independent inspectors of elections for the purpose of promptly performing a ministerial review of the validity of such consents and revocations. For the purpose of permitting the inspectors to perform such review, no action by written consent without a meeting shall be effective until such date as the independent inspectors certify to the Corporation that the consents delivered to the Corporation constitute at least the minimum number of votes that would be necessary to take the corporate action. Nothing contained in this paragraph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90" w:lineRule="exact"/>
        <w:rPr>
          <w:sz w:val="20"/>
          <w:szCs w:val="20"/>
          <w:color w:val="auto"/>
        </w:rPr>
      </w:pPr>
    </w:p>
    <w:p>
      <w:pPr>
        <w:ind w:left="500"/>
        <w:spacing w:after="0"/>
        <w:tabs>
          <w:tab w:leader="none" w:pos="2480" w:val="left"/>
        </w:tabs>
        <w:rPr>
          <w:sz w:val="20"/>
          <w:szCs w:val="20"/>
          <w:color w:val="auto"/>
        </w:rPr>
      </w:pPr>
      <w:r>
        <w:rPr>
          <w:rFonts w:ascii="Courier New" w:cs="Courier New" w:eastAsia="Courier New" w:hAnsi="Courier New"/>
          <w:sz w:val="17"/>
          <w:szCs w:val="17"/>
          <w:color w:val="auto"/>
        </w:rPr>
        <w:t>Section 4.</w:t>
      </w:r>
      <w:r>
        <w:rPr>
          <w:sz w:val="20"/>
          <w:szCs w:val="20"/>
          <w:color w:val="auto"/>
        </w:rPr>
        <w:tab/>
      </w:r>
      <w:r>
        <w:rPr>
          <w:rFonts w:ascii="Courier New" w:cs="Courier New" w:eastAsia="Courier New" w:hAnsi="Courier New"/>
          <w:sz w:val="17"/>
          <w:szCs w:val="17"/>
          <w:color w:val="auto"/>
        </w:rPr>
        <w:t>DIRECTORS</w:t>
      </w:r>
    </w:p>
    <w:p>
      <w:pPr>
        <w:spacing w:after="0" w:line="198"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4.1 Number; Qualifications. The Board of Directors shall consist of one or more members, the number thereof to be determined from time to time by resolution of the Board of Directors. Directors need not be stockholders.</w:t>
      </w:r>
    </w:p>
    <w:p>
      <w:pPr>
        <w:spacing w:after="0" w:line="200"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4.2 Election; Vacancies. The Board of Directors shall initially consist of persons elected as such by the incorporator. At the first annual meeting of stockholders and at each annual meeting thereafter, the stockholders shall elect directors to replace those directors whose terms then expire. Vacancies and any newly created directorships resulting from any increase in the number of directors may be filled by vote of 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95"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4.3 Tenure. Except as otherwise provided by law, by the Certificate of Incorporation or by these By-Laws, each director shall hold office until the next annual meeting and until his successor is elected and qualified, or until he sooner dies, resigns, is removed or becomes disqualified.</w:t>
      </w:r>
    </w:p>
    <w:p>
      <w:pPr>
        <w:spacing w:after="0" w:line="200"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4.4 Powers.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202"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4.5 Committees.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38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4.6 Regular Meeting. Regular meetings of the Board of Directors may be held without call or notice at such place within or without the State of Delaware and at such times as the Board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4.7 Special Meetings. Special meetings of the Board of Directors may be</w:t>
      </w:r>
    </w:p>
    <w:p>
      <w:pPr>
        <w:sectPr>
          <w:pgSz w:w="11900" w:h="16911" w:orient="portrait"/>
          <w:cols w:equalWidth="0" w:num="1">
            <w:col w:w="10219"/>
          </w:cols>
          <w:pgMar w:left="240" w:top="136" w:right="1440" w:bottom="0" w:gutter="0" w:footer="0" w:header="0"/>
        </w:sectPr>
      </w:pPr>
    </w:p>
    <w:bookmarkStart w:id="28" w:name="page29"/>
    <w:bookmarkEnd w:id="28"/>
    <w:p>
      <w:pPr>
        <w:spacing w:after="0" w:line="71"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6"/>
          <w:szCs w:val="16"/>
          <w:color w:val="auto"/>
        </w:rPr>
        <w:t>held at any time and at any place within or without the State of Delaware designated in the notice of the meeting, when called by the Chairman, the President or the Secretary, or by one-third or more in number of the directors, reasonable notice thereof being given to each director by the Secretary, the President or the Chairman or by any one of the directors calling the meeting.</w:t>
      </w:r>
    </w:p>
    <w:p>
      <w:pPr>
        <w:spacing w:after="0" w:line="186"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4.8 Notice.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202"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4.9 Quorum.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18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4.10 Action by Vote. Except as may be otherwise provided by law, by the Certificate of Incorporation or by these By-Laws, when a quorum is present at any meeting the vote of a majority of the directors present shall be the act of the Board of Directors.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4.11 Action Without a Meeting. Unless otherwise restricted by the Certificate of Incorporation or these By-Laws, any action required or permitted to be taken at any meeting of the Board of Directors or of any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4.12 Participation in Meetings by Conference Telephone. Unless otherwise restricted by the Certificate of Incorporation or these By-Laws,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4.13 Compensation.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4.14 Interested Directors and Officers.</w:t>
      </w:r>
    </w:p>
    <w:p>
      <w:pPr>
        <w:spacing w:after="0" w:line="198" w:lineRule="exact"/>
        <w:rPr>
          <w:sz w:val="20"/>
          <w:szCs w:val="20"/>
          <w:color w:val="auto"/>
        </w:rPr>
      </w:pPr>
    </w:p>
    <w:p>
      <w:pPr>
        <w:ind w:right="2199" w:firstLine="1005"/>
        <w:spacing w:after="0" w:line="239" w:lineRule="auto"/>
        <w:tabs>
          <w:tab w:leader="none" w:pos="140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201" w:lineRule="exact"/>
        <w:rPr>
          <w:rFonts w:ascii="Courier New" w:cs="Courier New" w:eastAsia="Courier New" w:hAnsi="Courier New"/>
          <w:sz w:val="17"/>
          <w:szCs w:val="17"/>
          <w:color w:val="auto"/>
        </w:rPr>
      </w:pPr>
    </w:p>
    <w:p>
      <w:pPr>
        <w:ind w:right="2299" w:firstLine="1506"/>
        <w:spacing w:after="0" w:line="239" w:lineRule="auto"/>
        <w:tabs>
          <w:tab w:leader="none" w:pos="1904"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98" w:lineRule="exact"/>
        <w:rPr>
          <w:rFonts w:ascii="Courier New" w:cs="Courier New" w:eastAsia="Courier New" w:hAnsi="Courier New"/>
          <w:sz w:val="17"/>
          <w:szCs w:val="17"/>
          <w:color w:val="auto"/>
        </w:rPr>
      </w:pPr>
    </w:p>
    <w:p>
      <w:pPr>
        <w:ind w:right="2299" w:firstLine="1506"/>
        <w:spacing w:after="0" w:line="238" w:lineRule="auto"/>
        <w:tabs>
          <w:tab w:leader="none" w:pos="1904"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99" w:lineRule="exact"/>
        <w:rPr>
          <w:rFonts w:ascii="Courier New" w:cs="Courier New" w:eastAsia="Courier New" w:hAnsi="Courier New"/>
          <w:sz w:val="17"/>
          <w:szCs w:val="17"/>
          <w:color w:val="auto"/>
        </w:rPr>
      </w:pPr>
    </w:p>
    <w:p>
      <w:pPr>
        <w:ind w:right="2199" w:firstLine="1406"/>
        <w:spacing w:after="0" w:line="237" w:lineRule="auto"/>
        <w:tabs>
          <w:tab w:leader="none" w:pos="1804"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contract or transaction is fair as to the Corporation as of the time it is authorized, approved or ratified, by the Board of Directors, a committee thereof, or the stockholders.</w:t>
      </w:r>
    </w:p>
    <w:p>
      <w:pPr>
        <w:sectPr>
          <w:pgSz w:w="11900" w:h="16909" w:orient="portrait"/>
          <w:cols w:equalWidth="0" w:num="1">
            <w:col w:w="10219"/>
          </w:cols>
          <w:pgMar w:left="240" w:top="142" w:right="1440" w:bottom="0" w:gutter="0" w:footer="0" w:header="0"/>
        </w:sectPr>
      </w:pPr>
    </w:p>
    <w:bookmarkStart w:id="29" w:name="page30"/>
    <w:bookmarkEnd w:id="29"/>
    <w:p>
      <w:pPr>
        <w:spacing w:after="0" w:line="77" w:lineRule="exact"/>
        <w:rPr>
          <w:sz w:val="20"/>
          <w:szCs w:val="20"/>
          <w:color w:val="auto"/>
        </w:rPr>
      </w:pPr>
    </w:p>
    <w:p>
      <w:pPr>
        <w:ind w:right="2399" w:firstLine="1005"/>
        <w:spacing w:after="0" w:line="237" w:lineRule="auto"/>
        <w:tabs>
          <w:tab w:leader="none" w:pos="14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or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4.15 Resignation or Removal of Directors.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209"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4.16 Director Nominations. 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4.16. Any stockholder who has complied with the timing, informational and other requirements set forth in this Section 4.16 and who seeks to make such a nomination, or such stockholder's representative, must be present in person at the Annual Meeting. Only persons nominated in accordance with the procedures set forth in this Section 4.16 shall be eligible for election as directors at an Annual Meeting.</w:t>
      </w:r>
    </w:p>
    <w:p>
      <w:pPr>
        <w:spacing w:after="0" w:line="195"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Nominations, other than those made by, or at the direction of, the Board of Directors, shall be made pursuant to timely notice in writing to the Secretary of the Corporation as set forth in this Section 4.16. A stockholder's notice shall be timely if delivered to, or mailed to and received by, the Corporation at its principal executive office not less than seventy-five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at its principal executive office not later than the close of business on the later of (i) the seventy-fifth day prior to the scheduled date of such Annual Meeting or (ii) the fifteenth day following the day on which public announcement of the date of such Annual Meeting is first made by the Corporation.</w:t>
      </w:r>
    </w:p>
    <w:p>
      <w:pPr>
        <w:spacing w:after="0" w:line="387" w:lineRule="exact"/>
        <w:rPr>
          <w:sz w:val="20"/>
          <w:szCs w:val="20"/>
          <w:color w:val="auto"/>
        </w:rPr>
      </w:pPr>
    </w:p>
    <w:p>
      <w:pPr>
        <w:ind w:right="2399" w:firstLine="501"/>
        <w:spacing w:after="0" w:line="255" w:lineRule="auto"/>
        <w:rPr>
          <w:sz w:val="20"/>
          <w:szCs w:val="20"/>
          <w:color w:val="auto"/>
        </w:rPr>
      </w:pPr>
      <w:r>
        <w:rPr>
          <w:rFonts w:ascii="Courier New" w:cs="Courier New" w:eastAsia="Courier New" w:hAnsi="Courier New"/>
          <w:sz w:val="16"/>
          <w:szCs w:val="16"/>
          <w:color w:val="auto"/>
        </w:rPr>
        <w:t>A stockholder's notice to the Secretary shall set forth as to each person whom the stockholder proposes to nominate for election or re-election as a director: (i) the name, age, business address and residence address of such person, (ii) the principal occupation or employment of such person, (iii) the class and number of shares of the Corporation's capital stock which are beneficially owned by such person on the date of such stockholder notice, and</w:t>
      </w:r>
    </w:p>
    <w:p>
      <w:pPr>
        <w:spacing w:after="0" w:line="1" w:lineRule="exact"/>
        <w:rPr>
          <w:sz w:val="20"/>
          <w:szCs w:val="20"/>
          <w:color w:val="auto"/>
        </w:rPr>
      </w:pPr>
    </w:p>
    <w:p>
      <w:pPr>
        <w:ind w:right="2199" w:firstLine="3"/>
        <w:spacing w:after="0" w:line="239" w:lineRule="auto"/>
        <w:tabs>
          <w:tab w:leader="none" w:pos="501"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consent of each nominee to serve as a director if elected. A stockholder's notice to the Secretary shall further set forth as to the stockholder giving such notice: (i) the name and address, as the appear on the Corporation's stock transfer books, of such stockholder and of the beneficial owners (if any) of the Corporation's capital stock registered in such stockholder's name and the name and address of other stockholders known by such stockholder to be supporting such nominee(s), (ii) the class and number of shares of the Corporation's capital stock which are held of record, beneficially owned or represented by proxy by such stockholder and by any other stockholders known by such stockholder to be supporting such nominee(s) on the record date for the Annual Meeting in question (if such date shall then have been made publicly available) and on the date of such stockholder's notice, and (iii) a description of all arrangements or understandings between such stockholder and each nominee and any other person or persons (naming such person or persons) pursuant to which the nomination or nominations are to be made by such stockholder.</w:t>
      </w:r>
    </w:p>
    <w:p>
      <w:pPr>
        <w:spacing w:after="0" w:line="20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If the Board of Directors or a designated committee thereof determines that any stockholder nomination was not made in accordance with the terms of this Section 4.16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4.16, the presiding officer of the Annual Meeting shall determine whether a nomination was made in accordance with such provisions. If the presiding officer determines that any stockholder nomination was not made in accordance with the terms of this Section 4.16 or that the</w:t>
      </w:r>
    </w:p>
    <w:p>
      <w:pPr>
        <w:sectPr>
          <w:pgSz w:w="11900" w:h="16915" w:orient="portrait"/>
          <w:cols w:equalWidth="0" w:num="1">
            <w:col w:w="10219"/>
          </w:cols>
          <w:pgMar w:left="240" w:top="334" w:right="1440" w:bottom="0" w:gutter="0" w:footer="0" w:header="0"/>
        </w:sectPr>
      </w:pPr>
    </w:p>
    <w:bookmarkStart w:id="30" w:name="page31"/>
    <w:bookmarkEnd w:id="30"/>
    <w:p>
      <w:pPr>
        <w:spacing w:after="0" w:line="73"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information provided in a stockholder's notice does not satisfy the informational requirements of this Section 4.16 in any material respect, then such nomination shall not be considered at the Annual Meeting in question. If the Board of Directors, a designated committee thereof or the presiding officer determines that a nomination was made in accordance with the terms of this Section 4.16, the presiding officer shall so declare at the Annual Meeting and ballots shall be provided for use at the Annual Meeting with respect to such nominee.</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Notwithstanding anything to the contrary in the second sentence of the second paragraph of this Section 4.16, in the event that the number of directors to be elected to the Board of Directors of the Corporation is increased and there is no public announcement by the Corporation naming all of the nominees for director or specifying the size of the increased Board of Directors at least seventy-five days prior to the Anniversary Date, a stockholder's notice required by this Section 4.16 shall also be considered timely, but only with respect to nominees for any new positions created by such increase, if such notice shall be delivered to, or mailed to and received by, the Corporation at its principal executive office not later than the close of business on the fifteenth day following the day on which such public announcement is first made by the Corporation.</w:t>
      </w:r>
    </w:p>
    <w:p>
      <w:pPr>
        <w:spacing w:after="0" w:line="204"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No person shall be elected by the stockholders as a director of the Corporation unless nominated in accordance with the procedures set forth in this Section 4.16.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4.16 shall be provided for use at such Annual Meeting.</w:t>
      </w:r>
    </w:p>
    <w:p>
      <w:pPr>
        <w:spacing w:after="0" w:line="182" w:lineRule="exact"/>
        <w:rPr>
          <w:sz w:val="20"/>
          <w:szCs w:val="20"/>
          <w:color w:val="auto"/>
        </w:rPr>
      </w:pPr>
    </w:p>
    <w:p>
      <w:pPr>
        <w:ind w:left="500"/>
        <w:spacing w:after="0"/>
        <w:tabs>
          <w:tab w:leader="none" w:pos="2480" w:val="left"/>
        </w:tabs>
        <w:rPr>
          <w:sz w:val="20"/>
          <w:szCs w:val="20"/>
          <w:color w:val="auto"/>
        </w:rPr>
      </w:pPr>
      <w:r>
        <w:rPr>
          <w:rFonts w:ascii="Courier New" w:cs="Courier New" w:eastAsia="Courier New" w:hAnsi="Courier New"/>
          <w:sz w:val="17"/>
          <w:szCs w:val="17"/>
          <w:color w:val="auto"/>
        </w:rPr>
        <w:t>Section 5.</w:t>
      </w:r>
      <w:r>
        <w:rPr>
          <w:sz w:val="20"/>
          <w:szCs w:val="20"/>
          <w:color w:val="auto"/>
        </w:rPr>
        <w:tab/>
      </w:r>
      <w:r>
        <w:rPr>
          <w:rFonts w:ascii="Courier New" w:cs="Courier New" w:eastAsia="Courier New" w:hAnsi="Courier New"/>
          <w:sz w:val="16"/>
          <w:szCs w:val="16"/>
          <w:color w:val="auto"/>
        </w:rPr>
        <w:t>NOTICES</w:t>
      </w:r>
    </w:p>
    <w:p>
      <w:pPr>
        <w:spacing w:after="0" w:line="198"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5.1 Form of Notice. Whenever, under the provisions of law, or of the Certificate of Incorporation or of these By-Laws, notice is required to be given to any director or stockholder, such notice may be given by mail,</w:t>
      </w:r>
    </w:p>
    <w:p>
      <w:pPr>
        <w:spacing w:after="0" w:line="8" w:lineRule="exact"/>
        <w:rPr>
          <w:sz w:val="20"/>
          <w:szCs w:val="20"/>
          <w:color w:val="auto"/>
        </w:rPr>
      </w:pPr>
    </w:p>
    <w:p>
      <w:pPr>
        <w:ind w:right="2199" w:firstLine="100"/>
        <w:spacing w:after="0" w:line="255" w:lineRule="auto"/>
        <w:rPr>
          <w:sz w:val="20"/>
          <w:szCs w:val="20"/>
          <w:color w:val="auto"/>
        </w:rPr>
      </w:pPr>
      <w:r>
        <w:rPr>
          <w:rFonts w:ascii="Courier New" w:cs="Courier New" w:eastAsia="Courier New" w:hAnsi="Courier New"/>
          <w:sz w:val="16"/>
          <w:szCs w:val="16"/>
          <w:color w:val="auto"/>
        </w:rPr>
        <w:t>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Oral notice or other in-hand delivery (in person or by telephone) shall be deemed given at the time it is actually given.</w:t>
      </w:r>
    </w:p>
    <w:p>
      <w:pPr>
        <w:spacing w:after="0" w:line="195"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5.2 Waiver of Notice.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81" w:lineRule="exact"/>
        <w:rPr>
          <w:sz w:val="20"/>
          <w:szCs w:val="20"/>
          <w:color w:val="auto"/>
        </w:rPr>
      </w:pPr>
    </w:p>
    <w:p>
      <w:pPr>
        <w:ind w:left="400"/>
        <w:spacing w:after="0"/>
        <w:tabs>
          <w:tab w:leader="none" w:pos="2380" w:val="left"/>
        </w:tabs>
        <w:rPr>
          <w:sz w:val="20"/>
          <w:szCs w:val="20"/>
          <w:color w:val="auto"/>
        </w:rPr>
      </w:pPr>
      <w:r>
        <w:rPr>
          <w:rFonts w:ascii="Courier New" w:cs="Courier New" w:eastAsia="Courier New" w:hAnsi="Courier New"/>
          <w:sz w:val="17"/>
          <w:szCs w:val="17"/>
          <w:color w:val="auto"/>
        </w:rPr>
        <w:t>Section 6.</w:t>
      </w:r>
      <w:r>
        <w:rPr>
          <w:sz w:val="20"/>
          <w:szCs w:val="20"/>
          <w:color w:val="auto"/>
        </w:rPr>
        <w:tab/>
      </w:r>
      <w:r>
        <w:rPr>
          <w:rFonts w:ascii="Courier New" w:cs="Courier New" w:eastAsia="Courier New" w:hAnsi="Courier New"/>
          <w:sz w:val="16"/>
          <w:szCs w:val="16"/>
          <w:color w:val="auto"/>
        </w:rPr>
        <w:t>OFFICERS AND AGENTS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6.1 Enumeration; Qualification.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201"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6.2 Powers.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202" w:lineRule="exact"/>
        <w:rPr>
          <w:sz w:val="20"/>
          <w:szCs w:val="20"/>
          <w:color w:val="auto"/>
        </w:rPr>
      </w:pPr>
    </w:p>
    <w:p>
      <w:pPr>
        <w:jc w:val="both"/>
        <w:ind w:right="2199" w:firstLine="501"/>
        <w:spacing w:after="0" w:line="256" w:lineRule="auto"/>
        <w:rPr>
          <w:sz w:val="20"/>
          <w:szCs w:val="20"/>
          <w:color w:val="auto"/>
        </w:rPr>
      </w:pPr>
      <w:r>
        <w:rPr>
          <w:rFonts w:ascii="Courier New" w:cs="Courier New" w:eastAsia="Courier New" w:hAnsi="Courier New"/>
          <w:sz w:val="16"/>
          <w:szCs w:val="16"/>
          <w:color w:val="auto"/>
        </w:rPr>
        <w:t>6.3 Election. The Board of Directors at its first meeting after each annual meeting of stockholders, or special meeting in place of an annual meeting, shall choose a Chairman,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6.4 Tenure. Each officer shall hold office until the first meeting of the</w:t>
      </w:r>
    </w:p>
    <w:p>
      <w:pPr>
        <w:sectPr>
          <w:pgSz w:w="11900" w:h="16911" w:orient="portrait"/>
          <w:cols w:equalWidth="0" w:num="1">
            <w:col w:w="10219"/>
          </w:cols>
          <w:pgMar w:left="240" w:top="142" w:right="1440" w:bottom="0" w:gutter="0" w:footer="0" w:header="0"/>
        </w:sectPr>
      </w:pPr>
    </w:p>
    <w:bookmarkStart w:id="31" w:name="page32"/>
    <w:bookmarkEnd w:id="31"/>
    <w:p>
      <w:pPr>
        <w:spacing w:after="0" w:line="8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6.5 Resignation and Removal. Any officer may resign at any time by 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resignation or removal, or any right to damages on account of such removal, whether his compensation be by the month or by the year or otherwise; unless in the case of a resignation, the directors, or in the case of removal, the body actin on the removal, shall in their or its discretion provide for compensation.</w:t>
      </w:r>
    </w:p>
    <w:p>
      <w:pPr>
        <w:spacing w:after="0" w:line="207"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6.6 Vacancies. If the office of the Chairman, the President,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Chairman, the President, the Treasurer and the Secretary until his successor is chosen and qualified, or in each case until he sooner dies, resigns, is removed or becomes disqualified.</w:t>
      </w:r>
    </w:p>
    <w:p>
      <w:pPr>
        <w:spacing w:after="0" w:line="182" w:lineRule="exact"/>
        <w:rPr>
          <w:sz w:val="20"/>
          <w:szCs w:val="20"/>
          <w:color w:val="auto"/>
        </w:rPr>
      </w:pPr>
    </w:p>
    <w:p>
      <w:pPr>
        <w:ind w:left="500"/>
        <w:spacing w:after="0"/>
        <w:tabs>
          <w:tab w:leader="none" w:pos="2480" w:val="left"/>
        </w:tabs>
        <w:rPr>
          <w:sz w:val="20"/>
          <w:szCs w:val="20"/>
          <w:color w:val="auto"/>
        </w:rPr>
      </w:pPr>
      <w:r>
        <w:rPr>
          <w:rFonts w:ascii="Courier New" w:cs="Courier New" w:eastAsia="Courier New" w:hAnsi="Courier New"/>
          <w:sz w:val="17"/>
          <w:szCs w:val="17"/>
          <w:color w:val="auto"/>
        </w:rPr>
        <w:t>Section 7.</w:t>
      </w:r>
      <w:r>
        <w:rPr>
          <w:sz w:val="20"/>
          <w:szCs w:val="20"/>
          <w:color w:val="auto"/>
        </w:rPr>
        <w:tab/>
      </w:r>
      <w:r>
        <w:rPr>
          <w:rFonts w:ascii="Courier New" w:cs="Courier New" w:eastAsia="Courier New" w:hAnsi="Courier New"/>
          <w:sz w:val="16"/>
          <w:szCs w:val="16"/>
          <w:color w:val="auto"/>
        </w:rPr>
        <w:t>CAPITAL STOCK</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7.1 Stock Certificates.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President or a Vice-President and (i) the Treasurer or an 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205"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7.2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9" w:lineRule="exact"/>
        <w:rPr>
          <w:sz w:val="20"/>
          <w:szCs w:val="20"/>
          <w:color w:val="auto"/>
        </w:rPr>
      </w:pPr>
    </w:p>
    <w:p>
      <w:pPr>
        <w:ind w:left="500"/>
        <w:spacing w:after="0"/>
        <w:tabs>
          <w:tab w:leader="none" w:pos="2480" w:val="left"/>
        </w:tabs>
        <w:rPr>
          <w:sz w:val="20"/>
          <w:szCs w:val="20"/>
          <w:color w:val="auto"/>
        </w:rPr>
      </w:pPr>
      <w:r>
        <w:rPr>
          <w:rFonts w:ascii="Courier New" w:cs="Courier New" w:eastAsia="Courier New" w:hAnsi="Courier New"/>
          <w:sz w:val="17"/>
          <w:szCs w:val="17"/>
          <w:color w:val="auto"/>
        </w:rPr>
        <w:t>Section 8.</w:t>
      </w:r>
      <w:r>
        <w:rPr>
          <w:sz w:val="20"/>
          <w:szCs w:val="20"/>
          <w:color w:val="auto"/>
        </w:rPr>
        <w:tab/>
      </w:r>
      <w:r>
        <w:rPr>
          <w:rFonts w:ascii="Courier New" w:cs="Courier New" w:eastAsia="Courier New" w:hAnsi="Courier New"/>
          <w:sz w:val="16"/>
          <w:szCs w:val="16"/>
          <w:color w:val="auto"/>
        </w:rPr>
        <w:t>TRANSFER OF SHARES OF STOCK</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8.1 Transfer on Books. Subject to any restrictions with respect to the transfer of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 It shall be the duty of each stockholder to notify the Corporation of his post office address.</w:t>
      </w:r>
    </w:p>
    <w:p>
      <w:pPr>
        <w:spacing w:after="0" w:line="190" w:lineRule="exact"/>
        <w:rPr>
          <w:sz w:val="20"/>
          <w:szCs w:val="20"/>
          <w:color w:val="auto"/>
        </w:rPr>
      </w:pPr>
    </w:p>
    <w:p>
      <w:pPr>
        <w:ind w:left="500"/>
        <w:spacing w:after="0"/>
        <w:tabs>
          <w:tab w:leader="none" w:pos="2480" w:val="left"/>
        </w:tabs>
        <w:rPr>
          <w:sz w:val="20"/>
          <w:szCs w:val="20"/>
          <w:color w:val="auto"/>
        </w:rPr>
      </w:pPr>
      <w:r>
        <w:rPr>
          <w:rFonts w:ascii="Courier New" w:cs="Courier New" w:eastAsia="Courier New" w:hAnsi="Courier New"/>
          <w:sz w:val="17"/>
          <w:szCs w:val="17"/>
          <w:color w:val="auto"/>
        </w:rPr>
        <w:t>Section 9.</w:t>
      </w:r>
      <w:r>
        <w:rPr>
          <w:sz w:val="20"/>
          <w:szCs w:val="20"/>
          <w:color w:val="auto"/>
        </w:rPr>
        <w:tab/>
      </w:r>
      <w:r>
        <w:rPr>
          <w:rFonts w:ascii="Courier New" w:cs="Courier New" w:eastAsia="Courier New" w:hAnsi="Courier New"/>
          <w:sz w:val="16"/>
          <w:szCs w:val="16"/>
          <w:color w:val="auto"/>
        </w:rPr>
        <w:t>GENERAL PROVISIONS</w:t>
      </w:r>
    </w:p>
    <w:p>
      <w:pPr>
        <w:spacing w:after="0" w:line="198"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9.1 Record Date. In order that the Corporation may determine the stockholders entitled to notice of or to vote at any meeting of stockholders or any adjournment thereof, or to express consent to corporate action in writing</w:t>
      </w:r>
    </w:p>
    <w:p>
      <w:pPr>
        <w:sectPr>
          <w:pgSz w:w="11900" w:h="16925" w:orient="portrait"/>
          <w:cols w:equalWidth="0" w:num="1">
            <w:col w:w="10219"/>
          </w:cols>
          <w:pgMar w:left="240" w:top="142" w:right="1440" w:bottom="0" w:gutter="0" w:footer="0" w:header="0"/>
        </w:sectPr>
      </w:pPr>
    </w:p>
    <w:bookmarkStart w:id="32" w:name="page33"/>
    <w:bookmarkEnd w:id="32"/>
    <w:p>
      <w:pPr>
        <w:ind w:right="2199"/>
        <w:spacing w:after="0" w:line="256" w:lineRule="auto"/>
        <w:rPr>
          <w:sz w:val="20"/>
          <w:szCs w:val="20"/>
          <w:color w:val="auto"/>
        </w:rPr>
      </w:pPr>
      <w:r>
        <w:rPr>
          <w:rFonts w:ascii="Courier New" w:cs="Courier New" w:eastAsia="Courier New" w:hAnsi="Courier New"/>
          <w:sz w:val="16"/>
          <w:szCs w:val="16"/>
          <w:color w:val="auto"/>
        </w:rPr>
        <w:t>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 date for the adjourned meeting. If no record date is fixed,</w:t>
      </w:r>
    </w:p>
    <w:p>
      <w:pPr>
        <w:spacing w:after="0" w:line="187" w:lineRule="exact"/>
        <w:rPr>
          <w:sz w:val="20"/>
          <w:szCs w:val="20"/>
          <w:color w:val="auto"/>
        </w:rPr>
      </w:pPr>
    </w:p>
    <w:p>
      <w:pPr>
        <w:ind w:right="2199" w:firstLine="1005"/>
        <w:spacing w:after="0" w:line="238" w:lineRule="auto"/>
        <w:tabs>
          <w:tab w:leader="none" w:pos="14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201" w:lineRule="exact"/>
        <w:rPr>
          <w:rFonts w:ascii="Courier New" w:cs="Courier New" w:eastAsia="Courier New" w:hAnsi="Courier New"/>
          <w:sz w:val="17"/>
          <w:szCs w:val="17"/>
          <w:color w:val="auto"/>
        </w:rPr>
      </w:pPr>
    </w:p>
    <w:p>
      <w:pPr>
        <w:jc w:val="both"/>
        <w:ind w:right="2399" w:firstLine="1005"/>
        <w:spacing w:after="0" w:line="238" w:lineRule="auto"/>
        <w:tabs>
          <w:tab w:leader="none" w:pos="14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 date for determining stockholders entitled to express consent to corporate action in writing without a meeting, when no prior action by the Board of Directors is necessary, shall be the day on which the first written consent is expressed; and</w:t>
      </w:r>
    </w:p>
    <w:p>
      <w:pPr>
        <w:spacing w:after="0" w:line="199" w:lineRule="exact"/>
        <w:rPr>
          <w:rFonts w:ascii="Courier New" w:cs="Courier New" w:eastAsia="Courier New" w:hAnsi="Courier New"/>
          <w:sz w:val="17"/>
          <w:szCs w:val="17"/>
          <w:color w:val="auto"/>
        </w:rPr>
      </w:pPr>
    </w:p>
    <w:p>
      <w:pPr>
        <w:ind w:right="2199" w:firstLine="1005"/>
        <w:spacing w:after="0" w:line="237" w:lineRule="auto"/>
        <w:tabs>
          <w:tab w:leader="none" w:pos="14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record date for determining stockholders for any other purpose shall be at the close of business on the day on which the Board of Directors adopts the resolution relating to such purpose.</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9.2 Dividends.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ofIncorporation.</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9.3 Payment of Dividends.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jc w:val="both"/>
        <w:ind w:right="2399" w:firstLine="501"/>
        <w:spacing w:after="0" w:line="237" w:lineRule="auto"/>
        <w:rPr>
          <w:sz w:val="20"/>
          <w:szCs w:val="20"/>
          <w:color w:val="auto"/>
        </w:rPr>
      </w:pPr>
      <w:r>
        <w:rPr>
          <w:rFonts w:ascii="Courier New" w:cs="Courier New" w:eastAsia="Courier New" w:hAnsi="Courier New"/>
          <w:sz w:val="17"/>
          <w:szCs w:val="17"/>
          <w:color w:val="auto"/>
        </w:rPr>
        <w:t>9.4 Checks. All checks or demands for money and notes of the Corporation shall be signed by such officer or officers or such other person or persons as the Board of Directors may from time to time designate.</w:t>
      </w:r>
    </w:p>
    <w:p>
      <w:pPr>
        <w:spacing w:after="0" w:line="200"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9.5 Fiscal Year. The fiscal year of the Corporation shall end the Saturday closest to the 31st of January unless otherwise determined by the Board of Directors.</w:t>
      </w:r>
    </w:p>
    <w:p>
      <w:pPr>
        <w:spacing w:after="0" w:line="200"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9.6 Seal.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193"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10.</w:t>
      </w:r>
      <w:r>
        <w:rPr>
          <w:sz w:val="20"/>
          <w:szCs w:val="20"/>
          <w:color w:val="auto"/>
        </w:rPr>
        <w:tab/>
      </w:r>
      <w:r>
        <w:rPr>
          <w:rFonts w:ascii="Courier New" w:cs="Courier New" w:eastAsia="Courier New" w:hAnsi="Courier New"/>
          <w:sz w:val="16"/>
          <w:szCs w:val="16"/>
          <w:color w:val="auto"/>
        </w:rPr>
        <w:t>INDEMNIFICATION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General Corporation Law of Delaware as the same exists or hereafter may be amended. Such indemnification shall include payment by the Corporation, in advance of the final disposition of a civil or criminal action, suit or proceedings, of expenses incurred by a director or officer in defending any such action, suit or proceeding upon receipt of any undertaking by or on behalf of such director or officer to repay such payment if it shall ultimately be determined that he is not entitled to be indemnified by the Corporation. The Corporation may accept any such undertaking without reference to the financial ability of the person to make such repayment. As used in this paragraph, the terms "director" and "officer" include their respective heirs, executors, and administrators.</w:t>
      </w:r>
    </w:p>
    <w:p>
      <w:pPr>
        <w:spacing w:after="0" w:line="201" w:lineRule="exact"/>
        <w:rPr>
          <w:sz w:val="20"/>
          <w:szCs w:val="20"/>
          <w:color w:val="auto"/>
        </w:rPr>
      </w:pPr>
    </w:p>
    <w:p>
      <w:pPr>
        <w:ind w:left="500"/>
        <w:spacing w:after="0"/>
        <w:tabs>
          <w:tab w:leader="none" w:pos="1980" w:val="left"/>
        </w:tabs>
        <w:rPr>
          <w:sz w:val="20"/>
          <w:szCs w:val="20"/>
          <w:color w:val="auto"/>
        </w:rPr>
      </w:pPr>
      <w:r>
        <w:rPr>
          <w:rFonts w:ascii="Courier New" w:cs="Courier New" w:eastAsia="Courier New" w:hAnsi="Courier New"/>
          <w:sz w:val="17"/>
          <w:szCs w:val="17"/>
          <w:color w:val="auto"/>
        </w:rPr>
        <w:t>Section 11.</w:t>
      </w:r>
      <w:r>
        <w:rPr>
          <w:sz w:val="20"/>
          <w:szCs w:val="20"/>
          <w:color w:val="auto"/>
        </w:rPr>
        <w:tab/>
      </w:r>
      <w:r>
        <w:rPr>
          <w:rFonts w:ascii="Courier New" w:cs="Courier New" w:eastAsia="Courier New" w:hAnsi="Courier New"/>
          <w:sz w:val="16"/>
          <w:szCs w:val="16"/>
          <w:color w:val="auto"/>
        </w:rPr>
        <w:t>AMENDMENTS</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11.1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ectPr>
          <w:pgSz w:w="11900" w:h="16838" w:orient="portrait"/>
          <w:cols w:equalWidth="0" w:num="1">
            <w:col w:w="10219"/>
          </w:cols>
          <w:pgMar w:left="240" w:top="142" w:right="1440" w:bottom="13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EX-11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ectPr>
          <w:pgSz w:w="11900" w:h="16838" w:orient="portrait"/>
          <w:cols w:equalWidth="0" w:num="1">
            <w:col w:w="10219"/>
          </w:cols>
          <w:pgMar w:left="240" w:top="52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11.</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Re: Computation of Per Share Earnings</w:t>
      </w:r>
    </w:p>
    <w:p>
      <w:pPr>
        <w:spacing w:after="0" w:line="199" w:lineRule="exact"/>
        <w:rPr>
          <w:sz w:val="20"/>
          <w:szCs w:val="20"/>
          <w:color w:val="auto"/>
        </w:rPr>
      </w:pPr>
    </w:p>
    <w:p>
      <w:pPr>
        <w:sectPr>
          <w:pgSz w:w="11900" w:h="16838" w:orient="portrait"/>
          <w:cols w:equalWidth="0" w:num="2">
            <w:col w:w="1100" w:space="500"/>
            <w:col w:w="8619"/>
          </w:cols>
          <w:pgMar w:left="240" w:top="52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EX-11</w:t>
      </w:r>
    </w:p>
    <w:p>
      <w:pPr>
        <w:spacing w:after="0"/>
        <w:rPr>
          <w:sz w:val="20"/>
          <w:szCs w:val="20"/>
          <w:color w:val="auto"/>
        </w:rPr>
      </w:pPr>
      <w:r>
        <w:rPr>
          <w:rFonts w:ascii="Courier New" w:cs="Courier New" w:eastAsia="Courier New" w:hAnsi="Courier New"/>
          <w:sz w:val="17"/>
          <w:szCs w:val="17"/>
          <w:color w:val="auto"/>
        </w:rPr>
        <w:t>EARNINGS PER SHARE</w:t>
      </w:r>
    </w:p>
    <w:p>
      <w:pPr>
        <w:spacing w:after="0" w:line="193" w:lineRule="exact"/>
        <w:rPr>
          <w:sz w:val="20"/>
          <w:szCs w:val="20"/>
          <w:color w:val="auto"/>
        </w:rPr>
      </w:pPr>
    </w:p>
    <w:p>
      <w:pPr>
        <w:ind w:left="2900"/>
        <w:spacing w:after="0"/>
        <w:tabs>
          <w:tab w:leader="none" w:pos="4600" w:val="left"/>
          <w:tab w:leader="none" w:pos="6400" w:val="left"/>
        </w:tabs>
        <w:rPr>
          <w:sz w:val="20"/>
          <w:szCs w:val="20"/>
          <w:color w:val="auto"/>
        </w:rPr>
      </w:pPr>
      <w:r>
        <w:rPr>
          <w:rFonts w:ascii="Courier New" w:cs="Courier New" w:eastAsia="Courier New" w:hAnsi="Courier New"/>
          <w:sz w:val="17"/>
          <w:szCs w:val="17"/>
          <w:color w:val="auto"/>
        </w:rPr>
        <w:t>Three months</w:t>
      </w:r>
      <w:r>
        <w:rPr>
          <w:sz w:val="20"/>
          <w:szCs w:val="20"/>
          <w:color w:val="auto"/>
        </w:rPr>
        <w:tab/>
      </w:r>
      <w:r>
        <w:rPr>
          <w:rFonts w:ascii="Courier New" w:cs="Courier New" w:eastAsia="Courier New" w:hAnsi="Courier New"/>
          <w:sz w:val="17"/>
          <w:szCs w:val="17"/>
          <w:color w:val="auto"/>
        </w:rPr>
        <w:t>Nine Months</w:t>
      </w:r>
      <w:r>
        <w:rPr>
          <w:sz w:val="20"/>
          <w:szCs w:val="20"/>
          <w:color w:val="auto"/>
        </w:rPr>
        <w:tab/>
      </w:r>
      <w:r>
        <w:rPr>
          <w:rFonts w:ascii="Courier New" w:cs="Courier New" w:eastAsia="Courier New" w:hAnsi="Courier New"/>
          <w:sz w:val="16"/>
          <w:szCs w:val="16"/>
          <w:color w:val="auto"/>
        </w:rPr>
        <w:t>Twelve Months</w:t>
      </w:r>
    </w:p>
    <w:p>
      <w:pPr>
        <w:ind w:left="2700"/>
        <w:spacing w:after="0"/>
        <w:tabs>
          <w:tab w:leader="none" w:pos="4500" w:val="left"/>
          <w:tab w:leader="none" w:pos="6300" w:val="left"/>
        </w:tabs>
        <w:rPr>
          <w:sz w:val="20"/>
          <w:szCs w:val="20"/>
          <w:color w:val="auto"/>
        </w:rPr>
      </w:pPr>
      <w:r>
        <w:rPr>
          <w:rFonts w:ascii="Courier New" w:cs="Courier New" w:eastAsia="Courier New" w:hAnsi="Courier New"/>
          <w:sz w:val="17"/>
          <w:szCs w:val="17"/>
          <w:color w:val="auto"/>
        </w:rPr>
        <w:t>October 31, 1998</w:t>
        <w:tab/>
        <w:t>October 31, 1998</w:t>
      </w:r>
      <w:r>
        <w:rPr>
          <w:sz w:val="20"/>
          <w:szCs w:val="20"/>
          <w:color w:val="auto"/>
        </w:rPr>
        <w:tab/>
      </w:r>
      <w:r>
        <w:rPr>
          <w:rFonts w:ascii="Courier New" w:cs="Courier New" w:eastAsia="Courier New" w:hAnsi="Courier New"/>
          <w:sz w:val="16"/>
          <w:szCs w:val="16"/>
          <w:color w:val="auto"/>
        </w:rPr>
        <w:t>October 31, 1998</w:t>
      </w:r>
    </w:p>
    <w:p>
      <w:pPr>
        <w:ind w:left="2900"/>
        <w:spacing w:after="0"/>
        <w:tabs>
          <w:tab w:leader="none" w:pos="6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ind w:left="3420"/>
        <w:spacing w:after="0"/>
        <w:rPr>
          <w:sz w:val="20"/>
          <w:szCs w:val="20"/>
          <w:color w:val="auto"/>
        </w:rPr>
      </w:pPr>
      <w:r>
        <w:rPr>
          <w:rFonts w:ascii="Courier New" w:cs="Courier New" w:eastAsia="Courier New" w:hAnsi="Courier New"/>
          <w:sz w:val="17"/>
          <w:szCs w:val="17"/>
          <w:color w:val="auto"/>
        </w:rPr>
        <w:t>(in thousands except per share data)</w:t>
      </w:r>
    </w:p>
    <w:p>
      <w:pPr>
        <w:spacing w:after="0"/>
        <w:rPr>
          <w:sz w:val="20"/>
          <w:szCs w:val="20"/>
          <w:color w:val="auto"/>
        </w:rPr>
      </w:pPr>
      <w:r>
        <w:rPr>
          <w:rFonts w:ascii="Courier New" w:cs="Courier New" w:eastAsia="Courier New" w:hAnsi="Courier New"/>
          <w:sz w:val="17"/>
          <w:szCs w:val="17"/>
          <w:color w:val="auto"/>
        </w:rPr>
        <w:t>Basic EPS Computation</w:t>
      </w:r>
    </w:p>
    <w:p>
      <w:pPr>
        <w:ind w:left="200"/>
        <w:spacing w:after="0"/>
        <w:rPr>
          <w:sz w:val="20"/>
          <w:szCs w:val="20"/>
          <w:color w:val="auto"/>
        </w:rPr>
      </w:pPr>
      <w:r>
        <w:rPr>
          <w:rFonts w:ascii="Courier New" w:cs="Courier New" w:eastAsia="Courier New" w:hAnsi="Courier New"/>
          <w:sz w:val="17"/>
          <w:szCs w:val="17"/>
          <w:color w:val="auto"/>
        </w:rPr>
        <w:t>Numerator:</w:t>
      </w:r>
    </w:p>
    <w:p>
      <w:pPr>
        <w:sectPr>
          <w:pgSz w:w="11900" w:h="16838" w:orient="portrait"/>
          <w:cols w:equalWidth="0" w:num="1">
            <w:col w:w="10219"/>
          </w:cols>
          <w:pgMar w:left="240" w:top="522" w:right="1440" w:bottom="1440" w:gutter="0" w:footer="0" w:header="0"/>
          <w:type w:val="continuous"/>
        </w:sectPr>
      </w:pP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Net income (loss)</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(8,746)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 (14,892)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$(23,606)</w:t>
      </w:r>
    </w:p>
    <w:p>
      <w:pPr>
        <w:spacing w:after="0" w:line="6" w:lineRule="exact"/>
        <w:rPr>
          <w:sz w:val="20"/>
          <w:szCs w:val="20"/>
          <w:color w:val="auto"/>
        </w:rPr>
      </w:pPr>
    </w:p>
    <w:p>
      <w:pPr>
        <w:sectPr>
          <w:pgSz w:w="11900" w:h="16838" w:orient="portrait"/>
          <w:cols w:equalWidth="0" w:num="4">
            <w:col w:w="3100" w:space="720"/>
            <w:col w:w="1100" w:space="400"/>
            <w:col w:w="1000" w:space="400"/>
            <w:col w:w="3499"/>
          </w:cols>
          <w:pgMar w:left="240" w:top="522" w:right="1440" w:bottom="1440" w:gutter="0" w:footer="0" w:header="0"/>
          <w:type w:val="continuous"/>
        </w:sectPr>
      </w:pPr>
    </w:p>
    <w:p>
      <w:pPr>
        <w:ind w:left="200"/>
        <w:spacing w:after="0"/>
        <w:rPr>
          <w:sz w:val="20"/>
          <w:szCs w:val="20"/>
          <w:color w:val="auto"/>
        </w:rPr>
      </w:pPr>
      <w:r>
        <w:rPr>
          <w:rFonts w:ascii="Courier New" w:cs="Courier New" w:eastAsia="Courier New" w:hAnsi="Courier New"/>
          <w:sz w:val="17"/>
          <w:szCs w:val="17"/>
          <w:color w:val="auto"/>
        </w:rPr>
        <w:t>Denominator:</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Weighted average</w:t>
      </w:r>
    </w:p>
    <w:p>
      <w:pPr>
        <w:sectPr>
          <w:pgSz w:w="11900" w:h="16838" w:orient="portrait"/>
          <w:cols w:equalWidth="0" w:num="1">
            <w:col w:w="10219"/>
          </w:cols>
          <w:pgMar w:left="240" w:top="522" w:right="1440" w:bottom="1440" w:gutter="0" w:footer="0" w:header="0"/>
          <w:type w:val="continuous"/>
        </w:sectPr>
      </w:pPr>
    </w:p>
    <w:p>
      <w:pPr>
        <w:spacing w:after="0" w:line="11" w:lineRule="exact"/>
        <w:rPr>
          <w:sz w:val="20"/>
          <w:szCs w:val="20"/>
          <w:color w:val="auto"/>
        </w:rPr>
      </w:pPr>
    </w:p>
    <w:p>
      <w:pPr>
        <w:ind w:left="200" w:right="100" w:firstLine="301"/>
        <w:spacing w:after="0" w:line="473" w:lineRule="auto"/>
        <w:rPr>
          <w:sz w:val="20"/>
          <w:szCs w:val="20"/>
          <w:color w:val="auto"/>
        </w:rPr>
      </w:pPr>
      <w:r>
        <w:rPr>
          <w:rFonts w:ascii="Courier New" w:cs="Courier New" w:eastAsia="Courier New" w:hAnsi="Courier New"/>
          <w:sz w:val="17"/>
          <w:szCs w:val="17"/>
          <w:color w:val="auto"/>
        </w:rPr>
        <w:t>common shares outstanding Basic EPS</w:t>
      </w:r>
    </w:p>
    <w:p>
      <w:pPr>
        <w:spacing w:after="0" w:line="20" w:lineRule="exact"/>
        <w:rPr>
          <w:sz w:val="20"/>
          <w:szCs w:val="20"/>
          <w:color w:val="auto"/>
        </w:rPr>
      </w:pPr>
      <w:r>
        <w:rPr>
          <w:sz w:val="20"/>
          <w:szCs w:val="20"/>
          <w:color w:val="auto"/>
        </w:rPr>
        <w:br w:type="column"/>
      </w:r>
    </w:p>
    <w:p>
      <w:pPr>
        <w:ind w:left="400"/>
        <w:spacing w:after="0"/>
        <w:tabs>
          <w:tab w:leader="none" w:pos="1680" w:val="left"/>
          <w:tab w:leader="none" w:pos="3080" w:val="left"/>
        </w:tabs>
        <w:rPr>
          <w:sz w:val="20"/>
          <w:szCs w:val="20"/>
          <w:color w:val="auto"/>
        </w:rPr>
      </w:pPr>
      <w:r>
        <w:rPr>
          <w:rFonts w:ascii="Courier New" w:cs="Courier New" w:eastAsia="Courier New" w:hAnsi="Courier New"/>
          <w:sz w:val="17"/>
          <w:szCs w:val="17"/>
          <w:color w:val="auto"/>
        </w:rPr>
        <w:t>15,867</w:t>
      </w:r>
      <w:r>
        <w:rPr>
          <w:sz w:val="20"/>
          <w:szCs w:val="20"/>
          <w:color w:val="auto"/>
        </w:rPr>
        <w:tab/>
      </w:r>
      <w:r>
        <w:rPr>
          <w:rFonts w:ascii="Courier New" w:cs="Courier New" w:eastAsia="Courier New" w:hAnsi="Courier New"/>
          <w:sz w:val="17"/>
          <w:szCs w:val="17"/>
          <w:color w:val="auto"/>
        </w:rPr>
        <w:t>15,789</w:t>
      </w:r>
      <w:r>
        <w:rPr>
          <w:sz w:val="20"/>
          <w:szCs w:val="20"/>
          <w:color w:val="auto"/>
        </w:rPr>
        <w:tab/>
      </w:r>
      <w:r>
        <w:rPr>
          <w:rFonts w:ascii="Courier New" w:cs="Courier New" w:eastAsia="Courier New" w:hAnsi="Courier New"/>
          <w:sz w:val="16"/>
          <w:szCs w:val="16"/>
          <w:color w:val="auto"/>
        </w:rPr>
        <w:t>15,773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480" w:val="left"/>
          <w:tab w:leader="none" w:pos="1580" w:val="left"/>
          <w:tab w:leader="none" w:pos="2880" w:val="left"/>
          <w:tab w:leader="none" w:pos="31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(0.55)</w:t>
      </w:r>
      <w:r>
        <w:rPr>
          <w:sz w:val="20"/>
          <w:szCs w:val="20"/>
          <w:color w:val="auto"/>
        </w:rPr>
        <w:tab/>
      </w:r>
      <w:r>
        <w:rPr>
          <w:rFonts w:ascii="Courier New" w:cs="Courier New" w:eastAsia="Courier New" w:hAnsi="Courier New"/>
          <w:sz w:val="17"/>
          <w:szCs w:val="17"/>
          <w:color w:val="auto"/>
        </w:rPr>
        <w:t>$ (0.94)</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(1.50)</w:t>
      </w:r>
    </w:p>
    <w:p>
      <w:pPr>
        <w:spacing w:after="0" w:line="385" w:lineRule="exact"/>
        <w:rPr>
          <w:sz w:val="20"/>
          <w:szCs w:val="20"/>
          <w:color w:val="auto"/>
        </w:rPr>
      </w:pPr>
    </w:p>
    <w:p>
      <w:pPr>
        <w:sectPr>
          <w:pgSz w:w="11900" w:h="16838" w:orient="portrait"/>
          <w:cols w:equalWidth="0" w:num="2">
            <w:col w:w="3100" w:space="720"/>
            <w:col w:w="6399"/>
          </w:cols>
          <w:pgMar w:left="240" w:top="52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Diluted EPS Computation</w:t>
      </w:r>
    </w:p>
    <w:p>
      <w:pPr>
        <w:ind w:left="200"/>
        <w:spacing w:after="0"/>
        <w:rPr>
          <w:sz w:val="20"/>
          <w:szCs w:val="20"/>
          <w:color w:val="auto"/>
        </w:rPr>
      </w:pPr>
      <w:r>
        <w:rPr>
          <w:rFonts w:ascii="Courier New" w:cs="Courier New" w:eastAsia="Courier New" w:hAnsi="Courier New"/>
          <w:sz w:val="17"/>
          <w:szCs w:val="17"/>
          <w:color w:val="auto"/>
        </w:rPr>
        <w:t>Numerator:</w:t>
      </w:r>
    </w:p>
    <w:p>
      <w:pPr>
        <w:ind w:left="500"/>
        <w:spacing w:after="0"/>
        <w:tabs>
          <w:tab w:leader="none" w:pos="3800" w:val="left"/>
          <w:tab w:leader="none" w:pos="4200" w:val="left"/>
          <w:tab w:leader="none" w:pos="5300" w:val="left"/>
          <w:tab w:leader="none" w:pos="6700" w:val="left"/>
        </w:tabs>
        <w:rPr>
          <w:sz w:val="20"/>
          <w:szCs w:val="20"/>
          <w:color w:val="auto"/>
        </w:rPr>
      </w:pPr>
      <w:r>
        <w:rPr>
          <w:rFonts w:ascii="Courier New" w:cs="Courier New" w:eastAsia="Courier New" w:hAnsi="Courier New"/>
          <w:sz w:val="17"/>
          <w:szCs w:val="17"/>
          <w:color w:val="auto"/>
        </w:rPr>
        <w:t>Net income (loss)</w:t>
      </w:r>
      <w:r>
        <w:rPr>
          <w:sz w:val="20"/>
          <w:szCs w:val="20"/>
          <w:color w:val="auto"/>
        </w:rPr>
        <w:tab/>
      </w:r>
      <w:r>
        <w:rPr>
          <w:rFonts w:ascii="Courier New" w:cs="Courier New" w:eastAsia="Courier New" w:hAnsi="Courier New"/>
          <w:sz w:val="17"/>
          <w:szCs w:val="17"/>
          <w:color w:val="auto"/>
        </w:rPr>
        <w:t>$</w:t>
        <w:tab/>
        <w:t>(8,746)</w:t>
      </w:r>
      <w:r>
        <w:rPr>
          <w:sz w:val="20"/>
          <w:szCs w:val="20"/>
          <w:color w:val="auto"/>
        </w:rPr>
        <w:tab/>
      </w:r>
      <w:r>
        <w:rPr>
          <w:rFonts w:ascii="Courier New" w:cs="Courier New" w:eastAsia="Courier New" w:hAnsi="Courier New"/>
          <w:sz w:val="17"/>
          <w:szCs w:val="17"/>
          <w:color w:val="auto"/>
        </w:rPr>
        <w:t>$ (14,892)</w:t>
      </w:r>
      <w:r>
        <w:rPr>
          <w:sz w:val="20"/>
          <w:szCs w:val="20"/>
          <w:color w:val="auto"/>
        </w:rPr>
        <w:tab/>
      </w:r>
      <w:r>
        <w:rPr>
          <w:rFonts w:ascii="Courier New" w:cs="Courier New" w:eastAsia="Courier New" w:hAnsi="Courier New"/>
          <w:sz w:val="16"/>
          <w:szCs w:val="16"/>
          <w:color w:val="auto"/>
        </w:rPr>
        <w:t>$(23,606)</w:t>
      </w:r>
    </w:p>
    <w:p>
      <w:pPr>
        <w:ind w:left="200"/>
        <w:spacing w:after="0"/>
        <w:rPr>
          <w:sz w:val="20"/>
          <w:szCs w:val="20"/>
          <w:color w:val="auto"/>
        </w:rPr>
      </w:pPr>
      <w:r>
        <w:rPr>
          <w:rFonts w:ascii="Courier New" w:cs="Courier New" w:eastAsia="Courier New" w:hAnsi="Courier New"/>
          <w:sz w:val="17"/>
          <w:szCs w:val="17"/>
          <w:color w:val="auto"/>
        </w:rPr>
        <w:t>Denominator:</w:t>
      </w:r>
    </w:p>
    <w:p>
      <w:pPr>
        <w:ind w:left="500"/>
        <w:spacing w:after="0"/>
        <w:rPr>
          <w:sz w:val="20"/>
          <w:szCs w:val="20"/>
          <w:color w:val="auto"/>
        </w:rPr>
      </w:pPr>
      <w:r>
        <w:rPr>
          <w:rFonts w:ascii="Courier New" w:cs="Courier New" w:eastAsia="Courier New" w:hAnsi="Courier New"/>
          <w:sz w:val="17"/>
          <w:szCs w:val="17"/>
          <w:color w:val="auto"/>
        </w:rPr>
        <w:t>Weighted average common</w:t>
      </w:r>
    </w:p>
    <w:p>
      <w:pPr>
        <w:ind w:left="500"/>
        <w:spacing w:after="0"/>
        <w:tabs>
          <w:tab w:leader="none" w:pos="4200" w:val="left"/>
          <w:tab w:leader="none" w:pos="5500" w:val="left"/>
          <w:tab w:leader="none" w:pos="6900" w:val="left"/>
        </w:tabs>
        <w:rPr>
          <w:sz w:val="20"/>
          <w:szCs w:val="20"/>
          <w:color w:val="auto"/>
        </w:rPr>
      </w:pPr>
      <w:r>
        <w:rPr>
          <w:rFonts w:ascii="Courier New" w:cs="Courier New" w:eastAsia="Courier New" w:hAnsi="Courier New"/>
          <w:sz w:val="17"/>
          <w:szCs w:val="17"/>
          <w:color w:val="auto"/>
        </w:rPr>
        <w:t>shares outstanding</w:t>
      </w:r>
      <w:r>
        <w:rPr>
          <w:sz w:val="20"/>
          <w:szCs w:val="20"/>
          <w:color w:val="auto"/>
        </w:rPr>
        <w:tab/>
      </w:r>
      <w:r>
        <w:rPr>
          <w:rFonts w:ascii="Courier New" w:cs="Courier New" w:eastAsia="Courier New" w:hAnsi="Courier New"/>
          <w:sz w:val="17"/>
          <w:szCs w:val="17"/>
          <w:color w:val="auto"/>
        </w:rPr>
        <w:t>15,867</w:t>
      </w:r>
      <w:r>
        <w:rPr>
          <w:sz w:val="20"/>
          <w:szCs w:val="20"/>
          <w:color w:val="auto"/>
        </w:rPr>
        <w:tab/>
      </w:r>
      <w:r>
        <w:rPr>
          <w:rFonts w:ascii="Courier New" w:cs="Courier New" w:eastAsia="Courier New" w:hAnsi="Courier New"/>
          <w:sz w:val="17"/>
          <w:szCs w:val="17"/>
          <w:color w:val="auto"/>
        </w:rPr>
        <w:t>15,789</w:t>
      </w:r>
      <w:r>
        <w:rPr>
          <w:sz w:val="20"/>
          <w:szCs w:val="20"/>
          <w:color w:val="auto"/>
        </w:rPr>
        <w:tab/>
      </w:r>
      <w:r>
        <w:rPr>
          <w:rFonts w:ascii="Courier New" w:cs="Courier New" w:eastAsia="Courier New" w:hAnsi="Courier New"/>
          <w:sz w:val="16"/>
          <w:szCs w:val="16"/>
          <w:color w:val="auto"/>
        </w:rPr>
        <w:t>15,773</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Stock options, excluding anti-dilutive options of 115, 66, and 63 shares</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for the three, nine and twelve months ending</w:t>
      </w:r>
    </w:p>
    <w:p>
      <w:pPr>
        <w:ind w:left="500"/>
        <w:spacing w:after="0"/>
        <w:tabs>
          <w:tab w:leader="none" w:pos="4700" w:val="left"/>
          <w:tab w:leader="none" w:pos="6000" w:val="left"/>
          <w:tab w:leader="none" w:pos="7400" w:val="left"/>
        </w:tabs>
        <w:rPr>
          <w:sz w:val="20"/>
          <w:szCs w:val="20"/>
          <w:color w:val="auto"/>
        </w:rPr>
      </w:pPr>
      <w:r>
        <w:rPr>
          <w:rFonts w:ascii="Courier New" w:cs="Courier New" w:eastAsia="Courier New" w:hAnsi="Courier New"/>
          <w:sz w:val="17"/>
          <w:szCs w:val="17"/>
          <w:color w:val="auto"/>
        </w:rPr>
        <w:t>October 31, 1998, respectively.</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ind w:left="3820"/>
        <w:spacing w:after="0"/>
        <w:rPr>
          <w:sz w:val="20"/>
          <w:szCs w:val="20"/>
          <w:color w:val="auto"/>
        </w:rPr>
      </w:pPr>
      <w:r>
        <w:rPr>
          <w:rFonts w:ascii="Courier New" w:cs="Courier New" w:eastAsia="Courier New" w:hAnsi="Courier New"/>
          <w:sz w:val="17"/>
          <w:szCs w:val="17"/>
          <w:color w:val="auto"/>
        </w:rPr>
        <w:t>--------------------------------------</w:t>
      </w:r>
    </w:p>
    <w:p>
      <w:pPr>
        <w:ind w:left="500"/>
        <w:spacing w:after="0"/>
        <w:tabs>
          <w:tab w:leader="none" w:pos="4200" w:val="left"/>
          <w:tab w:leader="none" w:pos="5400" w:val="left"/>
          <w:tab w:leader="none" w:pos="6800" w:val="left"/>
        </w:tabs>
        <w:rPr>
          <w:sz w:val="20"/>
          <w:szCs w:val="20"/>
          <w:color w:val="auto"/>
        </w:rPr>
      </w:pPr>
      <w:r>
        <w:rPr>
          <w:rFonts w:ascii="Courier New" w:cs="Courier New" w:eastAsia="Courier New" w:hAnsi="Courier New"/>
          <w:sz w:val="17"/>
          <w:szCs w:val="17"/>
          <w:color w:val="auto"/>
        </w:rPr>
        <w:t>Total Shares</w:t>
      </w:r>
      <w:r>
        <w:rPr>
          <w:sz w:val="20"/>
          <w:szCs w:val="20"/>
          <w:color w:val="auto"/>
        </w:rPr>
        <w:tab/>
      </w:r>
      <w:r>
        <w:rPr>
          <w:rFonts w:ascii="Courier New" w:cs="Courier New" w:eastAsia="Courier New" w:hAnsi="Courier New"/>
          <w:sz w:val="17"/>
          <w:szCs w:val="17"/>
          <w:color w:val="auto"/>
        </w:rPr>
        <w:t>5,867</w:t>
      </w:r>
      <w:r>
        <w:rPr>
          <w:sz w:val="20"/>
          <w:szCs w:val="20"/>
          <w:color w:val="auto"/>
        </w:rPr>
        <w:tab/>
      </w:r>
      <w:r>
        <w:rPr>
          <w:rFonts w:ascii="Courier New" w:cs="Courier New" w:eastAsia="Courier New" w:hAnsi="Courier New"/>
          <w:sz w:val="17"/>
          <w:szCs w:val="17"/>
          <w:color w:val="auto"/>
        </w:rPr>
        <w:t>15,789</w:t>
      </w:r>
      <w:r>
        <w:rPr>
          <w:sz w:val="20"/>
          <w:szCs w:val="20"/>
          <w:color w:val="auto"/>
        </w:rPr>
        <w:tab/>
      </w:r>
      <w:r>
        <w:rPr>
          <w:rFonts w:ascii="Courier New" w:cs="Courier New" w:eastAsia="Courier New" w:hAnsi="Courier New"/>
          <w:sz w:val="16"/>
          <w:szCs w:val="16"/>
          <w:color w:val="auto"/>
        </w:rPr>
        <w:t>15,773</w:t>
      </w:r>
    </w:p>
    <w:p>
      <w:pPr>
        <w:sectPr>
          <w:pgSz w:w="11900" w:h="16838" w:orient="portrait"/>
          <w:cols w:equalWidth="0" w:num="1">
            <w:col w:w="10219"/>
          </w:cols>
          <w:pgMar w:left="240" w:top="522" w:right="1440" w:bottom="1440" w:gutter="0" w:footer="0" w:header="0"/>
          <w:type w:val="continuous"/>
        </w:sectPr>
      </w:pP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Diluted EPS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(0.55)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(0.94)</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6"/>
          <w:szCs w:val="16"/>
          <w:color w:val="auto"/>
        </w:rPr>
        <w:t>$</w:t>
        <w:tab/>
        <w:t>(1.50)</w:t>
      </w:r>
    </w:p>
    <w:p>
      <w:pPr>
        <w:spacing w:after="0" w:line="200" w:lineRule="exact"/>
        <w:rPr>
          <w:sz w:val="20"/>
          <w:szCs w:val="20"/>
          <w:color w:val="auto"/>
        </w:rPr>
      </w:pPr>
    </w:p>
    <w:p>
      <w:pPr>
        <w:sectPr>
          <w:pgSz w:w="11900" w:h="16838" w:orient="portrait"/>
          <w:cols w:equalWidth="0" w:num="5">
            <w:col w:w="3000" w:space="720"/>
            <w:col w:w="100" w:space="400"/>
            <w:col w:w="600" w:space="500"/>
            <w:col w:w="800" w:space="500"/>
            <w:col w:w="3599"/>
          </w:cols>
          <w:pgMar w:left="240" w:top="5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100"/>
        <w:spacing w:after="0"/>
        <w:tabs>
          <w:tab w:leader="none" w:pos="4800" w:val="left"/>
          <w:tab w:leader="none" w:pos="6400" w:val="left"/>
        </w:tabs>
        <w:rPr>
          <w:sz w:val="20"/>
          <w:szCs w:val="20"/>
          <w:color w:val="auto"/>
        </w:rPr>
      </w:pPr>
      <w:r>
        <w:rPr>
          <w:rFonts w:ascii="Courier New" w:cs="Courier New" w:eastAsia="Courier New" w:hAnsi="Courier New"/>
          <w:sz w:val="17"/>
          <w:szCs w:val="17"/>
          <w:color w:val="auto"/>
        </w:rPr>
        <w:t>Three months</w:t>
      </w:r>
      <w:r>
        <w:rPr>
          <w:sz w:val="20"/>
          <w:szCs w:val="20"/>
          <w:color w:val="auto"/>
        </w:rPr>
        <w:tab/>
      </w:r>
      <w:r>
        <w:rPr>
          <w:rFonts w:ascii="Courier New" w:cs="Courier New" w:eastAsia="Courier New" w:hAnsi="Courier New"/>
          <w:sz w:val="17"/>
          <w:szCs w:val="17"/>
          <w:color w:val="auto"/>
        </w:rPr>
        <w:t>Nine Months</w:t>
      </w:r>
      <w:r>
        <w:rPr>
          <w:sz w:val="20"/>
          <w:szCs w:val="20"/>
          <w:color w:val="auto"/>
        </w:rPr>
        <w:tab/>
      </w:r>
      <w:r>
        <w:rPr>
          <w:rFonts w:ascii="Courier New" w:cs="Courier New" w:eastAsia="Courier New" w:hAnsi="Courier New"/>
          <w:sz w:val="16"/>
          <w:szCs w:val="16"/>
          <w:color w:val="auto"/>
        </w:rPr>
        <w:t>Twelve Months</w:t>
      </w:r>
    </w:p>
    <w:tbl>
      <w:tblPr>
        <w:tblLayout w:type="fixed"/>
        <w:tblInd w:w="0" w:type="dxa"/>
        <w:tblCellMar>
          <w:top w:w="0" w:type="dxa"/>
          <w:left w:w="0" w:type="dxa"/>
          <w:bottom w:w="0" w:type="dxa"/>
          <w:right w:w="0" w:type="dxa"/>
        </w:tblCellMar>
      </w:tblPr>
      <w:tr>
        <w:trPr>
          <w:trHeight w:val="193"/>
        </w:trPr>
        <w:tc>
          <w:tcPr>
            <w:tcW w:w="4120" w:type="dxa"/>
            <w:vAlign w:val="bottom"/>
            <w:gridSpan w:val="2"/>
          </w:tcPr>
          <w:p>
            <w:pPr>
              <w:ind w:left="3000"/>
              <w:spacing w:after="0"/>
              <w:rPr>
                <w:sz w:val="20"/>
                <w:szCs w:val="20"/>
                <w:color w:val="auto"/>
              </w:rPr>
            </w:pPr>
            <w:r>
              <w:rPr>
                <w:rFonts w:ascii="Courier New" w:cs="Courier New" w:eastAsia="Courier New" w:hAnsi="Courier New"/>
                <w:sz w:val="17"/>
                <w:szCs w:val="17"/>
                <w:color w:val="auto"/>
                <w:w w:val="97"/>
              </w:rPr>
              <w:t>November 1,</w:t>
            </w:r>
          </w:p>
        </w:tc>
        <w:tc>
          <w:tcPr>
            <w:tcW w:w="390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1997 November 1, 1997 November 1, 1997</w:t>
            </w:r>
          </w:p>
        </w:tc>
      </w:tr>
      <w:tr>
        <w:trPr>
          <w:trHeight w:val="193"/>
        </w:trPr>
        <w:tc>
          <w:tcPr>
            <w:tcW w:w="8020" w:type="dxa"/>
            <w:vAlign w:val="bottom"/>
            <w:gridSpan w:val="7"/>
          </w:tcPr>
          <w:p>
            <w:pPr>
              <w:ind w:left="3200"/>
              <w:spacing w:after="0"/>
              <w:rPr>
                <w:sz w:val="20"/>
                <w:szCs w:val="20"/>
                <w:color w:val="auto"/>
              </w:rPr>
            </w:pPr>
            <w:r>
              <w:rPr>
                <w:rFonts w:ascii="Courier New" w:cs="Courier New" w:eastAsia="Courier New" w:hAnsi="Courier New"/>
                <w:sz w:val="17"/>
                <w:szCs w:val="17"/>
                <w:color w:val="auto"/>
              </w:rPr>
              <w:t>---------------------------------------------</w:t>
            </w:r>
          </w:p>
        </w:tc>
      </w:tr>
      <w:tr>
        <w:trPr>
          <w:trHeight w:val="193"/>
        </w:trPr>
        <w:tc>
          <w:tcPr>
            <w:tcW w:w="6220" w:type="dxa"/>
            <w:vAlign w:val="bottom"/>
            <w:gridSpan w:val="5"/>
          </w:tcPr>
          <w:p>
            <w:pPr>
              <w:ind w:left="2200"/>
              <w:spacing w:after="0"/>
              <w:rPr>
                <w:sz w:val="20"/>
                <w:szCs w:val="20"/>
                <w:color w:val="auto"/>
              </w:rPr>
            </w:pPr>
            <w:r>
              <w:rPr>
                <w:rFonts w:ascii="Courier New" w:cs="Courier New" w:eastAsia="Courier New" w:hAnsi="Courier New"/>
                <w:sz w:val="17"/>
                <w:szCs w:val="17"/>
                <w:color w:val="auto"/>
              </w:rPr>
              <w:t>(in thousands except per share data)</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5"/>
        </w:trPr>
        <w:tc>
          <w:tcPr>
            <w:tcW w:w="3860" w:type="dxa"/>
            <w:vAlign w:val="bottom"/>
          </w:tcPr>
          <w:p>
            <w:pPr>
              <w:spacing w:after="0"/>
              <w:rPr>
                <w:sz w:val="20"/>
                <w:szCs w:val="20"/>
                <w:color w:val="auto"/>
              </w:rPr>
            </w:pPr>
            <w:r>
              <w:rPr>
                <w:rFonts w:ascii="Courier New" w:cs="Courier New" w:eastAsia="Courier New" w:hAnsi="Courier New"/>
                <w:sz w:val="17"/>
                <w:szCs w:val="17"/>
                <w:color w:val="auto"/>
              </w:rPr>
              <w:t>Basic EPS Computation</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Numerator:</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Net income (loss)</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(567)</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 (20,331)</w:t>
            </w:r>
          </w:p>
        </w:tc>
        <w:tc>
          <w:tcPr>
            <w:tcW w:w="30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$(18,140)</w:t>
            </w:r>
          </w:p>
        </w:tc>
      </w:tr>
      <w:tr>
        <w:trPr>
          <w:trHeight w:val="193"/>
        </w:trPr>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Denominator:</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Weighted average</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common shares outstanding</w:t>
            </w:r>
          </w:p>
        </w:tc>
        <w:tc>
          <w:tcPr>
            <w:tcW w:w="260" w:type="dxa"/>
            <w:vAlign w:val="bottom"/>
          </w:tcPr>
          <w:p>
            <w:pPr>
              <w:spacing w:after="0"/>
              <w:rPr>
                <w:sz w:val="16"/>
                <w:szCs w:val="16"/>
                <w:color w:val="auto"/>
              </w:rPr>
            </w:pP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4"/>
              </w:rPr>
              <w:t>15,641</w:t>
            </w:r>
          </w:p>
        </w:tc>
        <w:tc>
          <w:tcPr>
            <w:tcW w:w="2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15,623</w:t>
            </w:r>
          </w:p>
        </w:tc>
        <w:tc>
          <w:tcPr>
            <w:tcW w:w="3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15,616</w:t>
            </w:r>
          </w:p>
        </w:tc>
      </w:tr>
      <w:tr>
        <w:trPr>
          <w:trHeight w:val="385"/>
        </w:trPr>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Basic EPS</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(1.16)</w:t>
            </w:r>
          </w:p>
        </w:tc>
      </w:tr>
      <w:tr>
        <w:trPr>
          <w:trHeight w:val="385"/>
        </w:trPr>
        <w:tc>
          <w:tcPr>
            <w:tcW w:w="3860" w:type="dxa"/>
            <w:vAlign w:val="bottom"/>
          </w:tcPr>
          <w:p>
            <w:pPr>
              <w:spacing w:after="0"/>
              <w:rPr>
                <w:sz w:val="20"/>
                <w:szCs w:val="20"/>
                <w:color w:val="auto"/>
              </w:rPr>
            </w:pPr>
            <w:r>
              <w:rPr>
                <w:rFonts w:ascii="Courier New" w:cs="Courier New" w:eastAsia="Courier New" w:hAnsi="Courier New"/>
                <w:sz w:val="17"/>
                <w:szCs w:val="17"/>
                <w:color w:val="auto"/>
              </w:rPr>
              <w:t>Diluted EPS Computation</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Numerator:</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Net income (loss)</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(567)</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 (20,331)</w:t>
            </w:r>
          </w:p>
        </w:tc>
        <w:tc>
          <w:tcPr>
            <w:tcW w:w="300" w:type="dxa"/>
            <w:vAlign w:val="bottom"/>
          </w:tcPr>
          <w:p>
            <w:pPr>
              <w:spacing w:after="0"/>
              <w:rPr>
                <w:sz w:val="16"/>
                <w:szCs w:val="16"/>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$(18,140)</w:t>
            </w:r>
          </w:p>
        </w:tc>
      </w:tr>
      <w:tr>
        <w:trPr>
          <w:trHeight w:val="193"/>
        </w:trPr>
        <w:tc>
          <w:tcPr>
            <w:tcW w:w="3860" w:type="dxa"/>
            <w:vAlign w:val="bottom"/>
          </w:tcPr>
          <w:p>
            <w:pPr>
              <w:ind w:left="200"/>
              <w:spacing w:after="0"/>
              <w:rPr>
                <w:sz w:val="20"/>
                <w:szCs w:val="20"/>
                <w:color w:val="auto"/>
              </w:rPr>
            </w:pPr>
            <w:r>
              <w:rPr>
                <w:rFonts w:ascii="Courier New" w:cs="Courier New" w:eastAsia="Courier New" w:hAnsi="Courier New"/>
                <w:sz w:val="17"/>
                <w:szCs w:val="17"/>
                <w:color w:val="auto"/>
              </w:rPr>
              <w:t>Denominator:</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Weighted average common</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shares outstanding</w:t>
            </w:r>
          </w:p>
        </w:tc>
        <w:tc>
          <w:tcPr>
            <w:tcW w:w="2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15,641</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15,623</w:t>
            </w:r>
          </w:p>
        </w:tc>
        <w:tc>
          <w:tcPr>
            <w:tcW w:w="3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15,616</w:t>
            </w: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Stock options, excluding</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anti-dilutive options 33, 44</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w w:val="99"/>
              </w:rPr>
              <w:t>and 52 shares for the three, nine</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and twelve months ending</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November 1, 1997, respectively.</w:t>
            </w:r>
          </w:p>
        </w:tc>
        <w:tc>
          <w:tcPr>
            <w:tcW w:w="260" w:type="dxa"/>
            <w:vAlign w:val="bottom"/>
          </w:tcPr>
          <w:p>
            <w:pPr>
              <w:spacing w:after="0"/>
              <w:rPr>
                <w:sz w:val="16"/>
                <w:szCs w:val="16"/>
                <w:color w:val="auto"/>
              </w:rPr>
            </w:pP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1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5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3860" w:type="dxa"/>
            <w:vAlign w:val="bottom"/>
          </w:tcPr>
          <w:p>
            <w:pPr>
              <w:ind w:left="500"/>
              <w:spacing w:after="0"/>
              <w:rPr>
                <w:sz w:val="20"/>
                <w:szCs w:val="20"/>
                <w:color w:val="auto"/>
              </w:rPr>
            </w:pPr>
            <w:r>
              <w:rPr>
                <w:rFonts w:ascii="Courier New" w:cs="Courier New" w:eastAsia="Courier New" w:hAnsi="Courier New"/>
                <w:sz w:val="17"/>
                <w:szCs w:val="17"/>
                <w:color w:val="auto"/>
              </w:rPr>
              <w:t>Total Shares</w:t>
            </w:r>
          </w:p>
        </w:tc>
        <w:tc>
          <w:tcPr>
            <w:tcW w:w="26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15,641</w:t>
            </w:r>
          </w:p>
        </w:tc>
        <w:tc>
          <w:tcPr>
            <w:tcW w:w="20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15,623</w:t>
            </w:r>
          </w:p>
        </w:tc>
        <w:tc>
          <w:tcPr>
            <w:tcW w:w="300" w:type="dxa"/>
            <w:vAlign w:val="bottom"/>
          </w:tcPr>
          <w:p>
            <w:pPr>
              <w:spacing w:after="0"/>
              <w:rPr>
                <w:sz w:val="16"/>
                <w:szCs w:val="16"/>
                <w:color w:val="auto"/>
              </w:rPr>
            </w:pP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15,616</w:t>
            </w:r>
          </w:p>
        </w:tc>
      </w:tr>
      <w:tr>
        <w:trPr>
          <w:trHeight w:val="385"/>
        </w:trPr>
        <w:tc>
          <w:tcPr>
            <w:tcW w:w="3860" w:type="dxa"/>
            <w:vAlign w:val="bottom"/>
          </w:tcPr>
          <w:p>
            <w:pPr>
              <w:ind w:left="300"/>
              <w:spacing w:after="0"/>
              <w:rPr>
                <w:sz w:val="20"/>
                <w:szCs w:val="20"/>
                <w:color w:val="auto"/>
              </w:rPr>
            </w:pPr>
            <w:r>
              <w:rPr>
                <w:rFonts w:ascii="Courier New" w:cs="Courier New" w:eastAsia="Courier New" w:hAnsi="Courier New"/>
                <w:sz w:val="17"/>
                <w:szCs w:val="17"/>
                <w:color w:val="auto"/>
              </w:rPr>
              <w:t>Diluted EPS</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(0.04)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(1.30)</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ind w:left="100"/>
              <w:spacing w:after="0"/>
              <w:rPr>
                <w:sz w:val="20"/>
                <w:szCs w:val="20"/>
                <w:color w:val="auto"/>
              </w:rPr>
            </w:pPr>
            <w:r>
              <w:rPr>
                <w:rFonts w:ascii="Courier New" w:cs="Courier New" w:eastAsia="Courier New" w:hAnsi="Courier New"/>
                <w:sz w:val="17"/>
                <w:szCs w:val="17"/>
                <w:color w:val="auto"/>
              </w:rPr>
              <w:t>(1.16)</w:t>
            </w:r>
          </w:p>
        </w:tc>
      </w:tr>
      <w:tr>
        <w:trPr>
          <w:trHeight w:val="193"/>
        </w:trPr>
        <w:tc>
          <w:tcPr>
            <w:tcW w:w="3860" w:type="dxa"/>
            <w:vAlign w:val="bottom"/>
          </w:tcPr>
          <w:p>
            <w:pPr>
              <w:spacing w:after="0"/>
              <w:rPr>
                <w:sz w:val="16"/>
                <w:szCs w:val="16"/>
                <w:color w:val="auto"/>
              </w:rPr>
            </w:pPr>
          </w:p>
        </w:tc>
        <w:tc>
          <w:tcPr>
            <w:tcW w:w="416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522" w:right="1440" w:bottom="1440" w:gutter="0" w:footer="0" w:header="0"/>
          <w:type w:val="continuous"/>
        </w:sectPr>
      </w:pPr>
    </w:p>
    <w:bookmarkStart w:id="34" w:name="page35"/>
    <w:bookmarkEnd w:id="34"/>
    <w:p>
      <w:pPr>
        <w:ind w:left="2080"/>
        <w:spacing w:after="0"/>
        <w:rPr>
          <w:sz w:val="20"/>
          <w:szCs w:val="20"/>
          <w:color w:val="auto"/>
        </w:rPr>
      </w:pPr>
      <w:r>
        <w:rPr>
          <w:rFonts w:ascii="Courier New" w:cs="Courier New" w:eastAsia="Courier New" w:hAnsi="Courier New"/>
          <w:sz w:val="17"/>
          <w:szCs w:val="17"/>
          <w:color w:val="auto"/>
        </w:rPr>
        <w:t>5</w:t>
      </w:r>
    </w:p>
    <w:p>
      <w:pPr>
        <w:spacing w:after="0" w:line="391" w:lineRule="exact"/>
        <w:rPr>
          <w:sz w:val="20"/>
          <w:szCs w:val="20"/>
          <w:color w:val="auto"/>
        </w:rPr>
      </w:pPr>
    </w:p>
    <w:p>
      <w:pPr>
        <w:ind w:right="2179"/>
        <w:spacing w:after="0" w:line="238"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Balance Sheets of Designs, Inc. as of October 31, 1998, November 1, 1997 and January 31, 1998 and the Consolidated Statements of Income for the three, nine and twelve months ending October 31, 1998 and November 1, 1997 and is qualified in its entirety by reference to such financial statements.</w:t>
      </w:r>
    </w:p>
    <w:p>
      <w:pPr>
        <w:spacing w:after="0" w:line="389"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378"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9-mos</w:t>
      </w:r>
    </w:p>
    <w:p>
      <w:pPr>
        <w:ind w:left="2980"/>
        <w:spacing w:after="0"/>
        <w:rPr>
          <w:sz w:val="20"/>
          <w:szCs w:val="20"/>
          <w:color w:val="auto"/>
        </w:rPr>
      </w:pPr>
      <w:r>
        <w:rPr>
          <w:rFonts w:ascii="Courier New" w:cs="Courier New" w:eastAsia="Courier New" w:hAnsi="Courier New"/>
          <w:sz w:val="17"/>
          <w:szCs w:val="17"/>
          <w:color w:val="auto"/>
        </w:rPr>
        <w:t>JAN-30-1999</w:t>
      </w:r>
    </w:p>
    <w:p>
      <w:pPr>
        <w:ind w:left="3300"/>
        <w:spacing w:after="0"/>
        <w:rPr>
          <w:sz w:val="20"/>
          <w:szCs w:val="20"/>
          <w:color w:val="auto"/>
        </w:rPr>
      </w:pPr>
      <w:r>
        <w:rPr>
          <w:rFonts w:ascii="Courier New" w:cs="Courier New" w:eastAsia="Courier New" w:hAnsi="Courier New"/>
          <w:sz w:val="17"/>
          <w:szCs w:val="17"/>
          <w:color w:val="auto"/>
        </w:rPr>
        <w:t>AUG-02-1998</w:t>
      </w:r>
    </w:p>
    <w:p>
      <w:pPr>
        <w:jc w:val="right"/>
        <w:ind w:right="5599"/>
        <w:spacing w:after="0"/>
        <w:rPr>
          <w:sz w:val="20"/>
          <w:szCs w:val="20"/>
          <w:color w:val="auto"/>
        </w:rPr>
      </w:pPr>
      <w:r>
        <w:rPr>
          <w:rFonts w:ascii="Courier New" w:cs="Courier New" w:eastAsia="Courier New" w:hAnsi="Courier New"/>
          <w:sz w:val="17"/>
          <w:szCs w:val="17"/>
          <w:color w:val="auto"/>
        </w:rPr>
        <w:t>OCT-31-1998</w:t>
      </w:r>
    </w:p>
    <w:p>
      <w:pPr>
        <w:jc w:val="right"/>
        <w:ind w:right="5599"/>
        <w:spacing w:after="0"/>
        <w:rPr>
          <w:sz w:val="20"/>
          <w:szCs w:val="20"/>
          <w:color w:val="auto"/>
        </w:rPr>
      </w:pPr>
      <w:r>
        <w:rPr>
          <w:rFonts w:ascii="Courier New" w:cs="Courier New" w:eastAsia="Courier New" w:hAnsi="Courier New"/>
          <w:sz w:val="17"/>
          <w:szCs w:val="17"/>
          <w:color w:val="auto"/>
        </w:rPr>
        <w:t>1,490</w:t>
      </w:r>
    </w:p>
    <w:p>
      <w:pPr>
        <w:jc w:val="center"/>
        <w:ind w:right="3119"/>
        <w:spacing w:after="0"/>
        <w:rPr>
          <w:sz w:val="20"/>
          <w:szCs w:val="20"/>
          <w:color w:val="auto"/>
        </w:rPr>
      </w:pPr>
      <w:r>
        <w:rPr>
          <w:rFonts w:ascii="Courier New" w:cs="Courier New" w:eastAsia="Courier New" w:hAnsi="Courier New"/>
          <w:sz w:val="17"/>
          <w:szCs w:val="17"/>
          <w:color w:val="auto"/>
        </w:rPr>
        <w:t>0</w:t>
      </w:r>
    </w:p>
    <w:p>
      <w:pPr>
        <w:jc w:val="center"/>
        <w:ind w:right="3119"/>
        <w:spacing w:after="0"/>
        <w:rPr>
          <w:sz w:val="20"/>
          <w:szCs w:val="20"/>
          <w:color w:val="auto"/>
        </w:rPr>
      </w:pPr>
      <w:r>
        <w:rPr>
          <w:rFonts w:ascii="Courier New" w:cs="Courier New" w:eastAsia="Courier New" w:hAnsi="Courier New"/>
          <w:sz w:val="17"/>
          <w:szCs w:val="17"/>
          <w:color w:val="auto"/>
        </w:rPr>
        <w:t>786</w:t>
      </w:r>
    </w:p>
    <w:p>
      <w:pPr>
        <w:jc w:val="center"/>
        <w:ind w:right="3119"/>
        <w:spacing w:after="0"/>
        <w:rPr>
          <w:sz w:val="20"/>
          <w:szCs w:val="20"/>
          <w:color w:val="auto"/>
        </w:rPr>
      </w:pPr>
      <w:r>
        <w:rPr>
          <w:rFonts w:ascii="Courier New" w:cs="Courier New" w:eastAsia="Courier New" w:hAnsi="Courier New"/>
          <w:sz w:val="17"/>
          <w:szCs w:val="17"/>
          <w:color w:val="auto"/>
        </w:rPr>
        <w:t>0</w:t>
      </w:r>
    </w:p>
    <w:p>
      <w:pPr>
        <w:ind w:left="3600"/>
        <w:spacing w:after="0"/>
        <w:rPr>
          <w:sz w:val="20"/>
          <w:szCs w:val="20"/>
          <w:color w:val="auto"/>
        </w:rPr>
      </w:pPr>
      <w:r>
        <w:rPr>
          <w:rFonts w:ascii="Courier New" w:cs="Courier New" w:eastAsia="Courier New" w:hAnsi="Courier New"/>
          <w:sz w:val="17"/>
          <w:szCs w:val="17"/>
          <w:color w:val="auto"/>
        </w:rPr>
        <w:t>58,938</w:t>
      </w:r>
    </w:p>
    <w:p>
      <w:pPr>
        <w:ind w:left="3080"/>
        <w:spacing w:after="0"/>
        <w:rPr>
          <w:sz w:val="20"/>
          <w:szCs w:val="20"/>
          <w:color w:val="auto"/>
        </w:rPr>
      </w:pPr>
      <w:r>
        <w:rPr>
          <w:rFonts w:ascii="Courier New" w:cs="Courier New" w:eastAsia="Courier New" w:hAnsi="Courier New"/>
          <w:sz w:val="17"/>
          <w:szCs w:val="17"/>
          <w:color w:val="auto"/>
        </w:rPr>
        <w:t>72,832</w:t>
      </w:r>
    </w:p>
    <w:p>
      <w:pPr>
        <w:ind w:left="4100"/>
        <w:spacing w:after="0"/>
        <w:rPr>
          <w:sz w:val="20"/>
          <w:szCs w:val="20"/>
          <w:color w:val="auto"/>
        </w:rPr>
      </w:pPr>
      <w:r>
        <w:rPr>
          <w:rFonts w:ascii="Courier New" w:cs="Courier New" w:eastAsia="Courier New" w:hAnsi="Courier New"/>
          <w:sz w:val="17"/>
          <w:szCs w:val="17"/>
          <w:color w:val="auto"/>
        </w:rPr>
        <w:t>51,573</w:t>
      </w:r>
    </w:p>
    <w:p>
      <w:pPr>
        <w:ind w:left="3300"/>
        <w:spacing w:after="0"/>
        <w:rPr>
          <w:sz w:val="20"/>
          <w:szCs w:val="20"/>
          <w:color w:val="auto"/>
        </w:rPr>
      </w:pPr>
      <w:r>
        <w:rPr>
          <w:rFonts w:ascii="Courier New" w:cs="Courier New" w:eastAsia="Courier New" w:hAnsi="Courier New"/>
          <w:sz w:val="17"/>
          <w:szCs w:val="17"/>
          <w:color w:val="auto"/>
        </w:rPr>
        <w:t>31,676</w:t>
      </w:r>
    </w:p>
    <w:p>
      <w:pPr>
        <w:ind w:left="3300"/>
        <w:spacing w:after="0"/>
        <w:rPr>
          <w:sz w:val="20"/>
          <w:szCs w:val="20"/>
          <w:color w:val="auto"/>
        </w:rPr>
      </w:pPr>
      <w:r>
        <w:rPr>
          <w:rFonts w:ascii="Courier New" w:cs="Courier New" w:eastAsia="Courier New" w:hAnsi="Courier New"/>
          <w:sz w:val="17"/>
          <w:szCs w:val="17"/>
          <w:color w:val="auto"/>
        </w:rPr>
        <w:t>102,999</w:t>
      </w:r>
    </w:p>
    <w:p>
      <w:pPr>
        <w:ind w:left="2580"/>
        <w:spacing w:after="0"/>
        <w:rPr>
          <w:sz w:val="20"/>
          <w:szCs w:val="20"/>
          <w:color w:val="auto"/>
        </w:rPr>
      </w:pPr>
      <w:r>
        <w:rPr>
          <w:rFonts w:ascii="Courier New" w:cs="Courier New" w:eastAsia="Courier New" w:hAnsi="Courier New"/>
          <w:sz w:val="17"/>
          <w:szCs w:val="17"/>
          <w:color w:val="auto"/>
        </w:rPr>
        <w:t>35,449</w:t>
      </w:r>
    </w:p>
    <w:p>
      <w:pPr>
        <w:ind w:left="4000"/>
        <w:spacing w:after="0"/>
        <w:rPr>
          <w:sz w:val="20"/>
          <w:szCs w:val="20"/>
          <w:color w:val="auto"/>
        </w:rPr>
      </w:pPr>
      <w:r>
        <w:rPr>
          <w:rFonts w:ascii="Courier New" w:cs="Courier New" w:eastAsia="Courier New" w:hAnsi="Courier New"/>
          <w:sz w:val="17"/>
          <w:szCs w:val="17"/>
          <w:color w:val="auto"/>
        </w:rPr>
        <w:t>0</w:t>
      </w:r>
    </w:p>
    <w:p>
      <w:pPr>
        <w:ind w:left="2580"/>
        <w:spacing w:after="0"/>
        <w:rPr>
          <w:sz w:val="20"/>
          <w:szCs w:val="20"/>
          <w:color w:val="auto"/>
        </w:rPr>
      </w:pPr>
      <w:r>
        <w:rPr>
          <w:rFonts w:ascii="Courier New" w:cs="Courier New" w:eastAsia="Courier New" w:hAnsi="Courier New"/>
          <w:sz w:val="17"/>
          <w:szCs w:val="17"/>
          <w:color w:val="auto"/>
        </w:rPr>
        <w:t>0</w:t>
      </w:r>
    </w:p>
    <w:p>
      <w:pPr>
        <w:ind w:left="3600"/>
        <w:spacing w:after="0"/>
        <w:rPr>
          <w:sz w:val="20"/>
          <w:szCs w:val="20"/>
          <w:color w:val="auto"/>
        </w:rPr>
      </w:pPr>
      <w:r>
        <w:rPr>
          <w:rFonts w:ascii="Courier New" w:cs="Courier New" w:eastAsia="Courier New" w:hAnsi="Courier New"/>
          <w:sz w:val="17"/>
          <w:szCs w:val="17"/>
          <w:color w:val="auto"/>
        </w:rPr>
        <w:t>0</w:t>
      </w:r>
    </w:p>
    <w:p>
      <w:pPr>
        <w:ind w:left="3900"/>
        <w:spacing w:after="0"/>
        <w:rPr>
          <w:sz w:val="20"/>
          <w:szCs w:val="20"/>
          <w:color w:val="auto"/>
        </w:rPr>
      </w:pPr>
      <w:r>
        <w:rPr>
          <w:rFonts w:ascii="Courier New" w:cs="Courier New" w:eastAsia="Courier New" w:hAnsi="Courier New"/>
          <w:sz w:val="17"/>
          <w:szCs w:val="17"/>
          <w:color w:val="auto"/>
        </w:rPr>
        <w:t>161</w:t>
      </w:r>
    </w:p>
    <w:p>
      <w:pPr>
        <w:ind w:left="3700"/>
        <w:spacing w:after="0"/>
        <w:rPr>
          <w:sz w:val="20"/>
          <w:szCs w:val="20"/>
          <w:color w:val="auto"/>
        </w:rPr>
      </w:pPr>
      <w:r>
        <w:rPr>
          <w:rFonts w:ascii="Courier New" w:cs="Courier New" w:eastAsia="Courier New" w:hAnsi="Courier New"/>
          <w:sz w:val="17"/>
          <w:szCs w:val="17"/>
          <w:color w:val="auto"/>
        </w:rPr>
        <w:t>67,389</w:t>
      </w:r>
    </w:p>
    <w:p>
      <w:pPr>
        <w:ind w:left="1880"/>
        <w:spacing w:after="0"/>
        <w:rPr>
          <w:sz w:val="20"/>
          <w:szCs w:val="20"/>
          <w:color w:val="auto"/>
        </w:rPr>
      </w:pPr>
      <w:r>
        <w:rPr>
          <w:rFonts w:ascii="Courier New" w:cs="Courier New" w:eastAsia="Courier New" w:hAnsi="Courier New"/>
          <w:sz w:val="17"/>
          <w:szCs w:val="17"/>
          <w:color w:val="auto"/>
        </w:rPr>
        <w:t>102,999</w:t>
      </w:r>
    </w:p>
    <w:p>
      <w:pPr>
        <w:ind w:left="4000"/>
        <w:spacing w:after="0"/>
        <w:rPr>
          <w:sz w:val="20"/>
          <w:szCs w:val="20"/>
          <w:color w:val="auto"/>
        </w:rPr>
      </w:pPr>
      <w:r>
        <w:rPr>
          <w:rFonts w:ascii="Courier New" w:cs="Courier New" w:eastAsia="Courier New" w:hAnsi="Courier New"/>
          <w:sz w:val="17"/>
          <w:szCs w:val="17"/>
          <w:color w:val="auto"/>
        </w:rPr>
        <w:t>149,193</w:t>
      </w:r>
    </w:p>
    <w:p>
      <w:pPr>
        <w:ind w:left="3080"/>
        <w:spacing w:after="0"/>
        <w:rPr>
          <w:sz w:val="20"/>
          <w:szCs w:val="20"/>
          <w:color w:val="auto"/>
        </w:rPr>
      </w:pPr>
      <w:r>
        <w:rPr>
          <w:rFonts w:ascii="Courier New" w:cs="Courier New" w:eastAsia="Courier New" w:hAnsi="Courier New"/>
          <w:sz w:val="17"/>
          <w:szCs w:val="17"/>
          <w:color w:val="auto"/>
        </w:rPr>
        <w:t>149,193</w:t>
      </w:r>
    </w:p>
    <w:p>
      <w:pPr>
        <w:ind w:left="4200"/>
        <w:spacing w:after="0"/>
        <w:rPr>
          <w:sz w:val="20"/>
          <w:szCs w:val="20"/>
          <w:color w:val="auto"/>
        </w:rPr>
      </w:pPr>
      <w:r>
        <w:rPr>
          <w:rFonts w:ascii="Courier New" w:cs="Courier New" w:eastAsia="Courier New" w:hAnsi="Courier New"/>
          <w:sz w:val="17"/>
          <w:szCs w:val="17"/>
          <w:color w:val="auto"/>
        </w:rPr>
        <w:t>117,013</w:t>
      </w:r>
    </w:p>
    <w:p>
      <w:pPr>
        <w:ind w:left="3400"/>
        <w:spacing w:after="0"/>
        <w:rPr>
          <w:sz w:val="20"/>
          <w:szCs w:val="20"/>
          <w:color w:val="auto"/>
        </w:rPr>
      </w:pPr>
      <w:r>
        <w:rPr>
          <w:rFonts w:ascii="Courier New" w:cs="Courier New" w:eastAsia="Courier New" w:hAnsi="Courier New"/>
          <w:sz w:val="17"/>
          <w:szCs w:val="17"/>
          <w:color w:val="auto"/>
        </w:rPr>
        <w:t>117,013</w:t>
      </w:r>
    </w:p>
    <w:p>
      <w:pPr>
        <w:ind w:left="3080"/>
        <w:spacing w:after="0"/>
        <w:rPr>
          <w:sz w:val="20"/>
          <w:szCs w:val="20"/>
          <w:color w:val="auto"/>
        </w:rPr>
      </w:pPr>
      <w:r>
        <w:rPr>
          <w:rFonts w:ascii="Courier New" w:cs="Courier New" w:eastAsia="Courier New" w:hAnsi="Courier New"/>
          <w:sz w:val="17"/>
          <w:szCs w:val="17"/>
          <w:color w:val="auto"/>
        </w:rPr>
        <w:t>57,686</w:t>
      </w:r>
    </w:p>
    <w:p>
      <w:pPr>
        <w:ind w:left="3080"/>
        <w:spacing w:after="0"/>
        <w:rPr>
          <w:sz w:val="20"/>
          <w:szCs w:val="20"/>
          <w:color w:val="auto"/>
        </w:rPr>
      </w:pPr>
      <w:r>
        <w:rPr>
          <w:rFonts w:ascii="Courier New" w:cs="Courier New" w:eastAsia="Courier New" w:hAnsi="Courier New"/>
          <w:sz w:val="17"/>
          <w:szCs w:val="17"/>
          <w:color w:val="auto"/>
        </w:rPr>
        <w:t>0</w:t>
      </w:r>
    </w:p>
    <w:p>
      <w:pPr>
        <w:ind w:left="2880"/>
        <w:spacing w:after="0"/>
        <w:rPr>
          <w:sz w:val="20"/>
          <w:szCs w:val="20"/>
          <w:color w:val="auto"/>
        </w:rPr>
      </w:pPr>
      <w:r>
        <w:rPr>
          <w:rFonts w:ascii="Courier New" w:cs="Courier New" w:eastAsia="Courier New" w:hAnsi="Courier New"/>
          <w:sz w:val="17"/>
          <w:szCs w:val="17"/>
          <w:color w:val="auto"/>
        </w:rPr>
        <w:t>469</w:t>
      </w:r>
    </w:p>
    <w:p>
      <w:pPr>
        <w:ind w:left="3180"/>
        <w:spacing w:after="0"/>
        <w:rPr>
          <w:sz w:val="20"/>
          <w:szCs w:val="20"/>
          <w:color w:val="auto"/>
        </w:rPr>
      </w:pPr>
      <w:r>
        <w:rPr>
          <w:rFonts w:ascii="Courier New" w:cs="Courier New" w:eastAsia="Courier New" w:hAnsi="Courier New"/>
          <w:sz w:val="17"/>
          <w:szCs w:val="17"/>
          <w:color w:val="auto"/>
        </w:rPr>
        <w:t>(25,905)</w:t>
      </w:r>
    </w:p>
    <w:p>
      <w:pPr>
        <w:ind w:left="3500"/>
        <w:spacing w:after="0"/>
        <w:rPr>
          <w:sz w:val="20"/>
          <w:szCs w:val="20"/>
          <w:color w:val="auto"/>
        </w:rPr>
      </w:pPr>
      <w:r>
        <w:rPr>
          <w:rFonts w:ascii="Courier New" w:cs="Courier New" w:eastAsia="Courier New" w:hAnsi="Courier New"/>
          <w:sz w:val="17"/>
          <w:szCs w:val="17"/>
          <w:color w:val="auto"/>
        </w:rPr>
        <w:t>(9,321)</w:t>
      </w:r>
    </w:p>
    <w:p>
      <w:pPr>
        <w:ind w:left="2780"/>
        <w:spacing w:after="0"/>
        <w:rPr>
          <w:sz w:val="20"/>
          <w:szCs w:val="20"/>
          <w:color w:val="auto"/>
        </w:rPr>
      </w:pPr>
      <w:r>
        <w:rPr>
          <w:rFonts w:ascii="Courier New" w:cs="Courier New" w:eastAsia="Courier New" w:hAnsi="Courier New"/>
          <w:sz w:val="17"/>
          <w:szCs w:val="17"/>
          <w:color w:val="auto"/>
        </w:rPr>
        <w:t>(14,892)</w:t>
      </w:r>
    </w:p>
    <w:p>
      <w:pPr>
        <w:ind w:left="3300"/>
        <w:spacing w:after="0"/>
        <w:rPr>
          <w:sz w:val="20"/>
          <w:szCs w:val="20"/>
          <w:color w:val="auto"/>
        </w:rPr>
      </w:pPr>
      <w:r>
        <w:rPr>
          <w:rFonts w:ascii="Courier New" w:cs="Courier New" w:eastAsia="Courier New" w:hAnsi="Courier New"/>
          <w:sz w:val="17"/>
          <w:szCs w:val="17"/>
          <w:color w:val="auto"/>
        </w:rPr>
        <w:t>0</w:t>
      </w:r>
    </w:p>
    <w:p>
      <w:pPr>
        <w:ind w:left="3180"/>
        <w:spacing w:after="0"/>
        <w:rPr>
          <w:sz w:val="20"/>
          <w:szCs w:val="20"/>
          <w:color w:val="auto"/>
        </w:rPr>
      </w:pPr>
      <w:r>
        <w:rPr>
          <w:rFonts w:ascii="Courier New" w:cs="Courier New" w:eastAsia="Courier New" w:hAnsi="Courier New"/>
          <w:sz w:val="17"/>
          <w:szCs w:val="17"/>
          <w:color w:val="auto"/>
        </w:rPr>
        <w:t>0</w:t>
      </w:r>
    </w:p>
    <w:p>
      <w:pPr>
        <w:ind w:left="3800"/>
        <w:spacing w:after="0"/>
        <w:rPr>
          <w:sz w:val="20"/>
          <w:szCs w:val="20"/>
          <w:color w:val="auto"/>
        </w:rPr>
      </w:pPr>
      <w:r>
        <w:rPr>
          <w:rFonts w:ascii="Courier New" w:cs="Courier New" w:eastAsia="Courier New" w:hAnsi="Courier New"/>
          <w:sz w:val="17"/>
          <w:szCs w:val="17"/>
          <w:color w:val="auto"/>
        </w:rPr>
        <w:t>0</w:t>
      </w:r>
    </w:p>
    <w:p>
      <w:pPr>
        <w:ind w:left="3500"/>
        <w:spacing w:after="0"/>
        <w:rPr>
          <w:sz w:val="20"/>
          <w:szCs w:val="20"/>
          <w:color w:val="auto"/>
        </w:rPr>
      </w:pPr>
      <w:r>
        <w:rPr>
          <w:rFonts w:ascii="Courier New" w:cs="Courier New" w:eastAsia="Courier New" w:hAnsi="Courier New"/>
          <w:sz w:val="17"/>
          <w:szCs w:val="17"/>
          <w:color w:val="auto"/>
        </w:rPr>
        <w:t>(14,892)</w:t>
      </w:r>
    </w:p>
    <w:p>
      <w:pPr>
        <w:ind w:left="3400"/>
        <w:spacing w:after="0"/>
        <w:rPr>
          <w:sz w:val="20"/>
          <w:szCs w:val="20"/>
          <w:color w:val="auto"/>
        </w:rPr>
      </w:pPr>
      <w:r>
        <w:rPr>
          <w:rFonts w:ascii="Courier New" w:cs="Courier New" w:eastAsia="Courier New" w:hAnsi="Courier New"/>
          <w:sz w:val="17"/>
          <w:szCs w:val="17"/>
          <w:color w:val="auto"/>
        </w:rPr>
        <w:t>(0.94)</w:t>
      </w:r>
    </w:p>
    <w:p>
      <w:pPr>
        <w:ind w:left="3400"/>
        <w:spacing w:after="0"/>
        <w:rPr>
          <w:sz w:val="20"/>
          <w:szCs w:val="20"/>
          <w:color w:val="auto"/>
        </w:rPr>
      </w:pPr>
      <w:r>
        <w:rPr>
          <w:rFonts w:ascii="Courier New" w:cs="Courier New" w:eastAsia="Courier New" w:hAnsi="Courier New"/>
          <w:sz w:val="17"/>
          <w:szCs w:val="17"/>
          <w:color w:val="auto"/>
        </w:rPr>
        <w:t>(0.94)</w:t>
      </w:r>
    </w:p>
    <w:p>
      <w:pPr>
        <w:sectPr>
          <w:pgSz w:w="11900" w:h="16838" w:orient="portrait"/>
          <w:cols w:equalWidth="0" w:num="1">
            <w:col w:w="10199"/>
          </w:cols>
          <w:pgMar w:left="260" w:top="714" w:right="1440" w:bottom="1440" w:gutter="0" w:footer="0" w:header="0"/>
        </w:sectPr>
      </w:pPr>
    </w:p>
    <w:bookmarkStart w:id="35" w:name="page36"/>
    <w:bookmarkEnd w:id="35"/>
    <w:p>
      <w:pPr>
        <w:ind w:left="2080"/>
        <w:spacing w:after="0"/>
        <w:rPr>
          <w:sz w:val="20"/>
          <w:szCs w:val="20"/>
          <w:color w:val="auto"/>
        </w:rPr>
      </w:pPr>
      <w:r>
        <w:rPr>
          <w:rFonts w:ascii="Courier New" w:cs="Courier New" w:eastAsia="Courier New" w:hAnsi="Courier New"/>
          <w:sz w:val="17"/>
          <w:szCs w:val="17"/>
          <w:color w:val="auto"/>
        </w:rPr>
        <w:t>5</w:t>
      </w:r>
    </w:p>
    <w:p>
      <w:pPr>
        <w:spacing w:after="0" w:line="391" w:lineRule="exact"/>
        <w:rPr>
          <w:sz w:val="20"/>
          <w:szCs w:val="20"/>
          <w:color w:val="auto"/>
        </w:rPr>
      </w:pPr>
    </w:p>
    <w:p>
      <w:pPr>
        <w:ind w:right="2279"/>
        <w:spacing w:after="0" w:line="25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November 1,1997, November 2, 1996 and February 1, 1997 and the Consolidated Statements of Income for the three, nine and twelve months ending November 1, 1997 and November 2, 1996 and is qualified in its entirety by reference to such financial statements.</w:t>
      </w:r>
    </w:p>
    <w:p>
      <w:pPr>
        <w:spacing w:after="0" w:line="200" w:lineRule="exact"/>
        <w:rPr>
          <w:sz w:val="20"/>
          <w:szCs w:val="20"/>
          <w:color w:val="auto"/>
        </w:rPr>
      </w:pPr>
    </w:p>
    <w:p>
      <w:pPr>
        <w:spacing w:after="0" w:line="366"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1000</w:t>
      </w:r>
    </w:p>
    <w:p>
      <w:pPr>
        <w:spacing w:after="0" w:line="200" w:lineRule="exact"/>
        <w:rPr>
          <w:sz w:val="20"/>
          <w:szCs w:val="20"/>
          <w:color w:val="auto"/>
        </w:rPr>
      </w:pPr>
    </w:p>
    <w:p>
      <w:pPr>
        <w:spacing w:after="0" w:line="378"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9-mos</w:t>
      </w:r>
    </w:p>
    <w:p>
      <w:pPr>
        <w:ind w:left="2980"/>
        <w:spacing w:after="0"/>
        <w:rPr>
          <w:sz w:val="20"/>
          <w:szCs w:val="20"/>
          <w:color w:val="auto"/>
        </w:rPr>
      </w:pPr>
      <w:r>
        <w:rPr>
          <w:rFonts w:ascii="Courier New" w:cs="Courier New" w:eastAsia="Courier New" w:hAnsi="Courier New"/>
          <w:sz w:val="17"/>
          <w:szCs w:val="17"/>
          <w:color w:val="auto"/>
        </w:rPr>
        <w:t>JAN-31-1998</w:t>
      </w:r>
    </w:p>
    <w:p>
      <w:pPr>
        <w:ind w:left="3300"/>
        <w:spacing w:after="0"/>
        <w:rPr>
          <w:sz w:val="20"/>
          <w:szCs w:val="20"/>
          <w:color w:val="auto"/>
        </w:rPr>
      </w:pPr>
      <w:r>
        <w:rPr>
          <w:rFonts w:ascii="Courier New" w:cs="Courier New" w:eastAsia="Courier New" w:hAnsi="Courier New"/>
          <w:sz w:val="17"/>
          <w:szCs w:val="17"/>
          <w:color w:val="auto"/>
        </w:rPr>
        <w:t>AUG-03-1997</w:t>
      </w:r>
    </w:p>
    <w:p>
      <w:pPr>
        <w:jc w:val="right"/>
        <w:ind w:right="5599"/>
        <w:spacing w:after="0"/>
        <w:rPr>
          <w:sz w:val="20"/>
          <w:szCs w:val="20"/>
          <w:color w:val="auto"/>
        </w:rPr>
      </w:pPr>
      <w:r>
        <w:rPr>
          <w:rFonts w:ascii="Courier New" w:cs="Courier New" w:eastAsia="Courier New" w:hAnsi="Courier New"/>
          <w:sz w:val="17"/>
          <w:szCs w:val="17"/>
          <w:color w:val="auto"/>
        </w:rPr>
        <w:t>NOV-01-1997</w:t>
      </w:r>
    </w:p>
    <w:p>
      <w:pPr>
        <w:jc w:val="right"/>
        <w:ind w:right="5599"/>
        <w:spacing w:after="0"/>
        <w:rPr>
          <w:sz w:val="20"/>
          <w:szCs w:val="20"/>
          <w:color w:val="auto"/>
        </w:rPr>
      </w:pPr>
      <w:r>
        <w:rPr>
          <w:rFonts w:ascii="Courier New" w:cs="Courier New" w:eastAsia="Courier New" w:hAnsi="Courier New"/>
          <w:sz w:val="17"/>
          <w:szCs w:val="17"/>
          <w:color w:val="auto"/>
        </w:rPr>
        <w:t>2,402</w:t>
      </w:r>
    </w:p>
    <w:p>
      <w:pPr>
        <w:jc w:val="center"/>
        <w:ind w:right="3119"/>
        <w:spacing w:after="0"/>
        <w:rPr>
          <w:sz w:val="20"/>
          <w:szCs w:val="20"/>
          <w:color w:val="auto"/>
        </w:rPr>
      </w:pPr>
      <w:r>
        <w:rPr>
          <w:rFonts w:ascii="Courier New" w:cs="Courier New" w:eastAsia="Courier New" w:hAnsi="Courier New"/>
          <w:sz w:val="17"/>
          <w:szCs w:val="17"/>
          <w:color w:val="auto"/>
        </w:rPr>
        <w:t>0</w:t>
      </w:r>
    </w:p>
    <w:p>
      <w:pPr>
        <w:jc w:val="center"/>
        <w:ind w:right="3119"/>
        <w:spacing w:after="0"/>
        <w:rPr>
          <w:sz w:val="20"/>
          <w:szCs w:val="20"/>
          <w:color w:val="auto"/>
        </w:rPr>
      </w:pPr>
      <w:r>
        <w:rPr>
          <w:rFonts w:ascii="Courier New" w:cs="Courier New" w:eastAsia="Courier New" w:hAnsi="Courier New"/>
          <w:sz w:val="17"/>
          <w:szCs w:val="17"/>
          <w:color w:val="auto"/>
        </w:rPr>
        <w:t>358</w:t>
      </w:r>
    </w:p>
    <w:p>
      <w:pPr>
        <w:jc w:val="center"/>
        <w:ind w:right="3119"/>
        <w:spacing w:after="0"/>
        <w:rPr>
          <w:sz w:val="20"/>
          <w:szCs w:val="20"/>
          <w:color w:val="auto"/>
        </w:rPr>
      </w:pPr>
      <w:r>
        <w:rPr>
          <w:rFonts w:ascii="Courier New" w:cs="Courier New" w:eastAsia="Courier New" w:hAnsi="Courier New"/>
          <w:sz w:val="17"/>
          <w:szCs w:val="17"/>
          <w:color w:val="auto"/>
        </w:rPr>
        <w:t>0</w:t>
      </w:r>
    </w:p>
    <w:p>
      <w:pPr>
        <w:ind w:left="3600"/>
        <w:spacing w:after="0"/>
        <w:rPr>
          <w:sz w:val="20"/>
          <w:szCs w:val="20"/>
          <w:color w:val="auto"/>
        </w:rPr>
      </w:pPr>
      <w:r>
        <w:rPr>
          <w:rFonts w:ascii="Courier New" w:cs="Courier New" w:eastAsia="Courier New" w:hAnsi="Courier New"/>
          <w:sz w:val="17"/>
          <w:szCs w:val="17"/>
          <w:color w:val="auto"/>
        </w:rPr>
        <w:t>82,849</w:t>
      </w:r>
    </w:p>
    <w:p>
      <w:pPr>
        <w:ind w:left="3080"/>
        <w:spacing w:after="0"/>
        <w:rPr>
          <w:sz w:val="20"/>
          <w:szCs w:val="20"/>
          <w:color w:val="auto"/>
        </w:rPr>
      </w:pPr>
      <w:r>
        <w:rPr>
          <w:rFonts w:ascii="Courier New" w:cs="Courier New" w:eastAsia="Courier New" w:hAnsi="Courier New"/>
          <w:sz w:val="17"/>
          <w:szCs w:val="17"/>
          <w:color w:val="auto"/>
        </w:rPr>
        <w:t>104,816</w:t>
      </w:r>
    </w:p>
    <w:p>
      <w:pPr>
        <w:ind w:left="4100"/>
        <w:spacing w:after="0"/>
        <w:rPr>
          <w:sz w:val="20"/>
          <w:szCs w:val="20"/>
          <w:color w:val="auto"/>
        </w:rPr>
      </w:pPr>
      <w:r>
        <w:rPr>
          <w:rFonts w:ascii="Courier New" w:cs="Courier New" w:eastAsia="Courier New" w:hAnsi="Courier New"/>
          <w:sz w:val="17"/>
          <w:szCs w:val="17"/>
          <w:color w:val="auto"/>
        </w:rPr>
        <w:t>71,184</w:t>
      </w:r>
    </w:p>
    <w:p>
      <w:pPr>
        <w:ind w:left="3300"/>
        <w:spacing w:after="0"/>
        <w:rPr>
          <w:sz w:val="20"/>
          <w:szCs w:val="20"/>
          <w:color w:val="auto"/>
        </w:rPr>
      </w:pPr>
      <w:r>
        <w:rPr>
          <w:rFonts w:ascii="Courier New" w:cs="Courier New" w:eastAsia="Courier New" w:hAnsi="Courier New"/>
          <w:sz w:val="17"/>
          <w:szCs w:val="17"/>
          <w:color w:val="auto"/>
        </w:rPr>
        <w:t>32,979</w:t>
      </w:r>
    </w:p>
    <w:p>
      <w:pPr>
        <w:ind w:left="3300"/>
        <w:spacing w:after="0"/>
        <w:rPr>
          <w:sz w:val="20"/>
          <w:szCs w:val="20"/>
          <w:color w:val="auto"/>
        </w:rPr>
      </w:pPr>
      <w:r>
        <w:rPr>
          <w:rFonts w:ascii="Courier New" w:cs="Courier New" w:eastAsia="Courier New" w:hAnsi="Courier New"/>
          <w:sz w:val="17"/>
          <w:szCs w:val="17"/>
          <w:color w:val="auto"/>
        </w:rPr>
        <w:t>148,984</w:t>
      </w:r>
    </w:p>
    <w:p>
      <w:pPr>
        <w:ind w:left="2580"/>
        <w:spacing w:after="0"/>
        <w:rPr>
          <w:sz w:val="20"/>
          <w:szCs w:val="20"/>
          <w:color w:val="auto"/>
        </w:rPr>
      </w:pPr>
      <w:r>
        <w:rPr>
          <w:rFonts w:ascii="Courier New" w:cs="Courier New" w:eastAsia="Courier New" w:hAnsi="Courier New"/>
          <w:sz w:val="17"/>
          <w:szCs w:val="17"/>
          <w:color w:val="auto"/>
        </w:rPr>
        <w:t>52,559</w:t>
      </w:r>
    </w:p>
    <w:p>
      <w:pPr>
        <w:ind w:left="4000"/>
        <w:spacing w:after="0"/>
        <w:rPr>
          <w:sz w:val="20"/>
          <w:szCs w:val="20"/>
          <w:color w:val="auto"/>
        </w:rPr>
      </w:pPr>
      <w:r>
        <w:rPr>
          <w:rFonts w:ascii="Courier New" w:cs="Courier New" w:eastAsia="Courier New" w:hAnsi="Courier New"/>
          <w:sz w:val="17"/>
          <w:szCs w:val="17"/>
          <w:color w:val="auto"/>
        </w:rPr>
        <w:t>0</w:t>
      </w:r>
    </w:p>
    <w:p>
      <w:pPr>
        <w:ind w:left="2580"/>
        <w:spacing w:after="0"/>
        <w:rPr>
          <w:sz w:val="20"/>
          <w:szCs w:val="20"/>
          <w:color w:val="auto"/>
        </w:rPr>
      </w:pPr>
      <w:r>
        <w:rPr>
          <w:rFonts w:ascii="Courier New" w:cs="Courier New" w:eastAsia="Courier New" w:hAnsi="Courier New"/>
          <w:sz w:val="17"/>
          <w:szCs w:val="17"/>
          <w:color w:val="auto"/>
        </w:rPr>
        <w:t>0</w:t>
      </w:r>
    </w:p>
    <w:p>
      <w:pPr>
        <w:ind w:left="3600"/>
        <w:spacing w:after="0"/>
        <w:rPr>
          <w:sz w:val="20"/>
          <w:szCs w:val="20"/>
          <w:color w:val="auto"/>
        </w:rPr>
      </w:pPr>
      <w:r>
        <w:rPr>
          <w:rFonts w:ascii="Courier New" w:cs="Courier New" w:eastAsia="Courier New" w:hAnsi="Courier New"/>
          <w:sz w:val="17"/>
          <w:szCs w:val="17"/>
          <w:color w:val="auto"/>
        </w:rPr>
        <w:t>0</w:t>
      </w:r>
    </w:p>
    <w:p>
      <w:pPr>
        <w:ind w:left="3900"/>
        <w:spacing w:after="0"/>
        <w:rPr>
          <w:sz w:val="20"/>
          <w:szCs w:val="20"/>
          <w:color w:val="auto"/>
        </w:rPr>
      </w:pPr>
      <w:r>
        <w:rPr>
          <w:rFonts w:ascii="Courier New" w:cs="Courier New" w:eastAsia="Courier New" w:hAnsi="Courier New"/>
          <w:sz w:val="17"/>
          <w:szCs w:val="17"/>
          <w:color w:val="auto"/>
        </w:rPr>
        <w:t>160</w:t>
      </w:r>
    </w:p>
    <w:p>
      <w:pPr>
        <w:ind w:left="3700"/>
        <w:spacing w:after="0"/>
        <w:rPr>
          <w:sz w:val="20"/>
          <w:szCs w:val="20"/>
          <w:color w:val="auto"/>
        </w:rPr>
      </w:pPr>
      <w:r>
        <w:rPr>
          <w:rFonts w:ascii="Courier New" w:cs="Courier New" w:eastAsia="Courier New" w:hAnsi="Courier New"/>
          <w:sz w:val="17"/>
          <w:szCs w:val="17"/>
          <w:color w:val="auto"/>
        </w:rPr>
        <w:t>90,838</w:t>
      </w:r>
    </w:p>
    <w:p>
      <w:pPr>
        <w:ind w:left="1880"/>
        <w:spacing w:after="0"/>
        <w:rPr>
          <w:sz w:val="20"/>
          <w:szCs w:val="20"/>
          <w:color w:val="auto"/>
        </w:rPr>
      </w:pPr>
      <w:r>
        <w:rPr>
          <w:rFonts w:ascii="Courier New" w:cs="Courier New" w:eastAsia="Courier New" w:hAnsi="Courier New"/>
          <w:sz w:val="17"/>
          <w:szCs w:val="17"/>
          <w:color w:val="auto"/>
        </w:rPr>
        <w:t>148,984</w:t>
      </w:r>
    </w:p>
    <w:p>
      <w:pPr>
        <w:ind w:left="4000"/>
        <w:spacing w:after="0"/>
        <w:rPr>
          <w:sz w:val="20"/>
          <w:szCs w:val="20"/>
          <w:color w:val="auto"/>
        </w:rPr>
      </w:pPr>
      <w:r>
        <w:rPr>
          <w:rFonts w:ascii="Courier New" w:cs="Courier New" w:eastAsia="Courier New" w:hAnsi="Courier New"/>
          <w:sz w:val="17"/>
          <w:szCs w:val="17"/>
          <w:color w:val="auto"/>
        </w:rPr>
        <w:t>197,472</w:t>
      </w:r>
    </w:p>
    <w:p>
      <w:pPr>
        <w:ind w:left="3080"/>
        <w:spacing w:after="0"/>
        <w:rPr>
          <w:sz w:val="20"/>
          <w:szCs w:val="20"/>
          <w:color w:val="auto"/>
        </w:rPr>
      </w:pPr>
      <w:r>
        <w:rPr>
          <w:rFonts w:ascii="Courier New" w:cs="Courier New" w:eastAsia="Courier New" w:hAnsi="Courier New"/>
          <w:sz w:val="17"/>
          <w:szCs w:val="17"/>
          <w:color w:val="auto"/>
        </w:rPr>
        <w:t>197,472</w:t>
      </w:r>
    </w:p>
    <w:p>
      <w:pPr>
        <w:ind w:left="4200"/>
        <w:spacing w:after="0"/>
        <w:rPr>
          <w:sz w:val="20"/>
          <w:szCs w:val="20"/>
          <w:color w:val="auto"/>
        </w:rPr>
      </w:pPr>
      <w:r>
        <w:rPr>
          <w:rFonts w:ascii="Courier New" w:cs="Courier New" w:eastAsia="Courier New" w:hAnsi="Courier New"/>
          <w:sz w:val="17"/>
          <w:szCs w:val="17"/>
          <w:color w:val="auto"/>
        </w:rPr>
        <w:t>167,771</w:t>
      </w:r>
    </w:p>
    <w:p>
      <w:pPr>
        <w:ind w:left="3400"/>
        <w:spacing w:after="0"/>
        <w:rPr>
          <w:sz w:val="20"/>
          <w:szCs w:val="20"/>
          <w:color w:val="auto"/>
        </w:rPr>
      </w:pPr>
      <w:r>
        <w:rPr>
          <w:rFonts w:ascii="Courier New" w:cs="Courier New" w:eastAsia="Courier New" w:hAnsi="Courier New"/>
          <w:sz w:val="17"/>
          <w:szCs w:val="17"/>
          <w:color w:val="auto"/>
        </w:rPr>
        <w:t>167,771</w:t>
      </w:r>
    </w:p>
    <w:p>
      <w:pPr>
        <w:ind w:left="3080"/>
        <w:spacing w:after="0"/>
        <w:rPr>
          <w:sz w:val="20"/>
          <w:szCs w:val="20"/>
          <w:color w:val="auto"/>
        </w:rPr>
      </w:pPr>
      <w:r>
        <w:rPr>
          <w:rFonts w:ascii="Courier New" w:cs="Courier New" w:eastAsia="Courier New" w:hAnsi="Courier New"/>
          <w:sz w:val="17"/>
          <w:szCs w:val="17"/>
          <w:color w:val="auto"/>
        </w:rPr>
        <w:t>63,982</w:t>
      </w:r>
    </w:p>
    <w:p>
      <w:pPr>
        <w:ind w:left="3080"/>
        <w:spacing w:after="0"/>
        <w:rPr>
          <w:sz w:val="20"/>
          <w:szCs w:val="20"/>
          <w:color w:val="auto"/>
        </w:rPr>
      </w:pPr>
      <w:r>
        <w:rPr>
          <w:rFonts w:ascii="Courier New" w:cs="Courier New" w:eastAsia="Courier New" w:hAnsi="Courier New"/>
          <w:sz w:val="17"/>
          <w:szCs w:val="17"/>
          <w:color w:val="auto"/>
        </w:rPr>
        <w:t>0</w:t>
      </w:r>
    </w:p>
    <w:p>
      <w:pPr>
        <w:ind w:left="2880"/>
        <w:spacing w:after="0"/>
        <w:rPr>
          <w:sz w:val="20"/>
          <w:szCs w:val="20"/>
          <w:color w:val="auto"/>
        </w:rPr>
      </w:pPr>
      <w:r>
        <w:rPr>
          <w:rFonts w:ascii="Courier New" w:cs="Courier New" w:eastAsia="Courier New" w:hAnsi="Courier New"/>
          <w:sz w:val="17"/>
          <w:szCs w:val="17"/>
          <w:color w:val="auto"/>
        </w:rPr>
        <w:t>664</w:t>
      </w:r>
    </w:p>
    <w:p>
      <w:pPr>
        <w:ind w:left="3180"/>
        <w:spacing w:after="0"/>
        <w:rPr>
          <w:sz w:val="20"/>
          <w:szCs w:val="20"/>
          <w:color w:val="auto"/>
        </w:rPr>
      </w:pPr>
      <w:r>
        <w:rPr>
          <w:rFonts w:ascii="Courier New" w:cs="Courier New" w:eastAsia="Courier New" w:hAnsi="Courier New"/>
          <w:sz w:val="17"/>
          <w:szCs w:val="17"/>
          <w:color w:val="auto"/>
        </w:rPr>
        <w:t>(34,851)</w:t>
      </w:r>
    </w:p>
    <w:p>
      <w:pPr>
        <w:ind w:left="3500"/>
        <w:spacing w:after="0"/>
        <w:rPr>
          <w:sz w:val="20"/>
          <w:szCs w:val="20"/>
          <w:color w:val="auto"/>
        </w:rPr>
      </w:pPr>
      <w:r>
        <w:rPr>
          <w:rFonts w:ascii="Courier New" w:cs="Courier New" w:eastAsia="Courier New" w:hAnsi="Courier New"/>
          <w:sz w:val="17"/>
          <w:szCs w:val="17"/>
          <w:color w:val="auto"/>
        </w:rPr>
        <w:t>(14,333)</w:t>
      </w:r>
    </w:p>
    <w:p>
      <w:pPr>
        <w:ind w:left="2780"/>
        <w:spacing w:after="0"/>
        <w:rPr>
          <w:sz w:val="20"/>
          <w:szCs w:val="20"/>
          <w:color w:val="auto"/>
        </w:rPr>
      </w:pPr>
      <w:r>
        <w:rPr>
          <w:rFonts w:ascii="Courier New" w:cs="Courier New" w:eastAsia="Courier New" w:hAnsi="Courier New"/>
          <w:sz w:val="17"/>
          <w:szCs w:val="17"/>
          <w:color w:val="auto"/>
        </w:rPr>
        <w:t>(20,331)</w:t>
      </w:r>
    </w:p>
    <w:p>
      <w:pPr>
        <w:ind w:left="3300"/>
        <w:spacing w:after="0"/>
        <w:rPr>
          <w:sz w:val="20"/>
          <w:szCs w:val="20"/>
          <w:color w:val="auto"/>
        </w:rPr>
      </w:pPr>
      <w:r>
        <w:rPr>
          <w:rFonts w:ascii="Courier New" w:cs="Courier New" w:eastAsia="Courier New" w:hAnsi="Courier New"/>
          <w:sz w:val="17"/>
          <w:szCs w:val="17"/>
          <w:color w:val="auto"/>
        </w:rPr>
        <w:t>0</w:t>
      </w:r>
    </w:p>
    <w:p>
      <w:pPr>
        <w:ind w:left="3180"/>
        <w:spacing w:after="0"/>
        <w:rPr>
          <w:sz w:val="20"/>
          <w:szCs w:val="20"/>
          <w:color w:val="auto"/>
        </w:rPr>
      </w:pPr>
      <w:r>
        <w:rPr>
          <w:rFonts w:ascii="Courier New" w:cs="Courier New" w:eastAsia="Courier New" w:hAnsi="Courier New"/>
          <w:sz w:val="17"/>
          <w:szCs w:val="17"/>
          <w:color w:val="auto"/>
        </w:rPr>
        <w:t>0</w:t>
      </w:r>
    </w:p>
    <w:p>
      <w:pPr>
        <w:ind w:left="3800"/>
        <w:spacing w:after="0"/>
        <w:rPr>
          <w:sz w:val="20"/>
          <w:szCs w:val="20"/>
          <w:color w:val="auto"/>
        </w:rPr>
      </w:pPr>
      <w:r>
        <w:rPr>
          <w:rFonts w:ascii="Courier New" w:cs="Courier New" w:eastAsia="Courier New" w:hAnsi="Courier New"/>
          <w:sz w:val="17"/>
          <w:szCs w:val="17"/>
          <w:color w:val="auto"/>
        </w:rPr>
        <w:t>0</w:t>
      </w:r>
    </w:p>
    <w:p>
      <w:pPr>
        <w:ind w:left="3500"/>
        <w:spacing w:after="0"/>
        <w:rPr>
          <w:sz w:val="20"/>
          <w:szCs w:val="20"/>
          <w:color w:val="auto"/>
        </w:rPr>
      </w:pPr>
      <w:r>
        <w:rPr>
          <w:rFonts w:ascii="Courier New" w:cs="Courier New" w:eastAsia="Courier New" w:hAnsi="Courier New"/>
          <w:sz w:val="17"/>
          <w:szCs w:val="17"/>
          <w:color w:val="auto"/>
        </w:rPr>
        <w:t>(20,331)</w:t>
      </w:r>
    </w:p>
    <w:p>
      <w:pPr>
        <w:ind w:left="3400"/>
        <w:spacing w:after="0"/>
        <w:rPr>
          <w:sz w:val="20"/>
          <w:szCs w:val="20"/>
          <w:color w:val="auto"/>
        </w:rPr>
      </w:pPr>
      <w:r>
        <w:rPr>
          <w:rFonts w:ascii="Courier New" w:cs="Courier New" w:eastAsia="Courier New" w:hAnsi="Courier New"/>
          <w:sz w:val="17"/>
          <w:szCs w:val="17"/>
          <w:color w:val="auto"/>
        </w:rPr>
        <w:t>(1.30)</w:t>
      </w:r>
    </w:p>
    <w:p>
      <w:pPr>
        <w:ind w:left="3400"/>
        <w:spacing w:after="0"/>
        <w:rPr>
          <w:sz w:val="20"/>
          <w:szCs w:val="20"/>
          <w:color w:val="auto"/>
        </w:rPr>
      </w:pPr>
      <w:r>
        <w:rPr>
          <w:rFonts w:ascii="Courier New" w:cs="Courier New" w:eastAsia="Courier New" w:hAnsi="Courier New"/>
          <w:sz w:val="17"/>
          <w:szCs w:val="17"/>
          <w:color w:val="auto"/>
        </w:rPr>
        <w:t>(1.30)</w:t>
      </w:r>
    </w:p>
    <w:sectPr>
      <w:pgSz w:w="11900" w:h="16838" w:orient="portrait"/>
      <w:cols w:equalWidth="0" w:num="1">
        <w:col w:w="10199"/>
      </w:cols>
      <w:pgMar w:left="260" w:top="7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78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decimal"/>
      <w:start w:val="3"/>
    </w:lvl>
  </w:abstractNum>
  <w:abstractNum w:abstractNumId="4">
    <w:nsid w:val="431BD7B7"/>
    <w:multiLevelType w:val="hybridMultilevel"/>
    <w:lvl w:ilvl="0">
      <w:lvlJc w:val="left"/>
      <w:lvlText w:val="%1."/>
      <w:numFmt w:val="decimal"/>
      <w:start w:val="4"/>
    </w:lvl>
  </w:abstractNum>
  <w:abstractNum w:abstractNumId="5">
    <w:nsid w:val="3F2DBA31"/>
    <w:multiLevelType w:val="hybridMultilevel"/>
    <w:lvl w:ilvl="0">
      <w:lvlJc w:val="left"/>
      <w:lvlText w:val="(%1)"/>
      <w:numFmt w:val="lowerLetter"/>
      <w:start w:val="2"/>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upperLetter"/>
      <w:start w:val="9"/>
    </w:lvl>
  </w:abstractNum>
  <w:abstractNum w:abstractNumId="22">
    <w:nsid w:val="54E49EB4"/>
    <w:multiLevelType w:val="hybridMultilevel"/>
    <w:lvl w:ilvl="0">
      <w:lvlJc w:val="left"/>
      <w:lvlText w:val="%1."/>
      <w:numFmt w:val="upperLetter"/>
      <w:start w:val="35"/>
    </w:lvl>
  </w:abstractNum>
  <w:abstractNum w:abstractNumId="23">
    <w:nsid w:val="71F32454"/>
    <w:multiLevelType w:val="hybridMultilevel"/>
    <w:lvl w:ilvl="0">
      <w:lvlJc w:val="left"/>
      <w:lvlText w:val="%1."/>
      <w:numFmt w:val="upperLetter"/>
      <w:start w:val="61"/>
    </w:lvl>
  </w:abstractNum>
  <w:abstractNum w:abstractNumId="24">
    <w:nsid w:val="2CA88611"/>
    <w:multiLevelType w:val="hybridMultilevel"/>
    <w:lvl w:ilvl="0">
      <w:lvlJc w:val="left"/>
      <w:lvlText w:val="%1."/>
      <w:numFmt w:val="upperLetter"/>
      <w:start w:val="1"/>
    </w:lvl>
  </w:abstractNum>
  <w:abstractNum w:abstractNumId="25">
    <w:nsid w:val="836C40E"/>
    <w:multiLevelType w:val="hybridMultilevel"/>
    <w:lvl w:ilvl="0">
      <w:lvlJc w:val="left"/>
      <w:lvlText w:val="%1"/>
      <w:numFmt w:val="decimal"/>
      <w:start w:val="11"/>
    </w:lvl>
  </w:abstractNum>
  <w:abstractNum w:abstractNumId="26">
    <w:nsid w:val="2901D82"/>
    <w:multiLevelType w:val="hybridMultilevel"/>
    <w:lvl w:ilvl="0">
      <w:lvlJc w:val="left"/>
      <w:lvlText w:val="%1"/>
      <w:numFmt w:val="decimal"/>
      <w:start w:val="27"/>
    </w:lvl>
  </w:abstractNum>
  <w:abstractNum w:abstractNumId="27">
    <w:nsid w:val="3A95F874"/>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lowerRoman"/>
      <w:start w:val="4"/>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2019-12-19T22:01:01Z</dcterms:created>
  <dcterms:modified xsi:type="dcterms:W3CDTF">2019-12-19T22:01:01Z</dcterms:modified>
</cp:coreProperties>
</file>