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April 06,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DESTINATION XL GROUP,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00" w:type="dxa"/>
            <w:vAlign w:val="bottom"/>
          </w:tcPr>
          <w:p>
            <w:pPr>
              <w:jc w:val="center"/>
              <w:ind w:right="601"/>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right"/>
              <w:ind w:right="1361"/>
              <w:spacing w:after="0"/>
              <w:rPr>
                <w:sz w:val="20"/>
                <w:szCs w:val="20"/>
                <w:color w:val="auto"/>
              </w:rPr>
            </w:pPr>
            <w:r>
              <w:rPr>
                <w:rFonts w:ascii="Arial" w:cs="Arial" w:eastAsia="Arial" w:hAnsi="Arial"/>
                <w:sz w:val="18"/>
                <w:szCs w:val="18"/>
                <w:b w:val="1"/>
                <w:bCs w:val="1"/>
                <w:color w:val="auto"/>
              </w:rPr>
              <w:t>01-34219</w:t>
            </w:r>
          </w:p>
        </w:tc>
        <w:tc>
          <w:tcPr>
            <w:tcW w:w="2040" w:type="dxa"/>
            <w:vAlign w:val="bottom"/>
          </w:tcPr>
          <w:p>
            <w:pPr>
              <w:jc w:val="right"/>
              <w:ind w:right="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5"/>
              </w:rPr>
              <w:t>(State or Other Jurisdiction</w:t>
            </w:r>
          </w:p>
        </w:tc>
        <w:tc>
          <w:tcPr>
            <w:tcW w:w="326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6"/>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41"/>
        </w:trPr>
        <w:tc>
          <w:tcPr>
            <w:tcW w:w="3000" w:type="dxa"/>
            <w:vAlign w:val="bottom"/>
          </w:tcPr>
          <w:p>
            <w:pPr>
              <w:jc w:val="center"/>
              <w:ind w:right="601"/>
              <w:spacing w:after="0"/>
              <w:rPr>
                <w:sz w:val="20"/>
                <w:szCs w:val="20"/>
                <w:color w:val="auto"/>
              </w:rPr>
            </w:pPr>
            <w:r>
              <w:rPr>
                <w:rFonts w:ascii="Arial" w:cs="Arial" w:eastAsia="Arial" w:hAnsi="Arial"/>
                <w:sz w:val="18"/>
                <w:szCs w:val="18"/>
                <w:b w:val="1"/>
                <w:bCs w:val="1"/>
                <w:color w:val="auto"/>
                <w:w w:val="90"/>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3000" w:type="dxa"/>
            <w:vAlign w:val="bottom"/>
          </w:tcPr>
          <w:p>
            <w:pPr>
              <w:jc w:val="center"/>
              <w:ind w:right="601"/>
              <w:spacing w:after="0"/>
              <w:rPr>
                <w:sz w:val="20"/>
                <w:szCs w:val="20"/>
                <w:color w:val="auto"/>
              </w:rPr>
            </w:pPr>
            <w:r>
              <w:rPr>
                <w:rFonts w:ascii="Arial" w:cs="Arial" w:eastAsia="Arial" w:hAnsi="Arial"/>
                <w:sz w:val="18"/>
                <w:szCs w:val="18"/>
                <w:b w:val="1"/>
                <w:bCs w:val="1"/>
                <w:color w:val="auto"/>
                <w:w w:val="87"/>
              </w:rPr>
              <w:t>Canton,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02021</w:t>
            </w:r>
          </w:p>
        </w:tc>
      </w:tr>
      <w:tr>
        <w:trPr>
          <w:trHeight w:val="175"/>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DXLG</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ind w:right="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Departure of Certain Officers.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April 6, 2023, Dara Pauker, the Chief Operating Officer of Destination XL Group, Inc. (the “Company”), left the Company. Pursuant to the terms of her Employment Agreement, Ms. Pauker will receive a payment of $212,500, payable over six months (inclusive of the one-month notice period), which will be paid in accordance with the Company’s customary payroll practices and conditioned upon Ms. Pauker's having executed a general release. All equity awards granted to Ms. Pauker were forfeited pursuant to the terms of the Company’s shareholder-approved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918845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445" w:right="5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Destination XL Group,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2023-04-06T17:46:30Z</dcterms:created>
  <dcterms:modified xsi:type="dcterms:W3CDTF">2023-04-06T17:46:30Z</dcterms:modified>
</cp:coreProperties>
</file>