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1"/>
          <w:szCs w:val="21"/>
          <w:b w:val="1"/>
          <w:bCs w:val="1"/>
          <w:color w:val="auto"/>
        </w:rPr>
        <w:t>Date of Report (Date of earliest event reported): February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5" w:lineRule="exact"/>
        <w:rPr>
          <w:sz w:val="24"/>
          <w:szCs w:val="24"/>
          <w:color w:val="auto"/>
        </w:rPr>
      </w:pPr>
    </w:p>
    <w:p>
      <w:pPr>
        <w:sectPr>
          <w:pgSz w:w="11900" w:h="16838" w:orient="portrait"/>
          <w:cols w:equalWidth="0" w:num="3">
            <w:col w:w="4780" w:space="720"/>
            <w:col w:w="2960" w:space="720"/>
            <w:col w:w="1840"/>
          </w:cols>
          <w:pgMar w:left="240" w:top="314" w:right="639" w:bottom="1440" w:gutter="0" w:footer="0" w:header="0"/>
          <w:type w:val="continuous"/>
        </w:sect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240"/>
        <w:spacing w:after="0"/>
        <w:rPr>
          <w:sz w:val="20"/>
          <w:szCs w:val="20"/>
          <w:color w:val="auto"/>
        </w:rPr>
      </w:pPr>
      <w:r>
        <w:rPr>
          <w:rFonts w:ascii="Arial" w:cs="Arial" w:eastAsia="Arial" w:hAnsi="Arial"/>
          <w:sz w:val="15"/>
          <w:szCs w:val="15"/>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Effective February 25, 2013, Casual Male Group, Inc. (the “Corporation”) changed its name to Destination XL Group, Inc. The name change was effected through a short-form merger pursuant to Section 253 of the Delaware General Corporation Law (the “DGCL”) by merging a wholly-owned subsidiary of the Corporation with and into the Corporation, with the Corporation as the surviving entity in the merger. Under the DGCL, the merger did not require stockholder approval and had the effect of amending the Corporation’s certificate of incorporation to reflect the new legal name of the Corporation. The Corporation also amended its bylaws, effective as of the same date, to reflect the name change.</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merger and resulting name change do not affect the rights of the Corporation’s security holders. There were no other changes to the Corporation’s certificate of incorporation or bylaws. The Corporation’s common stock has been assigned a new CUSIP number of 25065K 104 in connection with the name change. Outstanding stock certificates will not be affected and will not need to be exchanged.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copy of the Certificate of Ownership and Merger effecting the name change, as filed with the Delaware Secretary of State on February 22, 2013, is attached hereto as Exhibit 3.1 and is incorporated herein by reference. A copy of the bylaws of the Company, as amended, is attached hereto as Exhibit 3.2 and is incorporated herein by reference.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February 22, 2013, the Company issued a press release announcing the transaction described above. A copy of the press release is attached as Exhibit 99.1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20"/>
              <w:spacing w:after="0" w:line="159" w:lineRule="exact"/>
              <w:rPr>
                <w:sz w:val="20"/>
                <w:szCs w:val="20"/>
                <w:color w:val="auto"/>
              </w:rPr>
            </w:pPr>
            <w:r>
              <w:rPr>
                <w:rFonts w:ascii="Arial" w:cs="Arial" w:eastAsia="Arial" w:hAnsi="Arial"/>
                <w:sz w:val="14"/>
                <w:szCs w:val="14"/>
                <w:color w:val="auto"/>
              </w:rPr>
              <w:t>No.</w:t>
            </w:r>
          </w:p>
        </w:tc>
        <w:tc>
          <w:tcPr>
            <w:tcW w:w="560" w:type="dxa"/>
            <w:vAlign w:val="bottom"/>
          </w:tcPr>
          <w:p>
            <w:pPr>
              <w:spacing w:after="0"/>
              <w:rPr>
                <w:sz w:val="13"/>
                <w:szCs w:val="13"/>
                <w:color w:val="auto"/>
              </w:rPr>
            </w:pPr>
          </w:p>
        </w:tc>
        <w:tc>
          <w:tcPr>
            <w:tcW w:w="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1"/>
              </w:rPr>
              <w:t>Description</w:t>
            </w:r>
          </w:p>
        </w:tc>
        <w:tc>
          <w:tcPr>
            <w:tcW w:w="1940" w:type="dxa"/>
            <w:vAlign w:val="bottom"/>
          </w:tcPr>
          <w:p>
            <w:pPr>
              <w:spacing w:after="0"/>
              <w:rPr>
                <w:sz w:val="13"/>
                <w:szCs w:val="13"/>
                <w:color w:val="auto"/>
              </w:rPr>
            </w:pPr>
          </w:p>
        </w:tc>
      </w:tr>
      <w:tr>
        <w:trPr>
          <w:trHeight w:val="316"/>
        </w:trPr>
        <w:tc>
          <w:tcPr>
            <w:tcW w:w="420" w:type="dxa"/>
            <w:vAlign w:val="bottom"/>
          </w:tcPr>
          <w:p>
            <w:pPr>
              <w:jc w:val="right"/>
              <w:ind w:right="20"/>
              <w:spacing w:after="0"/>
              <w:rPr>
                <w:sz w:val="20"/>
                <w:szCs w:val="20"/>
                <w:color w:val="auto"/>
              </w:rPr>
            </w:pPr>
            <w:r>
              <w:rPr>
                <w:rFonts w:ascii="Arial" w:cs="Arial" w:eastAsia="Arial" w:hAnsi="Arial"/>
                <w:sz w:val="18"/>
                <w:szCs w:val="18"/>
                <w:color w:val="auto"/>
              </w:rPr>
              <w:t>3.1</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w w:val="89"/>
              </w:rPr>
              <w:t>Certificate of Ownership and Merger</w:t>
            </w:r>
          </w:p>
        </w:tc>
      </w:tr>
      <w:tr>
        <w:trPr>
          <w:trHeight w:val="324"/>
        </w:trPr>
        <w:tc>
          <w:tcPr>
            <w:tcW w:w="420" w:type="dxa"/>
            <w:vAlign w:val="bottom"/>
          </w:tcPr>
          <w:p>
            <w:pPr>
              <w:jc w:val="right"/>
              <w:ind w:right="20"/>
              <w:spacing w:after="0"/>
              <w:rPr>
                <w:sz w:val="20"/>
                <w:szCs w:val="20"/>
                <w:color w:val="auto"/>
              </w:rPr>
            </w:pPr>
            <w:r>
              <w:rPr>
                <w:rFonts w:ascii="Arial" w:cs="Arial" w:eastAsia="Arial" w:hAnsi="Arial"/>
                <w:sz w:val="18"/>
                <w:szCs w:val="18"/>
                <w:color w:val="auto"/>
              </w:rPr>
              <w:t>3.2</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20" w:type="dxa"/>
            <w:vAlign w:val="bottom"/>
          </w:tcPr>
          <w:p>
            <w:pPr>
              <w:jc w:val="right"/>
              <w:ind w:right="20"/>
              <w:spacing w:after="0"/>
              <w:rPr>
                <w:sz w:val="20"/>
                <w:szCs w:val="20"/>
                <w:color w:val="auto"/>
              </w:rPr>
            </w:pPr>
            <w:r>
              <w:rPr>
                <w:rFonts w:ascii="Arial" w:cs="Arial" w:eastAsia="Arial" w:hAnsi="Arial"/>
                <w:sz w:val="18"/>
                <w:szCs w:val="18"/>
                <w:color w:val="auto"/>
                <w:w w:val="85"/>
              </w:rPr>
              <w:t>99.1</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25, 2013</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10795</wp:posOffset>
            </wp:positionV>
            <wp:extent cx="3481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3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20"/>
              <w:spacing w:after="0" w:line="159" w:lineRule="exact"/>
              <w:rPr>
                <w:sz w:val="20"/>
                <w:szCs w:val="20"/>
                <w:color w:val="auto"/>
              </w:rPr>
            </w:pPr>
            <w:r>
              <w:rPr>
                <w:rFonts w:ascii="Arial" w:cs="Arial" w:eastAsia="Arial" w:hAnsi="Arial"/>
                <w:sz w:val="14"/>
                <w:szCs w:val="14"/>
                <w:color w:val="auto"/>
              </w:rPr>
              <w:t>No.</w:t>
            </w:r>
          </w:p>
        </w:tc>
        <w:tc>
          <w:tcPr>
            <w:tcW w:w="560" w:type="dxa"/>
            <w:vAlign w:val="bottom"/>
          </w:tcPr>
          <w:p>
            <w:pPr>
              <w:spacing w:after="0"/>
              <w:rPr>
                <w:sz w:val="13"/>
                <w:szCs w:val="13"/>
                <w:color w:val="auto"/>
              </w:rPr>
            </w:pPr>
          </w:p>
        </w:tc>
        <w:tc>
          <w:tcPr>
            <w:tcW w:w="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1"/>
              </w:rPr>
              <w:t>Description</w:t>
            </w:r>
          </w:p>
        </w:tc>
        <w:tc>
          <w:tcPr>
            <w:tcW w:w="1940" w:type="dxa"/>
            <w:vAlign w:val="bottom"/>
          </w:tcPr>
          <w:p>
            <w:pPr>
              <w:spacing w:after="0"/>
              <w:rPr>
                <w:sz w:val="13"/>
                <w:szCs w:val="13"/>
                <w:color w:val="auto"/>
              </w:rPr>
            </w:pPr>
          </w:p>
        </w:tc>
      </w:tr>
      <w:tr>
        <w:trPr>
          <w:trHeight w:val="316"/>
        </w:trPr>
        <w:tc>
          <w:tcPr>
            <w:tcW w:w="420" w:type="dxa"/>
            <w:vAlign w:val="bottom"/>
          </w:tcPr>
          <w:p>
            <w:pPr>
              <w:jc w:val="right"/>
              <w:ind w:right="20"/>
              <w:spacing w:after="0"/>
              <w:rPr>
                <w:sz w:val="20"/>
                <w:szCs w:val="20"/>
                <w:color w:val="auto"/>
              </w:rPr>
            </w:pPr>
            <w:r>
              <w:rPr>
                <w:rFonts w:ascii="Arial" w:cs="Arial" w:eastAsia="Arial" w:hAnsi="Arial"/>
                <w:sz w:val="18"/>
                <w:szCs w:val="18"/>
                <w:color w:val="auto"/>
              </w:rPr>
              <w:t>3.1</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w w:val="89"/>
              </w:rPr>
              <w:t>Certificate of Ownership and Merger</w:t>
            </w:r>
          </w:p>
        </w:tc>
      </w:tr>
      <w:tr>
        <w:trPr>
          <w:trHeight w:val="324"/>
        </w:trPr>
        <w:tc>
          <w:tcPr>
            <w:tcW w:w="420" w:type="dxa"/>
            <w:vAlign w:val="bottom"/>
          </w:tcPr>
          <w:p>
            <w:pPr>
              <w:jc w:val="right"/>
              <w:ind w:right="20"/>
              <w:spacing w:after="0"/>
              <w:rPr>
                <w:sz w:val="20"/>
                <w:szCs w:val="20"/>
                <w:color w:val="auto"/>
              </w:rPr>
            </w:pPr>
            <w:r>
              <w:rPr>
                <w:rFonts w:ascii="Arial" w:cs="Arial" w:eastAsia="Arial" w:hAnsi="Arial"/>
                <w:sz w:val="18"/>
                <w:szCs w:val="18"/>
                <w:color w:val="auto"/>
              </w:rPr>
              <w:t>3.2</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20" w:type="dxa"/>
            <w:vAlign w:val="bottom"/>
          </w:tcPr>
          <w:p>
            <w:pPr>
              <w:jc w:val="right"/>
              <w:ind w:right="20"/>
              <w:spacing w:after="0"/>
              <w:rPr>
                <w:sz w:val="20"/>
                <w:szCs w:val="20"/>
                <w:color w:val="auto"/>
              </w:rPr>
            </w:pPr>
            <w:r>
              <w:rPr>
                <w:rFonts w:ascii="Arial" w:cs="Arial" w:eastAsia="Arial" w:hAnsi="Arial"/>
                <w:sz w:val="18"/>
                <w:szCs w:val="18"/>
                <w:color w:val="auto"/>
                <w:w w:val="85"/>
              </w:rPr>
              <w:t>99.1</w:t>
            </w:r>
          </w:p>
        </w:tc>
        <w:tc>
          <w:tcPr>
            <w:tcW w:w="3160" w:type="dxa"/>
            <w:vAlign w:val="bottom"/>
            <w:gridSpan w:val="3"/>
          </w:tcPr>
          <w:p>
            <w:pPr>
              <w:ind w:left="560"/>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 General Corporation Law of Delaware)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incorporated in and existing pursuant to the provisions of the General Corporation Law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w:t>
      </w:r>
      <w:r>
        <w:rPr>
          <w:rFonts w:ascii="Arial" w:cs="Arial" w:eastAsia="Arial" w:hAnsi="Arial"/>
          <w:sz w:val="18"/>
          <w:szCs w:val="18"/>
          <w:b w:val="1"/>
          <w:bCs w:val="1"/>
          <w:color w:val="auto"/>
        </w:rPr>
        <w:t>DGCL</w:t>
      </w:r>
      <w:r>
        <w:rPr>
          <w:rFonts w:ascii="Arial" w:cs="Arial" w:eastAsia="Arial" w:hAnsi="Arial"/>
          <w:sz w:val="18"/>
          <w:szCs w:val="18"/>
          <w:color w:val="auto"/>
        </w:rPr>
        <w:t>”), does hereby certify as follows:</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Corporation is incorporated and existing under the DGCL.</w:t>
      </w:r>
    </w:p>
    <w:p>
      <w:pPr>
        <w:spacing w:after="0" w:line="84"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Corporation owns 100% of the outstanding capital stock of Destination XL Group, Inc., a Delaware corporation (“</w:t>
      </w:r>
      <w:r>
        <w:rPr>
          <w:rFonts w:ascii="Arial" w:cs="Arial" w:eastAsia="Arial" w:hAnsi="Arial"/>
          <w:sz w:val="18"/>
          <w:szCs w:val="18"/>
          <w:b w:val="1"/>
          <w:bCs w:val="1"/>
          <w:color w:val="auto"/>
        </w:rPr>
        <w:t>Subsidiary</w:t>
      </w:r>
      <w:r>
        <w:rPr>
          <w:rFonts w:ascii="Arial" w:cs="Arial" w:eastAsia="Arial" w:hAnsi="Arial"/>
          <w:sz w:val="18"/>
          <w:szCs w:val="18"/>
          <w:color w:val="auto"/>
        </w:rPr>
        <w:t>”) incorporated on the 5th of February 2013, pursuant to the provisions of the DGCL.</w:t>
      </w:r>
    </w:p>
    <w:p>
      <w:pPr>
        <w:spacing w:after="0" w:line="38" w:lineRule="exact"/>
        <w:rPr>
          <w:rFonts w:ascii="Arial" w:cs="Arial" w:eastAsia="Arial" w:hAnsi="Arial"/>
          <w:sz w:val="18"/>
          <w:szCs w:val="18"/>
          <w:color w:val="auto"/>
        </w:rPr>
      </w:pPr>
    </w:p>
    <w:p>
      <w:pPr>
        <w:ind w:left="460" w:right="440" w:hanging="452"/>
        <w:spacing w:after="0" w:line="27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Corporation hereby merges the Subsidiary into itself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by resolution of its board of directors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duly adopted on the 31st day of January 2013.</w:t>
      </w:r>
    </w:p>
    <w:p>
      <w:pPr>
        <w:spacing w:after="0" w:line="44"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Corporation shall be the surviving corporation in the Merger and, pursuant to Section 253(b) of the DGCL, Article First of the Restated Certificate of Incorporation of the Corporation shall be amended to read as follows: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name of this corporation is Destination XL Group,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shall become effective at 12:01 AM Eastern Time on February 25, 2013.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Certificate to be signed by its duly authorized officer on this 22th day of February, 2013.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Name: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Chief Financial Officer, Treasurer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2">
            <w:col w:w="960" w:space="160"/>
            <w:col w:w="10300"/>
          </w:cols>
          <w:pgMar w:left="240" w:top="125" w:right="239" w:bottom="1440" w:gutter="0" w:footer="0" w:header="0"/>
          <w:type w:val="continuous"/>
        </w:sectPr>
      </w:pPr>
    </w:p>
    <w:bookmarkStart w:id="5" w:name="page6"/>
    <w:bookmarkEnd w:id="5"/>
    <w:p>
      <w:pPr>
        <w:ind w:left="5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Board Resolutions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RESOLUTIONS ADOPTED BY THE BOARD OF 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 A MEETING HELD ON JANUARY 31, 2013</w:t>
      </w:r>
    </w:p>
    <w:p>
      <w:pPr>
        <w:spacing w:after="0" w:line="159"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advisable and in the best interests of Casual Male Retail Group,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to change its official</w:t>
      </w:r>
      <w:r>
        <w:rPr>
          <w:rFonts w:ascii="Arial" w:cs="Arial" w:eastAsia="Arial" w:hAnsi="Arial"/>
          <w:sz w:val="18"/>
          <w:szCs w:val="18"/>
          <w:b w:val="1"/>
          <w:bCs w:val="1"/>
          <w:color w:val="auto"/>
        </w:rPr>
        <w:t xml:space="preserve"> </w:t>
      </w:r>
      <w:r>
        <w:rPr>
          <w:rFonts w:ascii="Arial" w:cs="Arial" w:eastAsia="Arial" w:hAnsi="Arial"/>
          <w:sz w:val="18"/>
          <w:szCs w:val="18"/>
          <w:color w:val="auto"/>
        </w:rPr>
        <w:t>name from “Casual Male Retail Group, Inc.” to “Destination XL Group, Inc.” (the “</w:t>
      </w:r>
      <w:r>
        <w:rPr>
          <w:rFonts w:ascii="Arial" w:cs="Arial" w:eastAsia="Arial" w:hAnsi="Arial"/>
          <w:sz w:val="18"/>
          <w:szCs w:val="18"/>
          <w:b w:val="1"/>
          <w:bCs w:val="1"/>
          <w:color w:val="auto"/>
        </w:rPr>
        <w:t>Name Change</w:t>
      </w:r>
      <w:r>
        <w:rPr>
          <w:rFonts w:ascii="Arial" w:cs="Arial" w:eastAsia="Arial" w:hAnsi="Arial"/>
          <w:sz w:val="18"/>
          <w:szCs w:val="18"/>
          <w:color w:val="auto"/>
        </w:rPr>
        <w:t>”), and to effect the Name Change pursuant to the provisions of Section 253 of the General Corporation Law of the State of Delaware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solely to facilitate the Name Change, the Corporation desires to incorporate in the State of Delaware a wholly-owned subsidiary, Destination</w:t>
      </w:r>
      <w:r>
        <w:rPr>
          <w:rFonts w:ascii="Arial" w:cs="Arial" w:eastAsia="Arial" w:hAnsi="Arial"/>
          <w:sz w:val="18"/>
          <w:szCs w:val="18"/>
          <w:b w:val="1"/>
          <w:bCs w:val="1"/>
          <w:color w:val="auto"/>
        </w:rPr>
        <w:t xml:space="preserve"> </w:t>
      </w:r>
      <w:r>
        <w:rPr>
          <w:rFonts w:ascii="Arial" w:cs="Arial" w:eastAsia="Arial" w:hAnsi="Arial"/>
          <w:sz w:val="18"/>
          <w:szCs w:val="18"/>
          <w:color w:val="auto"/>
        </w:rPr>
        <w:t>XL Group, Inc. (“</w:t>
      </w:r>
      <w:r>
        <w:rPr>
          <w:rFonts w:ascii="Arial" w:cs="Arial" w:eastAsia="Arial" w:hAnsi="Arial"/>
          <w:sz w:val="18"/>
          <w:szCs w:val="18"/>
          <w:b w:val="1"/>
          <w:bCs w:val="1"/>
          <w:color w:val="auto"/>
        </w:rPr>
        <w:t>Subsidiary</w:t>
      </w:r>
      <w:r>
        <w:rPr>
          <w:rFonts w:ascii="Arial" w:cs="Arial" w:eastAsia="Arial" w:hAnsi="Arial"/>
          <w:sz w:val="18"/>
          <w:szCs w:val="18"/>
          <w:color w:val="auto"/>
        </w:rPr>
        <w:t>”), to merge with and into the Corporation (the “</w:t>
      </w:r>
      <w:r>
        <w:rPr>
          <w:rFonts w:ascii="Arial" w:cs="Arial" w:eastAsia="Arial" w:hAnsi="Arial"/>
          <w:sz w:val="18"/>
          <w:szCs w:val="18"/>
          <w:b w:val="1"/>
          <w:bCs w:val="1"/>
          <w:color w:val="auto"/>
        </w:rPr>
        <w:t>Merger</w:t>
      </w:r>
      <w:r>
        <w:rPr>
          <w:rFonts w:ascii="Arial" w:cs="Arial" w:eastAsia="Arial" w:hAnsi="Arial"/>
          <w:sz w:val="18"/>
          <w:szCs w:val="18"/>
          <w:color w:val="auto"/>
        </w:rPr>
        <w:t>”) pursuant to the provisions of Section 253 of the DGCL so that the Corporation will be the surviving Corporation following the Merger; and</w:t>
      </w:r>
    </w:p>
    <w:p>
      <w:pPr>
        <w:spacing w:after="0" w:line="13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duly considered and evaluated the terms and conditions of the proposed Name Change and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herein, including the transactions contemplated thereby, and unanimously believes such actions to be advisable and in the best interests of the Corporation and its stockholders to approve and effect the Name Change and the Merger.</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this Board of Directors deems the Name Change and the Merger advisable and in the best interests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stockholders;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Corporate Name Change; Merger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Name Change and Merger are authorized and approved;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Corporation shall cause the Subsidiary to be formed under the DGCL for the purpose of effecting the Name Change;</w:t>
      </w:r>
    </w:p>
    <w:p>
      <w:pPr>
        <w:spacing w:after="0" w:line="19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each of the officers of the Corporation is, individually, hereby authorized, in accordance with Section 253 of the DGCL,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file with the Secretary of State of the State of Delaware a Certificate of Ownership and Merger (“</w:t>
      </w:r>
      <w:r>
        <w:rPr>
          <w:rFonts w:ascii="Arial" w:cs="Arial" w:eastAsia="Arial" w:hAnsi="Arial"/>
          <w:sz w:val="18"/>
          <w:szCs w:val="18"/>
          <w:b w:val="1"/>
          <w:bCs w:val="1"/>
          <w:color w:val="auto"/>
        </w:rPr>
        <w:t>Certificate of Ownership and Merger</w:t>
      </w:r>
      <w:r>
        <w:rPr>
          <w:rFonts w:ascii="Arial" w:cs="Arial" w:eastAsia="Arial" w:hAnsi="Arial"/>
          <w:sz w:val="18"/>
          <w:szCs w:val="18"/>
          <w:color w:val="auto"/>
        </w:rPr>
        <w:t xml:space="preserve">”),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effecting the merger of Merger Sub with and into the Corporation, with the Corporation being the surviving Corporation in the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3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at any time prior to the Effective Time (as defined below), the Merger may be amended, modified, terminated or abandoned by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and it is further</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Merger shall be effective upon the effective date set forth in the Certificate of Ownership and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effects set forth in Section 259 of the DGCL;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pursuant to and at the Effective Time of the Merger, the name of the Surviving Corporation shall be changed to “Destination XL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59"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by virtue of the Merger and without any action on the part of the holder thereof, each then outstanding or treasury share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 remain unchanged and continue to remain outstanding or held in treasury, respectively, as one share of capital stock of the Corporation, held by the person who was the holder of such share of capital stock of the Corporation immediately prior to the Merger; and it is further</w:t>
      </w:r>
    </w:p>
    <w:p>
      <w:pPr>
        <w:sectPr>
          <w:pgSz w:w="11900" w:h="16838" w:orient="portrait"/>
          <w:cols w:equalWidth="0" w:num="1">
            <w:col w:w="11400"/>
          </w:cols>
          <w:pgMar w:left="240" w:top="274" w:right="259" w:bottom="1440" w:gutter="0" w:footer="0" w:header="0"/>
        </w:sectPr>
      </w:pPr>
    </w:p>
    <w:bookmarkStart w:id="6" w:name="page7"/>
    <w:bookmarkEnd w:id="6"/>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w:t>
      </w:r>
      <w:r>
        <w:rPr>
          <w:rFonts w:ascii="Arial" w:cs="Arial" w:eastAsia="Arial" w:hAnsi="Arial"/>
          <w:sz w:val="18"/>
          <w:szCs w:val="18"/>
          <w:color w:val="auto"/>
        </w:rPr>
        <w:t>that by virtue of the Merger and without any action on the part of the holder thereof, each then outstanding share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shall be cancelled and no consideration shall be issued in respect thereof.</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NASDAQ; Transfer Agent</w:t>
      </w:r>
    </w:p>
    <w:p>
      <w:pPr>
        <w:spacing w:after="0" w:line="9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each of the officers of the Corporation be, and each of them individually hereby is, authorized and directed, in the name and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to prepare, execute and file, or cause to be prepared, executed or filed, a notification of change in corporate record and a new listing agreement, and such other documents, and to take such steps, as may be necessary or desirable, with the NASDAQ Capital Market, the Depository Trust Company, and the Corporation’s transfer agent to give effect to the Name Change.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Amendment of Employee Benefits Plans</w:t>
      </w:r>
    </w:p>
    <w:p>
      <w:pPr>
        <w:spacing w:after="0" w:line="9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effective as of the Effective Time, each of the Corporation’s benefits plans and programs are hereby amended to replace each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“Casual Male Retail Group, Inc.” with “Destination XL Group, Inc.” to reflect the change in the Corporation’s name.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Corporate Governance; Stock Certificates</w:t>
      </w:r>
    </w:p>
    <w:p>
      <w:pPr>
        <w:spacing w:after="0" w:line="9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at the Effective Time, Article First of the Restated Certificate of Incorporation of the Corporation shall be amended in its entirety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as follows: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this corporation is Destination XL Group, Inc.”</w:t>
      </w:r>
    </w:p>
    <w:p>
      <w:pPr>
        <w:spacing w:after="0" w:line="165"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effective immediately following the Effective Time, the Amended and Restated By-laws of the Corporation shall be amended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deleting the name “Casual Male Retail Group, Inc.” from the heading thereof and substituting therefor the name “Destination XL Group, Inc.”;</w:t>
      </w:r>
    </w:p>
    <w:p>
      <w:pPr>
        <w:spacing w:after="0" w:line="74"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in connection with the incorporation of Merger Sub or the changing the Corporation’s name, each of the officers of the Corporation be,</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of them individually hereby is, authorized and directed, in the name and on behalf of the Corporation, to prepare, execute and file in the office of the Secretary of State of the State of Delaware, or cause to be so prepared, executed or filed, such additional certificates, instruments or other documents as may, in such officer’s judgment, be necessary or desirable;</w:t>
      </w:r>
    </w:p>
    <w:p>
      <w:pPr>
        <w:spacing w:after="0" w:line="13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after the Effective Time, the officers of the Corporation be, and each of them individually hereby is, authorized and directed,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and on behalf of the Corporation, to prepare, execute and file, or cause to be prepared, executed and filed, and to otherwise take such steps as may be necessary or desirable to change the name in which the Corporation is qualified to do business in such jurisdictions as it is so qualified to reflect the change in the Corporation’s name;</w:t>
      </w:r>
    </w:p>
    <w:p>
      <w:pPr>
        <w:spacing w:after="0" w:line="136"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stock certificate evidencing the ownership of each share of common stock, par value $0.01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issued and outstanding immediately prior to the effective time of the Merger shall continue to evidence ownership of the shares of the Corporation upon the effective time of the Merger; and it is further</w:t>
      </w:r>
    </w:p>
    <w:p>
      <w:pPr>
        <w:spacing w:after="0" w:line="132"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each stock certificate evidencing the ownership of Common Stock of Corporation issued any time after the effective time of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in the form of the stock certificate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as otherwise approved by the Authorized Officers of the Corporation.</w:t>
      </w:r>
    </w:p>
    <w:p>
      <w:pPr>
        <w:sectPr>
          <w:pgSz w:w="11900" w:h="16838" w:orient="portrait"/>
          <w:cols w:equalWidth="0" w:num="1">
            <w:col w:w="11400"/>
          </w:cols>
          <w:pgMar w:left="240" w:top="274" w:right="2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officers of the Corporation be, and each of them individually hereby is, authorized, in the name, and on behalf, of the Corporation,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file and deliver or cause to be executed, filed and delivered any and all other agreements, amendments, certificates, reports, applications, notices, letters or other documents and to do or cause to be done any and all such other acts and things as, in the opinion of any such officer, upon the advice of counsel, may be necessary or desirable in order to enable the Corporation to fully and promptly carry out the purposes and intent of the foregoing resolutions, and any such action taken or any agreement, amendment, certificate, report, application, notice, letter or other document executed and delivered by them or any of them in connection with any such action will be conclusive evidence of such authority to take, execute and deliver the same; and it is further</w:t>
      </w:r>
    </w:p>
    <w:p>
      <w:pPr>
        <w:spacing w:after="0" w:line="111"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all acts and deeds of, or at the direction of, any officer on behalf of the Corporation taken prior to the date hereof to carry out the intent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accomplish the purposes of the foregoing resolutions and that would have been authorized by the foregoing resolutions but for the fact that such acts were taken prior to the date hereof are hereby approved, adopted, ratified and confirmed in all respects as the acts and deeds of the Corporation.</w:t>
      </w:r>
    </w:p>
    <w:p>
      <w:pPr>
        <w:sectPr>
          <w:pgSz w:w="11900" w:h="16838" w:orient="portrait"/>
          <w:cols w:equalWidth="0" w:num="1">
            <w:col w:w="11400"/>
          </w:cols>
          <w:pgMar w:left="240" w:top="274"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(the “Corporation”)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 of Incorporation and By-Laws</w:t>
      </w:r>
      <w:r>
        <w:rPr>
          <w:rFonts w:ascii="Arial" w:cs="Arial" w:eastAsia="Arial" w:hAnsi="Arial"/>
          <w:sz w:val="18"/>
          <w:szCs w:val="18"/>
          <w:color w:val="auto"/>
        </w:rPr>
        <w: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1.1 These Amended and Restated By-Laws (these “By-Laws”) are subject to the Restated Certificate of Incorporation of the Corporation (the “Certificate of Incorporation”). In these By-Laws, references to the Certificate of Incorporation and By-Laws mean the provisions of the Certificate of Incorporation and the By-Laws as are from time to time in effect.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shall be in the City of Wilmington, County of New Castle, State of Delaware.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Location of Meetings</w:t>
      </w:r>
      <w:r>
        <w:rPr>
          <w:rFonts w:ascii="Arial" w:cs="Arial" w:eastAsia="Arial" w:hAnsi="Arial"/>
          <w:sz w:val="16"/>
          <w:szCs w:val="16"/>
          <w:color w:val="auto"/>
        </w:rPr>
        <w:t>.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shall be held at such date and time as shall be designated from time to time by the Board of Directors. Any other business as may be required or permitted by law or these By-Laws may properly come before the annual meeting.</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 Of Annual Meeting</w:t>
      </w:r>
      <w:r>
        <w:rPr>
          <w:rFonts w:ascii="Arial" w:cs="Arial" w:eastAsia="Arial" w:hAnsi="Arial"/>
          <w:sz w:val="18"/>
          <w:szCs w:val="18"/>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 and may not be called by any other person or persons.</w:t>
      </w:r>
    </w:p>
    <w:p>
      <w:pPr>
        <w:sectPr>
          <w:pgSz w:w="11900" w:h="16838" w:orient="portrait"/>
          <w:cols w:equalWidth="0" w:num="1">
            <w:col w:w="11420"/>
          </w:cols>
          <w:pgMar w:left="240" w:top="125" w:right="239" w:bottom="1440" w:gutter="0" w:footer="0" w:header="0"/>
        </w:sectPr>
      </w:pPr>
    </w:p>
    <w:bookmarkStart w:id="9" w:name="page10"/>
    <w:bookmarkEnd w:id="9"/>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Written notice of a special meeting of stockholders stating the place, date and hour of the meeting and the purpose or purposes for which the meeting is called, shall, except as required by applicable law,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Stockholder List</w:t>
      </w:r>
      <w:r>
        <w:rPr>
          <w:rFonts w:ascii="Arial" w:cs="Arial" w:eastAsia="Arial" w:hAnsi="Arial"/>
          <w:sz w:val="16"/>
          <w:szCs w:val="16"/>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Quorum Of Stockholders</w:t>
      </w:r>
      <w:r>
        <w:rPr>
          <w:rFonts w:ascii="Arial" w:cs="Arial" w:eastAsia="Arial" w:hAnsi="Arial"/>
          <w:sz w:val="18"/>
          <w:szCs w:val="18"/>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or her shares from the quorum count by declaring his or her shares absent from the meeting.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Conduct of Meetings; Adjournment</w:t>
      </w:r>
      <w:r>
        <w:rPr>
          <w:rFonts w:ascii="Arial" w:cs="Arial" w:eastAsia="Arial" w:hAnsi="Arial"/>
          <w:sz w:val="16"/>
          <w:szCs w:val="16"/>
          <w:color w:val="auto"/>
        </w:rPr>
        <w:t>. The Board of Directors may adopt such rules and procedures for the conduct of stockholder meetings as it deems appropriate. At each meeting of stockholders, the Chairman or, in the absence of the Chairman, the President or, if there is no President or if there be one and the President is absent, such other person as may be designated by the Board of Directors (or in the absence of any such designation, the Secretary), shall preside over the meeting. Except to the extent inconsistent with the rules and procedures as adopted by the Board of Directors,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of Directors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of Directors and, if the Board of Directors has not so acted, in the case of the designation of a person to act as secretary of the meeting, designated by the person presiding over the meeting. The order of business at all meetings of stockholders shall be as determined by the person presiding over the meeting.</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Proxy Representation</w:t>
      </w:r>
      <w:r>
        <w:rPr>
          <w:rFonts w:ascii="Arial" w:cs="Arial" w:eastAsia="Arial" w:hAnsi="Arial"/>
          <w:sz w:val="16"/>
          <w:szCs w:val="16"/>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or her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of stockholders, shall, to the extent required by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shall, to the extent required by law, appoint one or more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inspectors, if any, shall (A) ascertain the number of shares of stock outstanding and the voting power of each, (B) determine the shares of stock represented at the meeting, the existence of a quorum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 w:name="page12"/>
    <w:bookmarkEnd w:id="11"/>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entities to assist the inspectors in the performance of their duties. Unless otherwise provided by the Board of Directors,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Action By Vote</w:t>
      </w:r>
      <w:r>
        <w:rPr>
          <w:rFonts w:ascii="Arial" w:cs="Arial" w:eastAsia="Arial" w:hAnsi="Arial"/>
          <w:sz w:val="16"/>
          <w:szCs w:val="16"/>
          <w:color w:val="auto"/>
        </w:rPr>
        <w:t>.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Action Without Meetings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1"/>
          <w:numId w:val="4"/>
        </w:numPr>
        <w:rPr>
          <w:rFonts w:ascii="Arial" w:cs="Arial" w:eastAsia="Arial" w:hAnsi="Arial"/>
          <w:sz w:val="16"/>
          <w:szCs w:val="16"/>
          <w:color w:val="auto"/>
        </w:rPr>
      </w:pPr>
      <w:r>
        <w:rPr>
          <w:rFonts w:ascii="Arial" w:cs="Arial" w:eastAsia="Arial" w:hAnsi="Arial"/>
          <w:sz w:val="16"/>
          <w:szCs w:val="16"/>
          <w:color w:val="auto"/>
        </w:rPr>
        <w:t>Any person seeking to have the stockholders authorize or take corporate action by written consent without a meeting shall, by written notice addressed to the Secretary and delivered to the Corporation, request that a record date be fixed for such purpose. The Board of Directors shall promptly, but in all events within ten days after the date on which such written notice is received, adopt a resolution fixing the record date (unless a record date has previously been fixed by the Board of Directors pursuant to Section 9.1). If no record date has been fixed by the Board of Directors by ten days after the date on which such written notice is received, the record date for determining stockholders entitled to consent to corporate action in writing without a meeting, when no prior action by the Board of Directors is required by applicable law, shall be as specified in Section 9.1(b).</w:t>
      </w:r>
    </w:p>
    <w:p>
      <w:pPr>
        <w:spacing w:after="0" w:line="120" w:lineRule="exact"/>
        <w:rPr>
          <w:rFonts w:ascii="Arial" w:cs="Arial" w:eastAsia="Arial" w:hAnsi="Arial"/>
          <w:sz w:val="16"/>
          <w:szCs w:val="16"/>
          <w:color w:val="auto"/>
        </w:rPr>
      </w:pPr>
    </w:p>
    <w:p>
      <w:pPr>
        <w:ind w:right="80" w:firstLine="921"/>
        <w:spacing w:after="0" w:line="256" w:lineRule="auto"/>
        <w:tabs>
          <w:tab w:leader="none" w:pos="1162" w:val="left"/>
        </w:tabs>
        <w:numPr>
          <w:ilvl w:val="1"/>
          <w:numId w:val="4"/>
        </w:numPr>
        <w:rPr>
          <w:rFonts w:ascii="Arial" w:cs="Arial" w:eastAsia="Arial" w:hAnsi="Arial"/>
          <w:sz w:val="18"/>
          <w:szCs w:val="18"/>
          <w:color w:val="auto"/>
        </w:rPr>
      </w:pPr>
      <w:r>
        <w:rPr>
          <w:rFonts w:ascii="Arial" w:cs="Arial" w:eastAsia="Arial" w:hAnsi="Arial"/>
          <w:sz w:val="18"/>
          <w:szCs w:val="18"/>
          <w:color w:val="auto"/>
        </w:rPr>
        <w:t>(1) Every written consent purporting to take or authorizing the taking of corporate action and/or related revocations shall bear the date of signature of each stockholder who signs the consent, and no consent shall be effective to take the corporate action referred to therein unless, within sixty days of the earliest dated consent delivered in the manner required by this Section, consents signed by a sufficient number of stockholders to take such action are so delivered to the Corporation, and not revoked.</w:t>
      </w:r>
    </w:p>
    <w:p>
      <w:pPr>
        <w:spacing w:after="0" w:line="62"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of the delivery to the Corporation of a consent, the Corporation shall engage independent inspectors of elections for the purpose of</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2" w:name="page13"/>
    <w:bookmarkEnd w:id="12"/>
    <w:p>
      <w:pPr>
        <w:ind w:lef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performing promptly a ministerial review of the validity of the consent. For the purpose of permitting the inspectors to perform such review, no consent shall be effective until such inspectors have completed their review, determined that the requisite number of valid and unrevoked consents delivered to the Corporation in accordance with this Section 3.12 and applicable law have been obtained to authorize or take the action specified in the consent, and certified such determination for entry in the records of the Corporation kept for the purpose of recording the proceedings of meetings of stockholders. Nothing contained in this Section 3.12 shall in any way be construed to suggest or imply that the Board of Directors or any stockholder shall not be entitled to contest the validity of any consent, whether before or after such certification by the independent inspectors, or to take any other action (including the commencement, prosecution or defense of any litigation with respect thereto and the seeking of injunctive relief in such litigation). If after such investigation the independent inspectors shall determine that the consent is valid and that the action therein specified has been validly authorized, that fact shall forthwith be certified on the records of the Corporation kept for the purpose of recording the proceedings of meetings of stockholders, and the consent shall be filed in such records, at which time the consent shall become effective as stockholder action. In conducting the investigation required by this Section, the independent inspectors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Matters To Be Considered At Annual Meetings</w:t>
      </w:r>
      <w:r>
        <w:rPr>
          <w:rFonts w:ascii="Arial" w:cs="Arial" w:eastAsia="Arial" w:hAnsi="Arial"/>
          <w:sz w:val="18"/>
          <w:szCs w:val="18"/>
          <w:color w:val="auto"/>
        </w:rPr>
        <w:t>.</w:t>
      </w:r>
    </w:p>
    <w:p>
      <w:pPr>
        <w:spacing w:after="0" w:line="171" w:lineRule="exact"/>
        <w:rPr>
          <w:sz w:val="20"/>
          <w:szCs w:val="20"/>
          <w:color w:val="auto"/>
        </w:rPr>
      </w:pPr>
    </w:p>
    <w:p>
      <w:pPr>
        <w:ind w:left="-40" w:right="60" w:firstLine="921"/>
        <w:spacing w:after="0" w:line="287" w:lineRule="auto"/>
        <w:tabs>
          <w:tab w:leader="none" w:pos="1112"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any annual meeting of stockholders or any special meeting in lieu of annual meeting of stockholders (for purposes of this Section 3.13 and Section 4.15 hereof, hereinafter referred to as an “Annual Meeting”), only business (other than business relating to the nomination or election of directors which is governed by Section 4.15) that has been properly brought before the stockholder meeting in accordance with the procedures set forth in this Section 3.13 shall be conducted.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3.13. Subject to Section 3.13(i), and except with respect to nominations or elections of directors, which are governed by Section 4.15, this Section 3.13 is the exclusive means by which a stockholder may bring business before a meeting of stockholders. Any business brought before a meeting in accordance with Section 3.13 is referred to as “Stockholder Business”.</w:t>
      </w:r>
    </w:p>
    <w:p>
      <w:pPr>
        <w:spacing w:after="0" w:line="122" w:lineRule="exact"/>
        <w:rPr>
          <w:rFonts w:ascii="Arial" w:cs="Arial" w:eastAsia="Arial" w:hAnsi="Arial"/>
          <w:sz w:val="16"/>
          <w:szCs w:val="16"/>
          <w:color w:val="auto"/>
        </w:rPr>
      </w:pPr>
    </w:p>
    <w:p>
      <w:pPr>
        <w:ind w:left="-40" w:right="40" w:firstLine="921"/>
        <w:spacing w:after="0" w:line="306" w:lineRule="auto"/>
        <w:tabs>
          <w:tab w:leader="none" w:pos="112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3.13 to the Secretary of the Corporation and (ii) be present at such Annual Meeting, either in person or by a representative. A stockholder’s notice shall be timely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or mailed to and received by, the Corporation, addressed to the Secretary of the Corporation, at its principal executive office not less than ninety days nor more than one hundred twenty days prior to the anniversary date of the immediately preceding Annual Meeting (for purposes of this Section 3.13 and Section 4.15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addressed to the Secretary of the Corporation, at its principal executive office not later than the close of business on the later of (A) the ninetieth day prior to the scheduled date of such Annual Meeting or (B) the tenth day following the day on which public announcement of the date of such Annual Meeting is first made by the Corporation. In no event shall an adjournment, postponement or deferral, or public announcement of an adjournment, postponement or deferral, of a stockholder meeting commence a new time period (or extend any time period) for the giving of a stockholder’s notice.</w:t>
      </w:r>
    </w:p>
    <w:p>
      <w:pPr>
        <w:spacing w:after="0" w:line="120" w:lineRule="exact"/>
        <w:rPr>
          <w:sz w:val="20"/>
          <w:szCs w:val="20"/>
          <w:color w:val="auto"/>
        </w:rPr>
      </w:pPr>
    </w:p>
    <w:p>
      <w:pPr>
        <w:ind w:left="1160" w:hanging="239"/>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name and record address of each stockholder proposing Stockholder Business (the “</w:t>
      </w:r>
      <w:r>
        <w:rPr>
          <w:rFonts w:ascii="Arial" w:cs="Arial" w:eastAsia="Arial" w:hAnsi="Arial"/>
          <w:sz w:val="15"/>
          <w:szCs w:val="15"/>
          <w:u w:val="single" w:color="auto"/>
          <w:color w:val="auto"/>
        </w:rPr>
        <w:t>Proponent</w:t>
      </w:r>
      <w:r>
        <w:rPr>
          <w:rFonts w:ascii="Arial" w:cs="Arial" w:eastAsia="Arial" w:hAnsi="Arial"/>
          <w:sz w:val="15"/>
          <w:szCs w:val="15"/>
          <w:color w:val="auto"/>
        </w:rPr>
        <w:t>”), as they appear on the Corporation’s books;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w:t>
      </w:r>
    </w:p>
    <w:p>
      <w:pPr>
        <w:spacing w:after="0" w:line="90" w:lineRule="exact"/>
        <w:rPr>
          <w:rFonts w:ascii="Arial" w:cs="Arial" w:eastAsia="Arial" w:hAnsi="Arial"/>
          <w:sz w:val="18"/>
          <w:szCs w:val="18"/>
          <w:color w:val="auto"/>
        </w:rPr>
      </w:pPr>
    </w:p>
    <w:p>
      <w:pPr>
        <w:ind w:left="460" w:right="60" w:firstLine="443"/>
        <w:spacing w:after="0" w:line="287" w:lineRule="auto"/>
        <w:tabs>
          <w:tab w:leader="none" w:pos="1147"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as part of a group (as defined in Section 13(d) of the Securities Exchange Act of 1934, as amended (the “Exchange Act”)) or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with respect to shares of stock of the Corporation (a “Derivative”) and (E) a description in reasonable detail of any proxy (including revocable proxies), contract, arrangement, understanding or other relationship pursuant to which the Proponent or Stockholder Associated Person has a right to vote any shares of stock of the Corporation. The information specified in Section 3.13(c)(3) is referred to herein as “Stockholder Information”;</w:t>
      </w:r>
    </w:p>
    <w:p>
      <w:pPr>
        <w:spacing w:after="0" w:line="41"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representation that each Proponent is a holder of record of stock of the Corporation entitled to vote at the meeting and intends to appear in person or by proxy at the meeting to propose such Stockholder Business;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the text of the proposal (including the text of any resolutions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4" w:name="page15"/>
    <w:bookmarkEnd w:id="14"/>
    <w:p>
      <w:pPr>
        <w:ind w:left="46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for consideration and, if such business includes a proposal to amend the bylaws, the language of the proposed amendment) and the reasons for conducting such Stockholder Business at the meeting;</w:t>
      </w:r>
    </w:p>
    <w:p>
      <w:pPr>
        <w:spacing w:after="0" w:line="51" w:lineRule="exact"/>
        <w:rPr>
          <w:sz w:val="20"/>
          <w:szCs w:val="20"/>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material interest of each Proponent and any Stockholder Associated Person in such Stockholder Business;</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representation as to whether the Proponent intends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59"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Proponents or Stockholder Associated Persons were participants in a solicitation subject to Section 14 of the Exchange Act;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representation that the Proponents shall provide any other information reasonably requested by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Proponents shall also provide any other information reasonably requested by the Corporation within ten business days after such request.</w:t>
      </w:r>
    </w:p>
    <w:p>
      <w:pPr>
        <w:spacing w:after="0" w:line="194" w:lineRule="exact"/>
        <w:rPr>
          <w:rFonts w:ascii="Arial" w:cs="Arial" w:eastAsia="Arial" w:hAnsi="Arial"/>
          <w:sz w:val="16"/>
          <w:szCs w:val="16"/>
          <w:color w:val="auto"/>
        </w:rPr>
      </w:pPr>
    </w:p>
    <w:p>
      <w:pPr>
        <w:ind w:firstLine="921"/>
        <w:spacing w:after="0" w:line="290" w:lineRule="auto"/>
        <w:tabs>
          <w:tab w:leader="none" w:pos="1152"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addition, the Proponent shall further update and supplement the information provided to the Corporation in the stockholder’s notice to the Secretary or upon the Corporation’s request pursuant to Section 3.13(d)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by the Corporation at its principal executive office, addressed to the Secretary of the Corporation,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18" w:lineRule="exact"/>
        <w:rPr>
          <w:rFonts w:ascii="Arial" w:cs="Arial" w:eastAsia="Arial" w:hAnsi="Arial"/>
          <w:sz w:val="16"/>
          <w:szCs w:val="16"/>
          <w:color w:val="auto"/>
        </w:rPr>
      </w:pPr>
    </w:p>
    <w:p>
      <w:pPr>
        <w:ind w:firstLine="921"/>
        <w:spacing w:after="0" w:line="283" w:lineRule="auto"/>
        <w:tabs>
          <w:tab w:leader="none" w:pos="1132"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notice was not made in a timely fashion in accordance with the provisions of this Section 3.13 or that the information provided in a stockholder’s notice does not satisfy the information requirements of this Section 3.13 in any material respect, the related Stockholder Business shall not be required to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Business was properly brought before the meeting in accordance with the terms of this Section 3.13. If the presiding officer determines that any stockholder notice was not made in a timely fashion in accordance with the provisions of this</w:t>
      </w:r>
    </w:p>
    <w:p>
      <w:pPr>
        <w:spacing w:after="0" w:line="1" w:lineRule="exact"/>
        <w:rPr>
          <w:rFonts w:ascii="Arial" w:cs="Arial" w:eastAsia="Arial" w:hAnsi="Arial"/>
          <w:sz w:val="16"/>
          <w:szCs w:val="16"/>
          <w:color w:val="auto"/>
        </w:rPr>
      </w:pP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Section 3.13 or that the information provided in a stockholders notice does not satisfy the information requirements of this Section 3.13 in any material respect, such proposal shall not be required to be presented for action at the Annual Meeting in question. If the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 w:name="page16"/>
    <w:bookmarkEnd w:id="15"/>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designated committee thereof or the presiding officer determines that a stockholder proposal was made in accordance with the requirements of this Section 3.13, the presiding officer shall so declare at the Annual Meeting and ballots shall be provided for use at the Annual Meeting with respect to such proposal.</w:t>
      </w:r>
    </w:p>
    <w:p>
      <w:pPr>
        <w:spacing w:after="0" w:line="85" w:lineRule="exact"/>
        <w:rPr>
          <w:sz w:val="20"/>
          <w:szCs w:val="20"/>
          <w:color w:val="auto"/>
        </w:rPr>
      </w:pPr>
    </w:p>
    <w:p>
      <w:pPr>
        <w:ind w:right="160" w:firstLine="921"/>
        <w:spacing w:after="0" w:line="291" w:lineRule="auto"/>
        <w:tabs>
          <w:tab w:leader="none" w:pos="1162"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3.13,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these By-Laws:</w:t>
      </w:r>
    </w:p>
    <w:p>
      <w:pPr>
        <w:spacing w:after="0" w:line="90"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25"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Associated Person” means with respect to any stockholder, (i) any other beneficial owner of stock of the Corporation that are owned by such stockholder and (ii) any person that directly, or indirectly through one or more intermediaries, controls, or is controlled by, or is under common control with, the stockholder or such beneficial owner; and</w:t>
      </w:r>
    </w:p>
    <w:p>
      <w:pPr>
        <w:spacing w:after="0" w:line="59"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or the direct or indirect ownership of 50% or more of the outstanding voting securities of a person.</w:t>
      </w:r>
    </w:p>
    <w:p>
      <w:pPr>
        <w:spacing w:after="0" w:line="106" w:lineRule="exact"/>
        <w:rPr>
          <w:rFonts w:ascii="Arial" w:cs="Arial" w:eastAsia="Arial" w:hAnsi="Arial"/>
          <w:sz w:val="16"/>
          <w:szCs w:val="16"/>
          <w:color w:val="auto"/>
        </w:rPr>
      </w:pPr>
    </w:p>
    <w:p>
      <w:pPr>
        <w:jc w:val="both"/>
        <w:ind w:right="160" w:firstLine="921"/>
        <w:spacing w:after="0" w:line="306" w:lineRule="auto"/>
        <w:tabs>
          <w:tab w:leader="none" w:pos="1123"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3.13, a stockholder shall also comply with all applicable requirements of the Exchange Act, and the rules and regulations thereunder with respect to the matters set forth in this Section 3.13, and nothing in this Section 3.13 shall be deemed to affect any rights of stockholders to request inclusion of proposals in the Corporation’s proxy statement pursuant to Rule 14a-8 under the Exchange Act.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6" w:name="page17"/>
    <w:bookmarkEnd w:id="16"/>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and any newly created directorships resulting from any increase in the number of directors may be filled by a majority of the directors then in office, although less than a quorum, or by a sole remaining director. When one or more directors shall resign from the Board of Directors,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A director so elected shall hold office until the earlier of the expiration of the term of office of the director whom he or she replaced, a successor is elected and qualified or until he or she sooner dies, resigns, is removed or becomes disqualified.</w:t>
      </w:r>
    </w:p>
    <w:p>
      <w:pPr>
        <w:spacing w:after="0" w:line="1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director shall hold office until his or her successor is elected and qualified, or until he or she sooner dies, resigns, is removed or becomes disqualified.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Unless the Board of Directors provides otherwise, at all meetings of a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and report the same to the Board of Directors upon request.</w:t>
      </w:r>
    </w:p>
    <w:p>
      <w:pPr>
        <w:spacing w:after="0" w:line="12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w:t>
      </w:r>
      <w:r>
        <w:rPr>
          <w:rFonts w:ascii="Arial" w:cs="Arial" w:eastAsia="Arial" w:hAnsi="Arial"/>
          <w:sz w:val="18"/>
          <w:szCs w:val="18"/>
          <w:color w:val="auto"/>
        </w:rPr>
        <w:t>. Regular meetings of the Board of Directors may be held without call or notice at such place within or without the State of Delaware and at such times as the Board of Directors or its Chairman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 w:name="page18"/>
    <w:bookmarkEnd w:id="17"/>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4.7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such times and at such places as may be determined by the Chairman of the Board of Directors or the President on notice to each director given by one of the means specified in Section 4.8 hereof. In addition, special meetings shall be called by the Chairman, President or Secretary and held at such places as may be determined by the Chairman, President or Secretary on notice to each director given by one of the means specified in Section 4.8 hereof on the written request of any two or more directors.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w:t>
      </w:r>
      <w:r>
        <w:rPr>
          <w:rFonts w:ascii="Arial" w:cs="Arial" w:eastAsia="Arial" w:hAnsi="Arial"/>
          <w:sz w:val="16"/>
          <w:szCs w:val="16"/>
          <w:color w:val="auto"/>
        </w:rPr>
        <w:t>. If notice is required by law, the Certificate of Incorporation or these By-Laws, it shall be reasonable and sufficient notice to a director to send notice by mail at least forty-eight hours or by telegram or other means of electronic transmission at least twenty-four hours before the meeting, addressed to him at his or her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of Directors. Any meeting may be adjourned from time to time by a majority of the votes cast upon the question, whether or not a quorum is present, and the meeting may be held as adjourned without further notice.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Action By Vote</w:t>
      </w:r>
      <w:r>
        <w:rPr>
          <w:rFonts w:ascii="Arial" w:cs="Arial" w:eastAsia="Arial" w:hAnsi="Arial"/>
          <w:sz w:val="18"/>
          <w:szCs w:val="18"/>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the members of the Board of Directors or of such committee, as the case may be, consent thereto in writing or other means of electronic transmission, and such writing or writings or other means of electronic transmission are filed with the records of the meetings of the Board of Directors or of such committee. Such consent shall be treated for all purposes as the act of the Board of Directors or of such committee, as the case may be.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Participation In Meetings By Conference Telephone</w:t>
      </w:r>
      <w:r>
        <w:rPr>
          <w:rFonts w:ascii="Arial" w:cs="Arial" w:eastAsia="Arial" w:hAnsi="Arial"/>
          <w:sz w:val="18"/>
          <w:szCs w:val="18"/>
          <w:color w:val="auto"/>
        </w:rPr>
        <w:t>. Unless otherwise restricted by the Certificate of Incorporation or these By-Laws, members of the Board of Directors or of any committee thereof, may participate in a meeting of the Board of Directors or such committee by means of conference telephone or similar communications equipment by means of which all persons participating in the meeting can hear each other. Such participation shall constitute presence in person at such meeting.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8" w:name="page19"/>
    <w:bookmarkEnd w:id="18"/>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4.13 </w:t>
      </w:r>
      <w:r>
        <w:rPr>
          <w:rFonts w:ascii="Arial" w:cs="Arial" w:eastAsia="Arial" w:hAnsi="Arial"/>
          <w:sz w:val="15"/>
          <w:szCs w:val="15"/>
          <w:u w:val="single" w:color="auto"/>
          <w:color w:val="auto"/>
        </w:rPr>
        <w:t>Compensation</w:t>
      </w:r>
      <w:r>
        <w:rPr>
          <w:rFonts w:ascii="Arial" w:cs="Arial" w:eastAsia="Arial" w:hAnsi="Arial"/>
          <w:sz w:val="15"/>
          <w:szCs w:val="15"/>
          <w:color w:val="auto"/>
        </w:rPr>
        <w:t>.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0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Resignation Or Removal Of Directors</w:t>
      </w:r>
      <w:r>
        <w:rPr>
          <w:rFonts w:ascii="Arial" w:cs="Arial" w:eastAsia="Arial" w:hAnsi="Arial"/>
          <w:sz w:val="15"/>
          <w:szCs w:val="15"/>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or her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4.15. Any stockholder who has complied with the timing, informational and other requirements set forth in this Section 4.15 and who seeks to make such a nomination, or such stockholder’s representative, must be present in person at the Annual Meeting. Only persons nominated in accordance with the procedures set forth in this Section 4.15 shall be eligible for election as directors at an Annual Meeting. A stockholder nominating persons for election to the Board of Directors is referred to as the “Nominating Stockholder”. Persons nominated in accordance with Section 4.15 are referred to as “Stockholder Nominees”.</w:t>
      </w:r>
    </w:p>
    <w:p>
      <w:pPr>
        <w:spacing w:after="0" w:line="118"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Nominations, other than those made by, or at the direction of, the Board of Directors, shall be made pursuant to timely notice in writing to the Secretary of the Corporation as set forth in this Section 4.15. A stockholder’s notice shall be timely if delivered to, or mailed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9" w:name="page20"/>
    <w:bookmarkEnd w:id="1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and received by, the Corporation, addressed to the Secretary of the Corporation, at its principal executive office not less than ninety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addressed to the Secretary of the Corporation, at its principal executive office not later than the close of business on the later of (i) the ninetieth day prior to the scheduled date of such Annual Meeting or (ii) the tenth day following the day on which public announcement of the date of such Annual Meeting is first made by the Corporation.</w:t>
      </w:r>
    </w:p>
    <w:p>
      <w:pPr>
        <w:spacing w:after="0" w:line="144" w:lineRule="exact"/>
        <w:rPr>
          <w:sz w:val="20"/>
          <w:szCs w:val="20"/>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stockholder’s notice of nomination must set forth:</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that each stockholder nominating a Stockholder Nominee is a holder of record of stock of the Corporation entitled to vote at the meeting and intends to appear in person or by proxy at the meeting to propose such nomination;</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3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as to whether the Nominating Stockholders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59"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Nominating Stockholders and Stockholder Associated Person were participants in a solicitation subject to Section 14 of the Exchange Act;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representation that the Nominating Stockholders shall provide any other information reasonably requested by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Nominating Stockholders shall also provide any other information reasonably requested by the Corporation within ten business days 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request.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0" w:name="page21"/>
    <w:bookmarkEnd w:id="20"/>
    <w:p>
      <w:pPr>
        <w:ind w:left="-40" w:right="160" w:firstLine="921"/>
        <w:spacing w:after="0" w:line="290" w:lineRule="auto"/>
        <w:tabs>
          <w:tab w:leader="none" w:pos="1112"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Nominating Stockholder shall further update and supplement the information provided to the Corporation in the stockholder’s notice of nomination or upon the Corporation’s request pursuant to Section 4.15(d) as needed, so that such information shall be true and correct as of the record date for the meeting and as of the date that is ten business days before the meeting or any adjournment or postponement thereof. Such update and supplement must be delivered to, or mailed and received by, the Corporation, addressed to the Secretary of the Corporation, at its principal executive office,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18" w:lineRule="exact"/>
        <w:rPr>
          <w:rFonts w:ascii="Arial" w:cs="Arial" w:eastAsia="Arial" w:hAnsi="Arial"/>
          <w:sz w:val="16"/>
          <w:szCs w:val="16"/>
          <w:color w:val="auto"/>
        </w:rPr>
      </w:pPr>
    </w:p>
    <w:p>
      <w:pPr>
        <w:ind w:left="-40" w:right="60" w:firstLine="921"/>
        <w:spacing w:after="0" w:line="288" w:lineRule="auto"/>
        <w:tabs>
          <w:tab w:leader="none" w:pos="10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nomination was not made in accordance with the terms of this Section 4.15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4.15, the presiding officer of the Annual Meeting shall determine whether a nomination was made in accordance with such provisions. If the presiding officer determines that any stockholder nomination was not made in accordance with the terms of this Section 4.15 or that the information provided in a stockholder’s notice does not satisfy the informational requirements of this Section 4.15 in any material respect, then such nomination shall not be considered at the Annual Meeting in question. If the Board of Directors, a designated committee thereof or the presiding officer determines that a nomination was made in accordance with the terms of this Section 4.15, the presiding officer shall so declare at the Annual Meeting and ballots shall be provided for use at the Annual Meeting with respect to such nominee.</w:t>
      </w:r>
    </w:p>
    <w:p>
      <w:pPr>
        <w:spacing w:after="0" w:line="119" w:lineRule="exact"/>
        <w:rPr>
          <w:rFonts w:ascii="Arial" w:cs="Arial" w:eastAsia="Arial" w:hAnsi="Arial"/>
          <w:sz w:val="16"/>
          <w:szCs w:val="16"/>
          <w:color w:val="auto"/>
        </w:rPr>
      </w:pPr>
    </w:p>
    <w:p>
      <w:pPr>
        <w:ind w:left="-40" w:right="120" w:firstLine="921"/>
        <w:spacing w:after="0" w:line="291" w:lineRule="auto"/>
        <w:tabs>
          <w:tab w:leader="none" w:pos="112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4.15,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0" w:lineRule="exact"/>
        <w:rPr>
          <w:rFonts w:ascii="Arial" w:cs="Arial" w:eastAsia="Arial" w:hAnsi="Arial"/>
          <w:sz w:val="16"/>
          <w:szCs w:val="16"/>
          <w:color w:val="auto"/>
        </w:rPr>
      </w:pPr>
    </w:p>
    <w:p>
      <w:pPr>
        <w:ind w:left="-40" w:firstLine="921"/>
        <w:spacing w:after="0" w:line="255" w:lineRule="auto"/>
        <w:tabs>
          <w:tab w:leader="none" w:pos="11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in the second sentence of Section 4.15(b),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days prior to the Anniversary Date, a stockholder’s notice required by this Section 4.15 shall also be considered timely, but only with respect to nominees for any new positions created by such increase, if such notice shall be delivered to, or mailed to and received by,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21" w:name="page22"/>
    <w:bookmarkEnd w:id="2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addressed to the Secretary of the Corporation, at its principal executive office not later than the close of business on the tenth day following the day on which such public announcement is first made by the Corporation.</w:t>
      </w:r>
    </w:p>
    <w:p>
      <w:pPr>
        <w:spacing w:after="0" w:line="132" w:lineRule="exact"/>
        <w:rPr>
          <w:sz w:val="20"/>
          <w:szCs w:val="20"/>
          <w:color w:val="auto"/>
        </w:rPr>
      </w:pPr>
    </w:p>
    <w:p>
      <w:pPr>
        <w:ind w:right="60" w:firstLine="921"/>
        <w:spacing w:after="0" w:line="298" w:lineRule="auto"/>
        <w:tabs>
          <w:tab w:leader="none" w:pos="11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person shall be elected by the stockholders as a director of the Corporation unless nominated in accordance with the procedures set forth in this Section 4.15.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4.15 shall be provided for use at such Annual Meeting.</w:t>
      </w:r>
    </w:p>
    <w:p>
      <w:pPr>
        <w:spacing w:after="0" w:line="112" w:lineRule="exact"/>
        <w:rPr>
          <w:rFonts w:ascii="Arial" w:cs="Arial" w:eastAsia="Arial" w:hAnsi="Arial"/>
          <w:sz w:val="16"/>
          <w:szCs w:val="16"/>
          <w:color w:val="auto"/>
        </w:rPr>
      </w:pPr>
    </w:p>
    <w:p>
      <w:pPr>
        <w:ind w:firstLine="921"/>
        <w:spacing w:after="0" w:line="286" w:lineRule="auto"/>
        <w:tabs>
          <w:tab w:leader="none" w:pos="11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eligible to be a nominee for election or reelection as a director, the proposed nominee must deliver (in accordance with the time periods prescribed for delivery of notice under Section 4.15) to the Secretary at the principal executive office of the Corporation a written questionnaire with respect to the background and qualification of such nominee (which questionnaire shall be provided by the Secretary upon written 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Form Of Notice</w:t>
      </w:r>
      <w:r>
        <w:rPr>
          <w:rFonts w:ascii="Arial" w:cs="Arial" w:eastAsia="Arial" w:hAnsi="Arial"/>
          <w:sz w:val="15"/>
          <w:szCs w:val="15"/>
          <w:color w:val="auto"/>
        </w:rPr>
        <w:t>. Whenever, under the provisions of law, or of the Certificate of Incorporation or of these By-Laws, notice is required to be given to any stockholder, such notice may be given by mail, addressed to such stockholder, at his or her address as it appears on the records of the Corporation, with postage thereon prepaid, and such notice shall be deemed to be given at the time when the same shall be deposited in the United States mail. Unless written notice by mail is required by law, notice to any stockholder may also be given by electronic transmission in the manner provided in Section 232 of the General Corporation Law of the State of Delaware, in which case such notice shall be deemed to be given at the times provided in the General Corporation Law of the State of Delaware. It shall be the duty of each stockholder to notify the Corporation of his or her post office address. Notice to directors shall be given as specified in Section 4.8</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 w:name="page23"/>
    <w:bookmarkEnd w:id="22"/>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Officers And Agents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Election; Enumeration; Qualification</w:t>
      </w:r>
      <w:r>
        <w:rPr>
          <w:rFonts w:ascii="Arial" w:cs="Arial" w:eastAsia="Arial" w:hAnsi="Arial"/>
          <w:sz w:val="16"/>
          <w:szCs w:val="16"/>
          <w:color w:val="auto"/>
        </w:rPr>
        <w:t>.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or her duties to the Corporation by giving bond in such amount and with sureties or otherwise as the Board of Directors may determine. If any office becomes vacant, the directors may elect a successor.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And Duties Of The Officers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4" w:lineRule="auto"/>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of Directors shall preside at all meetings of the Board of Directors and stockholders of the Corporation, shall generally supervise the affairs of the Corporation and see that all orders and resolutions of the Board of Directors are carried into effect, and, together with the President, shall have general supervision and direction of the other officers, employees and agents of the Corporation, subject to the control of the Board of Directors. The Chairman shall have particular responsibility for supervision of the Corporation’s investor relations, financial and legal affairs, and shall have such other powers and perform such other duties and functions as may from time to time be assigned by the Board of Directors.</w:t>
      </w:r>
    </w:p>
    <w:p>
      <w:pPr>
        <w:spacing w:after="0" w:line="115" w:lineRule="exact"/>
        <w:rPr>
          <w:rFonts w:ascii="Arial" w:cs="Arial" w:eastAsia="Arial" w:hAnsi="Arial"/>
          <w:sz w:val="16"/>
          <w:szCs w:val="16"/>
          <w:color w:val="auto"/>
        </w:rPr>
      </w:pPr>
    </w:p>
    <w:p>
      <w:pPr>
        <w:ind w:right="40" w:firstLine="921"/>
        <w:spacing w:after="0" w:line="255" w:lineRule="auto"/>
        <w:tabs>
          <w:tab w:leader="none" w:pos="119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responsible for the general day-to-day management of the business of the Corporation. The President, together with the Chairman of the Board of Directors,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142" w:lineRule="exact"/>
        <w:rPr>
          <w:rFonts w:ascii="Arial" w:cs="Arial" w:eastAsia="Arial" w:hAnsi="Arial"/>
          <w:sz w:val="18"/>
          <w:szCs w:val="18"/>
          <w:color w:val="auto"/>
        </w:rPr>
      </w:pPr>
    </w:p>
    <w:p>
      <w:pPr>
        <w:ind w:right="180" w:firstLine="921"/>
        <w:spacing w:after="0" w:line="259" w:lineRule="auto"/>
        <w:tabs>
          <w:tab w:leader="none" w:pos="119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Senior Vice Presidents</w:t>
      </w:r>
      <w:r>
        <w:rPr>
          <w:rFonts w:ascii="Arial" w:cs="Arial" w:eastAsia="Arial" w:hAnsi="Arial"/>
          <w:sz w:val="18"/>
          <w:szCs w:val="18"/>
          <w:color w:val="auto"/>
        </w:rPr>
        <w:t>.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3" w:name="page24"/>
    <w:bookmarkEnd w:id="23"/>
    <w:p>
      <w:pPr>
        <w:ind w:left="-20" w:right="60" w:firstLine="921"/>
        <w:spacing w:after="0" w:line="268"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Vice Presidents</w:t>
      </w:r>
      <w:r>
        <w:rPr>
          <w:rFonts w:ascii="Arial" w:cs="Arial" w:eastAsia="Arial" w:hAnsi="Arial"/>
          <w:sz w:val="18"/>
          <w:szCs w:val="18"/>
          <w:color w:val="auto"/>
        </w:rPr>
        <w:t>. Each Vice President shall have such powers and perform such duties and functions as may from time to time be assigned by the Board of Directors.</w:t>
      </w:r>
    </w:p>
    <w:p>
      <w:pPr>
        <w:spacing w:after="0" w:line="131" w:lineRule="exact"/>
        <w:rPr>
          <w:rFonts w:ascii="Arial" w:cs="Arial" w:eastAsia="Arial" w:hAnsi="Arial"/>
          <w:sz w:val="18"/>
          <w:szCs w:val="18"/>
          <w:color w:val="auto"/>
        </w:rPr>
      </w:pPr>
    </w:p>
    <w:p>
      <w:pPr>
        <w:ind w:left="-20" w:firstLine="921"/>
        <w:spacing w:after="0" w:line="291" w:lineRule="auto"/>
        <w:tabs>
          <w:tab w:leader="none" w:pos="11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120" w:lineRule="exact"/>
        <w:rPr>
          <w:rFonts w:ascii="Arial" w:cs="Arial" w:eastAsia="Arial" w:hAnsi="Arial"/>
          <w:sz w:val="16"/>
          <w:szCs w:val="16"/>
          <w:color w:val="auto"/>
        </w:rPr>
      </w:pPr>
    </w:p>
    <w:p>
      <w:pPr>
        <w:ind w:left="-20" w:right="40" w:firstLine="921"/>
        <w:spacing w:after="0" w:line="253" w:lineRule="auto"/>
        <w:tabs>
          <w:tab w:leader="none" w:pos="115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of Directors,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47" w:lineRule="exact"/>
        <w:rPr>
          <w:rFonts w:ascii="Arial" w:cs="Arial" w:eastAsia="Arial" w:hAnsi="Arial"/>
          <w:sz w:val="18"/>
          <w:szCs w:val="18"/>
          <w:color w:val="auto"/>
        </w:rPr>
      </w:pPr>
    </w:p>
    <w:p>
      <w:pPr>
        <w:ind w:left="-20" w:right="160" w:firstLine="921"/>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140" w:lineRule="exact"/>
        <w:rPr>
          <w:rFonts w:ascii="Arial" w:cs="Arial" w:eastAsia="Arial" w:hAnsi="Arial"/>
          <w:sz w:val="18"/>
          <w:szCs w:val="18"/>
          <w:color w:val="auto"/>
        </w:rPr>
      </w:pPr>
    </w:p>
    <w:p>
      <w:pPr>
        <w:ind w:left="-20" w:firstLine="921"/>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140" w:lineRule="exact"/>
        <w:rPr>
          <w:rFonts w:ascii="Arial" w:cs="Arial" w:eastAsia="Arial" w:hAnsi="Arial"/>
          <w:sz w:val="18"/>
          <w:szCs w:val="18"/>
          <w:color w:val="auto"/>
        </w:rPr>
      </w:pPr>
    </w:p>
    <w:p>
      <w:pPr>
        <w:ind w:left="-20" w:right="40" w:firstLine="921"/>
        <w:spacing w:after="0" w:line="259" w:lineRule="auto"/>
        <w:tabs>
          <w:tab w:leader="none" w:pos="111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Subordinate Officers</w:t>
      </w:r>
      <w:r>
        <w:rPr>
          <w:rFonts w:ascii="Arial" w:cs="Arial" w:eastAsia="Arial" w:hAnsi="Arial"/>
          <w:sz w:val="18"/>
          <w:szCs w:val="18"/>
          <w:color w:val="auto"/>
        </w:rPr>
        <w:t>. The Corporation may have such subordinate officers as the Board of Directors may from time to time deem desirable. Each such officer shall hold office for such period and perform such duties as the Board of Directors, the Chairman of the Board of Directors or an officer designated pursuant to this Section 6.2 may prescribe.</w:t>
      </w:r>
    </w:p>
    <w:p>
      <w:pPr>
        <w:spacing w:after="0" w:line="140" w:lineRule="exact"/>
        <w:rPr>
          <w:rFonts w:ascii="Arial" w:cs="Arial" w:eastAsia="Arial" w:hAnsi="Arial"/>
          <w:sz w:val="18"/>
          <w:szCs w:val="18"/>
          <w:color w:val="auto"/>
        </w:rPr>
      </w:pPr>
    </w:p>
    <w:p>
      <w:pPr>
        <w:ind w:left="-20" w:right="20" w:firstLine="921"/>
        <w:spacing w:after="0" w:line="256" w:lineRule="auto"/>
        <w:tabs>
          <w:tab w:leader="none" w:pos="112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Delegation Of Duties</w:t>
      </w:r>
      <w:r>
        <w:rPr>
          <w:rFonts w:ascii="Arial" w:cs="Arial" w:eastAsia="Arial" w:hAnsi="Arial"/>
          <w:sz w:val="18"/>
          <w:szCs w:val="18"/>
          <w:color w:val="auto"/>
        </w:rPr>
        <w:t>. In case of the absence of any officer of the Corporation, or for any other reason that the Board of Directors may deem sufficient, the Chairman of the Board of Directors,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24" w:name="page25"/>
    <w:bookmarkEnd w:id="24"/>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6.2, and, within a category, by seniority in a particular position, with the right reserved to the Board of Directors to make such designation or supersede any designation so made.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Tenure</w:t>
      </w:r>
      <w:r>
        <w:rPr>
          <w:rFonts w:ascii="Arial" w:cs="Arial" w:eastAsia="Arial" w:hAnsi="Arial"/>
          <w:sz w:val="16"/>
          <w:szCs w:val="16"/>
          <w:color w:val="auto"/>
        </w:rPr>
        <w:t>. Each officer shall hold office until the first meeting of the Board of Directors following the next annual meeting of the stockholders and until his or her successor is elected and qualified unless a shorter period shall have been specified in terms of his or her election or appointment, or in each case until he or she sooner dies, resigns, is removed or becomes disqualified. Each agent of the Corporation shall retain his or her authority at the pleasure of the directors, or the officer by whom he or she was appointed or by the officer who then holds agent appointive power.</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officer may resign at any time by delivering his or her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The shares of stock of the Corporation shall be represented by certificates, uncertificated shares that may be evidenced by a book-entry system maintained by the registrar of such stock, or a combination of both. If shares are represented by certificates such certificates shall be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Transfer Of Shares Of Stock</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Transfer On Books</w:t>
      </w:r>
      <w:r>
        <w:rPr>
          <w:rFonts w:ascii="Arial" w:cs="Arial" w:eastAsia="Arial" w:hAnsi="Arial"/>
          <w:sz w:val="16"/>
          <w:szCs w:val="16"/>
          <w:color w:val="auto"/>
        </w:rPr>
        <w:t>. Subject to any restrictions with respect to the transfer of shares of stock, in the case of certificated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of Directors may fix a new record date for the adjourned meeting. Subject to Section 3.12, for the purposes of determining the stockholders entitled to express consent to corporate action in writing without a meeting, unless otherwise required by the Certificate of Incorporation or applicable law, the Board of Directors may fix a record date, which record date shall not precede the date on which the resolution fixing the record date was adopted by the Board of Directors and shall not be more than ten days after the date on which the record date was fixed by the Board of Directors. If no record date is fixed, then:</w:t>
      </w:r>
    </w:p>
    <w:p>
      <w:pPr>
        <w:spacing w:after="0" w:line="124" w:lineRule="exact"/>
        <w:rPr>
          <w:sz w:val="20"/>
          <w:szCs w:val="20"/>
          <w:color w:val="auto"/>
        </w:rPr>
      </w:pPr>
    </w:p>
    <w:p>
      <w:pPr>
        <w:ind w:right="160" w:firstLine="921"/>
        <w:spacing w:after="0" w:line="259"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6" w:name="page27"/>
    <w:bookmarkEnd w:id="26"/>
    <w:p>
      <w:pPr>
        <w:ind w:firstLine="921"/>
        <w:spacing w:after="0" w:line="294"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record date for determining stockholders entitled to express consent to corporate action in writing without a meeting (unless otherwise provided in the Certificate of Incorporation), when no prior action by the Board of Directors is required by applicable law, shall be the first day on which a signed written consent setting forth the action taken or proposed to be taken is delivered to the Corporation in accordance with applicable law; and when prior action by the Board of Directors is required by applicable law, the record date for determining stockholders entitled to express consent to corporate action in writing without a meeting shall be at the close of business on the date on which the Board of Directors takes such prior action; and</w:t>
      </w:r>
    </w:p>
    <w:p>
      <w:pPr>
        <w:spacing w:after="0" w:line="115" w:lineRule="exact"/>
        <w:rPr>
          <w:rFonts w:ascii="Arial" w:cs="Arial" w:eastAsia="Arial" w:hAnsi="Arial"/>
          <w:sz w:val="16"/>
          <w:szCs w:val="16"/>
          <w:color w:val="auto"/>
        </w:rPr>
      </w:pPr>
    </w:p>
    <w:p>
      <w:pPr>
        <w:ind w:right="20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to such purpose.</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the Saturday closest to the 31st of January unless otherwise determined by the Board of Directors.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Corporation shall indemnify and hold harmless, to the fullest extent permitted by applicable law as it presently exists or may hereafter be amended,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7" w:name="page28"/>
    <w:bookmarkEnd w:id="27"/>
    <w:p>
      <w:pPr>
        <w:ind w:right="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(a “Covered Person”) who was or is a party or is threatened to be made a party to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10.3, the Corporation shall be required to indemnify a Covered Person in connection with a Proceeding (or part thereof) commenced by such Covered Person only if the commencement of such Proceeding (or part thereof) by the Covered Person was authorized by the Board of Directors.</w:t>
      </w:r>
    </w:p>
    <w:p>
      <w:pPr>
        <w:spacing w:after="0" w:line="105"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Expenses</w:t>
      </w:r>
      <w:r>
        <w:rPr>
          <w:rFonts w:ascii="Arial" w:cs="Arial" w:eastAsia="Arial" w:hAnsi="Arial"/>
          <w:sz w:val="16"/>
          <w:szCs w:val="16"/>
          <w:color w:val="auto"/>
        </w:rPr>
        <w:t>. To the extent not prohibited by applicable law,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Section 10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Procedures; Non-Exclusivity; Remedies</w:t>
      </w:r>
      <w:r>
        <w:rPr>
          <w:rFonts w:ascii="Arial" w:cs="Arial" w:eastAsia="Arial" w:hAnsi="Arial"/>
          <w:sz w:val="18"/>
          <w:szCs w:val="18"/>
          <w:color w:val="auto"/>
        </w:rPr>
        <w:t>.</w:t>
      </w:r>
    </w:p>
    <w:p>
      <w:pPr>
        <w:spacing w:after="0" w:line="171" w:lineRule="exact"/>
        <w:rPr>
          <w:sz w:val="20"/>
          <w:szCs w:val="20"/>
          <w:color w:val="auto"/>
        </w:rPr>
      </w:pPr>
    </w:p>
    <w:p>
      <w:pPr>
        <w:jc w:val="both"/>
        <w:ind w:right="60" w:firstLine="921"/>
        <w:spacing w:after="0" w:line="298"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 claim for indemnification or advancement of expenses under Section 10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12" w:lineRule="exact"/>
        <w:rPr>
          <w:rFonts w:ascii="Arial" w:cs="Arial" w:eastAsia="Arial" w:hAnsi="Arial"/>
          <w:sz w:val="16"/>
          <w:szCs w:val="16"/>
          <w:color w:val="auto"/>
        </w:rPr>
      </w:pPr>
    </w:p>
    <w:p>
      <w:pPr>
        <w:ind w:right="38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rights conferred on any Covered Person by Section 10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40" w:lineRule="exact"/>
        <w:rPr>
          <w:rFonts w:ascii="Arial" w:cs="Arial" w:eastAsia="Arial" w:hAnsi="Arial"/>
          <w:sz w:val="18"/>
          <w:szCs w:val="18"/>
          <w:color w:val="auto"/>
        </w:rPr>
      </w:pPr>
    </w:p>
    <w:p>
      <w:pPr>
        <w:ind w:firstLine="921"/>
        <w:spacing w:after="0" w:line="259"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40"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or repeal of the foregoing provisions of Section 10 shall not adversely affect any right or protection hereunder of any Covered Person in respect of any act or omission occurring prior to the time of such amendment or repeal.</w:t>
      </w:r>
    </w:p>
    <w:p>
      <w:pPr>
        <w:spacing w:after="0" w:line="131" w:lineRule="exact"/>
        <w:rPr>
          <w:rFonts w:ascii="Arial" w:cs="Arial" w:eastAsia="Arial" w:hAnsi="Arial"/>
          <w:sz w:val="18"/>
          <w:szCs w:val="18"/>
          <w:color w:val="auto"/>
        </w:rPr>
      </w:pPr>
    </w:p>
    <w:p>
      <w:pPr>
        <w:ind w:right="180" w:firstLine="921"/>
        <w:spacing w:after="0" w:line="268"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10 shall not limit the right of the Corporation, to the extent and in the manner permitted by applicable law, to indemnify and to advance expenses to persons other than Covered Persons when and as authorized by appropriate corporate 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11.1 These By-Laws may be altered, amended or repealed or new By-Laws may be adopted by the stockholders or by the Board of Directors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Adopted: Effective February 25, 2013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Announces Name Change To Destination XL Group,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Change Reflects Company’s Transition to Destination XL</w:t>
      </w:r>
    </w:p>
    <w:p>
      <w:pPr>
        <w:spacing w:after="0" w:line="16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CANTON, Mass., February 22, 2013 — </w:t>
      </w:r>
      <w:r>
        <w:rPr>
          <w:rFonts w:ascii="Arial" w:cs="Arial" w:eastAsia="Arial" w:hAnsi="Arial"/>
          <w:sz w:val="16"/>
          <w:szCs w:val="16"/>
          <w:b w:val="1"/>
          <w:bCs w:val="1"/>
          <w:u w:val="single" w:color="auto"/>
          <w:color w:val="auto"/>
        </w:rPr>
        <w:t>Casual Male Retail Group, Inc.</w:t>
      </w:r>
      <w:r>
        <w:rPr>
          <w:rFonts w:ascii="Arial" w:cs="Arial" w:eastAsia="Arial" w:hAnsi="Arial"/>
          <w:sz w:val="16"/>
          <w:szCs w:val="16"/>
          <w:color w:val="auto"/>
        </w:rPr>
        <w:t xml:space="preserve"> (NASDAQ: DXLG), the largest multi-channel specialty retailer of big &amp; tall men’s apparel and accessories, today announced that it will formally change its corporate name to Destination XL Group, Inc. to reflect the Company’s transition to its Destination XL</w:t>
      </w:r>
      <w:r>
        <w:rPr>
          <w:rFonts w:ascii="Arial" w:cs="Arial" w:eastAsia="Arial" w:hAnsi="Arial"/>
          <w:sz w:val="10"/>
          <w:szCs w:val="10"/>
          <w:color w:val="auto"/>
        </w:rPr>
        <w:t>®</w:t>
      </w:r>
      <w:r>
        <w:rPr>
          <w:rFonts w:ascii="Arial" w:cs="Arial" w:eastAsia="Arial" w:hAnsi="Arial"/>
          <w:sz w:val="16"/>
          <w:szCs w:val="16"/>
          <w:color w:val="auto"/>
        </w:rPr>
        <w:t xml:space="preserve"> (DXL</w:t>
      </w:r>
      <w:r>
        <w:rPr>
          <w:rFonts w:ascii="Arial" w:cs="Arial" w:eastAsia="Arial" w:hAnsi="Arial"/>
          <w:sz w:val="10"/>
          <w:szCs w:val="10"/>
          <w:color w:val="auto"/>
        </w:rPr>
        <w:t>®</w:t>
      </w:r>
      <w:r>
        <w:rPr>
          <w:rFonts w:ascii="Arial" w:cs="Arial" w:eastAsia="Arial" w:hAnsi="Arial"/>
          <w:sz w:val="16"/>
          <w:szCs w:val="16"/>
          <w:color w:val="auto"/>
        </w:rPr>
        <w:t xml:space="preserve">) retail stores and </w:t>
      </w:r>
      <w:r>
        <w:rPr>
          <w:rFonts w:ascii="Arial" w:cs="Arial" w:eastAsia="Arial" w:hAnsi="Arial"/>
          <w:sz w:val="16"/>
          <w:szCs w:val="16"/>
          <w:u w:val="single" w:color="auto"/>
          <w:color w:val="auto"/>
        </w:rPr>
        <w:t>DestinationXL.com</w:t>
      </w:r>
      <w:r>
        <w:rPr>
          <w:rFonts w:ascii="Arial" w:cs="Arial" w:eastAsia="Arial" w:hAnsi="Arial"/>
          <w:sz w:val="16"/>
          <w:szCs w:val="16"/>
          <w:color w:val="auto"/>
        </w:rPr>
        <w:t xml:space="preserve"> e-commerce website. As previously announced, the Company’s ticker symbol was changed to “DXLG” effective Wednesday, December 5, 2012. The name change will be effective as of Monday, February 25, 2013.</w:t>
      </w:r>
    </w:p>
    <w:p>
      <w:pPr>
        <w:spacing w:after="0" w:line="1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transformation to the Destination XL concept provides the Company with an exciting opportunity for growth,” said David Levin, President and CEO. “Changing our name to Destination XL Group, Inc. truly reflects who we are today as we expand the Destination XL concept and rebrand the Company as a whole. The 49 Destination XL stores currently in operation and our DestinationXL.com website have already proven to be successful, and we are confident that this transformation will accelerate our long-term sales and profitability.”</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common stock will be assigned a new CUSIP number of 25065K 104 in connection with the name change. Outstanding stock certificates will not be affected and will not need to be exchanged.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Destination XL Group, Inc. is the largest multi-channel specialty retailer of big &amp; tall men’s apparel with operations throughout the United States, Canada and Europe. The retailer operates under six brands: Destination XL</w:t>
      </w:r>
      <w:r>
        <w:rPr>
          <w:rFonts w:ascii="Arial" w:cs="Arial" w:eastAsia="Arial" w:hAnsi="Arial"/>
          <w:sz w:val="10"/>
          <w:szCs w:val="10"/>
          <w:color w:val="auto"/>
        </w:rPr>
        <w:t>®</w:t>
      </w:r>
      <w:r>
        <w:rPr>
          <w:rFonts w:ascii="Arial" w:cs="Arial" w:eastAsia="Arial" w:hAnsi="Arial"/>
          <w:sz w:val="16"/>
          <w:szCs w:val="16"/>
          <w:color w:val="auto"/>
        </w:rPr>
        <w:t>, Casual Male XL, Rochester Clothing, B&amp;T Factory Direct, ShoesXL and LivingXL. Several catalogs and e-commerce sites, including www.destinationxl.com, make up the Company’s direct-to-consumer business. With more than 2,000 private label and name brand styles to choose from, customers are provided with a unique blend of wardrobe solutions not available at traditional retailers. The Company is headquartered in Canton, Massachusetts. For more information, please visit the Company’s investor relations website: http://investor.casualmale.com.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Certain information contained in this press release constitutes forward-looking statements under the federal securities laws, including statements regarding expected new store openings and growth opportunities.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lvl w:ilvl="1">
      <w:lvlJc w:val="left"/>
      <w:lvlText w:val="(%2)"/>
      <w:numFmt w:val="lowerLetter"/>
      <w:start w:val="1"/>
    </w:lvl>
  </w:abstractNum>
  <w:abstractNum w:abstractNumId="4">
    <w:nsid w:val="3352255A"/>
    <w:multiLevelType w:val="hybridMultilevel"/>
    <w:lvl w:ilvl="0">
      <w:lvlJc w:val="left"/>
      <w:lvlText w:val="(%1)"/>
      <w:numFmt w:val="decimal"/>
      <w:start w:val="2"/>
    </w:lvl>
    <w:lvl w:ilvl="1">
      <w:lvlJc w:val="left"/>
      <w:lvlText w:val="%2"/>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lvl w:ilvl="1">
      <w:lvlJc w:val="left"/>
      <w:lvlText w:val="(%2)"/>
      <w:numFmt w:val="lowerLetter"/>
      <w:start w:val="3"/>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6"/>
    </w:lvl>
    <w:lvl w:ilvl="1">
      <w:lvlJc w:val="left"/>
      <w:lvlText w:val="(%2)"/>
      <w:numFmt w:val="lowerLetter"/>
      <w:start w:val="4"/>
    </w:lvl>
  </w:abstractNum>
  <w:abstractNum w:abstractNumId="9">
    <w:nsid w:val="41A7C4C9"/>
    <w:multiLevelType w:val="hybridMultilevel"/>
    <w:lvl w:ilvl="0">
      <w:lvlJc w:val="left"/>
      <w:lvlText w:val="%1"/>
      <w:numFmt w:val="decimal"/>
      <w:start w:val="1"/>
    </w:lvl>
    <w:lvl w:ilvl="1">
      <w:lvlJc w:val="left"/>
      <w:lvlText w:val="(%2)"/>
      <w:numFmt w:val="lowerLetter"/>
      <w:start w:val="7"/>
    </w:lvl>
  </w:abstractNum>
  <w:abstractNum w:abstractNumId="10">
    <w:nsid w:val="6B68079A"/>
    <w:multiLevelType w:val="hybridMultilevel"/>
    <w:lvl w:ilvl="0">
      <w:lvlJc w:val="left"/>
      <w:lvlText w:val="(%1)"/>
      <w:numFmt w:val="decimal"/>
      <w:start w:val="1"/>
    </w:lvl>
    <w:lvl w:ilvl="1">
      <w:lvlJc w:val="left"/>
      <w:lvlText w:val="(%2)"/>
      <w:numFmt w:val="lowerLetter"/>
      <w:start w:val="9"/>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1"/>
    </w:lvl>
    <w:lvl w:ilvl="1">
      <w:lvlJc w:val="left"/>
      <w:lvlText w:val="(%2)"/>
      <w:numFmt w:val="lowerLetter"/>
      <w:start w:val="3"/>
    </w:lvl>
  </w:abstractNum>
  <w:abstractNum w:abstractNumId="13">
    <w:nsid w:val="519B500D"/>
    <w:multiLevelType w:val="hybridMultilevel"/>
    <w:lvl w:ilvl="0">
      <w:lvlJc w:val="left"/>
      <w:lvlText w:val="(%1)"/>
      <w:numFmt w:val="decimal"/>
      <w:start w:val="1"/>
    </w:lvl>
    <w:lvl w:ilvl="1">
      <w:lvlJc w:val="left"/>
      <w:lvlText w:val="(%2)"/>
      <w:numFmt w:val="lowerLetter"/>
      <w:start w:val="4"/>
    </w:lvl>
  </w:abstractNum>
  <w:abstractNum w:abstractNumId="14">
    <w:nsid w:val="431BD7B7"/>
    <w:multiLevelType w:val="hybridMultilevel"/>
    <w:lvl w:ilvl="0">
      <w:lvlJc w:val="left"/>
      <w:lvlText w:val="(%1)"/>
      <w:numFmt w:val="lowerLetter"/>
      <w:start w:val="5"/>
    </w:lvl>
  </w:abstractNum>
  <w:abstractNum w:abstractNumId="15">
    <w:nsid w:val="3F2DBA31"/>
    <w:multiLevelType w:val="hybridMultilevel"/>
    <w:lvl w:ilvl="0">
      <w:lvlJc w:val="left"/>
      <w:lvlText w:val="(%1)"/>
      <w:numFmt w:val="lowerLetter"/>
      <w:start w:val="9"/>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upperLetter"/>
      <w:start w:val="4"/>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2019-12-06T00:14:52Z</dcterms:created>
  <dcterms:modified xsi:type="dcterms:W3CDTF">2019-12-06T00:14:52Z</dcterms:modified>
</cp:coreProperties>
</file>