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5" w:right="139" w:bottom="1440" w:gutter="0" w:footer="0" w:header="0"/>
        </w:sectPr>
      </w:pPr>
    </w:p>
    <w:p>
      <w:pPr>
        <w:spacing w:after="0" w:line="6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2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6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4"/>
        </w:trPr>
        <w:tc>
          <w:tcPr>
            <w:tcW w:w="6520" w:type="dxa"/>
            <w:vAlign w:val="bottom"/>
          </w:tcPr>
          <w:p>
            <w:pPr>
              <w:jc w:val="center"/>
              <w:ind w:right="197"/>
              <w:spacing w:after="0" w:line="13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3"/>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-934720</wp:posOffset>
            </wp:positionV>
            <wp:extent cx="7323455"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3455" cy="564769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340" w:space="340"/>
            <w:col w:w="8840"/>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40" w:type="dxa"/>
            <w:vAlign w:val="bottom"/>
            <w:gridSpan w:val="3"/>
            <w:vMerge w:val="restart"/>
          </w:tcPr>
          <w:p>
            <w:pPr>
              <w:spacing w:after="0"/>
              <w:rPr>
                <w:rFonts w:ascii="Arial" w:cs="Arial" w:eastAsia="Arial" w:hAnsi="Arial"/>
                <w:sz w:val="21"/>
                <w:szCs w:val="21"/>
                <w:color w:val="0000EE"/>
                <w:w w:val="96"/>
              </w:rPr>
            </w:pPr>
            <w:hyperlink r:id="rId10">
              <w:r>
                <w:rPr>
                  <w:rFonts w:ascii="Arial" w:cs="Arial" w:eastAsia="Arial" w:hAnsi="Arial"/>
                  <w:sz w:val="21"/>
                  <w:szCs w:val="21"/>
                  <w:color w:val="0000EE"/>
                  <w:w w:val="96"/>
                </w:rPr>
                <w:t>HERNREICH DENNIS R</w:t>
              </w:r>
            </w:hyperlink>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tcPr>
          <w:p>
            <w:pPr>
              <w:ind w:left="60"/>
              <w:spacing w:after="0" w:line="107" w:lineRule="exact"/>
              <w:rPr>
                <w:rFonts w:ascii="Arial" w:cs="Arial" w:eastAsia="Arial" w:hAnsi="Arial"/>
                <w:sz w:val="12"/>
                <w:szCs w:val="12"/>
                <w:color w:val="0000EE"/>
              </w:rPr>
            </w:pPr>
            <w:hyperlink r:id="rId11">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Borders>
              <w:bottom w:val="single" w:sz="8" w:color="0000EE"/>
            </w:tcBorders>
            <w:gridSpan w:val="3"/>
            <w:vMerge w:val="continue"/>
          </w:tcPr>
          <w:p>
            <w:pPr>
              <w:spacing w:after="0"/>
              <w:rPr>
                <w:sz w:val="5"/>
                <w:szCs w:val="5"/>
                <w:color w:val="auto"/>
              </w:rPr>
            </w:pPr>
          </w:p>
        </w:tc>
        <w:tc>
          <w:tcPr>
            <w:tcW w:w="26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7"/>
                <w:szCs w:val="17"/>
                <w:color w:val="0000FF"/>
              </w:rPr>
              <w:t xml:space="preserve">CMRG </w:t>
            </w:r>
            <w:r>
              <w:rPr>
                <w:rFonts w:ascii="Arial" w:cs="Arial" w:eastAsia="Arial" w:hAnsi="Arial"/>
                <w:sz w:val="21"/>
                <w:szCs w:val="21"/>
                <w:color w:val="000000"/>
              </w:rPr>
              <w:t>]</w:t>
            </w: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40" w:type="dxa"/>
            <w:vAlign w:val="bottom"/>
            <w:gridSpan w:val="3"/>
          </w:tcPr>
          <w:p>
            <w:pPr>
              <w:spacing w:after="0"/>
              <w:rPr>
                <w:sz w:val="4"/>
                <w:szCs w:val="4"/>
                <w:color w:val="auto"/>
              </w:rPr>
            </w:pPr>
          </w:p>
        </w:tc>
        <w:tc>
          <w:tcPr>
            <w:tcW w:w="2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2"/>
                <w:szCs w:val="1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12"/>
                <w:szCs w:val="1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restart"/>
          </w:tcPr>
          <w:p>
            <w:pPr>
              <w:ind w:left="140"/>
              <w:spacing w:after="0" w:line="134"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vMerge w:val="restart"/>
          </w:tcPr>
          <w:p>
            <w:pPr>
              <w:ind w:left="220"/>
              <w:spacing w:after="0" w:line="134"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continue"/>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continue"/>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7"/>
                <w:szCs w:val="17"/>
                <w:color w:val="0000FF"/>
              </w:rPr>
              <w:t>EVP, COO, CFO and Treasurer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40" w:type="dxa"/>
            <w:vAlign w:val="bottom"/>
            <w:gridSpan w:val="5"/>
          </w:tcPr>
          <w:p>
            <w:pPr>
              <w:ind w:left="280"/>
              <w:spacing w:after="0"/>
              <w:rPr>
                <w:sz w:val="20"/>
                <w:szCs w:val="20"/>
                <w:color w:val="auto"/>
              </w:rPr>
            </w:pPr>
            <w:r>
              <w:rPr>
                <w:rFonts w:ascii="Arial" w:cs="Arial" w:eastAsia="Arial" w:hAnsi="Arial"/>
                <w:sz w:val="17"/>
                <w:szCs w:val="17"/>
                <w:color w:val="0000FF"/>
              </w:rPr>
              <w:t>07/01/2003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8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right w:val="single" w:sz="8" w:color="EEEEEE"/>
            </w:tcBorders>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line="20" w:lineRule="exact"/>
              <w:rPr>
                <w:sz w:val="1"/>
                <w:szCs w:val="1"/>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gridSpan w:val="9"/>
            <w:vMerge w:val="continue"/>
          </w:tcPr>
          <w:p>
            <w:pPr>
              <w:spacing w:after="0"/>
              <w:rPr>
                <w:sz w:val="13"/>
                <w:szCs w:val="13"/>
                <w:color w:val="auto"/>
              </w:rPr>
            </w:pPr>
          </w:p>
        </w:tc>
        <w:tc>
          <w:tcPr>
            <w:tcW w:w="200" w:type="dxa"/>
            <w:vAlign w:val="bottom"/>
          </w:tcPr>
          <w:p>
            <w:pPr>
              <w:spacing w:after="0"/>
              <w:rPr>
                <w:sz w:val="13"/>
                <w:szCs w:val="13"/>
                <w:color w:val="auto"/>
              </w:rPr>
            </w:pPr>
          </w:p>
        </w:tc>
        <w:tc>
          <w:tcPr>
            <w:tcW w:w="356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3560" w:type="dxa"/>
            <w:vAlign w:val="bottom"/>
            <w:gridSpan w:val="10"/>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5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40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672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920" w:type="dxa"/>
            <w:vAlign w:val="bottom"/>
            <w:tcBorders>
              <w:bottom w:val="single" w:sz="8" w:color="2C2C2C"/>
            </w:tcBorders>
            <w:gridSpan w:val="3"/>
          </w:tcPr>
          <w:p>
            <w:pPr>
              <w:spacing w:after="0"/>
              <w:rPr>
                <w:sz w:val="7"/>
                <w:szCs w:val="7"/>
                <w:color w:val="auto"/>
              </w:rPr>
            </w:pPr>
          </w:p>
        </w:tc>
        <w:tc>
          <w:tcPr>
            <w:tcW w:w="7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07/01/2009</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75,000</w:t>
            </w:r>
          </w:p>
        </w:tc>
        <w:tc>
          <w:tcPr>
            <w:tcW w:w="6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0</w:t>
            </w:r>
          </w:p>
        </w:tc>
        <w:tc>
          <w:tcPr>
            <w:tcW w:w="900" w:type="dxa"/>
            <w:vAlign w:val="bottom"/>
            <w:gridSpan w:val="2"/>
            <w:vMerge w:val="restart"/>
          </w:tcPr>
          <w:p>
            <w:pPr>
              <w:ind w:left="100"/>
              <w:spacing w:after="0"/>
              <w:rPr>
                <w:sz w:val="20"/>
                <w:szCs w:val="20"/>
                <w:color w:val="auto"/>
              </w:rPr>
            </w:pPr>
            <w:r>
              <w:rPr>
                <w:rFonts w:ascii="Arial" w:cs="Arial" w:eastAsia="Arial" w:hAnsi="Arial"/>
                <w:sz w:val="26"/>
                <w:szCs w:val="26"/>
                <w:color w:val="0000FF"/>
                <w:w w:val="97"/>
                <w:vertAlign w:val="subscript"/>
              </w:rPr>
              <w:t>75,000</w:t>
            </w:r>
            <w:r>
              <w:rPr>
                <w:rFonts w:ascii="Arial" w:cs="Arial" w:eastAsia="Arial" w:hAnsi="Arial"/>
                <w:sz w:val="11"/>
                <w:szCs w:val="11"/>
                <w:color w:val="008000"/>
                <w:w w:val="97"/>
              </w:rPr>
              <w:t>(2)(3)</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80"/>
              <w:spacing w:after="0"/>
              <w:rPr>
                <w:sz w:val="20"/>
                <w:szCs w:val="20"/>
                <w:color w:val="auto"/>
              </w:rPr>
            </w:pPr>
            <w:r>
              <w:rPr>
                <w:rFonts w:ascii="Arial" w:cs="Arial" w:eastAsia="Arial" w:hAnsi="Arial"/>
                <w:sz w:val="13"/>
                <w:szCs w:val="13"/>
                <w:color w:val="0000FF"/>
              </w:rPr>
              <w:t>5.01</w:t>
            </w:r>
          </w:p>
        </w:tc>
        <w:tc>
          <w:tcPr>
            <w:tcW w:w="1100" w:type="dxa"/>
            <w:vAlign w:val="bottom"/>
            <w:gridSpan w:val="2"/>
            <w:vMerge w:val="restart"/>
          </w:tcPr>
          <w:p>
            <w:pPr>
              <w:jc w:val="right"/>
              <w:ind w:right="153"/>
              <w:spacing w:after="0"/>
              <w:rPr>
                <w:sz w:val="20"/>
                <w:szCs w:val="20"/>
                <w:color w:val="auto"/>
              </w:rPr>
            </w:pPr>
            <w:r>
              <w:rPr>
                <w:rFonts w:ascii="Arial" w:cs="Arial" w:eastAsia="Arial" w:hAnsi="Arial"/>
                <w:sz w:val="13"/>
                <w:szCs w:val="13"/>
                <w:color w:val="0000FF"/>
              </w:rPr>
              <w:t>07/01/2003</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75,000</w:t>
            </w:r>
          </w:p>
        </w:tc>
        <w:tc>
          <w:tcPr>
            <w:tcW w:w="3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0000FF"/>
              </w:rPr>
              <w:t>07/01/2013</w:t>
            </w:r>
          </w:p>
        </w:tc>
        <w:tc>
          <w:tcPr>
            <w:tcW w:w="70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gridSpan w:val="2"/>
          </w:tcPr>
          <w:p>
            <w:pPr>
              <w:ind w:left="160"/>
              <w:spacing w:after="0" w:line="92" w:lineRule="exact"/>
              <w:rPr>
                <w:sz w:val="20"/>
                <w:szCs w:val="20"/>
                <w:color w:val="auto"/>
              </w:rPr>
            </w:pPr>
            <w:r>
              <w:rPr>
                <w:rFonts w:ascii="Arial" w:cs="Arial" w:eastAsia="Arial" w:hAnsi="Arial"/>
                <w:sz w:val="10"/>
                <w:szCs w:val="10"/>
                <w:color w:val="0000FF"/>
              </w:rPr>
              <w:t>Stock</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7"/>
        <w:spacing w:after="0" w:line="26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If the Issuer achieves a two percent increase on comparative store sales in the forth quarter of fiscal year 2004, as compared to comparative store sales in the fourth quarter of fiscal 2003, the vesting of the stock option will automatically be accelerated such that it will vest over three years with one-third vesting each year, commencing on July 1, 2004.</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has previously reported grants of options to purchase an aggregate of 260,000 shares of the Issuer's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has previously reported direct beneficial ownership of 77,200 shares of the Issuer's common stock.</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Arlene C. Feldman,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07/03/2003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2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3"/>
              </w:rPr>
              <w:t>in-Fact for Dennis R. Hernreich</w:t>
            </w:r>
          </w:p>
        </w:tc>
        <w:tc>
          <w:tcPr>
            <w:tcW w:w="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2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8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059642" TargetMode="External"/><Relationship Id="rId11"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2019-12-16T04:48:29Z</dcterms:created>
  <dcterms:modified xsi:type="dcterms:W3CDTF">2019-12-16T04:48:29Z</dcterms:modified>
</cp:coreProperties>
</file>