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(Amendment No. )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25065K104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 Carlo Cannell</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Cannell Capital LLC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245 Meriwether Circle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Alta, WY 83414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(307) 733-2284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April 3, 2018</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3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8 pages)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4"/>
          <w:szCs w:val="24"/>
          <w:color w:val="auto"/>
        </w:rPr>
      </w:pPr>
    </w:p>
    <w:p>
      <w:pPr>
        <w:ind w:right="5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6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00"/>
          </w:cols>
          <w:pgMar w:left="240" w:top="233" w:right="459" w:bottom="1440" w:gutter="0" w:footer="0" w:header="0"/>
        </w:sectPr>
      </w:pPr>
    </w:p>
    <w:bookmarkStart w:id="1" w:name="page2"/>
    <w:bookmarkEnd w:id="1"/>
    <w:p>
      <w:pPr>
        <w:spacing w:after="0"/>
        <w:tabs>
          <w:tab w:leader="none" w:pos="10000" w:val="left"/>
        </w:tabs>
        <w:rPr>
          <w:sz w:val="20"/>
          <w:szCs w:val="20"/>
          <w:color w:val="auto"/>
        </w:rPr>
      </w:pPr>
      <w:r>
        <w:rPr>
          <w:rFonts w:ascii="Arial" w:cs="Arial" w:eastAsia="Arial" w:hAnsi="Arial"/>
          <w:sz w:val="18"/>
          <w:szCs w:val="18"/>
          <w:b w:val="1"/>
          <w:bCs w:val="1"/>
          <w:color w:val="auto"/>
        </w:rPr>
        <w:t>CUSIP No. 25065K104</w:t>
      </w:r>
      <w:r>
        <w:rPr>
          <w:sz w:val="20"/>
          <w:szCs w:val="20"/>
          <w:color w:val="auto"/>
        </w:rPr>
        <w:tab/>
      </w:r>
      <w:r>
        <w:rPr>
          <w:rFonts w:ascii="Arial" w:cs="Arial" w:eastAsia="Arial" w:hAnsi="Arial"/>
          <w:sz w:val="15"/>
          <w:szCs w:val="15"/>
          <w:b w:val="1"/>
          <w:bCs w:val="1"/>
          <w:color w:val="auto"/>
        </w:rPr>
        <w:t>Page 2 of 8 pages</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2019-12-16T20:08:23Z</dcterms:created>
  <dcterms:modified xsi:type="dcterms:W3CDTF">2019-12-16T20:08:23Z</dcterms:modified>
</cp:coreProperties>
</file>