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5392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392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Molloy Robert S</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CANTON</w:t>
      </w:r>
      <w:r>
        <w:rPr>
          <w:sz w:val="20"/>
          <w:szCs w:val="20"/>
          <w:color w:val="auto"/>
        </w:rPr>
        <w:tab/>
      </w:r>
      <w:r>
        <w:rPr>
          <w:rFonts w:ascii="Times New Roman" w:cs="Times New Roman" w:eastAsia="Times New Roman" w:hAnsi="Times New Roman"/>
          <w:sz w:val="17"/>
          <w:szCs w:val="17"/>
          <w:color w:val="0000FF"/>
        </w:rPr>
        <w:t>MA</w:t>
      </w:r>
      <w:r>
        <w:rPr>
          <w:sz w:val="20"/>
          <w:szCs w:val="20"/>
          <w:color w:val="auto"/>
        </w:rPr>
        <w:tab/>
      </w:r>
      <w:r>
        <w:rPr>
          <w:rFonts w:ascii="Times New Roman" w:cs="Times New Roman" w:eastAsia="Times New Roman" w:hAnsi="Times New Roman"/>
          <w:sz w:val="16"/>
          <w:szCs w:val="16"/>
          <w:color w:val="0000FF"/>
        </w:rPr>
        <w:t>02021</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6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01/11/2024</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General Counsel &amp; Secretary</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60" w:right="340" w:hanging="246"/>
        <w:spacing w:after="0" w:line="180"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0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01/11/2024</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5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0.53</w:t>
            </w:r>
          </w:p>
        </w:tc>
        <w:tc>
          <w:tcPr>
            <w:tcW w:w="80" w:type="dxa"/>
            <w:vAlign w:val="bottom"/>
          </w:tcPr>
          <w:p>
            <w:pPr>
              <w:spacing w:after="0"/>
              <w:rPr>
                <w:sz w:val="22"/>
                <w:szCs w:val="22"/>
                <w:color w:val="auto"/>
              </w:rPr>
            </w:pPr>
          </w:p>
        </w:tc>
        <w:tc>
          <w:tcPr>
            <w:tcW w:w="12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260,409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01/11/2024</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4.0057</w:t>
            </w:r>
            <w:r>
              <w:rPr>
                <w:rFonts w:ascii="Times New Roman" w:cs="Times New Roman" w:eastAsia="Times New Roman" w:hAnsi="Times New Roman"/>
                <w:sz w:val="21"/>
                <w:szCs w:val="21"/>
                <w:color w:val="008000"/>
                <w:w w:val="90"/>
                <w:vertAlign w:val="superscript"/>
              </w:rPr>
              <w:t>(2)</w:t>
            </w:r>
          </w:p>
        </w:tc>
        <w:tc>
          <w:tcPr>
            <w:tcW w:w="124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240,409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0.53</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01/11/2024</w:t>
            </w:r>
          </w:p>
        </w:tc>
        <w:tc>
          <w:tcPr>
            <w:tcW w:w="10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7"/>
                <w:szCs w:val="17"/>
                <w:color w:val="auto"/>
              </w:rPr>
            </w:pPr>
          </w:p>
        </w:tc>
        <w:tc>
          <w:tcPr>
            <w:tcW w:w="880" w:type="dxa"/>
            <w:vAlign w:val="bottom"/>
          </w:tcPr>
          <w:p>
            <w:pPr>
              <w:ind w:left="380"/>
              <w:spacing w:after="0" w:line="204" w:lineRule="exact"/>
              <w:rPr>
                <w:sz w:val="20"/>
                <w:szCs w:val="20"/>
                <w:color w:val="auto"/>
              </w:rPr>
            </w:pPr>
            <w:r>
              <w:rPr>
                <w:rFonts w:ascii="Times New Roman" w:cs="Times New Roman" w:eastAsia="Times New Roman" w:hAnsi="Times New Roman"/>
                <w:sz w:val="13"/>
                <w:szCs w:val="13"/>
                <w:color w:val="0000FF"/>
                <w:w w:val="92"/>
              </w:rPr>
              <w:t>20,000</w:t>
            </w:r>
            <w:r>
              <w:rPr>
                <w:rFonts w:ascii="Times New Roman" w:cs="Times New Roman" w:eastAsia="Times New Roman" w:hAnsi="Times New Roman"/>
                <w:sz w:val="21"/>
                <w:szCs w:val="21"/>
                <w:color w:val="008000"/>
                <w:w w:val="92"/>
                <w:vertAlign w:val="superscript"/>
              </w:rPr>
              <w:t>(3)</w:t>
            </w: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06/11/2021</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06/11/2030</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20,000</w:t>
            </w:r>
          </w:p>
        </w:tc>
        <w:tc>
          <w:tcPr>
            <w:tcW w:w="80" w:type="dxa"/>
            <w:vAlign w:val="bottom"/>
          </w:tcPr>
          <w:p>
            <w:pPr>
              <w:spacing w:after="0"/>
              <w:rPr>
                <w:sz w:val="17"/>
                <w:szCs w:val="17"/>
                <w:color w:val="auto"/>
              </w:rPr>
            </w:pPr>
          </w:p>
        </w:tc>
        <w:tc>
          <w:tcPr>
            <w:tcW w:w="68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145,731</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5"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that was adopted by the Reporting Person on June 30, 2023.</w:t>
      </w:r>
    </w:p>
    <w:p>
      <w:pPr>
        <w:spacing w:after="0" w:line="41" w:lineRule="exact"/>
        <w:rPr>
          <w:rFonts w:ascii="Times New Roman" w:cs="Times New Roman" w:eastAsia="Times New Roman" w:hAnsi="Times New Roman"/>
          <w:sz w:val="13"/>
          <w:szCs w:val="13"/>
          <w:color w:val="008000"/>
        </w:rPr>
      </w:pPr>
    </w:p>
    <w:p>
      <w:pPr>
        <w:ind w:left="40" w:right="20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$4.00 to $4.015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non-qualified stock options to the Reporting Person on June 11, 2020, under the Company's 2016 Incentive Compensation Plan.</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Robert S. Molloy</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01/12/2024</w:t>
            </w: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12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2024-01-12T15:10:40Z</dcterms:created>
  <dcterms:modified xsi:type="dcterms:W3CDTF">2024-01-12T15:10:40Z</dcterms:modified>
</cp:coreProperties>
</file>