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3" w:lineRule="exact"/>
        <w:rPr>
          <w:sz w:val="24"/>
          <w:szCs w:val="24"/>
          <w:color w:val="auto"/>
        </w:rPr>
      </w:pPr>
    </w:p>
    <w:p>
      <w:pPr>
        <w:jc w:val="center"/>
        <w:ind w:right="-44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4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93980</wp:posOffset>
            </wp:positionV>
            <wp:extent cx="15271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174" w:lineRule="exact"/>
        <w:rPr>
          <w:sz w:val="24"/>
          <w:szCs w:val="24"/>
          <w:color w:val="auto"/>
        </w:rPr>
      </w:pPr>
    </w:p>
    <w:p>
      <w:pPr>
        <w:jc w:val="center"/>
        <w:ind w:right="-44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109220</wp:posOffset>
            </wp:positionV>
            <wp:extent cx="15271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10" w:lineRule="exact"/>
        <w:rPr>
          <w:sz w:val="24"/>
          <w:szCs w:val="24"/>
          <w:color w:val="auto"/>
        </w:rPr>
      </w:pPr>
    </w:p>
    <w:p>
      <w:pPr>
        <w:jc w:val="center"/>
        <w:ind w:right="-445"/>
        <w:spacing w:after="0"/>
        <w:rPr>
          <w:sz w:val="20"/>
          <w:szCs w:val="20"/>
          <w:color w:val="auto"/>
        </w:rPr>
      </w:pPr>
      <w:r>
        <w:rPr>
          <w:rFonts w:ascii="Arial" w:cs="Arial" w:eastAsia="Arial" w:hAnsi="Arial"/>
          <w:sz w:val="21"/>
          <w:szCs w:val="21"/>
          <w:b w:val="1"/>
          <w:bCs w:val="1"/>
          <w:color w:val="auto"/>
        </w:rPr>
        <w:t>CURRENT REPORT</w:t>
      </w:r>
    </w:p>
    <w:p>
      <w:pPr>
        <w:spacing w:after="0" w:line="147" w:lineRule="exact"/>
        <w:rPr>
          <w:sz w:val="24"/>
          <w:szCs w:val="24"/>
          <w:color w:val="auto"/>
        </w:rPr>
      </w:pPr>
    </w:p>
    <w:p>
      <w:pPr>
        <w:jc w:val="center"/>
        <w:ind w:right="-445"/>
        <w:spacing w:after="0"/>
        <w:rPr>
          <w:sz w:val="20"/>
          <w:szCs w:val="20"/>
          <w:color w:val="auto"/>
        </w:rPr>
      </w:pPr>
      <w:r>
        <w:rPr>
          <w:rFonts w:ascii="Arial" w:cs="Arial" w:eastAsia="Arial" w:hAnsi="Arial"/>
          <w:sz w:val="19"/>
          <w:szCs w:val="19"/>
          <w:b w:val="1"/>
          <w:bCs w:val="1"/>
          <w:color w:val="auto"/>
        </w:rPr>
        <w:t>PURSUANT TO SECTION 13 OR 15(d) OF THE</w:t>
      </w:r>
    </w:p>
    <w:p>
      <w:pPr>
        <w:spacing w:after="0" w:line="13" w:lineRule="exact"/>
        <w:rPr>
          <w:sz w:val="24"/>
          <w:szCs w:val="24"/>
          <w:color w:val="auto"/>
        </w:rPr>
      </w:pPr>
    </w:p>
    <w:p>
      <w:pPr>
        <w:jc w:val="center"/>
        <w:ind w:right="-445"/>
        <w:spacing w:after="0"/>
        <w:rPr>
          <w:sz w:val="20"/>
          <w:szCs w:val="20"/>
          <w:color w:val="auto"/>
        </w:rPr>
      </w:pPr>
      <w:r>
        <w:rPr>
          <w:rFonts w:ascii="Arial" w:cs="Arial" w:eastAsia="Arial" w:hAnsi="Arial"/>
          <w:sz w:val="19"/>
          <w:szCs w:val="19"/>
          <w:b w:val="1"/>
          <w:bCs w:val="1"/>
          <w:color w:val="auto"/>
        </w:rPr>
        <w:t>SECURITIES EXCHANGE ACT OF 1934</w:t>
      </w:r>
    </w:p>
    <w:p>
      <w:pPr>
        <w:spacing w:after="0" w:line="114" w:lineRule="exact"/>
        <w:rPr>
          <w:sz w:val="24"/>
          <w:szCs w:val="24"/>
          <w:color w:val="auto"/>
        </w:rPr>
      </w:pPr>
    </w:p>
    <w:p>
      <w:pPr>
        <w:jc w:val="center"/>
        <w:ind w:right="-445"/>
        <w:spacing w:after="0"/>
        <w:rPr>
          <w:sz w:val="20"/>
          <w:szCs w:val="20"/>
          <w:color w:val="auto"/>
        </w:rPr>
      </w:pPr>
      <w:r>
        <w:rPr>
          <w:rFonts w:ascii="Arial" w:cs="Arial" w:eastAsia="Arial" w:hAnsi="Arial"/>
          <w:sz w:val="19"/>
          <w:szCs w:val="19"/>
          <w:b w:val="1"/>
          <w:bCs w:val="1"/>
          <w:color w:val="auto"/>
        </w:rPr>
        <w:t>Date of Report (Date of earliest event reported): June 29, 2010</w:t>
      </w:r>
    </w:p>
    <w:p>
      <w:pPr>
        <w:spacing w:after="0" w:line="145" w:lineRule="exact"/>
        <w:rPr>
          <w:sz w:val="24"/>
          <w:szCs w:val="24"/>
          <w:color w:val="auto"/>
        </w:rPr>
      </w:pPr>
    </w:p>
    <w:p>
      <w:pPr>
        <w:jc w:val="center"/>
        <w:ind w:right="-445"/>
        <w:spacing w:after="0"/>
        <w:rPr>
          <w:sz w:val="20"/>
          <w:szCs w:val="20"/>
          <w:color w:val="auto"/>
        </w:rPr>
      </w:pPr>
      <w:r>
        <w:rPr>
          <w:rFonts w:ascii="Arial" w:cs="Arial" w:eastAsia="Arial" w:hAnsi="Arial"/>
          <w:sz w:val="15"/>
          <w:szCs w:val="15"/>
          <w:b w:val="1"/>
          <w:bCs w:val="1"/>
          <w:color w:val="auto"/>
        </w:rPr>
        <w:t>01-34219</w:t>
      </w:r>
    </w:p>
    <w:p>
      <w:pPr>
        <w:spacing w:after="0" w:line="25" w:lineRule="exact"/>
        <w:rPr>
          <w:sz w:val="24"/>
          <w:szCs w:val="24"/>
          <w:color w:val="auto"/>
        </w:rPr>
      </w:pPr>
    </w:p>
    <w:p>
      <w:pPr>
        <w:jc w:val="center"/>
        <w:ind w:right="-445"/>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84455</wp:posOffset>
            </wp:positionV>
            <wp:extent cx="15271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159" w:lineRule="exact"/>
        <w:rPr>
          <w:sz w:val="24"/>
          <w:szCs w:val="24"/>
          <w:color w:val="auto"/>
        </w:rPr>
      </w:pPr>
    </w:p>
    <w:p>
      <w:pPr>
        <w:ind w:left="2386"/>
        <w:spacing w:after="0"/>
        <w:rPr>
          <w:sz w:val="20"/>
          <w:szCs w:val="20"/>
          <w:color w:val="auto"/>
        </w:rPr>
      </w:pPr>
      <w:r>
        <w:rPr>
          <w:rFonts w:ascii="Arial" w:cs="Arial" w:eastAsia="Arial" w:hAnsi="Arial"/>
          <w:sz w:val="38"/>
          <w:szCs w:val="38"/>
          <w:b w:val="1"/>
          <w:bCs w:val="1"/>
          <w:color w:val="auto"/>
        </w:rPr>
        <w:t>CASUAL MALE RETAIL GROUP, INC.</w:t>
      </w:r>
    </w:p>
    <w:p>
      <w:pPr>
        <w:spacing w:after="0" w:line="38" w:lineRule="exact"/>
        <w:rPr>
          <w:sz w:val="24"/>
          <w:szCs w:val="24"/>
          <w:color w:val="auto"/>
        </w:rPr>
      </w:pPr>
    </w:p>
    <w:tbl>
      <w:tblPr>
        <w:tblLayout w:type="fixed"/>
        <w:tblInd w:w="2266" w:type="dxa"/>
        <w:tblCellMar>
          <w:top w:w="0" w:type="dxa"/>
          <w:left w:w="0" w:type="dxa"/>
          <w:bottom w:w="0" w:type="dxa"/>
          <w:right w:w="0" w:type="dxa"/>
        </w:tblCellMar>
      </w:tblPr>
      <w:tr>
        <w:trPr>
          <w:trHeight w:val="198"/>
        </w:trPr>
        <w:tc>
          <w:tcPr>
            <w:tcW w:w="1480" w:type="dxa"/>
            <w:vAlign w:val="bottom"/>
          </w:tcPr>
          <w:p>
            <w:pPr>
              <w:spacing w:after="0"/>
              <w:rPr>
                <w:sz w:val="17"/>
                <w:szCs w:val="17"/>
                <w:color w:val="auto"/>
              </w:rPr>
            </w:pPr>
          </w:p>
        </w:tc>
        <w:tc>
          <w:tcPr>
            <w:tcW w:w="5920" w:type="dxa"/>
            <w:vAlign w:val="bottom"/>
            <w:gridSpan w:val="3"/>
          </w:tcPr>
          <w:p>
            <w:pPr>
              <w:jc w:val="center"/>
              <w:ind w:right="1921"/>
              <w:spacing w:after="0"/>
              <w:rPr>
                <w:sz w:val="20"/>
                <w:szCs w:val="20"/>
                <w:color w:val="auto"/>
              </w:rPr>
            </w:pPr>
            <w:r>
              <w:rPr>
                <w:rFonts w:ascii="Arial" w:cs="Arial" w:eastAsia="Arial" w:hAnsi="Arial"/>
                <w:sz w:val="15"/>
                <w:szCs w:val="15"/>
                <w:b w:val="1"/>
                <w:bCs w:val="1"/>
                <w:color w:val="auto"/>
                <w:w w:val="91"/>
              </w:rPr>
              <w:t>(Exact name of registrant as specified in its charter)</w:t>
            </w:r>
          </w:p>
        </w:tc>
      </w:tr>
      <w:tr>
        <w:trPr>
          <w:trHeight w:val="137"/>
        </w:trPr>
        <w:tc>
          <w:tcPr>
            <w:tcW w:w="1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2740" w:type="dxa"/>
            <w:vAlign w:val="bottom"/>
          </w:tcPr>
          <w:p>
            <w:pPr>
              <w:spacing w:after="0"/>
              <w:rPr>
                <w:sz w:val="11"/>
                <w:szCs w:val="11"/>
                <w:color w:val="auto"/>
              </w:rPr>
            </w:pPr>
          </w:p>
        </w:tc>
      </w:tr>
      <w:tr>
        <w:trPr>
          <w:trHeight w:val="368"/>
        </w:trPr>
        <w:tc>
          <w:tcPr>
            <w:tcW w:w="1480" w:type="dxa"/>
            <w:vAlign w:val="bottom"/>
          </w:tcPr>
          <w:p>
            <w:pPr>
              <w:jc w:val="center"/>
              <w:ind w:right="233"/>
              <w:spacing w:after="0"/>
              <w:rPr>
                <w:sz w:val="20"/>
                <w:szCs w:val="20"/>
                <w:color w:val="auto"/>
              </w:rPr>
            </w:pPr>
            <w:r>
              <w:rPr>
                <w:rFonts w:ascii="Arial" w:cs="Arial" w:eastAsia="Arial" w:hAnsi="Arial"/>
                <w:sz w:val="15"/>
                <w:szCs w:val="15"/>
                <w:b w:val="1"/>
                <w:bCs w:val="1"/>
                <w:color w:val="auto"/>
                <w:w w:val="94"/>
              </w:rPr>
              <w:t>Delaware</w:t>
            </w:r>
          </w:p>
        </w:tc>
        <w:tc>
          <w:tcPr>
            <w:tcW w:w="5920" w:type="dxa"/>
            <w:vAlign w:val="bottom"/>
            <w:gridSpan w:val="3"/>
          </w:tcPr>
          <w:p>
            <w:pPr>
              <w:jc w:val="right"/>
              <w:ind w:right="541"/>
              <w:spacing w:after="0"/>
              <w:rPr>
                <w:sz w:val="20"/>
                <w:szCs w:val="20"/>
                <w:color w:val="auto"/>
              </w:rPr>
            </w:pPr>
            <w:r>
              <w:rPr>
                <w:rFonts w:ascii="Arial" w:cs="Arial" w:eastAsia="Arial" w:hAnsi="Arial"/>
                <w:sz w:val="15"/>
                <w:szCs w:val="15"/>
                <w:b w:val="1"/>
                <w:bCs w:val="1"/>
                <w:color w:val="auto"/>
              </w:rPr>
              <w:t>04-2623104</w:t>
            </w:r>
          </w:p>
        </w:tc>
      </w:tr>
      <w:tr>
        <w:trPr>
          <w:trHeight w:val="151"/>
        </w:trPr>
        <w:tc>
          <w:tcPr>
            <w:tcW w:w="1480" w:type="dxa"/>
            <w:vAlign w:val="bottom"/>
          </w:tcPr>
          <w:p>
            <w:pPr>
              <w:jc w:val="center"/>
              <w:ind w:right="213"/>
              <w:spacing w:after="0"/>
              <w:rPr>
                <w:sz w:val="20"/>
                <w:szCs w:val="20"/>
                <w:color w:val="auto"/>
              </w:rPr>
            </w:pPr>
            <w:r>
              <w:rPr>
                <w:rFonts w:ascii="Arial" w:cs="Arial" w:eastAsia="Arial" w:hAnsi="Arial"/>
                <w:sz w:val="12"/>
                <w:szCs w:val="12"/>
                <w:b w:val="1"/>
                <w:bCs w:val="1"/>
                <w:color w:val="auto"/>
                <w:w w:val="90"/>
              </w:rPr>
              <w:t>(State of Incorporation)</w:t>
            </w:r>
          </w:p>
        </w:tc>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740" w:type="dxa"/>
            <w:vAlign w:val="bottom"/>
          </w:tcPr>
          <w:p>
            <w:pPr>
              <w:jc w:val="center"/>
              <w:ind w:left="741"/>
              <w:spacing w:after="0"/>
              <w:rPr>
                <w:sz w:val="20"/>
                <w:szCs w:val="20"/>
                <w:color w:val="auto"/>
              </w:rPr>
            </w:pPr>
            <w:r>
              <w:rPr>
                <w:rFonts w:ascii="Arial" w:cs="Arial" w:eastAsia="Arial" w:hAnsi="Arial"/>
                <w:sz w:val="12"/>
                <w:szCs w:val="12"/>
                <w:b w:val="1"/>
                <w:bCs w:val="1"/>
                <w:color w:val="auto"/>
                <w:w w:val="91"/>
              </w:rPr>
              <w:t>(IRS Employer Identification Number)</w:t>
            </w:r>
          </w:p>
        </w:tc>
      </w:tr>
      <w:tr>
        <w:trPr>
          <w:trHeight w:val="307"/>
        </w:trPr>
        <w:tc>
          <w:tcPr>
            <w:tcW w:w="1480" w:type="dxa"/>
            <w:vAlign w:val="bottom"/>
          </w:tcPr>
          <w:p>
            <w:pPr>
              <w:spacing w:after="0"/>
              <w:rPr>
                <w:sz w:val="24"/>
                <w:szCs w:val="24"/>
                <w:color w:val="auto"/>
              </w:rPr>
            </w:pPr>
          </w:p>
        </w:tc>
        <w:tc>
          <w:tcPr>
            <w:tcW w:w="5920" w:type="dxa"/>
            <w:vAlign w:val="bottom"/>
            <w:gridSpan w:val="3"/>
          </w:tcPr>
          <w:p>
            <w:pPr>
              <w:jc w:val="center"/>
              <w:ind w:right="1921"/>
              <w:spacing w:after="0"/>
              <w:rPr>
                <w:sz w:val="20"/>
                <w:szCs w:val="20"/>
                <w:color w:val="auto"/>
              </w:rPr>
            </w:pPr>
            <w:r>
              <w:rPr>
                <w:rFonts w:ascii="Arial" w:cs="Arial" w:eastAsia="Arial" w:hAnsi="Arial"/>
                <w:sz w:val="15"/>
                <w:szCs w:val="15"/>
                <w:b w:val="1"/>
                <w:bCs w:val="1"/>
                <w:color w:val="auto"/>
                <w:w w:val="91"/>
              </w:rPr>
              <w:t>555 Turnpike Street, Canton, Massachusetts 02021</w:t>
            </w:r>
          </w:p>
        </w:tc>
      </w:tr>
      <w:tr>
        <w:trPr>
          <w:trHeight w:val="151"/>
        </w:trPr>
        <w:tc>
          <w:tcPr>
            <w:tcW w:w="1480" w:type="dxa"/>
            <w:vAlign w:val="bottom"/>
          </w:tcPr>
          <w:p>
            <w:pPr>
              <w:spacing w:after="0"/>
              <w:rPr>
                <w:sz w:val="13"/>
                <w:szCs w:val="13"/>
                <w:color w:val="auto"/>
              </w:rPr>
            </w:pPr>
          </w:p>
        </w:tc>
        <w:tc>
          <w:tcPr>
            <w:tcW w:w="5920" w:type="dxa"/>
            <w:vAlign w:val="bottom"/>
            <w:gridSpan w:val="3"/>
          </w:tcPr>
          <w:p>
            <w:pPr>
              <w:jc w:val="center"/>
              <w:ind w:right="1921"/>
              <w:spacing w:after="0"/>
              <w:rPr>
                <w:sz w:val="20"/>
                <w:szCs w:val="20"/>
                <w:color w:val="auto"/>
              </w:rPr>
            </w:pPr>
            <w:r>
              <w:rPr>
                <w:rFonts w:ascii="Arial" w:cs="Arial" w:eastAsia="Arial" w:hAnsi="Arial"/>
                <w:sz w:val="12"/>
                <w:szCs w:val="12"/>
                <w:b w:val="1"/>
                <w:bCs w:val="1"/>
                <w:color w:val="auto"/>
                <w:w w:val="87"/>
              </w:rPr>
              <w:t>(Address of registrant’s principal executive office)</w:t>
            </w:r>
          </w:p>
        </w:tc>
      </w:tr>
      <w:tr>
        <w:trPr>
          <w:trHeight w:val="307"/>
        </w:trPr>
        <w:tc>
          <w:tcPr>
            <w:tcW w:w="1480" w:type="dxa"/>
            <w:vAlign w:val="bottom"/>
          </w:tcPr>
          <w:p>
            <w:pPr>
              <w:spacing w:after="0"/>
              <w:rPr>
                <w:sz w:val="24"/>
                <w:szCs w:val="24"/>
                <w:color w:val="auto"/>
              </w:rPr>
            </w:pPr>
          </w:p>
        </w:tc>
        <w:tc>
          <w:tcPr>
            <w:tcW w:w="3180" w:type="dxa"/>
            <w:vAlign w:val="bottom"/>
            <w:gridSpan w:val="2"/>
          </w:tcPr>
          <w:p>
            <w:pPr>
              <w:jc w:val="center"/>
              <w:ind w:left="707"/>
              <w:spacing w:after="0"/>
              <w:rPr>
                <w:sz w:val="20"/>
                <w:szCs w:val="20"/>
                <w:color w:val="auto"/>
              </w:rPr>
            </w:pPr>
            <w:r>
              <w:rPr>
                <w:rFonts w:ascii="Arial" w:cs="Arial" w:eastAsia="Arial" w:hAnsi="Arial"/>
                <w:sz w:val="15"/>
                <w:szCs w:val="15"/>
                <w:b w:val="1"/>
                <w:bCs w:val="1"/>
                <w:color w:val="auto"/>
                <w:w w:val="93"/>
              </w:rPr>
              <w:t>(781) 828-9300</w:t>
            </w:r>
          </w:p>
        </w:tc>
        <w:tc>
          <w:tcPr>
            <w:tcW w:w="2740" w:type="dxa"/>
            <w:vAlign w:val="bottom"/>
          </w:tcPr>
          <w:p>
            <w:pPr>
              <w:spacing w:after="0"/>
              <w:rPr>
                <w:sz w:val="24"/>
                <w:szCs w:val="24"/>
                <w:color w:val="auto"/>
              </w:rPr>
            </w:pPr>
          </w:p>
        </w:tc>
      </w:tr>
      <w:tr>
        <w:trPr>
          <w:trHeight w:val="151"/>
        </w:trPr>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140" w:type="dxa"/>
            <w:vAlign w:val="bottom"/>
            <w:gridSpan w:val="2"/>
          </w:tcPr>
          <w:p>
            <w:pPr>
              <w:jc w:val="center"/>
              <w:ind w:right="2701"/>
              <w:spacing w:after="0"/>
              <w:rPr>
                <w:sz w:val="20"/>
                <w:szCs w:val="20"/>
                <w:color w:val="auto"/>
              </w:rPr>
            </w:pPr>
            <w:r>
              <w:rPr>
                <w:rFonts w:ascii="Arial" w:cs="Arial" w:eastAsia="Arial" w:hAnsi="Arial"/>
                <w:sz w:val="12"/>
                <w:szCs w:val="12"/>
                <w:b w:val="1"/>
                <w:bCs w:val="1"/>
                <w:color w:val="auto"/>
                <w:w w:val="87"/>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82550</wp:posOffset>
            </wp:positionV>
            <wp:extent cx="15271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185" w:lineRule="exact"/>
        <w:rPr>
          <w:sz w:val="24"/>
          <w:szCs w:val="24"/>
          <w:color w:val="auto"/>
        </w:rPr>
      </w:pPr>
    </w:p>
    <w:p>
      <w:pPr>
        <w:ind w:left="46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33" w:lineRule="exact"/>
        <w:rPr>
          <w:sz w:val="24"/>
          <w:szCs w:val="24"/>
          <w:color w:val="auto"/>
        </w:rPr>
      </w:pPr>
    </w:p>
    <w:p>
      <w:pPr>
        <w:ind w:left="6"/>
        <w:spacing w:after="0"/>
        <w:rPr>
          <w:sz w:val="20"/>
          <w:szCs w:val="20"/>
          <w:color w:val="auto"/>
        </w:rPr>
      </w:pPr>
      <w:r>
        <w:rPr>
          <w:rFonts w:ascii="Arial" w:cs="Arial" w:eastAsia="Arial" w:hAnsi="Arial"/>
          <w:sz w:val="15"/>
          <w:szCs w:val="15"/>
          <w:color w:val="auto"/>
        </w:rPr>
        <w:t>General Instruction A.2. below):</w:t>
      </w:r>
    </w:p>
    <w:p>
      <w:pPr>
        <w:spacing w:after="0" w:line="79" w:lineRule="exact"/>
        <w:rPr>
          <w:sz w:val="24"/>
          <w:szCs w:val="24"/>
          <w:color w:val="auto"/>
        </w:rPr>
      </w:pPr>
    </w:p>
    <w:p>
      <w:pPr>
        <w:ind w:left="466" w:hanging="466"/>
        <w:spacing w:after="0"/>
        <w:tabs>
          <w:tab w:leader="none" w:pos="46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85" w:lineRule="exact"/>
        <w:rPr>
          <w:rFonts w:ascii="MS PGothic" w:cs="MS PGothic" w:eastAsia="MS PGothic" w:hAnsi="MS PGothic"/>
          <w:sz w:val="15"/>
          <w:szCs w:val="15"/>
          <w:color w:val="auto"/>
        </w:rPr>
      </w:pPr>
    </w:p>
    <w:p>
      <w:pPr>
        <w:ind w:left="466" w:hanging="466"/>
        <w:spacing w:after="0"/>
        <w:tabs>
          <w:tab w:leader="none" w:pos="46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85" w:lineRule="exact"/>
        <w:rPr>
          <w:rFonts w:ascii="MS PGothic" w:cs="MS PGothic" w:eastAsia="MS PGothic" w:hAnsi="MS PGothic"/>
          <w:sz w:val="15"/>
          <w:szCs w:val="15"/>
          <w:color w:val="auto"/>
        </w:rPr>
      </w:pPr>
    </w:p>
    <w:p>
      <w:pPr>
        <w:ind w:left="466" w:hanging="466"/>
        <w:spacing w:after="0"/>
        <w:tabs>
          <w:tab w:leader="none" w:pos="46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5" w:lineRule="exact"/>
        <w:rPr>
          <w:rFonts w:ascii="MS PGothic" w:cs="MS PGothic" w:eastAsia="MS PGothic" w:hAnsi="MS PGothic"/>
          <w:sz w:val="15"/>
          <w:szCs w:val="15"/>
          <w:color w:val="auto"/>
        </w:rPr>
      </w:pPr>
    </w:p>
    <w:p>
      <w:pPr>
        <w:ind w:left="466" w:hanging="466"/>
        <w:spacing w:after="0"/>
        <w:tabs>
          <w:tab w:leader="none" w:pos="46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644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103505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0986"/>
          </w:cols>
          <w:pgMar w:left="234" w:top="338" w:right="679" w:bottom="1440" w:gutter="0" w:footer="0" w:header="0"/>
        </w:sectPr>
      </w:pPr>
    </w:p>
    <w:bookmarkStart w:id="1" w:name="page2"/>
    <w:bookmarkEnd w:id="1"/>
    <w:p>
      <w:pPr>
        <w:ind w:left="6"/>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5040" cy="34925"/>
                    </a:xfrm>
                    <a:prstGeom prst="rect">
                      <a:avLst/>
                    </a:prstGeom>
                    <a:noFill/>
                  </pic:spPr>
                </pic:pic>
              </a:graphicData>
            </a:graphic>
          </wp:anchor>
        </w:drawing>
        <w:t>ITEM 7.01 - Regulation FD Disclosure</w:t>
      </w:r>
    </w:p>
    <w:p>
      <w:pPr>
        <w:spacing w:after="0" w:line="90" w:lineRule="exact"/>
        <w:rPr>
          <w:sz w:val="20"/>
          <w:szCs w:val="20"/>
          <w:color w:val="auto"/>
        </w:rPr>
      </w:pPr>
    </w:p>
    <w:p>
      <w:pPr>
        <w:ind w:left="6" w:right="100"/>
        <w:spacing w:after="0" w:line="291" w:lineRule="auto"/>
        <w:rPr>
          <w:sz w:val="20"/>
          <w:szCs w:val="20"/>
          <w:color w:val="auto"/>
        </w:rPr>
      </w:pPr>
      <w:r>
        <w:rPr>
          <w:rFonts w:ascii="Arial" w:cs="Arial" w:eastAsia="Arial" w:hAnsi="Arial"/>
          <w:sz w:val="15"/>
          <w:szCs w:val="15"/>
          <w:color w:val="auto"/>
        </w:rPr>
        <w:t>The Company will be presenting an investor slide presentation at upcoming meetings with various investment groups. A copy of the slide presentation is attached to this report as Exhibit 99.1, and is incorporated by reference herein.</w:t>
      </w:r>
    </w:p>
    <w:p>
      <w:pPr>
        <w:spacing w:after="0" w:line="98" w:lineRule="exact"/>
        <w:rPr>
          <w:sz w:val="20"/>
          <w:szCs w:val="20"/>
          <w:color w:val="auto"/>
        </w:rPr>
      </w:pPr>
    </w:p>
    <w:p>
      <w:pPr>
        <w:ind w:left="6" w:right="80"/>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71" w:lineRule="exact"/>
        <w:rPr>
          <w:sz w:val="20"/>
          <w:szCs w:val="20"/>
          <w:color w:val="auto"/>
        </w:rPr>
      </w:pPr>
    </w:p>
    <w:p>
      <w:pPr>
        <w:ind w:left="226"/>
        <w:spacing w:after="0"/>
        <w:rPr>
          <w:sz w:val="20"/>
          <w:szCs w:val="20"/>
          <w:color w:val="auto"/>
        </w:rPr>
      </w:pPr>
      <w:r>
        <w:rPr>
          <w:rFonts w:ascii="Arial" w:cs="Arial" w:eastAsia="Arial" w:hAnsi="Arial"/>
          <w:sz w:val="15"/>
          <w:szCs w:val="15"/>
          <w:b w:val="1"/>
          <w:bCs w:val="1"/>
          <w:i w:val="1"/>
          <w:iCs w:val="1"/>
          <w:color w:val="auto"/>
        </w:rPr>
        <w:t>Presentation of Non-GAAP Measures</w:t>
      </w:r>
    </w:p>
    <w:p>
      <w:pPr>
        <w:spacing w:after="0" w:line="86" w:lineRule="exact"/>
        <w:rPr>
          <w:sz w:val="20"/>
          <w:szCs w:val="20"/>
          <w:color w:val="auto"/>
        </w:rPr>
      </w:pPr>
    </w:p>
    <w:p>
      <w:pPr>
        <w:ind w:left="6" w:right="100"/>
        <w:spacing w:after="0" w:line="276" w:lineRule="auto"/>
        <w:rPr>
          <w:sz w:val="20"/>
          <w:szCs w:val="20"/>
          <w:color w:val="auto"/>
        </w:rPr>
      </w:pPr>
      <w:r>
        <w:rPr>
          <w:rFonts w:ascii="Arial" w:cs="Arial" w:eastAsia="Arial" w:hAnsi="Arial"/>
          <w:sz w:val="15"/>
          <w:szCs w:val="15"/>
          <w:color w:val="auto"/>
        </w:rPr>
        <w:t>The slide presentation includes the discussion of non-GAAP free cash flow on slides 3, 7, 26 and 28.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w:t>
      </w:r>
    </w:p>
    <w:p>
      <w:pPr>
        <w:spacing w:after="0" w:line="109" w:lineRule="exact"/>
        <w:rPr>
          <w:sz w:val="20"/>
          <w:szCs w:val="20"/>
          <w:color w:val="auto"/>
        </w:rPr>
      </w:pPr>
    </w:p>
    <w:p>
      <w:pPr>
        <w:ind w:left="6" w:right="120"/>
        <w:spacing w:after="0" w:line="271" w:lineRule="auto"/>
        <w:rPr>
          <w:sz w:val="20"/>
          <w:szCs w:val="20"/>
          <w:color w:val="auto"/>
        </w:rPr>
      </w:pPr>
      <w:r>
        <w:rPr>
          <w:rFonts w:ascii="Arial" w:cs="Arial" w:eastAsia="Arial" w:hAnsi="Arial"/>
          <w:sz w:val="15"/>
          <w:szCs w:val="15"/>
          <w:color w:val="auto"/>
        </w:rPr>
        <w:t>In addition, all companies do not calculate non-GAAP financial measures in the same manner and, accordingly, “free cash flows” as presented in this slide presentation may not be comparable to similar measures used by other companies. The Company calculates free cash flows as cash flow from operating activities less capital expenditures and discretionary store asset acquisitions, if any. We believe that inclusion of this non-GAAP measure helps investors gain a better understanding of our performance, especially when comparing such results to previous periods</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5"/>
          <w:szCs w:val="15"/>
          <w:color w:val="auto"/>
        </w:rPr>
        <w:t>Free cash flow is calculated as follows for each of the respective fiscal years, as disclosed on slide 26 of the slide presentation:</w:t>
      </w:r>
    </w:p>
    <w:p>
      <w:pPr>
        <w:spacing w:after="0" w:line="178"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84"/>
              </w:rPr>
              <w:t>Projected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88"/>
              </w:rPr>
              <w:t>Fiscal</w:t>
            </w:r>
          </w:p>
        </w:tc>
        <w:tc>
          <w:tcPr>
            <w:tcW w:w="12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88"/>
              </w:rPr>
              <w:t>Fiscal</w:t>
            </w:r>
          </w:p>
        </w:tc>
        <w:tc>
          <w:tcPr>
            <w:tcW w:w="220" w:type="dxa"/>
            <w:vAlign w:val="bottom"/>
          </w:tcPr>
          <w:p>
            <w:pPr>
              <w:spacing w:after="0"/>
              <w:rPr>
                <w:sz w:val="11"/>
                <w:szCs w:val="11"/>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w w:val="88"/>
              </w:rPr>
              <w:t>Fiscal</w:t>
            </w:r>
          </w:p>
        </w:tc>
        <w:tc>
          <w:tcPr>
            <w:tcW w:w="220" w:type="dxa"/>
            <w:vAlign w:val="bottom"/>
          </w:tcPr>
          <w:p>
            <w:pPr>
              <w:spacing w:after="0"/>
              <w:rPr>
                <w:sz w:val="11"/>
                <w:szCs w:val="11"/>
                <w:color w:val="auto"/>
              </w:rPr>
            </w:pPr>
          </w:p>
        </w:tc>
        <w:tc>
          <w:tcPr>
            <w:tcW w:w="660" w:type="dxa"/>
            <w:vAlign w:val="bottom"/>
            <w:gridSpan w:val="2"/>
          </w:tcPr>
          <w:p>
            <w:pPr>
              <w:jc w:val="right"/>
              <w:ind w:right="340"/>
              <w:spacing w:after="0" w:line="129" w:lineRule="exact"/>
              <w:rPr>
                <w:sz w:val="20"/>
                <w:szCs w:val="20"/>
                <w:color w:val="auto"/>
              </w:rPr>
            </w:pPr>
            <w:r>
              <w:rPr>
                <w:rFonts w:ascii="Arial" w:cs="Arial" w:eastAsia="Arial" w:hAnsi="Arial"/>
                <w:sz w:val="12"/>
                <w:szCs w:val="12"/>
                <w:b w:val="1"/>
                <w:bCs w:val="1"/>
                <w:color w:val="auto"/>
                <w:w w:val="88"/>
              </w:rPr>
              <w:t>Fiscal</w:t>
            </w:r>
          </w:p>
        </w:tc>
        <w:tc>
          <w:tcPr>
            <w:tcW w:w="520" w:type="dxa"/>
            <w:vAlign w:val="bottom"/>
            <w:gridSpan w:val="2"/>
          </w:tcPr>
          <w:p>
            <w:pPr>
              <w:jc w:val="right"/>
              <w:ind w:right="160"/>
              <w:spacing w:after="0" w:line="129" w:lineRule="exact"/>
              <w:rPr>
                <w:sz w:val="20"/>
                <w:szCs w:val="20"/>
                <w:color w:val="auto"/>
              </w:rPr>
            </w:pPr>
            <w:r>
              <w:rPr>
                <w:rFonts w:ascii="Arial" w:cs="Arial" w:eastAsia="Arial" w:hAnsi="Arial"/>
                <w:sz w:val="12"/>
                <w:szCs w:val="12"/>
                <w:b w:val="1"/>
                <w:bCs w:val="1"/>
                <w:color w:val="auto"/>
                <w:w w:val="99"/>
              </w:rPr>
              <w:t>Fiscal</w:t>
            </w:r>
          </w:p>
        </w:tc>
        <w:tc>
          <w:tcPr>
            <w:tcW w:w="0" w:type="dxa"/>
            <w:vAlign w:val="bottom"/>
          </w:tcPr>
          <w:p>
            <w:pPr>
              <w:spacing w:after="0"/>
              <w:rPr>
                <w:sz w:val="1"/>
                <w:szCs w:val="1"/>
                <w:color w:val="auto"/>
              </w:rPr>
            </w:pPr>
          </w:p>
        </w:tc>
      </w:tr>
      <w:tr>
        <w:trPr>
          <w:trHeight w:val="140"/>
        </w:trPr>
        <w:tc>
          <w:tcPr>
            <w:tcW w:w="5240" w:type="dxa"/>
            <w:vAlign w:val="bottom"/>
            <w:gridSpan w:val="3"/>
          </w:tcPr>
          <w:p>
            <w:pPr>
              <w:spacing w:after="0"/>
              <w:rPr>
                <w:sz w:val="20"/>
                <w:szCs w:val="20"/>
                <w:color w:val="auto"/>
              </w:rPr>
            </w:pPr>
            <w:r>
              <w:rPr>
                <w:rFonts w:ascii="Arial" w:cs="Arial" w:eastAsia="Arial" w:hAnsi="Arial"/>
                <w:sz w:val="12"/>
                <w:szCs w:val="12"/>
                <w:b w:val="1"/>
                <w:bCs w:val="1"/>
                <w:color w:val="auto"/>
              </w:rPr>
              <w:t>(in millions)</w:t>
            </w: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50"/>
              <w:spacing w:after="0"/>
              <w:rPr>
                <w:sz w:val="20"/>
                <w:szCs w:val="20"/>
                <w:color w:val="auto"/>
              </w:rPr>
            </w:pPr>
            <w:r>
              <w:rPr>
                <w:rFonts w:ascii="Arial" w:cs="Arial" w:eastAsia="Arial" w:hAnsi="Arial"/>
                <w:sz w:val="12"/>
                <w:szCs w:val="12"/>
                <w:b w:val="1"/>
                <w:bCs w:val="1"/>
                <w:color w:val="auto"/>
                <w:w w:val="97"/>
              </w:rPr>
              <w:t>2010</w:t>
            </w:r>
          </w:p>
        </w:tc>
        <w:tc>
          <w:tcPr>
            <w:tcW w:w="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2009</w:t>
            </w:r>
          </w:p>
        </w:tc>
        <w:tc>
          <w:tcPr>
            <w:tcW w:w="5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2008</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2007</w:t>
            </w:r>
          </w:p>
        </w:tc>
        <w:tc>
          <w:tcPr>
            <w:tcW w:w="300" w:type="dxa"/>
            <w:vAlign w:val="bottom"/>
          </w:tcPr>
          <w:p>
            <w:pPr>
              <w:spacing w:after="0"/>
              <w:rPr>
                <w:sz w:val="12"/>
                <w:szCs w:val="12"/>
                <w:color w:val="auto"/>
              </w:rPr>
            </w:pPr>
          </w:p>
        </w:tc>
        <w:tc>
          <w:tcPr>
            <w:tcW w:w="420" w:type="dxa"/>
            <w:vAlign w:val="bottom"/>
          </w:tcPr>
          <w:p>
            <w:pPr>
              <w:jc w:val="right"/>
              <w:ind w:right="10"/>
              <w:spacing w:after="0"/>
              <w:rPr>
                <w:sz w:val="20"/>
                <w:szCs w:val="20"/>
                <w:color w:val="auto"/>
              </w:rPr>
            </w:pPr>
            <w:r>
              <w:rPr>
                <w:rFonts w:ascii="Arial" w:cs="Arial" w:eastAsia="Arial" w:hAnsi="Arial"/>
                <w:sz w:val="12"/>
                <w:szCs w:val="12"/>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flow provided by operations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23.2</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$11.7</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$ 12.1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5"/>
                <w:szCs w:val="15"/>
                <w:color w:val="auto"/>
              </w:rPr>
              <w:t>Less: capital expenditures</w:t>
            </w:r>
          </w:p>
        </w:tc>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10.0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4.6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88"/>
              </w:rPr>
              <w:t>12.6</w:t>
            </w:r>
          </w:p>
        </w:tc>
        <w:tc>
          <w:tcPr>
            <w:tcW w:w="880" w:type="dxa"/>
            <w:vAlign w:val="bottom"/>
            <w:gridSpan w:val="3"/>
          </w:tcPr>
          <w:p>
            <w:pPr>
              <w:jc w:val="right"/>
              <w:ind w:right="300"/>
              <w:spacing w:after="0"/>
              <w:rPr>
                <w:sz w:val="20"/>
                <w:szCs w:val="20"/>
                <w:color w:val="auto"/>
              </w:rPr>
            </w:pPr>
            <w:r>
              <w:rPr>
                <w:rFonts w:ascii="Arial" w:cs="Arial" w:eastAsia="Arial" w:hAnsi="Arial"/>
                <w:sz w:val="15"/>
                <w:szCs w:val="15"/>
                <w:color w:val="auto"/>
              </w:rPr>
              <w:t>21.4</w:t>
            </w:r>
          </w:p>
        </w:tc>
        <w:tc>
          <w:tcPr>
            <w:tcW w:w="420" w:type="dxa"/>
            <w:vAlign w:val="bottom"/>
          </w:tcPr>
          <w:p>
            <w:pPr>
              <w:jc w:val="right"/>
              <w:spacing w:after="0"/>
              <w:rPr>
                <w:sz w:val="20"/>
                <w:szCs w:val="20"/>
                <w:color w:val="auto"/>
              </w:rPr>
            </w:pPr>
            <w:r>
              <w:rPr>
                <w:rFonts w:ascii="Arial" w:cs="Arial" w:eastAsia="Arial" w:hAnsi="Arial"/>
                <w:sz w:val="15"/>
                <w:szCs w:val="15"/>
                <w:color w:val="auto"/>
              </w:rPr>
              <w:t>22.7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Less acquisitions</w:t>
            </w:r>
          </w:p>
        </w:tc>
        <w:tc>
          <w:tcPr>
            <w:tcW w:w="3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40" w:type="dxa"/>
            <w:vAlign w:val="bottom"/>
            <w:gridSpan w:val="3"/>
          </w:tcPr>
          <w:p>
            <w:pPr>
              <w:spacing w:after="0"/>
              <w:rPr>
                <w:sz w:val="20"/>
                <w:szCs w:val="20"/>
                <w:color w:val="auto"/>
              </w:rPr>
            </w:pPr>
            <w:r>
              <w:rPr>
                <w:rFonts w:ascii="Arial" w:cs="Arial" w:eastAsia="Arial" w:hAnsi="Arial"/>
                <w:sz w:val="15"/>
                <w:szCs w:val="15"/>
                <w:color w:val="auto"/>
              </w:rPr>
              <w:t>Free cash flow</w:t>
            </w:r>
          </w:p>
        </w:tc>
        <w:tc>
          <w:tcPr>
            <w:tcW w:w="3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20.0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$26.2</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7.6</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 (9.7)</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w w:val="88"/>
              </w:rPr>
              <w:t>$ (13.6)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302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 cy="7620"/>
                    </a:xfrm>
                    <a:prstGeom prst="rect">
                      <a:avLst/>
                    </a:prstGeom>
                    <a:noFill/>
                  </pic:spPr>
                </pic:pic>
              </a:graphicData>
            </a:graphic>
          </wp:anchor>
        </w:drawing>
      </w:r>
    </w:p>
    <w:p>
      <w:pPr>
        <w:spacing w:after="0" w:line="103" w:lineRule="exact"/>
        <w:rPr>
          <w:sz w:val="20"/>
          <w:szCs w:val="20"/>
          <w:color w:val="auto"/>
        </w:rPr>
      </w:pPr>
    </w:p>
    <w:p>
      <w:pPr>
        <w:ind w:left="466" w:hanging="466"/>
        <w:spacing w:after="0"/>
        <w:tabs>
          <w:tab w:leader="none" w:pos="466" w:val="left"/>
        </w:tabs>
        <w:numPr>
          <w:ilvl w:val="0"/>
          <w:numId w:val="2"/>
        </w:numPr>
        <w:rPr>
          <w:rFonts w:ascii="Arial" w:cs="Arial" w:eastAsia="Arial" w:hAnsi="Arial"/>
          <w:sz w:val="15"/>
          <w:szCs w:val="15"/>
          <w:color w:val="auto"/>
        </w:rPr>
      </w:pPr>
      <w:r>
        <w:rPr>
          <w:rFonts w:ascii="Arial" w:cs="Arial" w:eastAsia="Arial" w:hAnsi="Arial"/>
          <w:sz w:val="15"/>
          <w:szCs w:val="15"/>
          <w:color w:val="auto"/>
        </w:rPr>
        <w:t>Free cash flow for fiscal 2008 and fiscal 2006 include the cash used for the Dahle acquisition of $3.0 million and the Jared M. acquisition of $3.0 million, respectively.</w:t>
      </w:r>
    </w:p>
    <w:p>
      <w:pPr>
        <w:sectPr>
          <w:pgSz w:w="11900" w:h="16838" w:orient="portrait"/>
          <w:cols w:equalWidth="0" w:num="1">
            <w:col w:w="11446"/>
          </w:cols>
          <w:pgMar w:left="234" w:top="257" w:right="21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5040" cy="34925"/>
                    </a:xfrm>
                    <a:prstGeom prst="rect">
                      <a:avLst/>
                    </a:prstGeom>
                    <a:noFill/>
                  </pic:spPr>
                </pic:pic>
              </a:graphicData>
            </a:graphic>
          </wp:anchor>
        </w:drawing>
        <w:t>ITEM 9.01 - FINANCIAL STATEMENTS AND EXHIBITS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5500" w:type="dxa"/>
            <w:vAlign w:val="bottom"/>
          </w:tcPr>
          <w:p>
            <w:pPr>
              <w:spacing w:after="0"/>
              <w:rPr>
                <w:sz w:val="12"/>
                <w:szCs w:val="12"/>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7"/>
              </w:rPr>
              <w:t>Description</w:t>
            </w:r>
          </w:p>
        </w:tc>
      </w:tr>
      <w:tr>
        <w:trPr>
          <w:trHeight w:val="272"/>
        </w:trPr>
        <w:tc>
          <w:tcPr>
            <w:tcW w:w="600" w:type="dxa"/>
            <w:vAlign w:val="bottom"/>
          </w:tcPr>
          <w:p>
            <w:pPr>
              <w:jc w:val="right"/>
              <w:ind w:right="93"/>
              <w:spacing w:after="0"/>
              <w:rPr>
                <w:sz w:val="20"/>
                <w:szCs w:val="20"/>
                <w:color w:val="auto"/>
              </w:rPr>
            </w:pPr>
            <w:r>
              <w:rPr>
                <w:rFonts w:ascii="Arial" w:cs="Arial" w:eastAsia="Arial" w:hAnsi="Arial"/>
                <w:sz w:val="15"/>
                <w:szCs w:val="15"/>
                <w:color w:val="auto"/>
              </w:rPr>
              <w:t>99.1</w:t>
            </w:r>
          </w:p>
        </w:tc>
        <w:tc>
          <w:tcPr>
            <w:tcW w:w="6120" w:type="dxa"/>
            <w:vAlign w:val="bottom"/>
            <w:gridSpan w:val="2"/>
          </w:tcPr>
          <w:p>
            <w:pPr>
              <w:ind w:left="780"/>
              <w:spacing w:after="0"/>
              <w:rPr>
                <w:sz w:val="20"/>
                <w:szCs w:val="20"/>
                <w:color w:val="auto"/>
              </w:rPr>
            </w:pPr>
            <w:r>
              <w:rPr>
                <w:rFonts w:ascii="Arial" w:cs="Arial" w:eastAsia="Arial" w:hAnsi="Arial"/>
                <w:sz w:val="15"/>
                <w:szCs w:val="15"/>
                <w:color w:val="auto"/>
              </w:rPr>
              <w:t>Investor Slide Presentation.</w:t>
            </w:r>
          </w:p>
        </w:tc>
      </w:tr>
    </w:tbl>
    <w:p>
      <w:pPr>
        <w:sectPr>
          <w:pgSz w:w="11900" w:h="16838" w:orient="portrait"/>
          <w:cols w:equalWidth="0" w:num="1">
            <w:col w:w="10219"/>
          </w:cols>
          <w:pgMar w:left="240" w:top="25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5040" cy="34925"/>
                    </a:xfrm>
                    <a:prstGeom prst="rect">
                      <a:avLst/>
                    </a:prstGeom>
                    <a:noFill/>
                  </pic:spPr>
                </pic:pic>
              </a:graphicData>
            </a:graphic>
          </wp:anchor>
        </w:drawing>
        <w:t>SIGNATURES</w:t>
      </w:r>
    </w:p>
    <w:p>
      <w:pPr>
        <w:spacing w:after="0" w:line="160"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w:t>
      </w:r>
    </w:p>
    <w:p>
      <w:pPr>
        <w:spacing w:after="0" w:line="203" w:lineRule="exact"/>
        <w:rPr>
          <w:sz w:val="20"/>
          <w:szCs w:val="20"/>
          <w:color w:val="auto"/>
        </w:rPr>
      </w:pPr>
    </w:p>
    <w:tbl>
      <w:tblPr>
        <w:tblLayout w:type="fixed"/>
        <w:tblInd w:w="6860" w:type="dxa"/>
        <w:tblCellMar>
          <w:top w:w="0" w:type="dxa"/>
          <w:left w:w="0" w:type="dxa"/>
          <w:bottom w:w="0" w:type="dxa"/>
          <w:right w:w="0" w:type="dxa"/>
        </w:tblCellMar>
      </w:tblPr>
      <w:tr>
        <w:trPr>
          <w:trHeight w:val="194"/>
        </w:trPr>
        <w:tc>
          <w:tcPr>
            <w:tcW w:w="540" w:type="dxa"/>
            <w:vAlign w:val="bottom"/>
          </w:tcPr>
          <w:p>
            <w:pPr>
              <w:spacing w:after="0"/>
              <w:rPr>
                <w:sz w:val="20"/>
                <w:szCs w:val="20"/>
                <w:color w:val="auto"/>
              </w:rPr>
            </w:pPr>
            <w:r>
              <w:rPr>
                <w:rFonts w:ascii="Arial" w:cs="Arial" w:eastAsia="Arial" w:hAnsi="Arial"/>
                <w:sz w:val="15"/>
                <w:szCs w:val="15"/>
                <w:color w:val="auto"/>
              </w:rPr>
              <w:t>By:</w:t>
            </w:r>
          </w:p>
        </w:tc>
        <w:tc>
          <w:tcPr>
            <w:tcW w:w="4040" w:type="dxa"/>
            <w:vAlign w:val="bottom"/>
            <w:tcBorders>
              <w:bottom w:val="single" w:sz="8" w:color="auto"/>
            </w:tcBorders>
          </w:tcPr>
          <w:p>
            <w:pPr>
              <w:ind w:left="1040"/>
              <w:spacing w:after="0"/>
              <w:rPr>
                <w:sz w:val="20"/>
                <w:szCs w:val="20"/>
                <w:color w:val="auto"/>
              </w:rPr>
            </w:pPr>
            <w:r>
              <w:rPr>
                <w:rFonts w:ascii="Arial" w:cs="Arial" w:eastAsia="Arial" w:hAnsi="Arial"/>
                <w:sz w:val="15"/>
                <w:szCs w:val="15"/>
                <w:color w:val="auto"/>
              </w:rPr>
              <w:t>/s/  D</w:t>
            </w:r>
            <w:r>
              <w:rPr>
                <w:rFonts w:ascii="Arial" w:cs="Arial" w:eastAsia="Arial" w:hAnsi="Arial"/>
                <w:sz w:val="12"/>
                <w:szCs w:val="12"/>
                <w:color w:val="auto"/>
              </w:rPr>
              <w:t>ENNIS</w:t>
            </w:r>
            <w:r>
              <w:rPr>
                <w:rFonts w:ascii="Arial" w:cs="Arial" w:eastAsia="Arial" w:hAnsi="Arial"/>
                <w:sz w:val="15"/>
                <w:szCs w:val="15"/>
                <w:color w:val="auto"/>
              </w:rPr>
              <w:t xml:space="preserve"> R. H</w:t>
            </w:r>
            <w:r>
              <w:rPr>
                <w:rFonts w:ascii="Arial" w:cs="Arial" w:eastAsia="Arial" w:hAnsi="Arial"/>
                <w:sz w:val="12"/>
                <w:szCs w:val="12"/>
                <w:color w:val="auto"/>
              </w:rPr>
              <w:t>ERNREICH</w:t>
            </w:r>
          </w:p>
        </w:tc>
      </w:tr>
      <w:tr>
        <w:trPr>
          <w:trHeight w:val="169"/>
        </w:trPr>
        <w:tc>
          <w:tcPr>
            <w:tcW w:w="540" w:type="dxa"/>
            <w:vAlign w:val="bottom"/>
          </w:tcPr>
          <w:p>
            <w:pPr>
              <w:spacing w:after="0" w:line="169" w:lineRule="exact"/>
              <w:rPr>
                <w:sz w:val="20"/>
                <w:szCs w:val="20"/>
                <w:color w:val="auto"/>
              </w:rPr>
            </w:pPr>
            <w:r>
              <w:rPr>
                <w:rFonts w:ascii="Arial" w:cs="Arial" w:eastAsia="Arial" w:hAnsi="Arial"/>
                <w:sz w:val="15"/>
                <w:szCs w:val="15"/>
                <w:color w:val="auto"/>
              </w:rPr>
              <w:t>Name:</w:t>
            </w:r>
          </w:p>
        </w:tc>
        <w:tc>
          <w:tcPr>
            <w:tcW w:w="4040" w:type="dxa"/>
            <w:vAlign w:val="bottom"/>
          </w:tcPr>
          <w:p>
            <w:pPr>
              <w:jc w:val="center"/>
              <w:spacing w:after="0"/>
              <w:rPr>
                <w:sz w:val="20"/>
                <w:szCs w:val="20"/>
                <w:color w:val="auto"/>
              </w:rPr>
            </w:pPr>
            <w:r>
              <w:rPr>
                <w:rFonts w:ascii="Arial" w:cs="Arial" w:eastAsia="Arial" w:hAnsi="Arial"/>
                <w:sz w:val="12"/>
                <w:szCs w:val="12"/>
                <w:b w:val="1"/>
                <w:bCs w:val="1"/>
                <w:color w:val="auto"/>
                <w:w w:val="90"/>
              </w:rPr>
              <w:t>Dennis R. Hernreich</w:t>
            </w:r>
          </w:p>
        </w:tc>
      </w:tr>
      <w:tr>
        <w:trPr>
          <w:trHeight w:val="152"/>
        </w:trPr>
        <w:tc>
          <w:tcPr>
            <w:tcW w:w="540" w:type="dxa"/>
            <w:vAlign w:val="bottom"/>
          </w:tcPr>
          <w:p>
            <w:pPr>
              <w:spacing w:after="0" w:line="152" w:lineRule="exact"/>
              <w:rPr>
                <w:sz w:val="20"/>
                <w:szCs w:val="20"/>
                <w:color w:val="auto"/>
              </w:rPr>
            </w:pPr>
            <w:r>
              <w:rPr>
                <w:rFonts w:ascii="Arial" w:cs="Arial" w:eastAsia="Arial" w:hAnsi="Arial"/>
                <w:sz w:val="15"/>
                <w:szCs w:val="15"/>
                <w:color w:val="auto"/>
              </w:rPr>
              <w:t>Title:</w:t>
            </w:r>
          </w:p>
        </w:tc>
        <w:tc>
          <w:tcPr>
            <w:tcW w:w="4040" w:type="dxa"/>
            <w:vAlign w:val="bottom"/>
          </w:tcPr>
          <w:p>
            <w:pPr>
              <w:jc w:val="center"/>
              <w:spacing w:after="0"/>
              <w:rPr>
                <w:sz w:val="20"/>
                <w:szCs w:val="20"/>
                <w:color w:val="auto"/>
              </w:rPr>
            </w:pPr>
            <w:r>
              <w:rPr>
                <w:rFonts w:ascii="Arial" w:cs="Arial" w:eastAsia="Arial" w:hAnsi="Arial"/>
                <w:sz w:val="12"/>
                <w:szCs w:val="12"/>
                <w:b w:val="1"/>
                <w:bCs w:val="1"/>
                <w:color w:val="auto"/>
                <w:w w:val="87"/>
              </w:rPr>
              <w:t>Executive Vice President</w:t>
            </w:r>
          </w:p>
        </w:tc>
      </w:tr>
      <w:tr>
        <w:trPr>
          <w:trHeight w:val="151"/>
        </w:trPr>
        <w:tc>
          <w:tcPr>
            <w:tcW w:w="540" w:type="dxa"/>
            <w:vAlign w:val="bottom"/>
          </w:tcPr>
          <w:p>
            <w:pPr>
              <w:spacing w:after="0"/>
              <w:rPr>
                <w:sz w:val="13"/>
                <w:szCs w:val="13"/>
                <w:color w:val="auto"/>
              </w:rPr>
            </w:pPr>
          </w:p>
        </w:tc>
        <w:tc>
          <w:tcPr>
            <w:tcW w:w="4040" w:type="dxa"/>
            <w:vAlign w:val="bottom"/>
          </w:tcPr>
          <w:p>
            <w:pPr>
              <w:jc w:val="center"/>
              <w:spacing w:after="0"/>
              <w:rPr>
                <w:sz w:val="20"/>
                <w:szCs w:val="20"/>
                <w:color w:val="auto"/>
              </w:rPr>
            </w:pPr>
            <w:r>
              <w:rPr>
                <w:rFonts w:ascii="Arial" w:cs="Arial" w:eastAsia="Arial" w:hAnsi="Arial"/>
                <w:sz w:val="12"/>
                <w:szCs w:val="12"/>
                <w:b w:val="1"/>
                <w:bCs w:val="1"/>
                <w:color w:val="auto"/>
                <w:w w:val="90"/>
              </w:rPr>
              <w:t>and Chief Financial Officer</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Date: June 29, 2010</w:t>
      </w:r>
    </w:p>
    <w:p>
      <w:pPr>
        <w:sectPr>
          <w:pgSz w:w="11900" w:h="16838" w:orient="portrait"/>
          <w:cols w:equalWidth="0" w:num="1">
            <w:col w:w="11440"/>
          </w:cols>
          <w:pgMar w:left="240" w:top="257" w:right="219" w:bottom="1440" w:gutter="0" w:footer="0" w:header="0"/>
        </w:sectPr>
      </w:pPr>
    </w:p>
    <w:bookmarkStart w:id="4" w:name="page5"/>
    <w:bookmarkEnd w:id="4"/>
    <w:p>
      <w:pPr>
        <w:jc w:val="right"/>
        <w:ind w:right="119"/>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8"/>
          <w:szCs w:val="28"/>
          <w:color w:val="FEFEFE"/>
        </w:rPr>
        <w:t>********************</w:t>
      </w:r>
      <w:r>
        <w:rPr>
          <w:rFonts w:ascii="Arial" w:cs="Arial" w:eastAsia="Arial" w:hAnsi="Arial"/>
          <w:sz w:val="50"/>
          <w:szCs w:val="50"/>
          <w:b w:val="1"/>
          <w:bCs w:val="1"/>
          <w:color w:val="898989"/>
        </w:rPr>
        <w:t>Investor Presentation</w:t>
      </w:r>
    </w:p>
    <w:p>
      <w:pPr>
        <w:sectPr>
          <w:pgSz w:w="11900" w:h="16838" w:orient="portrait"/>
          <w:cols w:equalWidth="0" w:num="1">
            <w:col w:w="10099"/>
          </w:cols>
          <w:pgMar w:left="360" w:top="262" w:right="1440" w:bottom="1440" w:gutter="0" w:footer="0" w:header="0"/>
        </w:sectPr>
      </w:pPr>
    </w:p>
    <w:bookmarkStart w:id="5" w:name="page6"/>
    <w:bookmarkEnd w:id="5"/>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Forward Looking Statements</w:t>
      </w:r>
    </w:p>
    <w:p>
      <w:pPr>
        <w:spacing w:after="0" w:line="313" w:lineRule="exact"/>
        <w:rPr>
          <w:sz w:val="20"/>
          <w:szCs w:val="20"/>
          <w:color w:val="auto"/>
        </w:rPr>
      </w:pPr>
    </w:p>
    <w:p>
      <w:pPr>
        <w:ind w:left="60" w:right="720"/>
        <w:spacing w:after="0" w:line="210" w:lineRule="auto"/>
        <w:rPr>
          <w:sz w:val="20"/>
          <w:szCs w:val="20"/>
          <w:color w:val="auto"/>
        </w:rPr>
      </w:pPr>
      <w:r>
        <w:rPr>
          <w:rFonts w:ascii="Arial" w:cs="Arial" w:eastAsia="Arial" w:hAnsi="Arial"/>
          <w:sz w:val="21"/>
          <w:szCs w:val="21"/>
          <w:color w:val="5F5F5F"/>
        </w:rPr>
        <w:t>Thispresentationcontainscertainforward-lookingstatementsconcerningthe Company'soperations, performance,andfinancialcondition.Suchforward-lookingstatementsare subjectto variousrisksand uncertaintiesthat could causeactualresults to differ materiallyfrom those indicated.Suchrisksand uncertaintiesmayinclude,but are not limitedto: the failureto implementthe Company'sbusinessplan for increasedprofitability and growth in the Company'sretail stores sales and direct-to-consumer segments,the failureof managemento developthe Company’snewdirectto consumerbusinesses,the failure of changesin managementto achieveimprovementin the Company'scompetitiveposition, adversechangesin costsvitalto catalogoperations,suchaspostage,paperandacquisitionof prospects, decliningresponseratesto catalogofferings,failureto maintainefficientanduninterruptedorder-taking and fulfillment in our direct-to-consumerbusiness,changesin or miscalculationof fashion trends, extreme or unseasonableweather conditions, economicdownturns, escalationof energy costs, a weaknessin overallconsumerdemand,increasesin wagerates,the abilityto hire andtrain associates, trade and security restrictions and political or financial instability in countries where goods are manufactured,increasesin raw material costs from inflation and other factors, the interruption of merchandiseflow from the Company'scentralizeddistributionfacilities,competitivepressures,andthe adverseeffectsof naturaldisasters,war, actsof terrorismor threatsof either, or other armedconflict, on the UnitedStatesandinternationaleconomies.These,andother risksanduncertainties,aredetailed in the Company'sfilingswith the SecuritiesandExchangeCommission,includingthe Company'sAnnual Reporton Form 10-Kfor the fiscal year endedJanuary30, 2010 filed on March 19, 2010 and other Companyfilingswith the SecuritiesandExchangeCommissionCasualMaleassumesno. duty to update or reviseits forward-lookingstatementseven if experienceor future changesmake it clear that any projectedresultsexpressedor impliedthereinwill not berealized.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9"/>
          <w:szCs w:val="19"/>
          <w:color w:val="7F7F7F"/>
        </w:rPr>
        <w:t>2</w:t>
      </w:r>
    </w:p>
    <w:p>
      <w:pPr>
        <w:sectPr>
          <w:pgSz w:w="11900" w:h="16838" w:orient="portrait"/>
          <w:cols w:equalWidth="0" w:num="1">
            <w:col w:w="10260"/>
          </w:cols>
          <w:pgMar w:left="700" w:top="414" w:right="939" w:bottom="1440" w:gutter="0" w:footer="0" w:header="0"/>
        </w:sectPr>
      </w:pPr>
    </w:p>
    <w:bookmarkStart w:id="6" w:name="page7"/>
    <w:bookmarkEnd w:id="6"/>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Company Overview</w:t>
      </w:r>
    </w:p>
    <w:p>
      <w:pPr>
        <w:spacing w:after="0" w:line="315" w:lineRule="exact"/>
        <w:rPr>
          <w:sz w:val="20"/>
          <w:szCs w:val="20"/>
          <w:color w:val="auto"/>
        </w:rPr>
      </w:pPr>
    </w:p>
    <w:p>
      <w:pPr>
        <w:ind w:left="440" w:right="340" w:hanging="430"/>
        <w:spacing w:after="0" w:line="259" w:lineRule="auto"/>
        <w:tabs>
          <w:tab w:leader="none" w:pos="440" w:val="left"/>
        </w:tabs>
        <w:numPr>
          <w:ilvl w:val="0"/>
          <w:numId w:val="3"/>
        </w:numPr>
        <w:rPr>
          <w:rFonts w:ascii="Arial" w:cs="Arial" w:eastAsia="Arial" w:hAnsi="Arial"/>
          <w:sz w:val="38"/>
          <w:szCs w:val="38"/>
          <w:color w:val="5F5F5F"/>
        </w:rPr>
      </w:pPr>
      <w:r>
        <w:rPr>
          <w:rFonts w:ascii="Arial" w:cs="Arial" w:eastAsia="Arial" w:hAnsi="Arial"/>
          <w:sz w:val="38"/>
          <w:szCs w:val="38"/>
          <w:color w:val="5F5F5F"/>
        </w:rPr>
        <w:t>Largest multi-channel specialty retailer of men’s big and tall (B&amp;T) market</w:t>
      </w:r>
    </w:p>
    <w:p>
      <w:pPr>
        <w:spacing w:after="0" w:line="148" w:lineRule="exact"/>
        <w:rPr>
          <w:rFonts w:ascii="Arial" w:cs="Arial" w:eastAsia="Arial" w:hAnsi="Arial"/>
          <w:sz w:val="38"/>
          <w:szCs w:val="38"/>
          <w:color w:val="5F5F5F"/>
        </w:rPr>
      </w:pPr>
    </w:p>
    <w:p>
      <w:pPr>
        <w:ind w:left="440" w:hanging="430"/>
        <w:spacing w:after="0" w:line="266" w:lineRule="auto"/>
        <w:tabs>
          <w:tab w:leader="none" w:pos="440" w:val="left"/>
        </w:tabs>
        <w:numPr>
          <w:ilvl w:val="0"/>
          <w:numId w:val="3"/>
        </w:numPr>
        <w:rPr>
          <w:rFonts w:ascii="Arial" w:cs="Arial" w:eastAsia="Arial" w:hAnsi="Arial"/>
          <w:sz w:val="37"/>
          <w:szCs w:val="37"/>
          <w:color w:val="5F5F5F"/>
        </w:rPr>
      </w:pPr>
      <w:r>
        <w:rPr>
          <w:rFonts w:ascii="Arial" w:cs="Arial" w:eastAsia="Arial" w:hAnsi="Arial"/>
          <w:sz w:val="37"/>
          <w:szCs w:val="37"/>
          <w:color w:val="5F5F5F"/>
        </w:rPr>
        <w:t>Vertically integrated multi-channel model of 476 stores (47 states), direct to consumer presence in U.S., Canada and EU</w:t>
      </w:r>
    </w:p>
    <w:p>
      <w:pPr>
        <w:spacing w:after="0" w:line="148" w:lineRule="exact"/>
        <w:rPr>
          <w:rFonts w:ascii="Arial" w:cs="Arial" w:eastAsia="Arial" w:hAnsi="Arial"/>
          <w:sz w:val="37"/>
          <w:szCs w:val="37"/>
          <w:color w:val="5F5F5F"/>
        </w:rPr>
      </w:pPr>
    </w:p>
    <w:p>
      <w:pPr>
        <w:ind w:left="440" w:hanging="430"/>
        <w:spacing w:after="0"/>
        <w:tabs>
          <w:tab w:leader="none" w:pos="440" w:val="left"/>
        </w:tabs>
        <w:numPr>
          <w:ilvl w:val="0"/>
          <w:numId w:val="3"/>
        </w:numPr>
        <w:rPr>
          <w:rFonts w:ascii="Arial" w:cs="Arial" w:eastAsia="Arial" w:hAnsi="Arial"/>
          <w:sz w:val="38"/>
          <w:szCs w:val="38"/>
          <w:color w:val="5F5F5F"/>
        </w:rPr>
      </w:pPr>
      <w:r>
        <w:rPr>
          <w:rFonts w:ascii="Arial" w:cs="Arial" w:eastAsia="Arial" w:hAnsi="Arial"/>
          <w:sz w:val="38"/>
          <w:szCs w:val="38"/>
          <w:color w:val="5F5F5F"/>
        </w:rPr>
        <w:t>Geographically and demographically diverse customer base</w:t>
      </w:r>
    </w:p>
    <w:p>
      <w:pPr>
        <w:spacing w:after="0" w:line="73" w:lineRule="exact"/>
        <w:rPr>
          <w:rFonts w:ascii="Arial" w:cs="Arial" w:eastAsia="Arial" w:hAnsi="Arial"/>
          <w:sz w:val="38"/>
          <w:szCs w:val="38"/>
          <w:color w:val="5F5F5F"/>
        </w:rPr>
      </w:pPr>
    </w:p>
    <w:p>
      <w:pPr>
        <w:ind w:left="580"/>
        <w:spacing w:after="0"/>
        <w:rPr>
          <w:rFonts w:ascii="Arial" w:cs="Arial" w:eastAsia="Arial" w:hAnsi="Arial"/>
          <w:sz w:val="38"/>
          <w:szCs w:val="38"/>
          <w:color w:val="5F5F5F"/>
        </w:rPr>
      </w:pPr>
      <w:r>
        <w:rPr>
          <w:rFonts w:ascii="Arial" w:cs="Arial" w:eastAsia="Arial" w:hAnsi="Arial"/>
          <w:sz w:val="32"/>
          <w:szCs w:val="32"/>
          <w:color w:val="5F5F5F"/>
        </w:rPr>
        <w:t>– 2.5 million active customers</w:t>
      </w:r>
    </w:p>
    <w:p>
      <w:pPr>
        <w:spacing w:after="0" w:line="77" w:lineRule="exact"/>
        <w:rPr>
          <w:rFonts w:ascii="Arial" w:cs="Arial" w:eastAsia="Arial" w:hAnsi="Arial"/>
          <w:sz w:val="38"/>
          <w:szCs w:val="38"/>
          <w:color w:val="5F5F5F"/>
        </w:rPr>
      </w:pPr>
    </w:p>
    <w:p>
      <w:pPr>
        <w:ind w:left="580"/>
        <w:spacing w:after="0"/>
        <w:rPr>
          <w:rFonts w:ascii="Arial" w:cs="Arial" w:eastAsia="Arial" w:hAnsi="Arial"/>
          <w:sz w:val="38"/>
          <w:szCs w:val="38"/>
          <w:color w:val="5F5F5F"/>
        </w:rPr>
      </w:pPr>
      <w:r>
        <w:rPr>
          <w:rFonts w:ascii="Arial" w:cs="Arial" w:eastAsia="Arial" w:hAnsi="Arial"/>
          <w:sz w:val="32"/>
          <w:szCs w:val="32"/>
          <w:color w:val="5F5F5F"/>
        </w:rPr>
        <w:t>– 90% enrollment in Loyalty program</w:t>
      </w:r>
    </w:p>
    <w:p>
      <w:pPr>
        <w:spacing w:after="0" w:line="212" w:lineRule="exact"/>
        <w:rPr>
          <w:rFonts w:ascii="Arial" w:cs="Arial" w:eastAsia="Arial" w:hAnsi="Arial"/>
          <w:sz w:val="38"/>
          <w:szCs w:val="38"/>
          <w:color w:val="5F5F5F"/>
        </w:rPr>
      </w:pPr>
    </w:p>
    <w:p>
      <w:pPr>
        <w:ind w:left="440" w:hanging="430"/>
        <w:spacing w:after="0"/>
        <w:tabs>
          <w:tab w:leader="none" w:pos="440" w:val="left"/>
        </w:tabs>
        <w:numPr>
          <w:ilvl w:val="0"/>
          <w:numId w:val="3"/>
        </w:numPr>
        <w:rPr>
          <w:rFonts w:ascii="Arial" w:cs="Arial" w:eastAsia="Arial" w:hAnsi="Arial"/>
          <w:sz w:val="38"/>
          <w:szCs w:val="38"/>
          <w:color w:val="5F5F5F"/>
        </w:rPr>
      </w:pPr>
      <w:r>
        <w:rPr>
          <w:rFonts w:ascii="Arial" w:cs="Arial" w:eastAsia="Arial" w:hAnsi="Arial"/>
          <w:sz w:val="38"/>
          <w:szCs w:val="38"/>
          <w:color w:val="5F5F5F"/>
        </w:rPr>
        <w:t>2009 sales of $395 million. EBITDA of $23 million (5.8%)</w:t>
      </w:r>
    </w:p>
    <w:p>
      <w:pPr>
        <w:spacing w:after="0" w:line="73" w:lineRule="exact"/>
        <w:rPr>
          <w:rFonts w:ascii="Arial" w:cs="Arial" w:eastAsia="Arial" w:hAnsi="Arial"/>
          <w:sz w:val="38"/>
          <w:szCs w:val="38"/>
          <w:color w:val="5F5F5F"/>
        </w:rPr>
      </w:pPr>
    </w:p>
    <w:p>
      <w:pPr>
        <w:ind w:left="580"/>
        <w:spacing w:after="0"/>
        <w:rPr>
          <w:rFonts w:ascii="Arial" w:cs="Arial" w:eastAsia="Arial" w:hAnsi="Arial"/>
          <w:sz w:val="38"/>
          <w:szCs w:val="38"/>
          <w:color w:val="5F5F5F"/>
        </w:rPr>
      </w:pPr>
      <w:r>
        <w:rPr>
          <w:rFonts w:ascii="Arial" w:cs="Arial" w:eastAsia="Arial" w:hAnsi="Arial"/>
          <w:sz w:val="32"/>
          <w:szCs w:val="32"/>
          <w:color w:val="5F5F5F"/>
        </w:rPr>
        <w:t>– 80% retail sales</w:t>
      </w:r>
    </w:p>
    <w:p>
      <w:pPr>
        <w:spacing w:after="0" w:line="77" w:lineRule="exact"/>
        <w:rPr>
          <w:rFonts w:ascii="Arial" w:cs="Arial" w:eastAsia="Arial" w:hAnsi="Arial"/>
          <w:sz w:val="38"/>
          <w:szCs w:val="38"/>
          <w:color w:val="5F5F5F"/>
        </w:rPr>
      </w:pPr>
    </w:p>
    <w:p>
      <w:pPr>
        <w:ind w:left="580"/>
        <w:spacing w:after="0"/>
        <w:rPr>
          <w:rFonts w:ascii="Arial" w:cs="Arial" w:eastAsia="Arial" w:hAnsi="Arial"/>
          <w:sz w:val="38"/>
          <w:szCs w:val="38"/>
          <w:color w:val="5F5F5F"/>
        </w:rPr>
      </w:pPr>
      <w:r>
        <w:rPr>
          <w:rFonts w:ascii="Arial" w:cs="Arial" w:eastAsia="Arial" w:hAnsi="Arial"/>
          <w:sz w:val="32"/>
          <w:szCs w:val="32"/>
          <w:color w:val="5F5F5F"/>
        </w:rPr>
        <w:t>– 20% direct to consumer</w:t>
      </w:r>
    </w:p>
    <w:p>
      <w:pPr>
        <w:spacing w:after="0" w:line="212" w:lineRule="exact"/>
        <w:rPr>
          <w:rFonts w:ascii="Arial" w:cs="Arial" w:eastAsia="Arial" w:hAnsi="Arial"/>
          <w:sz w:val="38"/>
          <w:szCs w:val="38"/>
          <w:color w:val="5F5F5F"/>
        </w:rPr>
      </w:pPr>
    </w:p>
    <w:p>
      <w:pPr>
        <w:ind w:left="440" w:hanging="430"/>
        <w:spacing w:after="0"/>
        <w:tabs>
          <w:tab w:leader="none" w:pos="440" w:val="left"/>
        </w:tabs>
        <w:numPr>
          <w:ilvl w:val="0"/>
          <w:numId w:val="3"/>
        </w:numPr>
        <w:rPr>
          <w:rFonts w:ascii="Arial" w:cs="Arial" w:eastAsia="Arial" w:hAnsi="Arial"/>
          <w:sz w:val="38"/>
          <w:szCs w:val="38"/>
          <w:color w:val="5F5F5F"/>
        </w:rPr>
      </w:pPr>
      <w:r>
        <w:rPr>
          <w:rFonts w:ascii="Arial" w:cs="Arial" w:eastAsia="Arial" w:hAnsi="Arial"/>
          <w:sz w:val="38"/>
          <w:szCs w:val="38"/>
          <w:color w:val="5F5F5F"/>
        </w:rPr>
        <w:t>2009 free cash flow of $26 million</w:t>
      </w:r>
    </w:p>
    <w:p>
      <w:pPr>
        <w:spacing w:after="0" w:line="191" w:lineRule="exact"/>
        <w:rPr>
          <w:rFonts w:ascii="Arial" w:cs="Arial" w:eastAsia="Arial" w:hAnsi="Arial"/>
          <w:sz w:val="38"/>
          <w:szCs w:val="38"/>
          <w:color w:val="5F5F5F"/>
        </w:rPr>
      </w:pPr>
    </w:p>
    <w:p>
      <w:pPr>
        <w:ind w:left="580"/>
        <w:spacing w:after="0"/>
        <w:rPr>
          <w:rFonts w:ascii="Arial" w:cs="Arial" w:eastAsia="Arial" w:hAnsi="Arial"/>
          <w:sz w:val="38"/>
          <w:szCs w:val="38"/>
          <w:color w:val="5F5F5F"/>
        </w:rPr>
      </w:pPr>
      <w:r>
        <w:rPr>
          <w:rFonts w:ascii="Arial" w:cs="Arial" w:eastAsia="Arial" w:hAnsi="Arial"/>
          <w:sz w:val="32"/>
          <w:szCs w:val="32"/>
          <w:color w:val="5F5F5F"/>
        </w:rPr>
        <w:t>– $11 million in debt at end of FY 2009</w:t>
      </w:r>
    </w:p>
    <w:p>
      <w:pPr>
        <w:spacing w:after="0" w:line="200" w:lineRule="exact"/>
        <w:rPr>
          <w:sz w:val="20"/>
          <w:szCs w:val="20"/>
          <w:color w:val="auto"/>
        </w:rPr>
      </w:pPr>
    </w:p>
    <w:p>
      <w:pPr>
        <w:spacing w:after="0" w:line="312" w:lineRule="exact"/>
        <w:rPr>
          <w:sz w:val="20"/>
          <w:szCs w:val="20"/>
          <w:color w:val="auto"/>
        </w:rPr>
      </w:pPr>
    </w:p>
    <w:p>
      <w:pPr>
        <w:ind w:left="9920"/>
        <w:spacing w:after="0"/>
        <w:rPr>
          <w:sz w:val="20"/>
          <w:szCs w:val="20"/>
          <w:color w:val="auto"/>
        </w:rPr>
      </w:pPr>
      <w:r>
        <w:rPr>
          <w:rFonts w:ascii="Arial" w:cs="Arial" w:eastAsia="Arial" w:hAnsi="Arial"/>
          <w:sz w:val="19"/>
          <w:szCs w:val="19"/>
          <w:color w:val="898989"/>
        </w:rPr>
        <w:t>3</w:t>
      </w:r>
    </w:p>
    <w:p>
      <w:pPr>
        <w:sectPr>
          <w:pgSz w:w="11900" w:h="16838" w:orient="portrait"/>
          <w:cols w:equalWidth="0" w:num="1">
            <w:col w:w="10620"/>
          </w:cols>
          <w:pgMar w:left="940" w:top="566" w:right="339" w:bottom="1440" w:gutter="0" w:footer="0" w:header="0"/>
        </w:sectPr>
      </w:pPr>
    </w:p>
    <w:bookmarkStart w:id="7" w:name="page8"/>
    <w:bookmarkEnd w:id="7"/>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Attractive Big and Tall Segment</w:t>
      </w:r>
    </w:p>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4"/>
        </w:numPr>
        <w:rPr>
          <w:rFonts w:ascii="Arial" w:cs="Arial" w:eastAsia="Arial" w:hAnsi="Arial"/>
          <w:sz w:val="38"/>
          <w:szCs w:val="38"/>
          <w:color w:val="5F5F5F"/>
        </w:rPr>
      </w:pPr>
      <w:r>
        <w:rPr>
          <w:rFonts w:ascii="Arial" w:cs="Arial" w:eastAsia="Arial" w:hAnsi="Arial"/>
          <w:sz w:val="38"/>
          <w:szCs w:val="38"/>
          <w:color w:val="5F5F5F"/>
        </w:rPr>
        <w:t>Annual sales of men’s B&amp;T market is approximately $6B</w:t>
      </w:r>
    </w:p>
    <w:p>
      <w:pPr>
        <w:spacing w:after="0" w:line="102" w:lineRule="exact"/>
        <w:rPr>
          <w:rFonts w:ascii="Arial" w:cs="Arial" w:eastAsia="Arial" w:hAnsi="Arial"/>
          <w:sz w:val="38"/>
          <w:szCs w:val="38"/>
          <w:color w:val="5F5F5F"/>
        </w:rPr>
      </w:pPr>
    </w:p>
    <w:p>
      <w:pPr>
        <w:ind w:left="440" w:right="880" w:hanging="430"/>
        <w:spacing w:after="0" w:line="259" w:lineRule="auto"/>
        <w:tabs>
          <w:tab w:leader="none" w:pos="440" w:val="left"/>
        </w:tabs>
        <w:numPr>
          <w:ilvl w:val="0"/>
          <w:numId w:val="4"/>
        </w:numPr>
        <w:rPr>
          <w:rFonts w:ascii="Arial" w:cs="Arial" w:eastAsia="Arial" w:hAnsi="Arial"/>
          <w:sz w:val="38"/>
          <w:szCs w:val="38"/>
          <w:color w:val="5F5F5F"/>
        </w:rPr>
      </w:pPr>
      <w:r>
        <w:rPr>
          <w:rFonts w:ascii="Arial" w:cs="Arial" w:eastAsia="Arial" w:hAnsi="Arial"/>
          <w:sz w:val="38"/>
          <w:szCs w:val="38"/>
          <w:color w:val="5F5F5F"/>
        </w:rPr>
        <w:t>B&amp;T men account for approximately 11% of the U.S. population</w:t>
      </w:r>
    </w:p>
    <w:p>
      <w:pPr>
        <w:spacing w:after="0" w:line="54" w:lineRule="exact"/>
        <w:rPr>
          <w:rFonts w:ascii="Arial" w:cs="Arial" w:eastAsia="Arial" w:hAnsi="Arial"/>
          <w:sz w:val="38"/>
          <w:szCs w:val="38"/>
          <w:color w:val="5F5F5F"/>
        </w:rPr>
      </w:pPr>
    </w:p>
    <w:p>
      <w:pPr>
        <w:ind w:left="440" w:right="1140" w:hanging="430"/>
        <w:spacing w:after="0" w:line="253" w:lineRule="auto"/>
        <w:tabs>
          <w:tab w:leader="none" w:pos="440" w:val="left"/>
        </w:tabs>
        <w:numPr>
          <w:ilvl w:val="0"/>
          <w:numId w:val="4"/>
        </w:numPr>
        <w:rPr>
          <w:rFonts w:ascii="Arial" w:cs="Arial" w:eastAsia="Arial" w:hAnsi="Arial"/>
          <w:sz w:val="38"/>
          <w:szCs w:val="38"/>
          <w:color w:val="5F5F5F"/>
        </w:rPr>
      </w:pPr>
      <w:r>
        <w:rPr>
          <w:rFonts w:ascii="Arial" w:cs="Arial" w:eastAsia="Arial" w:hAnsi="Arial"/>
          <w:sz w:val="38"/>
          <w:szCs w:val="38"/>
          <w:color w:val="5F5F5F"/>
        </w:rPr>
        <w:t>Growing at almost twice the rate of the regular size men’s apparel market</w:t>
      </w:r>
    </w:p>
    <w:p>
      <w:pPr>
        <w:spacing w:after="0" w:line="64" w:lineRule="exact"/>
        <w:rPr>
          <w:rFonts w:ascii="Arial" w:cs="Arial" w:eastAsia="Arial" w:hAnsi="Arial"/>
          <w:sz w:val="38"/>
          <w:szCs w:val="38"/>
          <w:color w:val="5F5F5F"/>
        </w:rPr>
      </w:pPr>
    </w:p>
    <w:p>
      <w:pPr>
        <w:ind w:left="440" w:right="340" w:hanging="430"/>
        <w:spacing w:after="0" w:line="253" w:lineRule="auto"/>
        <w:tabs>
          <w:tab w:leader="none" w:pos="440" w:val="left"/>
        </w:tabs>
        <w:numPr>
          <w:ilvl w:val="0"/>
          <w:numId w:val="4"/>
        </w:numPr>
        <w:rPr>
          <w:rFonts w:ascii="Arial" w:cs="Arial" w:eastAsia="Arial" w:hAnsi="Arial"/>
          <w:sz w:val="38"/>
          <w:szCs w:val="38"/>
          <w:color w:val="5F5F5F"/>
        </w:rPr>
      </w:pPr>
      <w:r>
        <w:rPr>
          <w:rFonts w:ascii="Arial" w:cs="Arial" w:eastAsia="Arial" w:hAnsi="Arial"/>
          <w:sz w:val="38"/>
          <w:szCs w:val="38"/>
          <w:color w:val="5F5F5F"/>
        </w:rPr>
        <w:t>B&amp;T consumers shop 50% more for apparel on the web than regular sized consumers</w:t>
      </w:r>
    </w:p>
    <w:p>
      <w:pPr>
        <w:spacing w:after="0" w:line="64" w:lineRule="exact"/>
        <w:rPr>
          <w:rFonts w:ascii="Arial" w:cs="Arial" w:eastAsia="Arial" w:hAnsi="Arial"/>
          <w:sz w:val="38"/>
          <w:szCs w:val="38"/>
          <w:color w:val="5F5F5F"/>
        </w:rPr>
      </w:pPr>
    </w:p>
    <w:p>
      <w:pPr>
        <w:ind w:left="440" w:hanging="430"/>
        <w:spacing w:after="0"/>
        <w:tabs>
          <w:tab w:leader="none" w:pos="440" w:val="left"/>
        </w:tabs>
        <w:numPr>
          <w:ilvl w:val="0"/>
          <w:numId w:val="4"/>
        </w:numPr>
        <w:rPr>
          <w:rFonts w:ascii="Arial" w:cs="Arial" w:eastAsia="Arial" w:hAnsi="Arial"/>
          <w:sz w:val="38"/>
          <w:szCs w:val="38"/>
          <w:color w:val="5F5F5F"/>
        </w:rPr>
      </w:pPr>
      <w:r>
        <w:rPr>
          <w:rFonts w:ascii="Arial" w:cs="Arial" w:eastAsia="Arial" w:hAnsi="Arial"/>
          <w:sz w:val="38"/>
          <w:szCs w:val="38"/>
          <w:color w:val="5F5F5F"/>
        </w:rPr>
        <w:t>B&amp;T market is highly fragmented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4</w:t>
      </w:r>
    </w:p>
    <w:p>
      <w:pPr>
        <w:sectPr>
          <w:pgSz w:w="11900" w:h="16838" w:orient="portrait"/>
          <w:cols w:equalWidth="0" w:num="1">
            <w:col w:w="10020"/>
          </w:cols>
          <w:pgMar w:left="940" w:top="566" w:right="939" w:bottom="1440" w:gutter="0" w:footer="0" w:header="0"/>
        </w:sectPr>
      </w:pPr>
    </w:p>
    <w:bookmarkStart w:id="8" w:name="page9"/>
    <w:bookmarkEnd w:id="8"/>
    <w:p>
      <w:pPr>
        <w:ind w:left="280"/>
        <w:spacing w:after="0" w:line="280" w:lineRule="auto"/>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Growing Obesity Trends Among U.S. Adults</w:t>
      </w:r>
    </w:p>
    <w:p>
      <w:pPr>
        <w:ind w:left="1520"/>
        <w:spacing w:after="0"/>
        <w:tabs>
          <w:tab w:leader="none" w:pos="5020" w:val="left"/>
          <w:tab w:leader="none" w:pos="8640" w:val="left"/>
        </w:tabs>
        <w:rPr>
          <w:sz w:val="20"/>
          <w:szCs w:val="20"/>
          <w:color w:val="auto"/>
        </w:rPr>
      </w:pPr>
      <w:r>
        <w:rPr>
          <w:rFonts w:ascii="Arial" w:cs="Arial" w:eastAsia="Arial" w:hAnsi="Arial"/>
          <w:sz w:val="28"/>
          <w:szCs w:val="28"/>
          <w:color w:val="auto"/>
        </w:rPr>
        <w:t>1985</w:t>
      </w:r>
      <w:r>
        <w:rPr>
          <w:sz w:val="20"/>
          <w:szCs w:val="20"/>
          <w:color w:val="auto"/>
        </w:rPr>
        <w:tab/>
      </w:r>
      <w:r>
        <w:rPr>
          <w:rFonts w:ascii="Arial" w:cs="Arial" w:eastAsia="Arial" w:hAnsi="Arial"/>
          <w:sz w:val="28"/>
          <w:szCs w:val="28"/>
          <w:color w:val="auto"/>
        </w:rPr>
        <w:t>1990</w:t>
      </w:r>
      <w:r>
        <w:rPr>
          <w:sz w:val="20"/>
          <w:szCs w:val="20"/>
          <w:color w:val="auto"/>
        </w:rPr>
        <w:tab/>
      </w:r>
      <w:r>
        <w:rPr>
          <w:rFonts w:ascii="Arial" w:cs="Arial" w:eastAsia="Arial" w:hAnsi="Arial"/>
          <w:sz w:val="25"/>
          <w:szCs w:val="25"/>
          <w:color w:val="auto"/>
        </w:rPr>
        <w:t>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480"/>
        <w:spacing w:after="0"/>
        <w:tabs>
          <w:tab w:leader="none" w:pos="4840" w:val="left"/>
          <w:tab w:leader="none" w:pos="8500" w:val="left"/>
        </w:tabs>
        <w:rPr>
          <w:sz w:val="20"/>
          <w:szCs w:val="20"/>
          <w:color w:val="auto"/>
        </w:rPr>
      </w:pPr>
      <w:r>
        <w:rPr>
          <w:rFonts w:ascii="Arial" w:cs="Arial" w:eastAsia="Arial" w:hAnsi="Arial"/>
          <w:sz w:val="28"/>
          <w:szCs w:val="28"/>
          <w:color w:val="auto"/>
        </w:rPr>
        <w:t>2000</w:t>
      </w:r>
      <w:r>
        <w:rPr>
          <w:sz w:val="20"/>
          <w:szCs w:val="20"/>
          <w:color w:val="auto"/>
        </w:rPr>
        <w:tab/>
      </w:r>
      <w:r>
        <w:rPr>
          <w:rFonts w:ascii="Arial" w:cs="Arial" w:eastAsia="Arial" w:hAnsi="Arial"/>
          <w:sz w:val="28"/>
          <w:szCs w:val="28"/>
          <w:color w:val="auto"/>
        </w:rPr>
        <w:t>2005</w:t>
      </w:r>
      <w:r>
        <w:rPr>
          <w:sz w:val="20"/>
          <w:szCs w:val="20"/>
          <w:color w:val="auto"/>
        </w:rPr>
        <w:tab/>
      </w:r>
      <w:r>
        <w:rPr>
          <w:rFonts w:ascii="Arial" w:cs="Arial" w:eastAsia="Arial" w:hAnsi="Arial"/>
          <w:sz w:val="25"/>
          <w:szCs w:val="25"/>
          <w:color w:val="auto"/>
        </w:rPr>
        <w:t>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tabs>
          <w:tab w:leader="none" w:pos="1660" w:val="left"/>
          <w:tab w:leader="none" w:pos="2920" w:val="left"/>
          <w:tab w:leader="none" w:pos="5420" w:val="left"/>
          <w:tab w:leader="none" w:pos="7060" w:val="left"/>
          <w:tab w:leader="none" w:pos="8760" w:val="left"/>
        </w:tabs>
        <w:rPr>
          <w:sz w:val="20"/>
          <w:szCs w:val="20"/>
          <w:color w:val="auto"/>
        </w:rPr>
      </w:pPr>
      <w:r>
        <w:rPr>
          <w:rFonts w:ascii="Arial" w:cs="Arial" w:eastAsia="Arial" w:hAnsi="Arial"/>
          <w:sz w:val="22"/>
          <w:szCs w:val="22"/>
          <w:b w:val="1"/>
          <w:bCs w:val="1"/>
          <w:color w:val="auto"/>
        </w:rPr>
        <w:t>No Data</w:t>
      </w:r>
      <w:r>
        <w:rPr>
          <w:sz w:val="20"/>
          <w:szCs w:val="20"/>
          <w:color w:val="auto"/>
        </w:rPr>
        <w:tab/>
      </w:r>
      <w:r>
        <w:rPr>
          <w:rFonts w:ascii="Arial" w:cs="Arial" w:eastAsia="Arial" w:hAnsi="Arial"/>
          <w:sz w:val="22"/>
          <w:szCs w:val="22"/>
          <w:b w:val="1"/>
          <w:bCs w:val="1"/>
          <w:color w:val="auto"/>
        </w:rPr>
        <w:t>&lt;10%</w:t>
      </w:r>
      <w:r>
        <w:rPr>
          <w:sz w:val="20"/>
          <w:szCs w:val="20"/>
          <w:color w:val="auto"/>
        </w:rPr>
        <w:tab/>
      </w:r>
      <w:r>
        <w:rPr>
          <w:rFonts w:ascii="Arial" w:cs="Arial" w:eastAsia="Arial" w:hAnsi="Arial"/>
          <w:sz w:val="22"/>
          <w:szCs w:val="22"/>
          <w:b w:val="1"/>
          <w:bCs w:val="1"/>
          <w:color w:val="auto"/>
        </w:rPr>
        <w:t>10%–14%15%–19%</w:t>
      </w:r>
      <w:r>
        <w:rPr>
          <w:sz w:val="20"/>
          <w:szCs w:val="20"/>
          <w:color w:val="auto"/>
        </w:rPr>
        <w:tab/>
      </w:r>
      <w:r>
        <w:rPr>
          <w:rFonts w:ascii="Arial" w:cs="Arial" w:eastAsia="Arial" w:hAnsi="Arial"/>
          <w:sz w:val="22"/>
          <w:szCs w:val="22"/>
          <w:b w:val="1"/>
          <w:bCs w:val="1"/>
          <w:color w:val="auto"/>
        </w:rPr>
        <w:t>20%–24%</w:t>
      </w:r>
      <w:r>
        <w:rPr>
          <w:sz w:val="20"/>
          <w:szCs w:val="20"/>
          <w:color w:val="auto"/>
        </w:rPr>
        <w:tab/>
      </w:r>
      <w:r>
        <w:rPr>
          <w:rFonts w:ascii="Arial" w:cs="Arial" w:eastAsia="Arial" w:hAnsi="Arial"/>
          <w:sz w:val="22"/>
          <w:szCs w:val="22"/>
          <w:b w:val="1"/>
          <w:bCs w:val="1"/>
          <w:color w:val="auto"/>
        </w:rPr>
        <w:t>25%–29%</w:t>
      </w:r>
      <w:r>
        <w:rPr>
          <w:sz w:val="20"/>
          <w:szCs w:val="20"/>
          <w:color w:val="auto"/>
        </w:rPr>
        <w:tab/>
      </w:r>
      <w:r>
        <w:rPr>
          <w:rFonts w:ascii="Arial" w:cs="Arial" w:eastAsia="Arial" w:hAnsi="Arial"/>
          <w:sz w:val="21"/>
          <w:szCs w:val="21"/>
          <w:b w:val="1"/>
          <w:bCs w:val="1"/>
          <w:color w:val="auto"/>
        </w:rPr>
        <w:t>&gt;30%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60" w:type="dxa"/>
            <w:vAlign w:val="bottom"/>
          </w:tcPr>
          <w:p>
            <w:pPr>
              <w:spacing w:after="0"/>
              <w:rPr>
                <w:sz w:val="20"/>
                <w:szCs w:val="20"/>
                <w:color w:val="auto"/>
              </w:rPr>
            </w:pPr>
            <w:r>
              <w:rPr>
                <w:rFonts w:ascii="Arial" w:cs="Arial" w:eastAsia="Arial" w:hAnsi="Arial"/>
                <w:sz w:val="15"/>
                <w:szCs w:val="15"/>
                <w:color w:val="auto"/>
              </w:rPr>
              <w:t>(*BMI   30, or about 30 lbs overweight)</w:t>
            </w:r>
          </w:p>
        </w:tc>
        <w:tc>
          <w:tcPr>
            <w:tcW w:w="3840" w:type="dxa"/>
            <w:vAlign w:val="bottom"/>
          </w:tcPr>
          <w:p>
            <w:pPr>
              <w:jc w:val="right"/>
              <w:spacing w:after="0"/>
              <w:rPr>
                <w:sz w:val="20"/>
                <w:szCs w:val="20"/>
                <w:color w:val="auto"/>
              </w:rPr>
            </w:pPr>
            <w:r>
              <w:rPr>
                <w:rFonts w:ascii="Arial" w:cs="Arial" w:eastAsia="Arial" w:hAnsi="Arial"/>
                <w:sz w:val="19"/>
                <w:szCs w:val="19"/>
                <w:color w:val="898989"/>
              </w:rPr>
              <w:t>5</w:t>
            </w:r>
          </w:p>
        </w:tc>
      </w:tr>
    </w:tbl>
    <w:p>
      <w:pPr>
        <w:sectPr>
          <w:pgSz w:w="11900" w:h="16838" w:orient="portrait"/>
          <w:cols w:equalWidth="0" w:num="1">
            <w:col w:w="10760"/>
          </w:cols>
          <w:pgMar w:left="660" w:top="554" w:right="479" w:bottom="1440" w:gutter="0" w:footer="0" w:header="0"/>
        </w:sectPr>
      </w:pPr>
    </w:p>
    <w:bookmarkStart w:id="9" w:name="page10"/>
    <w:bookmarkEnd w:id="9"/>
    <w:p>
      <w:pPr>
        <w:spacing w:after="0"/>
        <w:rPr>
          <w:sz w:val="20"/>
          <w:szCs w:val="20"/>
          <w:color w:val="auto"/>
        </w:rPr>
      </w:pPr>
      <w:r>
        <w:rPr>
          <w:rFonts w:ascii="Arial" w:cs="Arial" w:eastAsia="Arial" w:hAnsi="Arial"/>
          <w:sz w:val="50"/>
          <w:szCs w:val="5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Company Strategic Repositioning: 2003-2009</w:t>
      </w:r>
    </w:p>
    <w:p>
      <w:pPr>
        <w:sectPr>
          <w:pgSz w:w="11900" w:h="16838" w:orient="portrait"/>
          <w:cols w:equalWidth="0" w:num="1">
            <w:col w:w="10820"/>
          </w:cols>
          <w:pgMar w:left="940" w:top="734" w:right="139" w:bottom="1440" w:gutter="0" w:footer="0" w:header="0"/>
        </w:sectPr>
      </w:pPr>
    </w:p>
    <w:p>
      <w:pPr>
        <w:spacing w:after="0" w:line="264" w:lineRule="exact"/>
        <w:rPr>
          <w:sz w:val="20"/>
          <w:szCs w:val="20"/>
          <w:color w:val="auto"/>
        </w:rPr>
      </w:pPr>
    </w:p>
    <w:p>
      <w:pPr>
        <w:ind w:left="460" w:right="1080" w:hanging="357"/>
        <w:spacing w:after="0" w:line="311" w:lineRule="auto"/>
        <w:tabs>
          <w:tab w:leader="none" w:pos="460" w:val="left"/>
        </w:tabs>
        <w:numPr>
          <w:ilvl w:val="0"/>
          <w:numId w:val="5"/>
        </w:numPr>
        <w:rPr>
          <w:rFonts w:ascii="Arial" w:cs="Arial" w:eastAsia="Arial" w:hAnsi="Arial"/>
          <w:sz w:val="31"/>
          <w:szCs w:val="31"/>
          <w:color w:val="5F5F5F"/>
        </w:rPr>
      </w:pPr>
      <w:r>
        <w:rPr>
          <w:rFonts w:ascii="Arial" w:cs="Arial" w:eastAsia="Arial" w:hAnsi="Arial"/>
          <w:sz w:val="31"/>
          <w:szCs w:val="31"/>
          <w:b w:val="1"/>
          <w:bCs w:val="1"/>
          <w:color w:val="5F5F5F"/>
        </w:rPr>
        <w:t>Merchandise:</w:t>
      </w:r>
      <w:r>
        <w:rPr>
          <w:rFonts w:ascii="Arial" w:cs="Arial" w:eastAsia="Arial" w:hAnsi="Arial"/>
          <w:sz w:val="31"/>
          <w:szCs w:val="31"/>
          <w:color w:val="5F5F5F"/>
        </w:rPr>
        <w:t>built comprehensive demographic and socio-economically accessible range of product assortments and brands</w:t>
      </w:r>
    </w:p>
    <w:p>
      <w:pPr>
        <w:spacing w:after="0" w:line="132" w:lineRule="exact"/>
        <w:rPr>
          <w:rFonts w:ascii="Arial" w:cs="Arial" w:eastAsia="Arial" w:hAnsi="Arial"/>
          <w:sz w:val="31"/>
          <w:szCs w:val="31"/>
          <w:color w:val="5F5F5F"/>
        </w:rPr>
      </w:pPr>
    </w:p>
    <w:p>
      <w:pPr>
        <w:ind w:left="460" w:right="2340" w:hanging="357"/>
        <w:spacing w:after="0" w:line="279" w:lineRule="auto"/>
        <w:tabs>
          <w:tab w:leader="none" w:pos="460" w:val="left"/>
        </w:tabs>
        <w:numPr>
          <w:ilvl w:val="0"/>
          <w:numId w:val="5"/>
        </w:numPr>
        <w:rPr>
          <w:rFonts w:ascii="Arial" w:cs="Arial" w:eastAsia="Arial" w:hAnsi="Arial"/>
          <w:sz w:val="32"/>
          <w:szCs w:val="32"/>
          <w:color w:val="5F5F5F"/>
        </w:rPr>
      </w:pPr>
      <w:r>
        <w:rPr>
          <w:rFonts w:ascii="Arial" w:cs="Arial" w:eastAsia="Arial" w:hAnsi="Arial"/>
          <w:sz w:val="32"/>
          <w:szCs w:val="32"/>
          <w:b w:val="1"/>
          <w:bCs w:val="1"/>
          <w:color w:val="5F5F5F"/>
        </w:rPr>
        <w:t>VerticalModel</w:t>
      </w:r>
      <w:r>
        <w:rPr>
          <w:rFonts w:ascii="Arial" w:cs="Arial" w:eastAsia="Arial" w:hAnsi="Arial"/>
          <w:sz w:val="28"/>
          <w:szCs w:val="28"/>
          <w:b w:val="1"/>
          <w:bCs w:val="1"/>
          <w:color w:val="5F5F5F"/>
        </w:rPr>
        <w:t>:</w:t>
      </w:r>
      <w:r>
        <w:rPr>
          <w:rFonts w:ascii="Arial" w:cs="Arial" w:eastAsia="Arial" w:hAnsi="Arial"/>
          <w:sz w:val="32"/>
          <w:szCs w:val="32"/>
          <w:color w:val="5F5F5F"/>
        </w:rPr>
        <w:t>fully integratedstoresanddirectto consumer</w:t>
      </w:r>
      <w:r>
        <w:rPr>
          <w:rFonts w:ascii="Arial" w:cs="Arial" w:eastAsia="Arial" w:hAnsi="Arial"/>
          <w:sz w:val="32"/>
          <w:szCs w:val="32"/>
          <w:b w:val="1"/>
          <w:bCs w:val="1"/>
          <w:color w:val="5F5F5F"/>
        </w:rPr>
        <w:t xml:space="preserve"> </w:t>
      </w:r>
      <w:r>
        <w:rPr>
          <w:rFonts w:ascii="Arial" w:cs="Arial" w:eastAsia="Arial" w:hAnsi="Arial"/>
          <w:sz w:val="32"/>
          <w:szCs w:val="32"/>
          <w:color w:val="5F5F5F"/>
        </w:rPr>
        <w:t>businessesinto amulti-channelplatform</w:t>
      </w:r>
    </w:p>
    <w:p>
      <w:pPr>
        <w:spacing w:after="0" w:line="235" w:lineRule="exact"/>
        <w:rPr>
          <w:rFonts w:ascii="Arial" w:cs="Arial" w:eastAsia="Arial" w:hAnsi="Arial"/>
          <w:sz w:val="32"/>
          <w:szCs w:val="32"/>
          <w:color w:val="5F5F5F"/>
        </w:rPr>
      </w:pPr>
    </w:p>
    <w:p>
      <w:pPr>
        <w:ind w:left="460" w:right="1840" w:hanging="357"/>
        <w:spacing w:after="0" w:line="294" w:lineRule="auto"/>
        <w:tabs>
          <w:tab w:leader="none" w:pos="460" w:val="left"/>
        </w:tabs>
        <w:numPr>
          <w:ilvl w:val="0"/>
          <w:numId w:val="5"/>
        </w:numPr>
        <w:rPr>
          <w:rFonts w:ascii="Arial" w:cs="Arial" w:eastAsia="Arial" w:hAnsi="Arial"/>
          <w:sz w:val="32"/>
          <w:szCs w:val="32"/>
          <w:color w:val="5F5F5F"/>
        </w:rPr>
      </w:pPr>
      <w:r>
        <w:rPr>
          <w:rFonts w:ascii="Arial" w:cs="Arial" w:eastAsia="Arial" w:hAnsi="Arial"/>
          <w:sz w:val="32"/>
          <w:szCs w:val="32"/>
          <w:b w:val="1"/>
          <w:bCs w:val="1"/>
          <w:color w:val="5F5F5F"/>
        </w:rPr>
        <w:t>Systems:</w:t>
      </w:r>
      <w:r>
        <w:rPr>
          <w:rFonts w:ascii="Arial" w:cs="Arial" w:eastAsia="Arial" w:hAnsi="Arial"/>
          <w:sz w:val="32"/>
          <w:szCs w:val="32"/>
          <w:color w:val="5F5F5F"/>
        </w:rPr>
        <w:t>built elaborate store planning and size management</w:t>
      </w:r>
      <w:r>
        <w:rPr>
          <w:rFonts w:ascii="Arial" w:cs="Arial" w:eastAsia="Arial" w:hAnsi="Arial"/>
          <w:sz w:val="32"/>
          <w:szCs w:val="32"/>
          <w:b w:val="1"/>
          <w:bCs w:val="1"/>
          <w:color w:val="5F5F5F"/>
        </w:rPr>
        <w:t xml:space="preserve"> </w:t>
      </w:r>
      <w:r>
        <w:rPr>
          <w:rFonts w:ascii="Arial" w:cs="Arial" w:eastAsia="Arial" w:hAnsi="Arial"/>
          <w:sz w:val="32"/>
          <w:szCs w:val="32"/>
          <w:color w:val="5F5F5F"/>
        </w:rPr>
        <w:t>applications</w:t>
      </w:r>
    </w:p>
    <w:p>
      <w:pPr>
        <w:spacing w:after="0" w:line="201" w:lineRule="exact"/>
        <w:rPr>
          <w:rFonts w:ascii="Arial" w:cs="Arial" w:eastAsia="Arial" w:hAnsi="Arial"/>
          <w:sz w:val="32"/>
          <w:szCs w:val="32"/>
          <w:color w:val="5F5F5F"/>
        </w:rPr>
      </w:pPr>
    </w:p>
    <w:p>
      <w:pPr>
        <w:ind w:left="460" w:right="1280" w:hanging="357"/>
        <w:spacing w:after="0" w:line="294" w:lineRule="auto"/>
        <w:tabs>
          <w:tab w:leader="none" w:pos="460" w:val="left"/>
        </w:tabs>
        <w:numPr>
          <w:ilvl w:val="0"/>
          <w:numId w:val="5"/>
        </w:numPr>
        <w:rPr>
          <w:rFonts w:ascii="Arial" w:cs="Arial" w:eastAsia="Arial" w:hAnsi="Arial"/>
          <w:sz w:val="32"/>
          <w:szCs w:val="32"/>
          <w:color w:val="5F5F5F"/>
        </w:rPr>
      </w:pPr>
      <w:r>
        <w:rPr>
          <w:rFonts w:ascii="Arial" w:cs="Arial" w:eastAsia="Arial" w:hAnsi="Arial"/>
          <w:sz w:val="32"/>
          <w:szCs w:val="32"/>
          <w:b w:val="1"/>
          <w:bCs w:val="1"/>
          <w:color w:val="5F5F5F"/>
        </w:rPr>
        <w:t>Marketing:</w:t>
      </w:r>
      <w:r>
        <w:rPr>
          <w:rFonts w:ascii="Arial" w:cs="Arial" w:eastAsia="Arial" w:hAnsi="Arial"/>
          <w:sz w:val="32"/>
          <w:szCs w:val="32"/>
          <w:color w:val="5F5F5F"/>
        </w:rPr>
        <w:t>reformulated marketing program to focus on customer</w:t>
      </w:r>
      <w:r>
        <w:rPr>
          <w:rFonts w:ascii="Arial" w:cs="Arial" w:eastAsia="Arial" w:hAnsi="Arial"/>
          <w:sz w:val="32"/>
          <w:szCs w:val="32"/>
          <w:b w:val="1"/>
          <w:bCs w:val="1"/>
          <w:color w:val="5F5F5F"/>
        </w:rPr>
        <w:t xml:space="preserve"> </w:t>
      </w:r>
      <w:r>
        <w:rPr>
          <w:rFonts w:ascii="Arial" w:cs="Arial" w:eastAsia="Arial" w:hAnsi="Arial"/>
          <w:sz w:val="32"/>
          <w:szCs w:val="32"/>
          <w:color w:val="5F5F5F"/>
        </w:rPr>
        <w:t>base</w:t>
      </w:r>
    </w:p>
    <w:p>
      <w:pPr>
        <w:spacing w:after="0" w:line="154" w:lineRule="exact"/>
        <w:rPr>
          <w:rFonts w:ascii="Arial" w:cs="Arial" w:eastAsia="Arial" w:hAnsi="Arial"/>
          <w:sz w:val="32"/>
          <w:szCs w:val="32"/>
          <w:color w:val="5F5F5F"/>
        </w:rPr>
      </w:pPr>
    </w:p>
    <w:p>
      <w:pPr>
        <w:ind w:left="460" w:right="1800" w:hanging="357"/>
        <w:spacing w:after="0" w:line="279" w:lineRule="auto"/>
        <w:tabs>
          <w:tab w:leader="none" w:pos="460" w:val="left"/>
        </w:tabs>
        <w:numPr>
          <w:ilvl w:val="0"/>
          <w:numId w:val="5"/>
        </w:numPr>
        <w:rPr>
          <w:rFonts w:ascii="Arial" w:cs="Arial" w:eastAsia="Arial" w:hAnsi="Arial"/>
          <w:sz w:val="32"/>
          <w:szCs w:val="32"/>
          <w:color w:val="5F5F5F"/>
        </w:rPr>
      </w:pPr>
      <w:r>
        <w:rPr>
          <w:rFonts w:ascii="Arial" w:cs="Arial" w:eastAsia="Arial" w:hAnsi="Arial"/>
          <w:sz w:val="32"/>
          <w:szCs w:val="32"/>
          <w:b w:val="1"/>
          <w:bCs w:val="1"/>
          <w:color w:val="5F5F5F"/>
        </w:rPr>
        <w:t>Expense Structure:</w:t>
      </w:r>
      <w:r>
        <w:rPr>
          <w:rFonts w:ascii="Arial" w:cs="Arial" w:eastAsia="Arial" w:hAnsi="Arial"/>
          <w:sz w:val="32"/>
          <w:szCs w:val="32"/>
          <w:color w:val="5F5F5F"/>
        </w:rPr>
        <w:t>ationalized expense structure and lowered</w:t>
      </w:r>
      <w:r>
        <w:rPr>
          <w:rFonts w:ascii="Arial" w:cs="Arial" w:eastAsia="Arial" w:hAnsi="Arial"/>
          <w:sz w:val="32"/>
          <w:szCs w:val="32"/>
          <w:b w:val="1"/>
          <w:bCs w:val="1"/>
          <w:color w:val="5F5F5F"/>
        </w:rPr>
        <w:t xml:space="preserve"> </w:t>
      </w:r>
      <w:r>
        <w:rPr>
          <w:rFonts w:ascii="Arial" w:cs="Arial" w:eastAsia="Arial" w:hAnsi="Arial"/>
          <w:sz w:val="32"/>
          <w:szCs w:val="32"/>
          <w:color w:val="5F5F5F"/>
        </w:rPr>
        <w:t>inventory levels</w:t>
      </w:r>
    </w:p>
    <w:p>
      <w:pPr>
        <w:spacing w:after="0" w:line="177" w:lineRule="exact"/>
        <w:rPr>
          <w:rFonts w:ascii="Arial" w:cs="Arial" w:eastAsia="Arial" w:hAnsi="Arial"/>
          <w:sz w:val="32"/>
          <w:szCs w:val="32"/>
          <w:color w:val="5F5F5F"/>
        </w:rPr>
      </w:pPr>
    </w:p>
    <w:p>
      <w:pPr>
        <w:ind w:left="460" w:hanging="357"/>
        <w:spacing w:after="0"/>
        <w:tabs>
          <w:tab w:leader="none" w:pos="460" w:val="left"/>
        </w:tabs>
        <w:numPr>
          <w:ilvl w:val="0"/>
          <w:numId w:val="5"/>
        </w:numPr>
        <w:rPr>
          <w:rFonts w:ascii="Arial" w:cs="Arial" w:eastAsia="Arial" w:hAnsi="Arial"/>
          <w:sz w:val="32"/>
          <w:szCs w:val="32"/>
          <w:color w:val="5F5F5F"/>
        </w:rPr>
      </w:pPr>
      <w:r>
        <w:rPr>
          <w:rFonts w:ascii="Arial" w:cs="Arial" w:eastAsia="Arial" w:hAnsi="Arial"/>
          <w:sz w:val="32"/>
          <w:szCs w:val="32"/>
          <w:b w:val="1"/>
          <w:bCs w:val="1"/>
          <w:color w:val="5F5F5F"/>
        </w:rPr>
        <w:t>Culture:</w:t>
      </w:r>
      <w:r>
        <w:rPr>
          <w:rFonts w:ascii="Arial" w:cs="Arial" w:eastAsia="Arial" w:hAnsi="Arial"/>
          <w:sz w:val="32"/>
          <w:szCs w:val="32"/>
          <w:color w:val="5F5F5F"/>
        </w:rPr>
        <w:t>implemented advanced in-store sales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800"/>
        <w:spacing w:after="0"/>
        <w:rPr>
          <w:sz w:val="20"/>
          <w:szCs w:val="20"/>
          <w:color w:val="auto"/>
        </w:rPr>
      </w:pPr>
      <w:r>
        <w:rPr>
          <w:rFonts w:ascii="Arial" w:cs="Arial" w:eastAsia="Arial" w:hAnsi="Arial"/>
          <w:sz w:val="19"/>
          <w:szCs w:val="19"/>
          <w:color w:val="898989"/>
        </w:rPr>
        <w:t>6</w:t>
      </w:r>
    </w:p>
    <w:p>
      <w:pPr>
        <w:sectPr>
          <w:pgSz w:w="11900" w:h="16838" w:orient="portrait"/>
          <w:cols w:equalWidth="0" w:num="1">
            <w:col w:w="10820"/>
          </w:cols>
          <w:pgMar w:left="940" w:top="734" w:right="1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50"/>
          <w:szCs w:val="5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Rebound to Financial Health: 2009 vs. 2007</w:t>
      </w:r>
    </w:p>
    <w:p>
      <w:pPr>
        <w:spacing w:after="0" w:line="200" w:lineRule="exact"/>
        <w:rPr>
          <w:sz w:val="20"/>
          <w:szCs w:val="20"/>
          <w:color w:val="auto"/>
        </w:rPr>
      </w:pPr>
    </w:p>
    <w:p>
      <w:pPr>
        <w:spacing w:after="0" w:line="251" w:lineRule="exact"/>
        <w:rPr>
          <w:sz w:val="20"/>
          <w:szCs w:val="20"/>
          <w:color w:val="auto"/>
        </w:rPr>
      </w:pPr>
    </w:p>
    <w:p>
      <w:pPr>
        <w:ind w:left="440" w:hanging="430"/>
        <w:spacing w:after="0" w:line="259" w:lineRule="auto"/>
        <w:tabs>
          <w:tab w:leader="none" w:pos="440" w:val="left"/>
        </w:tabs>
        <w:numPr>
          <w:ilvl w:val="0"/>
          <w:numId w:val="6"/>
        </w:numPr>
        <w:rPr>
          <w:rFonts w:ascii="Arial" w:cs="Arial" w:eastAsia="Arial" w:hAnsi="Arial"/>
          <w:sz w:val="38"/>
          <w:szCs w:val="38"/>
          <w:color w:val="5F5F5F"/>
        </w:rPr>
      </w:pPr>
      <w:r>
        <w:rPr>
          <w:rFonts w:ascii="Arial" w:cs="Arial" w:eastAsia="Arial" w:hAnsi="Arial"/>
          <w:sz w:val="38"/>
          <w:szCs w:val="38"/>
          <w:color w:val="5F5F5F"/>
        </w:rPr>
        <w:t>Maintained operating margin after a sales decline of 15% over two years</w:t>
      </w:r>
    </w:p>
    <w:p>
      <w:pPr>
        <w:spacing w:after="0" w:line="25" w:lineRule="exact"/>
        <w:rPr>
          <w:rFonts w:ascii="Arial" w:cs="Arial" w:eastAsia="Arial" w:hAnsi="Arial"/>
          <w:sz w:val="38"/>
          <w:szCs w:val="38"/>
          <w:color w:val="5F5F5F"/>
        </w:rPr>
      </w:pPr>
    </w:p>
    <w:p>
      <w:pPr>
        <w:ind w:left="580"/>
        <w:spacing w:after="0"/>
        <w:rPr>
          <w:rFonts w:ascii="Arial" w:cs="Arial" w:eastAsia="Arial" w:hAnsi="Arial"/>
          <w:sz w:val="38"/>
          <w:szCs w:val="38"/>
          <w:color w:val="5F5F5F"/>
        </w:rPr>
      </w:pPr>
      <w:r>
        <w:rPr>
          <w:rFonts w:ascii="Arial" w:cs="Arial" w:eastAsia="Arial" w:hAnsi="Arial"/>
          <w:sz w:val="32"/>
          <w:szCs w:val="32"/>
          <w:color w:val="5F5F5F"/>
        </w:rPr>
        <w:t>– Increased gross margin 150 bps in 2009 (from 2008)</w:t>
      </w:r>
    </w:p>
    <w:p>
      <w:pPr>
        <w:spacing w:after="0" w:line="77" w:lineRule="exact"/>
        <w:rPr>
          <w:rFonts w:ascii="Arial" w:cs="Arial" w:eastAsia="Arial" w:hAnsi="Arial"/>
          <w:sz w:val="38"/>
          <w:szCs w:val="38"/>
          <w:color w:val="5F5F5F"/>
        </w:rPr>
      </w:pPr>
    </w:p>
    <w:p>
      <w:pPr>
        <w:ind w:left="580"/>
        <w:spacing w:after="0"/>
        <w:rPr>
          <w:rFonts w:ascii="Arial" w:cs="Arial" w:eastAsia="Arial" w:hAnsi="Arial"/>
          <w:sz w:val="38"/>
          <w:szCs w:val="38"/>
          <w:color w:val="5F5F5F"/>
        </w:rPr>
      </w:pPr>
      <w:r>
        <w:rPr>
          <w:rFonts w:ascii="Arial" w:cs="Arial" w:eastAsia="Arial" w:hAnsi="Arial"/>
          <w:sz w:val="32"/>
          <w:szCs w:val="32"/>
          <w:color w:val="5F5F5F"/>
        </w:rPr>
        <w:t>– Lowered the expense ratio 190 bps in 2009 (from 2008)</w:t>
      </w:r>
    </w:p>
    <w:p>
      <w:pPr>
        <w:spacing w:after="0" w:line="89" w:lineRule="exact"/>
        <w:rPr>
          <w:rFonts w:ascii="Arial" w:cs="Arial" w:eastAsia="Arial" w:hAnsi="Arial"/>
          <w:sz w:val="38"/>
          <w:szCs w:val="38"/>
          <w:color w:val="5F5F5F"/>
        </w:rPr>
      </w:pPr>
    </w:p>
    <w:p>
      <w:pPr>
        <w:ind w:left="920" w:right="1020" w:hanging="352"/>
        <w:spacing w:after="0" w:line="253" w:lineRule="auto"/>
        <w:rPr>
          <w:rFonts w:ascii="Arial" w:cs="Arial" w:eastAsia="Arial" w:hAnsi="Arial"/>
          <w:sz w:val="38"/>
          <w:szCs w:val="38"/>
          <w:color w:val="5F5F5F"/>
        </w:rPr>
      </w:pPr>
      <w:r>
        <w:rPr>
          <w:rFonts w:ascii="Arial" w:cs="Arial" w:eastAsia="Arial" w:hAnsi="Arial"/>
          <w:sz w:val="32"/>
          <w:szCs w:val="32"/>
          <w:color w:val="5F5F5F"/>
        </w:rPr>
        <w:t>– Eliminated in 2009 unproductive marketing spend and reduced marketing spend to 5% of sales</w:t>
      </w:r>
    </w:p>
    <w:p>
      <w:pPr>
        <w:spacing w:after="0" w:line="74" w:lineRule="exact"/>
        <w:rPr>
          <w:rFonts w:ascii="Arial" w:cs="Arial" w:eastAsia="Arial" w:hAnsi="Arial"/>
          <w:sz w:val="38"/>
          <w:szCs w:val="38"/>
          <w:color w:val="5F5F5F"/>
        </w:rPr>
      </w:pPr>
    </w:p>
    <w:p>
      <w:pPr>
        <w:ind w:left="440" w:hanging="430"/>
        <w:spacing w:after="0"/>
        <w:tabs>
          <w:tab w:leader="none" w:pos="440" w:val="left"/>
        </w:tabs>
        <w:numPr>
          <w:ilvl w:val="0"/>
          <w:numId w:val="6"/>
        </w:numPr>
        <w:rPr>
          <w:rFonts w:ascii="Arial" w:cs="Arial" w:eastAsia="Arial" w:hAnsi="Arial"/>
          <w:sz w:val="38"/>
          <w:szCs w:val="38"/>
          <w:color w:val="5F5F5F"/>
        </w:rPr>
      </w:pPr>
      <w:r>
        <w:rPr>
          <w:rFonts w:ascii="Arial" w:cs="Arial" w:eastAsia="Arial" w:hAnsi="Arial"/>
          <w:sz w:val="38"/>
          <w:szCs w:val="38"/>
          <w:color w:val="5F5F5F"/>
        </w:rPr>
        <w:t>Substantial financial improvements over the two years:</w:t>
      </w:r>
    </w:p>
    <w:p>
      <w:pPr>
        <w:spacing w:after="0" w:line="73" w:lineRule="exact"/>
        <w:rPr>
          <w:rFonts w:ascii="Arial" w:cs="Arial" w:eastAsia="Arial" w:hAnsi="Arial"/>
          <w:sz w:val="38"/>
          <w:szCs w:val="38"/>
          <w:color w:val="5F5F5F"/>
        </w:rPr>
      </w:pPr>
    </w:p>
    <w:p>
      <w:pPr>
        <w:ind w:left="580"/>
        <w:spacing w:after="0"/>
        <w:rPr>
          <w:rFonts w:ascii="Arial" w:cs="Arial" w:eastAsia="Arial" w:hAnsi="Arial"/>
          <w:sz w:val="38"/>
          <w:szCs w:val="38"/>
          <w:color w:val="5F5F5F"/>
        </w:rPr>
      </w:pPr>
      <w:r>
        <w:rPr>
          <w:rFonts w:ascii="Arial" w:cs="Arial" w:eastAsia="Arial" w:hAnsi="Arial"/>
          <w:sz w:val="32"/>
          <w:szCs w:val="32"/>
          <w:color w:val="5F5F5F"/>
        </w:rPr>
        <w:t>– Decreased inventory by 24%</w:t>
      </w:r>
    </w:p>
    <w:p>
      <w:pPr>
        <w:spacing w:after="0" w:line="289" w:lineRule="exact"/>
        <w:rPr>
          <w:rFonts w:ascii="Arial" w:cs="Arial" w:eastAsia="Arial" w:hAnsi="Arial"/>
          <w:sz w:val="38"/>
          <w:szCs w:val="38"/>
          <w:color w:val="5F5F5F"/>
        </w:rPr>
      </w:pPr>
    </w:p>
    <w:p>
      <w:pPr>
        <w:ind w:left="580"/>
        <w:spacing w:after="0"/>
        <w:rPr>
          <w:rFonts w:ascii="Arial" w:cs="Arial" w:eastAsia="Arial" w:hAnsi="Arial"/>
          <w:sz w:val="38"/>
          <w:szCs w:val="38"/>
          <w:color w:val="5F5F5F"/>
        </w:rPr>
      </w:pPr>
      <w:r>
        <w:rPr>
          <w:rFonts w:ascii="Arial" w:cs="Arial" w:eastAsia="Arial" w:hAnsi="Arial"/>
          <w:sz w:val="32"/>
          <w:szCs w:val="32"/>
          <w:color w:val="5F5F5F"/>
        </w:rPr>
        <w:t>– Increased free cash flow by $36 million</w:t>
      </w:r>
    </w:p>
    <w:p>
      <w:pPr>
        <w:spacing w:after="0" w:line="289" w:lineRule="exact"/>
        <w:rPr>
          <w:rFonts w:ascii="Arial" w:cs="Arial" w:eastAsia="Arial" w:hAnsi="Arial"/>
          <w:sz w:val="38"/>
          <w:szCs w:val="38"/>
          <w:color w:val="5F5F5F"/>
        </w:rPr>
      </w:pPr>
    </w:p>
    <w:p>
      <w:pPr>
        <w:ind w:left="580"/>
        <w:spacing w:after="0"/>
        <w:rPr>
          <w:rFonts w:ascii="Arial" w:cs="Arial" w:eastAsia="Arial" w:hAnsi="Arial"/>
          <w:sz w:val="38"/>
          <w:szCs w:val="38"/>
          <w:color w:val="5F5F5F"/>
        </w:rPr>
      </w:pPr>
      <w:r>
        <w:rPr>
          <w:rFonts w:ascii="Arial" w:cs="Arial" w:eastAsia="Arial" w:hAnsi="Arial"/>
          <w:sz w:val="32"/>
          <w:szCs w:val="32"/>
          <w:color w:val="5F5F5F"/>
        </w:rPr>
        <w:t>– Reduced total debt by $47 million, or 80% to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920"/>
        <w:spacing w:after="0"/>
        <w:rPr>
          <w:sz w:val="20"/>
          <w:szCs w:val="20"/>
          <w:color w:val="auto"/>
        </w:rPr>
      </w:pPr>
      <w:r>
        <w:rPr>
          <w:rFonts w:ascii="Arial" w:cs="Arial" w:eastAsia="Arial" w:hAnsi="Arial"/>
          <w:sz w:val="19"/>
          <w:szCs w:val="19"/>
          <w:color w:val="898989"/>
        </w:rPr>
        <w:t>7</w:t>
      </w:r>
    </w:p>
    <w:p>
      <w:pPr>
        <w:sectPr>
          <w:pgSz w:w="11900" w:h="16838" w:orient="portrait"/>
          <w:cols w:equalWidth="0" w:num="1">
            <w:col w:w="10740"/>
          </w:cols>
          <w:pgMar w:left="940" w:top="734" w:right="219" w:bottom="1440" w:gutter="0" w:footer="0" w:header="0"/>
        </w:sectPr>
      </w:pPr>
    </w:p>
    <w:bookmarkStart w:id="11" w:name="page12"/>
    <w:bookmarkEnd w:id="11"/>
    <w:p>
      <w:pPr>
        <w:ind w:left="3300" w:right="320" w:hanging="2651"/>
        <w:spacing w:after="0" w:line="286" w:lineRule="auto"/>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Growth of Direct to Consumer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8</w:t>
      </w:r>
    </w:p>
    <w:p>
      <w:pPr>
        <w:sectPr>
          <w:pgSz w:w="11900" w:h="16838" w:orient="portrait"/>
          <w:cols w:equalWidth="0" w:num="1">
            <w:col w:w="9520"/>
          </w:cols>
          <w:pgMar w:left="1440" w:top="672" w:right="9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364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5040" cy="536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*Average household income</w:t>
      </w:r>
    </w:p>
    <w:p>
      <w:pPr>
        <w:jc w:val="right"/>
        <w:spacing w:after="0"/>
        <w:rPr>
          <w:sz w:val="20"/>
          <w:szCs w:val="20"/>
          <w:color w:val="auto"/>
        </w:rPr>
      </w:pPr>
      <w:r>
        <w:rPr>
          <w:rFonts w:ascii="Arial" w:cs="Arial" w:eastAsia="Arial" w:hAnsi="Arial"/>
          <w:sz w:val="19"/>
          <w:szCs w:val="19"/>
          <w:color w:val="898989"/>
        </w:rPr>
        <w:t>9</w:t>
      </w:r>
    </w:p>
    <w:p>
      <w:pPr>
        <w:sectPr>
          <w:pgSz w:w="11900" w:h="16838" w:orient="portrait"/>
          <w:cols w:equalWidth="0" w:num="1">
            <w:col w:w="10780"/>
          </w:cols>
          <w:pgMar w:left="360" w:top="1440" w:right="759" w:bottom="1440" w:gutter="0" w:footer="0" w:header="0"/>
        </w:sectPr>
      </w:pPr>
    </w:p>
    <w:bookmarkStart w:id="13" w:name="page14"/>
    <w:bookmarkEnd w:id="13"/>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Today’s Casual Male</w:t>
      </w:r>
    </w:p>
    <w:p>
      <w:pPr>
        <w:spacing w:after="0" w:line="397" w:lineRule="exact"/>
        <w:rPr>
          <w:sz w:val="20"/>
          <w:szCs w:val="20"/>
          <w:color w:val="auto"/>
        </w:rPr>
      </w:pPr>
    </w:p>
    <w:p>
      <w:pPr>
        <w:ind w:left="520" w:hanging="417"/>
        <w:spacing w:after="0"/>
        <w:tabs>
          <w:tab w:leader="none" w:pos="520" w:val="left"/>
        </w:tabs>
        <w:numPr>
          <w:ilvl w:val="0"/>
          <w:numId w:val="7"/>
        </w:numPr>
        <w:rPr>
          <w:rFonts w:ascii="Arial" w:cs="Arial" w:eastAsia="Arial" w:hAnsi="Arial"/>
          <w:sz w:val="38"/>
          <w:szCs w:val="38"/>
          <w:color w:val="5F5F5F"/>
        </w:rPr>
      </w:pPr>
      <w:r>
        <w:rPr>
          <w:rFonts w:ascii="Arial" w:cs="Arial" w:eastAsia="Arial" w:hAnsi="Arial"/>
          <w:sz w:val="38"/>
          <w:szCs w:val="38"/>
          <w:color w:val="5F5F5F"/>
        </w:rPr>
        <w:t>Dominant market position in unique niche</w:t>
      </w:r>
    </w:p>
    <w:p>
      <w:pPr>
        <w:spacing w:after="0" w:line="396" w:lineRule="exact"/>
        <w:rPr>
          <w:rFonts w:ascii="Arial" w:cs="Arial" w:eastAsia="Arial" w:hAnsi="Arial"/>
          <w:sz w:val="38"/>
          <w:szCs w:val="38"/>
          <w:color w:val="5F5F5F"/>
        </w:rPr>
      </w:pPr>
    </w:p>
    <w:p>
      <w:pPr>
        <w:ind w:left="520" w:right="1420" w:hanging="417"/>
        <w:spacing w:after="0" w:line="253" w:lineRule="auto"/>
        <w:tabs>
          <w:tab w:leader="none" w:pos="520" w:val="left"/>
        </w:tabs>
        <w:numPr>
          <w:ilvl w:val="0"/>
          <w:numId w:val="7"/>
        </w:numPr>
        <w:rPr>
          <w:rFonts w:ascii="Arial" w:cs="Arial" w:eastAsia="Arial" w:hAnsi="Arial"/>
          <w:sz w:val="38"/>
          <w:szCs w:val="38"/>
          <w:color w:val="5F5F5F"/>
        </w:rPr>
      </w:pPr>
      <w:r>
        <w:rPr>
          <w:rFonts w:ascii="Arial" w:cs="Arial" w:eastAsia="Arial" w:hAnsi="Arial"/>
          <w:sz w:val="38"/>
          <w:szCs w:val="38"/>
          <w:color w:val="5F5F5F"/>
        </w:rPr>
        <w:t>Positioned across demographically diverse, loyal customer base</w:t>
      </w:r>
    </w:p>
    <w:p>
      <w:pPr>
        <w:spacing w:after="0" w:line="345" w:lineRule="exact"/>
        <w:rPr>
          <w:rFonts w:ascii="Arial" w:cs="Arial" w:eastAsia="Arial" w:hAnsi="Arial"/>
          <w:sz w:val="38"/>
          <w:szCs w:val="38"/>
          <w:color w:val="5F5F5F"/>
        </w:rPr>
      </w:pPr>
    </w:p>
    <w:p>
      <w:pPr>
        <w:ind w:left="520" w:right="1180" w:hanging="417"/>
        <w:spacing w:after="0" w:line="272" w:lineRule="auto"/>
        <w:tabs>
          <w:tab w:leader="none" w:pos="520" w:val="left"/>
        </w:tabs>
        <w:numPr>
          <w:ilvl w:val="0"/>
          <w:numId w:val="7"/>
        </w:numPr>
        <w:rPr>
          <w:rFonts w:ascii="Arial" w:cs="Arial" w:eastAsia="Arial" w:hAnsi="Arial"/>
          <w:sz w:val="37"/>
          <w:szCs w:val="37"/>
          <w:color w:val="5F5F5F"/>
        </w:rPr>
      </w:pPr>
      <w:r>
        <w:rPr>
          <w:rFonts w:ascii="Arial" w:cs="Arial" w:eastAsia="Arial" w:hAnsi="Arial"/>
          <w:sz w:val="37"/>
          <w:szCs w:val="37"/>
          <w:color w:val="5F5F5F"/>
        </w:rPr>
        <w:t>Efficient infrastructure to manage numerous sizes, multiple lifestyles and diverse customer base</w:t>
      </w:r>
    </w:p>
    <w:p>
      <w:pPr>
        <w:spacing w:after="0" w:line="314" w:lineRule="exact"/>
        <w:rPr>
          <w:rFonts w:ascii="Arial" w:cs="Arial" w:eastAsia="Arial" w:hAnsi="Arial"/>
          <w:sz w:val="37"/>
          <w:szCs w:val="37"/>
          <w:color w:val="5F5F5F"/>
        </w:rPr>
      </w:pPr>
    </w:p>
    <w:p>
      <w:pPr>
        <w:ind w:left="520" w:hanging="417"/>
        <w:spacing w:after="0"/>
        <w:tabs>
          <w:tab w:leader="none" w:pos="520" w:val="left"/>
        </w:tabs>
        <w:numPr>
          <w:ilvl w:val="0"/>
          <w:numId w:val="7"/>
        </w:numPr>
        <w:rPr>
          <w:rFonts w:ascii="Arial" w:cs="Arial" w:eastAsia="Arial" w:hAnsi="Arial"/>
          <w:sz w:val="38"/>
          <w:szCs w:val="38"/>
          <w:color w:val="5F5F5F"/>
        </w:rPr>
      </w:pPr>
      <w:r>
        <w:rPr>
          <w:rFonts w:ascii="Arial" w:cs="Arial" w:eastAsia="Arial" w:hAnsi="Arial"/>
          <w:sz w:val="38"/>
          <w:szCs w:val="38"/>
          <w:color w:val="5F5F5F"/>
        </w:rPr>
        <w:t>Strong balance sheet and cash flow</w:t>
      </w:r>
    </w:p>
    <w:p>
      <w:pPr>
        <w:spacing w:after="0" w:line="384" w:lineRule="exact"/>
        <w:rPr>
          <w:rFonts w:ascii="Arial" w:cs="Arial" w:eastAsia="Arial" w:hAnsi="Arial"/>
          <w:sz w:val="38"/>
          <w:szCs w:val="38"/>
          <w:color w:val="5F5F5F"/>
        </w:rPr>
      </w:pPr>
    </w:p>
    <w:p>
      <w:pPr>
        <w:ind w:left="520" w:right="1520" w:hanging="417"/>
        <w:spacing w:after="0" w:line="259" w:lineRule="auto"/>
        <w:tabs>
          <w:tab w:leader="none" w:pos="520" w:val="left"/>
        </w:tabs>
        <w:numPr>
          <w:ilvl w:val="0"/>
          <w:numId w:val="7"/>
        </w:numPr>
        <w:rPr>
          <w:rFonts w:ascii="Arial" w:cs="Arial" w:eastAsia="Arial" w:hAnsi="Arial"/>
          <w:sz w:val="38"/>
          <w:szCs w:val="38"/>
          <w:color w:val="5F5F5F"/>
        </w:rPr>
      </w:pPr>
      <w:r>
        <w:rPr>
          <w:rFonts w:ascii="Arial" w:cs="Arial" w:eastAsia="Arial" w:hAnsi="Arial"/>
          <w:sz w:val="38"/>
          <w:szCs w:val="38"/>
          <w:color w:val="5F5F5F"/>
        </w:rPr>
        <w:t>Opportunity to grow long-term market share and accelerate financial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10</w:t>
      </w:r>
    </w:p>
    <w:p>
      <w:pPr>
        <w:sectPr>
          <w:pgSz w:w="11900" w:h="16838" w:orient="portrait"/>
          <w:cols w:equalWidth="0" w:num="1">
            <w:col w:w="10040"/>
          </w:cols>
          <w:pgMar w:left="940" w:top="578" w:right="919" w:bottom="1440" w:gutter="0" w:footer="0" w:header="0"/>
        </w:sectPr>
      </w:pPr>
    </w:p>
    <w:bookmarkStart w:id="14" w:name="page15"/>
    <w:bookmarkEnd w:id="14"/>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Strong New Growth Opportunities</w:t>
      </w:r>
    </w:p>
    <w:p>
      <w:pPr>
        <w:spacing w:after="0" w:line="200" w:lineRule="exact"/>
        <w:rPr>
          <w:sz w:val="20"/>
          <w:szCs w:val="20"/>
          <w:color w:val="auto"/>
        </w:rPr>
      </w:pPr>
    </w:p>
    <w:p>
      <w:pPr>
        <w:spacing w:after="0" w:line="280" w:lineRule="exact"/>
        <w:rPr>
          <w:sz w:val="20"/>
          <w:szCs w:val="20"/>
          <w:color w:val="auto"/>
        </w:rPr>
      </w:pPr>
    </w:p>
    <w:p>
      <w:pPr>
        <w:ind w:left="420" w:hanging="417"/>
        <w:spacing w:after="0"/>
        <w:tabs>
          <w:tab w:leader="none" w:pos="420" w:val="left"/>
        </w:tabs>
        <w:numPr>
          <w:ilvl w:val="0"/>
          <w:numId w:val="8"/>
        </w:numPr>
        <w:rPr>
          <w:rFonts w:ascii="Arial" w:cs="Arial" w:eastAsia="Arial" w:hAnsi="Arial"/>
          <w:sz w:val="38"/>
          <w:szCs w:val="38"/>
          <w:color w:val="5F5F5F"/>
        </w:rPr>
      </w:pPr>
      <w:r>
        <w:rPr>
          <w:rFonts w:ascii="Arial" w:cs="Arial" w:eastAsia="Arial" w:hAnsi="Arial"/>
          <w:sz w:val="38"/>
          <w:szCs w:val="38"/>
          <w:color w:val="5F5F5F"/>
        </w:rPr>
        <w:t>Capture higher wallet share of existing loyal customers</w:t>
      </w:r>
    </w:p>
    <w:p>
      <w:pPr>
        <w:spacing w:after="0" w:line="85" w:lineRule="exact"/>
        <w:rPr>
          <w:rFonts w:ascii="Arial" w:cs="Arial" w:eastAsia="Arial" w:hAnsi="Arial"/>
          <w:sz w:val="38"/>
          <w:szCs w:val="38"/>
          <w:color w:val="5F5F5F"/>
        </w:rPr>
      </w:pPr>
    </w:p>
    <w:p>
      <w:pPr>
        <w:ind w:left="920" w:hanging="352"/>
        <w:spacing w:after="0" w:line="253" w:lineRule="auto"/>
        <w:rPr>
          <w:rFonts w:ascii="Arial" w:cs="Arial" w:eastAsia="Arial" w:hAnsi="Arial"/>
          <w:sz w:val="38"/>
          <w:szCs w:val="38"/>
          <w:color w:val="5F5F5F"/>
        </w:rPr>
      </w:pPr>
      <w:r>
        <w:rPr>
          <w:rFonts w:ascii="Arial" w:cs="Arial" w:eastAsia="Arial" w:hAnsi="Arial"/>
          <w:sz w:val="32"/>
          <w:szCs w:val="32"/>
          <w:color w:val="5F5F5F"/>
        </w:rPr>
        <w:t>– Currently capture around 50% of total apparel spending of average active customer</w:t>
      </w:r>
    </w:p>
    <w:p>
      <w:pPr>
        <w:spacing w:after="0" w:line="74" w:lineRule="exact"/>
        <w:rPr>
          <w:rFonts w:ascii="Arial" w:cs="Arial" w:eastAsia="Arial" w:hAnsi="Arial"/>
          <w:sz w:val="38"/>
          <w:szCs w:val="38"/>
          <w:color w:val="5F5F5F"/>
        </w:rPr>
      </w:pPr>
    </w:p>
    <w:p>
      <w:pPr>
        <w:ind w:left="420" w:hanging="417"/>
        <w:spacing w:after="0"/>
        <w:tabs>
          <w:tab w:leader="none" w:pos="420" w:val="left"/>
        </w:tabs>
        <w:numPr>
          <w:ilvl w:val="0"/>
          <w:numId w:val="8"/>
        </w:numPr>
        <w:rPr>
          <w:rFonts w:ascii="Arial" w:cs="Arial" w:eastAsia="Arial" w:hAnsi="Arial"/>
          <w:sz w:val="38"/>
          <w:szCs w:val="38"/>
          <w:color w:val="5F5F5F"/>
        </w:rPr>
      </w:pPr>
      <w:r>
        <w:rPr>
          <w:rFonts w:ascii="Arial" w:cs="Arial" w:eastAsia="Arial" w:hAnsi="Arial"/>
          <w:sz w:val="38"/>
          <w:szCs w:val="38"/>
          <w:color w:val="5F5F5F"/>
        </w:rPr>
        <w:t>Develop the 42”-46”business segment</w:t>
      </w:r>
    </w:p>
    <w:p>
      <w:pPr>
        <w:spacing w:after="0" w:line="73" w:lineRule="exact"/>
        <w:rPr>
          <w:rFonts w:ascii="Arial" w:cs="Arial" w:eastAsia="Arial" w:hAnsi="Arial"/>
          <w:sz w:val="38"/>
          <w:szCs w:val="38"/>
          <w:color w:val="5F5F5F"/>
        </w:rPr>
      </w:pPr>
    </w:p>
    <w:p>
      <w:pPr>
        <w:ind w:left="920" w:right="20" w:hanging="352"/>
        <w:spacing w:after="0" w:line="253" w:lineRule="auto"/>
        <w:rPr>
          <w:rFonts w:ascii="Arial" w:cs="Arial" w:eastAsia="Arial" w:hAnsi="Arial"/>
          <w:sz w:val="38"/>
          <w:szCs w:val="38"/>
          <w:color w:val="5F5F5F"/>
        </w:rPr>
      </w:pPr>
      <w:r>
        <w:rPr>
          <w:rFonts w:ascii="Arial" w:cs="Arial" w:eastAsia="Arial" w:hAnsi="Arial"/>
          <w:sz w:val="32"/>
          <w:szCs w:val="32"/>
          <w:color w:val="5F5F5F"/>
        </w:rPr>
        <w:t>– Accounts for 65% of the overall men’s B&amp;T market but only 20% of our business</w:t>
      </w:r>
    </w:p>
    <w:p>
      <w:pPr>
        <w:spacing w:after="0" w:line="74" w:lineRule="exact"/>
        <w:rPr>
          <w:rFonts w:ascii="Arial" w:cs="Arial" w:eastAsia="Arial" w:hAnsi="Arial"/>
          <w:sz w:val="38"/>
          <w:szCs w:val="38"/>
          <w:color w:val="5F5F5F"/>
        </w:rPr>
      </w:pPr>
    </w:p>
    <w:p>
      <w:pPr>
        <w:ind w:left="420" w:hanging="417"/>
        <w:spacing w:after="0"/>
        <w:tabs>
          <w:tab w:leader="none" w:pos="420" w:val="left"/>
        </w:tabs>
        <w:numPr>
          <w:ilvl w:val="0"/>
          <w:numId w:val="8"/>
        </w:numPr>
        <w:rPr>
          <w:rFonts w:ascii="Arial" w:cs="Arial" w:eastAsia="Arial" w:hAnsi="Arial"/>
          <w:sz w:val="38"/>
          <w:szCs w:val="38"/>
          <w:color w:val="5F5F5F"/>
        </w:rPr>
      </w:pPr>
      <w:r>
        <w:rPr>
          <w:rFonts w:ascii="Arial" w:cs="Arial" w:eastAsia="Arial" w:hAnsi="Arial"/>
          <w:sz w:val="38"/>
          <w:szCs w:val="38"/>
          <w:color w:val="5F5F5F"/>
        </w:rPr>
        <w:t>Further leverage direct to consumer business</w:t>
      </w:r>
    </w:p>
    <w:p>
      <w:pPr>
        <w:spacing w:after="0" w:line="73"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Targeting 30% of total sales from the current 20%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740"/>
        <w:spacing w:after="0"/>
        <w:rPr>
          <w:sz w:val="20"/>
          <w:szCs w:val="20"/>
          <w:color w:val="auto"/>
        </w:rPr>
      </w:pPr>
      <w:r>
        <w:rPr>
          <w:rFonts w:ascii="Arial" w:cs="Arial" w:eastAsia="Arial" w:hAnsi="Arial"/>
          <w:sz w:val="19"/>
          <w:szCs w:val="19"/>
          <w:color w:val="898989"/>
        </w:rPr>
        <w:t>11</w:t>
      </w:r>
    </w:p>
    <w:p>
      <w:pPr>
        <w:sectPr>
          <w:pgSz w:w="11900" w:h="16838" w:orient="portrait"/>
          <w:cols w:equalWidth="0" w:num="1">
            <w:col w:w="10280"/>
          </w:cols>
          <w:pgMar w:left="1040" w:top="590" w:right="579" w:bottom="1440" w:gutter="0" w:footer="0" w:header="0"/>
        </w:sectPr>
      </w:pPr>
    </w:p>
    <w:bookmarkStart w:id="15" w:name="page16"/>
    <w:bookmarkEnd w:id="15"/>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Hybrid Stores Test</w:t>
      </w:r>
    </w:p>
    <w:p>
      <w:pPr>
        <w:spacing w:after="0" w:line="303" w:lineRule="exact"/>
        <w:rPr>
          <w:sz w:val="20"/>
          <w:szCs w:val="20"/>
          <w:color w:val="auto"/>
        </w:rPr>
      </w:pPr>
    </w:p>
    <w:p>
      <w:pPr>
        <w:ind w:right="140"/>
        <w:spacing w:after="0" w:line="265" w:lineRule="auto"/>
        <w:rPr>
          <w:sz w:val="20"/>
          <w:szCs w:val="20"/>
          <w:color w:val="auto"/>
        </w:rPr>
      </w:pPr>
      <w:r>
        <w:rPr>
          <w:rFonts w:ascii="Arial" w:cs="Arial" w:eastAsia="Arial" w:hAnsi="Arial"/>
          <w:sz w:val="38"/>
          <w:szCs w:val="38"/>
          <w:b w:val="1"/>
          <w:bCs w:val="1"/>
          <w:color w:val="5F5F5F"/>
        </w:rPr>
        <w:t>Goal:</w:t>
      </w:r>
      <w:r>
        <w:rPr>
          <w:rFonts w:ascii="Arial" w:cs="Arial" w:eastAsia="Arial" w:hAnsi="Arial"/>
          <w:sz w:val="38"/>
          <w:szCs w:val="38"/>
          <w:color w:val="5F5F5F"/>
        </w:rPr>
        <w:t>Broaden the target market and improve store-level</w:t>
      </w:r>
      <w:r>
        <w:rPr>
          <w:rFonts w:ascii="Arial" w:cs="Arial" w:eastAsia="Arial" w:hAnsi="Arial"/>
          <w:sz w:val="38"/>
          <w:szCs w:val="38"/>
          <w:b w:val="1"/>
          <w:bCs w:val="1"/>
          <w:color w:val="5F5F5F"/>
        </w:rPr>
        <w:t xml:space="preserve"> </w:t>
      </w:r>
      <w:r>
        <w:rPr>
          <w:rFonts w:ascii="Arial" w:cs="Arial" w:eastAsia="Arial" w:hAnsi="Arial"/>
          <w:sz w:val="38"/>
          <w:szCs w:val="38"/>
          <w:color w:val="5F5F5F"/>
        </w:rPr>
        <w:t>profitability by combining Casual Male and Rochester stores in five markets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8"/>
          <w:szCs w:val="38"/>
          <w:b w:val="1"/>
          <w:bCs w:val="1"/>
          <w:color w:val="5F5F5F"/>
        </w:rPr>
        <w:t>Results:</w:t>
      </w:r>
    </w:p>
    <w:p>
      <w:pPr>
        <w:spacing w:after="0" w:line="163" w:lineRule="exact"/>
        <w:rPr>
          <w:sz w:val="20"/>
          <w:szCs w:val="20"/>
          <w:color w:val="auto"/>
        </w:rPr>
      </w:pPr>
    </w:p>
    <w:p>
      <w:pPr>
        <w:ind w:right="2660"/>
        <w:spacing w:after="0" w:line="458" w:lineRule="auto"/>
        <w:rPr>
          <w:sz w:val="20"/>
          <w:szCs w:val="20"/>
          <w:color w:val="auto"/>
        </w:rPr>
      </w:pPr>
      <w:r>
        <w:rPr>
          <w:rFonts w:ascii="Arial" w:cs="Arial" w:eastAsia="Arial" w:hAnsi="Arial"/>
          <w:sz w:val="37"/>
          <w:szCs w:val="37"/>
          <w:color w:val="5F5F5F"/>
        </w:rPr>
        <w:t>•Maintained high customer retention •Created attractive cross-selling environment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32"/>
          <w:szCs w:val="32"/>
          <w:color w:val="5F5F5F"/>
        </w:rPr>
        <w:t>– 50% increase from average CMXL store ticket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8"/>
          <w:szCs w:val="38"/>
          <w:color w:val="5F5F5F"/>
        </w:rPr>
        <w:t>•Dramatic turnaround in cash flow</w:t>
      </w:r>
    </w:p>
    <w:p>
      <w:pPr>
        <w:spacing w:after="0" w:line="367" w:lineRule="exact"/>
        <w:rPr>
          <w:sz w:val="20"/>
          <w:szCs w:val="20"/>
          <w:color w:val="auto"/>
        </w:rPr>
      </w:pPr>
    </w:p>
    <w:p>
      <w:pPr>
        <w:ind w:left="560"/>
        <w:spacing w:after="0"/>
        <w:rPr>
          <w:sz w:val="20"/>
          <w:szCs w:val="20"/>
          <w:color w:val="auto"/>
        </w:rPr>
      </w:pPr>
      <w:r>
        <w:rPr>
          <w:rFonts w:ascii="Arial" w:cs="Arial" w:eastAsia="Arial" w:hAnsi="Arial"/>
          <w:sz w:val="32"/>
          <w:szCs w:val="32"/>
          <w:color w:val="5F5F5F"/>
        </w:rPr>
        <w:t>– From breakeven in the converted stores to 16%</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12</w:t>
      </w:r>
    </w:p>
    <w:p>
      <w:pPr>
        <w:sectPr>
          <w:pgSz w:w="11900" w:h="16838" w:orient="portrait"/>
          <w:cols w:equalWidth="0" w:num="1">
            <w:col w:w="10120"/>
          </w:cols>
          <w:pgMar w:left="860" w:top="625" w:right="919" w:bottom="1440" w:gutter="0" w:footer="0" w:header="0"/>
        </w:sectPr>
      </w:pPr>
    </w:p>
    <w:bookmarkStart w:id="16" w:name="page17"/>
    <w:bookmarkEnd w:id="16"/>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Destination XL™(DXL™) Stores</w:t>
      </w:r>
    </w:p>
    <w:p>
      <w:pPr>
        <w:spacing w:after="0" w:line="397" w:lineRule="exact"/>
        <w:rPr>
          <w:sz w:val="20"/>
          <w:szCs w:val="20"/>
          <w:color w:val="auto"/>
        </w:rPr>
      </w:pPr>
    </w:p>
    <w:p>
      <w:pPr>
        <w:ind w:left="420" w:right="180" w:hanging="418"/>
        <w:spacing w:after="0" w:line="259" w:lineRule="auto"/>
        <w:tabs>
          <w:tab w:leader="none" w:pos="420" w:val="left"/>
        </w:tabs>
        <w:numPr>
          <w:ilvl w:val="0"/>
          <w:numId w:val="9"/>
        </w:numPr>
        <w:rPr>
          <w:rFonts w:ascii="Arial" w:cs="Arial" w:eastAsia="Arial" w:hAnsi="Arial"/>
          <w:sz w:val="38"/>
          <w:szCs w:val="38"/>
          <w:color w:val="5F5F5F"/>
        </w:rPr>
      </w:pPr>
      <w:r>
        <w:rPr>
          <w:rFonts w:ascii="Arial" w:cs="Arial" w:eastAsia="Arial" w:hAnsi="Arial"/>
          <w:sz w:val="38"/>
          <w:szCs w:val="38"/>
          <w:color w:val="5F5F5F"/>
        </w:rPr>
        <w:t>Combination of Casual Male XL, Rochester Clothing, B&amp;T Factory Direct and Shoes XL</w:t>
      </w:r>
    </w:p>
    <w:p>
      <w:pPr>
        <w:spacing w:after="0" w:line="241" w:lineRule="exact"/>
        <w:rPr>
          <w:rFonts w:ascii="Arial" w:cs="Arial" w:eastAsia="Arial" w:hAnsi="Arial"/>
          <w:sz w:val="38"/>
          <w:szCs w:val="38"/>
          <w:color w:val="5F5F5F"/>
        </w:rPr>
      </w:pPr>
    </w:p>
    <w:p>
      <w:pPr>
        <w:ind w:left="420" w:hanging="418"/>
        <w:spacing w:after="0"/>
        <w:tabs>
          <w:tab w:leader="none" w:pos="420" w:val="left"/>
        </w:tabs>
        <w:numPr>
          <w:ilvl w:val="0"/>
          <w:numId w:val="9"/>
        </w:numPr>
        <w:rPr>
          <w:rFonts w:ascii="Arial" w:cs="Arial" w:eastAsia="Arial" w:hAnsi="Arial"/>
          <w:sz w:val="38"/>
          <w:szCs w:val="38"/>
          <w:color w:val="5F5F5F"/>
        </w:rPr>
      </w:pPr>
      <w:r>
        <w:rPr>
          <w:rFonts w:ascii="Arial" w:cs="Arial" w:eastAsia="Arial" w:hAnsi="Arial"/>
          <w:sz w:val="38"/>
          <w:szCs w:val="38"/>
          <w:color w:val="5F5F5F"/>
        </w:rPr>
        <w:t>Average size 10,000-12,000 square feet</w:t>
      </w:r>
    </w:p>
    <w:p>
      <w:pPr>
        <w:spacing w:after="0" w:line="290" w:lineRule="exact"/>
        <w:rPr>
          <w:rFonts w:ascii="Arial" w:cs="Arial" w:eastAsia="Arial" w:hAnsi="Arial"/>
          <w:sz w:val="38"/>
          <w:szCs w:val="38"/>
          <w:color w:val="5F5F5F"/>
        </w:rPr>
      </w:pPr>
    </w:p>
    <w:p>
      <w:pPr>
        <w:ind w:left="420" w:hanging="418"/>
        <w:spacing w:after="0"/>
        <w:tabs>
          <w:tab w:leader="none" w:pos="420" w:val="left"/>
        </w:tabs>
        <w:numPr>
          <w:ilvl w:val="0"/>
          <w:numId w:val="9"/>
        </w:numPr>
        <w:rPr>
          <w:rFonts w:ascii="Arial" w:cs="Arial" w:eastAsia="Arial" w:hAnsi="Arial"/>
          <w:sz w:val="38"/>
          <w:szCs w:val="38"/>
          <w:color w:val="5F5F5F"/>
        </w:rPr>
      </w:pPr>
      <w:r>
        <w:rPr>
          <w:rFonts w:ascii="Arial" w:cs="Arial" w:eastAsia="Arial" w:hAnsi="Arial"/>
          <w:sz w:val="38"/>
          <w:szCs w:val="38"/>
          <w:color w:val="5F5F5F"/>
        </w:rPr>
        <w:t>Concept appeals to a larger base of customers</w:t>
      </w:r>
    </w:p>
    <w:p>
      <w:pPr>
        <w:spacing w:after="0" w:line="302" w:lineRule="exact"/>
        <w:rPr>
          <w:rFonts w:ascii="Arial" w:cs="Arial" w:eastAsia="Arial" w:hAnsi="Arial"/>
          <w:sz w:val="38"/>
          <w:szCs w:val="38"/>
          <w:color w:val="5F5F5F"/>
        </w:rPr>
      </w:pPr>
    </w:p>
    <w:p>
      <w:pPr>
        <w:ind w:left="420" w:hanging="418"/>
        <w:spacing w:after="0"/>
        <w:tabs>
          <w:tab w:leader="none" w:pos="420" w:val="left"/>
        </w:tabs>
        <w:numPr>
          <w:ilvl w:val="0"/>
          <w:numId w:val="9"/>
        </w:numPr>
        <w:rPr>
          <w:rFonts w:ascii="Arial" w:cs="Arial" w:eastAsia="Arial" w:hAnsi="Arial"/>
          <w:sz w:val="38"/>
          <w:szCs w:val="38"/>
          <w:color w:val="5F5F5F"/>
        </w:rPr>
      </w:pPr>
      <w:r>
        <w:rPr>
          <w:rFonts w:ascii="Arial" w:cs="Arial" w:eastAsia="Arial" w:hAnsi="Arial"/>
          <w:sz w:val="38"/>
          <w:szCs w:val="38"/>
          <w:color w:val="5F5F5F"/>
        </w:rPr>
        <w:t>Offers extensive selection of products in one location</w:t>
      </w:r>
    </w:p>
    <w:p>
      <w:pPr>
        <w:spacing w:after="0" w:line="73"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Good, better, best assortment</w:t>
      </w:r>
    </w:p>
    <w:p>
      <w:pPr>
        <w:spacing w:after="0" w:line="77"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2,000 styles compared to 600 for an average Casual Male store</w:t>
      </w:r>
    </w:p>
    <w:p>
      <w:pPr>
        <w:spacing w:after="0" w:line="89"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Twice the number of brands</w:t>
      </w:r>
    </w:p>
    <w:p>
      <w:pPr>
        <w:spacing w:after="0" w:line="294" w:lineRule="exact"/>
        <w:rPr>
          <w:rFonts w:ascii="Arial" w:cs="Arial" w:eastAsia="Arial" w:hAnsi="Arial"/>
          <w:sz w:val="38"/>
          <w:szCs w:val="38"/>
          <w:color w:val="5F5F5F"/>
        </w:rPr>
      </w:pPr>
    </w:p>
    <w:p>
      <w:pPr>
        <w:ind w:left="420" w:hanging="418"/>
        <w:spacing w:after="0"/>
        <w:tabs>
          <w:tab w:leader="none" w:pos="420" w:val="left"/>
        </w:tabs>
        <w:numPr>
          <w:ilvl w:val="0"/>
          <w:numId w:val="9"/>
        </w:numPr>
        <w:rPr>
          <w:rFonts w:ascii="Arial" w:cs="Arial" w:eastAsia="Arial" w:hAnsi="Arial"/>
          <w:sz w:val="38"/>
          <w:szCs w:val="38"/>
          <w:color w:val="5F5F5F"/>
        </w:rPr>
      </w:pPr>
      <w:r>
        <w:rPr>
          <w:rFonts w:ascii="Arial" w:cs="Arial" w:eastAsia="Arial" w:hAnsi="Arial"/>
          <w:sz w:val="38"/>
          <w:szCs w:val="38"/>
          <w:color w:val="5F5F5F"/>
        </w:rPr>
        <w:t>Strong survey and focus groups scores</w:t>
      </w:r>
    </w:p>
    <w:p>
      <w:pPr>
        <w:spacing w:after="0" w:line="73"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Requesting bigger store, aisles and dressing rooms</w:t>
      </w:r>
    </w:p>
    <w:p>
      <w:pPr>
        <w:spacing w:after="0" w:line="89"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In store tailor</w:t>
      </w:r>
    </w:p>
    <w:p>
      <w:pPr>
        <w:spacing w:after="0" w:line="77"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Willing to drive 1 hour</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13</w:t>
      </w:r>
    </w:p>
    <w:p>
      <w:pPr>
        <w:sectPr>
          <w:pgSz w:w="11900" w:h="16838" w:orient="portrait"/>
          <w:cols w:equalWidth="0" w:num="1">
            <w:col w:w="10220"/>
          </w:cols>
          <w:pgMar w:left="760" w:top="578" w:right="919" w:bottom="1440" w:gutter="0" w:footer="0" w:header="0"/>
        </w:sectPr>
      </w:pPr>
    </w:p>
    <w:bookmarkStart w:id="17" w:name="page18"/>
    <w:bookmarkEnd w:id="17"/>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DXL Storefront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14</w:t>
      </w:r>
    </w:p>
    <w:p>
      <w:pPr>
        <w:sectPr>
          <w:pgSz w:w="11900" w:h="16838" w:orient="portrait"/>
          <w:cols w:equalWidth="0" w:num="1">
            <w:col w:w="10220"/>
          </w:cols>
          <w:pgMar w:left="760" w:top="625" w:right="919" w:bottom="1440" w:gutter="0" w:footer="0" w:header="0"/>
        </w:sectPr>
      </w:pPr>
    </w:p>
    <w:bookmarkStart w:id="18" w:name="page19"/>
    <w:bookmarkEnd w:id="18"/>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DXL Layout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15</w:t>
      </w:r>
    </w:p>
    <w:p>
      <w:pPr>
        <w:sectPr>
          <w:pgSz w:w="11900" w:h="16838" w:orient="portrait"/>
          <w:cols w:equalWidth="0" w:num="1">
            <w:col w:w="10120"/>
          </w:cols>
          <w:pgMar w:left="860" w:top="566" w:right="919" w:bottom="1440" w:gutter="0" w:footer="0" w:header="0"/>
        </w:sectPr>
      </w:pPr>
    </w:p>
    <w:bookmarkStart w:id="19" w:name="page20"/>
    <w:bookmarkEnd w:id="19"/>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Compelling DXL Returns</w:t>
      </w:r>
    </w:p>
    <w:p>
      <w:pPr>
        <w:spacing w:after="0" w:line="351" w:lineRule="exact"/>
        <w:rPr>
          <w:sz w:val="20"/>
          <w:szCs w:val="20"/>
          <w:color w:val="auto"/>
        </w:rPr>
      </w:pPr>
    </w:p>
    <w:p>
      <w:pPr>
        <w:ind w:left="520" w:hanging="430"/>
        <w:spacing w:after="0"/>
        <w:tabs>
          <w:tab w:leader="none" w:pos="520" w:val="left"/>
        </w:tabs>
        <w:numPr>
          <w:ilvl w:val="0"/>
          <w:numId w:val="10"/>
        </w:numPr>
        <w:rPr>
          <w:rFonts w:ascii="Arial" w:cs="Arial" w:eastAsia="Arial" w:hAnsi="Arial"/>
          <w:sz w:val="38"/>
          <w:szCs w:val="38"/>
          <w:color w:val="5F5F5F"/>
        </w:rPr>
      </w:pPr>
      <w:r>
        <w:rPr>
          <w:rFonts w:ascii="Arial" w:cs="Arial" w:eastAsia="Arial" w:hAnsi="Arial"/>
          <w:sz w:val="38"/>
          <w:szCs w:val="38"/>
          <w:color w:val="5F5F5F"/>
        </w:rPr>
        <w:t>Expect greater store productivity and profitability</w:t>
      </w:r>
    </w:p>
    <w:p>
      <w:pPr>
        <w:spacing w:after="0" w:line="85" w:lineRule="exact"/>
        <w:rPr>
          <w:rFonts w:ascii="Arial" w:cs="Arial" w:eastAsia="Arial" w:hAnsi="Arial"/>
          <w:sz w:val="38"/>
          <w:szCs w:val="38"/>
          <w:color w:val="5F5F5F"/>
        </w:rPr>
      </w:pPr>
    </w:p>
    <w:p>
      <w:pPr>
        <w:ind w:left="660"/>
        <w:spacing w:after="0"/>
        <w:rPr>
          <w:rFonts w:ascii="Arial" w:cs="Arial" w:eastAsia="Arial" w:hAnsi="Arial"/>
          <w:sz w:val="38"/>
          <w:szCs w:val="38"/>
          <w:color w:val="5F5F5F"/>
        </w:rPr>
      </w:pPr>
      <w:r>
        <w:rPr>
          <w:rFonts w:ascii="Arial" w:cs="Arial" w:eastAsia="Arial" w:hAnsi="Arial"/>
          <w:sz w:val="32"/>
          <w:szCs w:val="32"/>
          <w:color w:val="5F5F5F"/>
        </w:rPr>
        <w:t>– Capture greater percentage of customer’s clothing budget</w:t>
      </w:r>
    </w:p>
    <w:p>
      <w:pPr>
        <w:spacing w:after="0" w:line="77" w:lineRule="exact"/>
        <w:rPr>
          <w:rFonts w:ascii="Arial" w:cs="Arial" w:eastAsia="Arial" w:hAnsi="Arial"/>
          <w:sz w:val="38"/>
          <w:szCs w:val="38"/>
          <w:color w:val="5F5F5F"/>
        </w:rPr>
      </w:pPr>
    </w:p>
    <w:p>
      <w:pPr>
        <w:ind w:left="1000" w:right="340" w:hanging="352"/>
        <w:spacing w:after="0" w:line="253" w:lineRule="auto"/>
        <w:rPr>
          <w:rFonts w:ascii="Arial" w:cs="Arial" w:eastAsia="Arial" w:hAnsi="Arial"/>
          <w:sz w:val="38"/>
          <w:szCs w:val="38"/>
          <w:color w:val="5F5F5F"/>
        </w:rPr>
      </w:pPr>
      <w:r>
        <w:rPr>
          <w:rFonts w:ascii="Arial" w:cs="Arial" w:eastAsia="Arial" w:hAnsi="Arial"/>
          <w:sz w:val="32"/>
          <w:szCs w:val="32"/>
          <w:color w:val="5F5F5F"/>
        </w:rPr>
        <w:t>– Better leveraging of expensesoccupancy,-- labor productivity and local/district management</w:t>
      </w:r>
    </w:p>
    <w:p>
      <w:pPr>
        <w:spacing w:after="0" w:line="262" w:lineRule="exact"/>
        <w:rPr>
          <w:rFonts w:ascii="Arial" w:cs="Arial" w:eastAsia="Arial" w:hAnsi="Arial"/>
          <w:sz w:val="38"/>
          <w:szCs w:val="38"/>
          <w:color w:val="5F5F5F"/>
        </w:rPr>
      </w:pPr>
    </w:p>
    <w:p>
      <w:pPr>
        <w:ind w:left="520" w:right="460" w:hanging="430"/>
        <w:spacing w:after="0" w:line="259" w:lineRule="auto"/>
        <w:tabs>
          <w:tab w:leader="none" w:pos="520" w:val="left"/>
        </w:tabs>
        <w:numPr>
          <w:ilvl w:val="0"/>
          <w:numId w:val="10"/>
        </w:numPr>
        <w:rPr>
          <w:rFonts w:ascii="Arial" w:cs="Arial" w:eastAsia="Arial" w:hAnsi="Arial"/>
          <w:sz w:val="38"/>
          <w:szCs w:val="38"/>
          <w:color w:val="5F5F5F"/>
        </w:rPr>
      </w:pPr>
      <w:r>
        <w:rPr>
          <w:rFonts w:ascii="Arial" w:cs="Arial" w:eastAsia="Arial" w:hAnsi="Arial"/>
          <w:sz w:val="38"/>
          <w:szCs w:val="38"/>
          <w:color w:val="5F5F5F"/>
        </w:rPr>
        <w:t>Projecting higher 4-wall profits than combined profits of individual stores</w:t>
      </w:r>
    </w:p>
    <w:p>
      <w:pPr>
        <w:spacing w:after="0" w:line="25" w:lineRule="exact"/>
        <w:rPr>
          <w:rFonts w:ascii="Arial" w:cs="Arial" w:eastAsia="Arial" w:hAnsi="Arial"/>
          <w:sz w:val="38"/>
          <w:szCs w:val="38"/>
          <w:color w:val="5F5F5F"/>
        </w:rPr>
      </w:pPr>
    </w:p>
    <w:p>
      <w:pPr>
        <w:ind w:left="660"/>
        <w:spacing w:after="0"/>
        <w:rPr>
          <w:rFonts w:ascii="Arial" w:cs="Arial" w:eastAsia="Arial" w:hAnsi="Arial"/>
          <w:sz w:val="38"/>
          <w:szCs w:val="38"/>
          <w:color w:val="5F5F5F"/>
        </w:rPr>
      </w:pPr>
      <w:r>
        <w:rPr>
          <w:rFonts w:ascii="Arial" w:cs="Arial" w:eastAsia="Arial" w:hAnsi="Arial"/>
          <w:sz w:val="32"/>
          <w:szCs w:val="32"/>
          <w:color w:val="5F5F5F"/>
        </w:rPr>
        <w:t>– Targeting between 30%-35% store operating margin</w:t>
      </w:r>
    </w:p>
    <w:p>
      <w:pPr>
        <w:spacing w:after="0" w:line="294" w:lineRule="exact"/>
        <w:rPr>
          <w:rFonts w:ascii="Arial" w:cs="Arial" w:eastAsia="Arial" w:hAnsi="Arial"/>
          <w:sz w:val="38"/>
          <w:szCs w:val="38"/>
          <w:color w:val="5F5F5F"/>
        </w:rPr>
      </w:pPr>
    </w:p>
    <w:p>
      <w:pPr>
        <w:ind w:left="520" w:hanging="430"/>
        <w:spacing w:after="0"/>
        <w:tabs>
          <w:tab w:leader="none" w:pos="520" w:val="left"/>
        </w:tabs>
        <w:numPr>
          <w:ilvl w:val="0"/>
          <w:numId w:val="10"/>
        </w:numPr>
        <w:rPr>
          <w:rFonts w:ascii="Arial" w:cs="Arial" w:eastAsia="Arial" w:hAnsi="Arial"/>
          <w:sz w:val="38"/>
          <w:szCs w:val="38"/>
          <w:color w:val="5F5F5F"/>
        </w:rPr>
      </w:pPr>
      <w:r>
        <w:rPr>
          <w:rFonts w:ascii="Arial" w:cs="Arial" w:eastAsia="Arial" w:hAnsi="Arial"/>
          <w:sz w:val="38"/>
          <w:szCs w:val="38"/>
          <w:color w:val="5F5F5F"/>
        </w:rPr>
        <w:t>Potential to capture additional market share</w:t>
      </w:r>
    </w:p>
    <w:p>
      <w:pPr>
        <w:spacing w:after="0" w:line="85" w:lineRule="exact"/>
        <w:rPr>
          <w:rFonts w:ascii="Arial" w:cs="Arial" w:eastAsia="Arial" w:hAnsi="Arial"/>
          <w:sz w:val="38"/>
          <w:szCs w:val="38"/>
          <w:color w:val="5F5F5F"/>
        </w:rPr>
      </w:pPr>
    </w:p>
    <w:p>
      <w:pPr>
        <w:ind w:left="660"/>
        <w:spacing w:after="0"/>
        <w:rPr>
          <w:rFonts w:ascii="Arial" w:cs="Arial" w:eastAsia="Arial" w:hAnsi="Arial"/>
          <w:sz w:val="38"/>
          <w:szCs w:val="38"/>
          <w:color w:val="5F5F5F"/>
        </w:rPr>
      </w:pPr>
      <w:r>
        <w:rPr>
          <w:rFonts w:ascii="Arial" w:cs="Arial" w:eastAsia="Arial" w:hAnsi="Arial"/>
          <w:sz w:val="32"/>
          <w:szCs w:val="32"/>
          <w:color w:val="5F5F5F"/>
        </w:rPr>
        <w:t>– Attract new customers (42”-46”waist)</w:t>
      </w:r>
    </w:p>
    <w:p>
      <w:pPr>
        <w:spacing w:after="0" w:line="77" w:lineRule="exact"/>
        <w:rPr>
          <w:rFonts w:ascii="Arial" w:cs="Arial" w:eastAsia="Arial" w:hAnsi="Arial"/>
          <w:sz w:val="38"/>
          <w:szCs w:val="38"/>
          <w:color w:val="5F5F5F"/>
        </w:rPr>
      </w:pPr>
    </w:p>
    <w:p>
      <w:pPr>
        <w:ind w:left="1000" w:right="760" w:hanging="352"/>
        <w:spacing w:after="0" w:line="253" w:lineRule="auto"/>
        <w:rPr>
          <w:rFonts w:ascii="Arial" w:cs="Arial" w:eastAsia="Arial" w:hAnsi="Arial"/>
          <w:sz w:val="38"/>
          <w:szCs w:val="38"/>
          <w:color w:val="5F5F5F"/>
        </w:rPr>
      </w:pPr>
      <w:r>
        <w:rPr>
          <w:rFonts w:ascii="Arial" w:cs="Arial" w:eastAsia="Arial" w:hAnsi="Arial"/>
          <w:sz w:val="32"/>
          <w:szCs w:val="32"/>
          <w:color w:val="5F5F5F"/>
        </w:rPr>
        <w:t>– Better cross-selling environment to capture greater share of apparel wallet from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16</w:t>
      </w:r>
    </w:p>
    <w:p>
      <w:pPr>
        <w:sectPr>
          <w:pgSz w:w="11900" w:h="16838" w:orient="portrait"/>
          <w:cols w:equalWidth="0" w:num="1">
            <w:col w:w="10120"/>
          </w:cols>
          <w:pgMar w:left="860" w:top="531" w:right="919" w:bottom="1440" w:gutter="0" w:footer="0" w:header="0"/>
        </w:sectPr>
      </w:pPr>
    </w:p>
    <w:bookmarkStart w:id="20" w:name="page21"/>
    <w:bookmarkEnd w:id="20"/>
    <w:p>
      <w:pPr>
        <w:ind w:left="4"/>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DXL Impact</w:t>
      </w:r>
    </w:p>
    <w:p>
      <w:pPr>
        <w:spacing w:after="0" w:line="351"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38"/>
          <w:szCs w:val="38"/>
          <w:color w:val="5F5F5F"/>
        </w:rPr>
      </w:pPr>
      <w:r>
        <w:rPr>
          <w:rFonts w:ascii="Arial" w:cs="Arial" w:eastAsia="Arial" w:hAnsi="Arial"/>
          <w:sz w:val="38"/>
          <w:szCs w:val="38"/>
          <w:color w:val="5F5F5F"/>
        </w:rPr>
        <w:t>Consolidate metropolitan locations</w:t>
      </w:r>
    </w:p>
    <w:p>
      <w:pPr>
        <w:spacing w:after="0" w:line="302" w:lineRule="exact"/>
        <w:rPr>
          <w:rFonts w:ascii="Arial" w:cs="Arial" w:eastAsia="Arial" w:hAnsi="Arial"/>
          <w:sz w:val="38"/>
          <w:szCs w:val="38"/>
          <w:color w:val="5F5F5F"/>
        </w:rPr>
      </w:pPr>
    </w:p>
    <w:p>
      <w:pPr>
        <w:ind w:left="424" w:right="960" w:hanging="424"/>
        <w:spacing w:after="0" w:line="253" w:lineRule="auto"/>
        <w:tabs>
          <w:tab w:leader="none" w:pos="424" w:val="left"/>
        </w:tabs>
        <w:numPr>
          <w:ilvl w:val="0"/>
          <w:numId w:val="11"/>
        </w:numPr>
        <w:rPr>
          <w:rFonts w:ascii="Arial" w:cs="Arial" w:eastAsia="Arial" w:hAnsi="Arial"/>
          <w:sz w:val="38"/>
          <w:szCs w:val="38"/>
          <w:color w:val="5F5F5F"/>
        </w:rPr>
      </w:pPr>
      <w:r>
        <w:rPr>
          <w:rFonts w:ascii="Arial" w:cs="Arial" w:eastAsia="Arial" w:hAnsi="Arial"/>
          <w:sz w:val="38"/>
          <w:szCs w:val="38"/>
          <w:color w:val="5F5F5F"/>
        </w:rPr>
        <w:t>Total merchandise assortment/brands increase while total inventory across market decreases</w:t>
      </w:r>
    </w:p>
    <w:p>
      <w:pPr>
        <w:spacing w:after="0" w:line="246" w:lineRule="exact"/>
        <w:rPr>
          <w:rFonts w:ascii="Arial" w:cs="Arial" w:eastAsia="Arial" w:hAnsi="Arial"/>
          <w:sz w:val="38"/>
          <w:szCs w:val="38"/>
          <w:color w:val="5F5F5F"/>
        </w:rPr>
      </w:pPr>
    </w:p>
    <w:p>
      <w:pPr>
        <w:ind w:left="924" w:right="1520" w:hanging="352"/>
        <w:spacing w:after="0" w:line="253" w:lineRule="auto"/>
        <w:rPr>
          <w:rFonts w:ascii="Arial" w:cs="Arial" w:eastAsia="Arial" w:hAnsi="Arial"/>
          <w:sz w:val="38"/>
          <w:szCs w:val="38"/>
          <w:color w:val="5F5F5F"/>
        </w:rPr>
      </w:pPr>
      <w:r>
        <w:rPr>
          <w:rFonts w:ascii="Arial" w:cs="Arial" w:eastAsia="Arial" w:hAnsi="Arial"/>
          <w:sz w:val="32"/>
          <w:szCs w:val="32"/>
          <w:color w:val="5F5F5F"/>
        </w:rPr>
        <w:t>– DXL to carry up to 2,000 styles compared to 600 for an average CMXL</w:t>
      </w:r>
    </w:p>
    <w:p>
      <w:pPr>
        <w:spacing w:after="0" w:line="262" w:lineRule="exact"/>
        <w:rPr>
          <w:rFonts w:ascii="Arial" w:cs="Arial" w:eastAsia="Arial" w:hAnsi="Arial"/>
          <w:sz w:val="38"/>
          <w:szCs w:val="38"/>
          <w:color w:val="5F5F5F"/>
        </w:rPr>
      </w:pPr>
    </w:p>
    <w:p>
      <w:pPr>
        <w:ind w:left="424" w:hanging="424"/>
        <w:spacing w:after="0"/>
        <w:tabs>
          <w:tab w:leader="none" w:pos="424" w:val="left"/>
        </w:tabs>
        <w:numPr>
          <w:ilvl w:val="0"/>
          <w:numId w:val="11"/>
        </w:numPr>
        <w:rPr>
          <w:rFonts w:ascii="Arial" w:cs="Arial" w:eastAsia="Arial" w:hAnsi="Arial"/>
          <w:sz w:val="38"/>
          <w:szCs w:val="38"/>
          <w:color w:val="5F5F5F"/>
        </w:rPr>
      </w:pPr>
      <w:r>
        <w:rPr>
          <w:rFonts w:ascii="Arial" w:cs="Arial" w:eastAsia="Arial" w:hAnsi="Arial"/>
          <w:sz w:val="38"/>
          <w:szCs w:val="38"/>
          <w:color w:val="5F5F5F"/>
        </w:rPr>
        <w:t>Neutral to square footage and inventory</w:t>
      </w:r>
    </w:p>
    <w:p>
      <w:pPr>
        <w:spacing w:after="0" w:line="302" w:lineRule="exact"/>
        <w:rPr>
          <w:rFonts w:ascii="Arial" w:cs="Arial" w:eastAsia="Arial" w:hAnsi="Arial"/>
          <w:sz w:val="38"/>
          <w:szCs w:val="38"/>
          <w:color w:val="5F5F5F"/>
        </w:rPr>
      </w:pPr>
    </w:p>
    <w:p>
      <w:pPr>
        <w:ind w:left="424" w:hanging="424"/>
        <w:spacing w:after="0"/>
        <w:tabs>
          <w:tab w:leader="none" w:pos="424" w:val="left"/>
        </w:tabs>
        <w:numPr>
          <w:ilvl w:val="0"/>
          <w:numId w:val="11"/>
        </w:numPr>
        <w:rPr>
          <w:rFonts w:ascii="Arial" w:cs="Arial" w:eastAsia="Arial" w:hAnsi="Arial"/>
          <w:sz w:val="38"/>
          <w:szCs w:val="38"/>
          <w:color w:val="5F5F5F"/>
        </w:rPr>
      </w:pPr>
      <w:r>
        <w:rPr>
          <w:rFonts w:ascii="Arial" w:cs="Arial" w:eastAsia="Arial" w:hAnsi="Arial"/>
          <w:sz w:val="38"/>
          <w:szCs w:val="38"/>
          <w:color w:val="5F5F5F"/>
        </w:rPr>
        <w:t>Lower operating occupancy costs</w:t>
      </w:r>
    </w:p>
    <w:p>
      <w:pPr>
        <w:spacing w:after="0" w:line="290" w:lineRule="exact"/>
        <w:rPr>
          <w:rFonts w:ascii="Arial" w:cs="Arial" w:eastAsia="Arial" w:hAnsi="Arial"/>
          <w:sz w:val="38"/>
          <w:szCs w:val="38"/>
          <w:color w:val="5F5F5F"/>
        </w:rPr>
      </w:pPr>
    </w:p>
    <w:p>
      <w:pPr>
        <w:ind w:left="424" w:hanging="424"/>
        <w:spacing w:after="0"/>
        <w:tabs>
          <w:tab w:leader="none" w:pos="424" w:val="left"/>
        </w:tabs>
        <w:numPr>
          <w:ilvl w:val="0"/>
          <w:numId w:val="11"/>
        </w:numPr>
        <w:rPr>
          <w:rFonts w:ascii="Arial" w:cs="Arial" w:eastAsia="Arial" w:hAnsi="Arial"/>
          <w:sz w:val="38"/>
          <w:szCs w:val="38"/>
          <w:color w:val="5F5F5F"/>
        </w:rPr>
      </w:pPr>
      <w:r>
        <w:rPr>
          <w:rFonts w:ascii="Arial" w:cs="Arial" w:eastAsia="Arial" w:hAnsi="Arial"/>
          <w:sz w:val="38"/>
          <w:szCs w:val="38"/>
          <w:color w:val="5F5F5F"/>
        </w:rPr>
        <w:t>Incremental to existing 4-wall profitability</w:t>
      </w:r>
    </w:p>
    <w:p>
      <w:pPr>
        <w:spacing w:after="0" w:line="290" w:lineRule="exact"/>
        <w:rPr>
          <w:rFonts w:ascii="Arial" w:cs="Arial" w:eastAsia="Arial" w:hAnsi="Arial"/>
          <w:sz w:val="38"/>
          <w:szCs w:val="38"/>
          <w:color w:val="5F5F5F"/>
        </w:rPr>
      </w:pPr>
    </w:p>
    <w:p>
      <w:pPr>
        <w:ind w:left="424" w:hanging="424"/>
        <w:spacing w:after="0"/>
        <w:tabs>
          <w:tab w:leader="none" w:pos="424" w:val="left"/>
        </w:tabs>
        <w:numPr>
          <w:ilvl w:val="0"/>
          <w:numId w:val="11"/>
        </w:numPr>
        <w:rPr>
          <w:rFonts w:ascii="Arial" w:cs="Arial" w:eastAsia="Arial" w:hAnsi="Arial"/>
          <w:sz w:val="38"/>
          <w:szCs w:val="38"/>
          <w:color w:val="5F5F5F"/>
        </w:rPr>
      </w:pPr>
      <w:r>
        <w:rPr>
          <w:rFonts w:ascii="Arial" w:cs="Arial" w:eastAsia="Arial" w:hAnsi="Arial"/>
          <w:sz w:val="38"/>
          <w:szCs w:val="38"/>
          <w:color w:val="5F5F5F"/>
        </w:rPr>
        <w:t>Greater potential to increase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17</w:t>
      </w:r>
    </w:p>
    <w:p>
      <w:pPr>
        <w:sectPr>
          <w:pgSz w:w="11900" w:h="16838" w:orient="portrait"/>
          <w:cols w:equalWidth="0" w:num="1">
            <w:col w:w="10124"/>
          </w:cols>
          <w:pgMar w:left="856" w:top="625" w:right="919" w:bottom="1440" w:gutter="0" w:footer="0" w:header="0"/>
        </w:sectPr>
      </w:pPr>
    </w:p>
    <w:bookmarkStart w:id="21" w:name="page22"/>
    <w:bookmarkEnd w:id="21"/>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Chicago</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320" w:type="dxa"/>
        <w:tblCellMar>
          <w:top w:w="0" w:type="dxa"/>
          <w:left w:w="0" w:type="dxa"/>
          <w:bottom w:w="0" w:type="dxa"/>
          <w:right w:w="0" w:type="dxa"/>
        </w:tblCellMar>
      </w:tblPr>
      <w:tr>
        <w:trPr>
          <w:trHeight w:val="208"/>
        </w:trPr>
        <w:tc>
          <w:tcPr>
            <w:tcW w:w="3280" w:type="dxa"/>
            <w:vAlign w:val="bottom"/>
          </w:tcPr>
          <w:p>
            <w:pPr>
              <w:spacing w:after="0"/>
              <w:rPr>
                <w:sz w:val="20"/>
                <w:szCs w:val="20"/>
                <w:color w:val="auto"/>
              </w:rPr>
            </w:pPr>
            <w:r>
              <w:rPr>
                <w:rFonts w:ascii="Arial" w:cs="Arial" w:eastAsia="Arial" w:hAnsi="Arial"/>
                <w:sz w:val="18"/>
                <w:szCs w:val="18"/>
                <w:color w:val="auto"/>
              </w:rPr>
              <w:t>9451 Schaumburg, IL</w:t>
            </w:r>
            <w:r>
              <w:rPr>
                <w:rFonts w:ascii="Arial" w:cs="Arial" w:eastAsia="Arial" w:hAnsi="Arial"/>
                <w:sz w:val="15"/>
                <w:szCs w:val="15"/>
                <w:b w:val="1"/>
                <w:bCs w:val="1"/>
                <w:color w:val="auto"/>
              </w:rPr>
              <w:t>DXL</w:t>
            </w:r>
          </w:p>
        </w:tc>
        <w:tc>
          <w:tcPr>
            <w:tcW w:w="1540" w:type="dxa"/>
            <w:vAlign w:val="bottom"/>
          </w:tcPr>
          <w:p>
            <w:pPr>
              <w:ind w:left="460"/>
              <w:spacing w:after="0"/>
              <w:rPr>
                <w:sz w:val="20"/>
                <w:szCs w:val="20"/>
                <w:color w:val="auto"/>
              </w:rPr>
            </w:pPr>
            <w:r>
              <w:rPr>
                <w:rFonts w:ascii="Arial" w:cs="Arial" w:eastAsia="Arial" w:hAnsi="Arial"/>
                <w:sz w:val="18"/>
                <w:szCs w:val="18"/>
                <w:color w:val="auto"/>
                <w:w w:val="96"/>
              </w:rPr>
              <w:t>9183 Niles, IL</w:t>
            </w:r>
          </w:p>
        </w:tc>
        <w:tc>
          <w:tcPr>
            <w:tcW w:w="0" w:type="dxa"/>
            <w:vAlign w:val="bottom"/>
          </w:tcPr>
          <w:p>
            <w:pPr>
              <w:spacing w:after="0"/>
              <w:rPr>
                <w:sz w:val="1"/>
                <w:szCs w:val="1"/>
                <w:color w:val="auto"/>
              </w:rPr>
            </w:pPr>
          </w:p>
        </w:tc>
      </w:tr>
      <w:tr>
        <w:trPr>
          <w:trHeight w:val="211"/>
        </w:trPr>
        <w:tc>
          <w:tcPr>
            <w:tcW w:w="3280" w:type="dxa"/>
            <w:vAlign w:val="bottom"/>
            <w:vMerge w:val="restart"/>
          </w:tcPr>
          <w:p>
            <w:pPr>
              <w:ind w:left="1680"/>
              <w:spacing w:after="0"/>
              <w:rPr>
                <w:sz w:val="20"/>
                <w:szCs w:val="20"/>
                <w:color w:val="auto"/>
              </w:rPr>
            </w:pPr>
            <w:r>
              <w:rPr>
                <w:rFonts w:ascii="Arial" w:cs="Arial" w:eastAsia="Arial" w:hAnsi="Arial"/>
                <w:sz w:val="15"/>
                <w:szCs w:val="15"/>
                <w:b w:val="1"/>
                <w:bCs w:val="1"/>
                <w:color w:val="auto"/>
              </w:rPr>
              <w:t>Schaumburg, IL</w:t>
            </w:r>
          </w:p>
        </w:tc>
        <w:tc>
          <w:tcPr>
            <w:tcW w:w="1540" w:type="dxa"/>
            <w:vAlign w:val="bottom"/>
          </w:tcPr>
          <w:p>
            <w:pPr>
              <w:ind w:left="460"/>
              <w:spacing w:after="0"/>
              <w:rPr>
                <w:sz w:val="20"/>
                <w:szCs w:val="20"/>
                <w:color w:val="auto"/>
              </w:rPr>
            </w:pPr>
            <w:r>
              <w:rPr>
                <w:rFonts w:ascii="Arial" w:cs="Arial" w:eastAsia="Arial" w:hAnsi="Arial"/>
                <w:sz w:val="18"/>
                <w:szCs w:val="18"/>
                <w:color w:val="auto"/>
              </w:rPr>
              <w:t>11.4 miles</w:t>
            </w:r>
          </w:p>
        </w:tc>
        <w:tc>
          <w:tcPr>
            <w:tcW w:w="0" w:type="dxa"/>
            <w:vAlign w:val="bottom"/>
          </w:tcPr>
          <w:p>
            <w:pPr>
              <w:spacing w:after="0"/>
              <w:rPr>
                <w:sz w:val="1"/>
                <w:szCs w:val="1"/>
                <w:color w:val="auto"/>
              </w:rPr>
            </w:pPr>
          </w:p>
        </w:tc>
      </w:tr>
      <w:tr>
        <w:trPr>
          <w:trHeight w:val="64"/>
        </w:trPr>
        <w:tc>
          <w:tcPr>
            <w:tcW w:w="32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3280" w:type="dxa"/>
            <w:vAlign w:val="bottom"/>
          </w:tcPr>
          <w:p>
            <w:pPr>
              <w:ind w:left="1680"/>
              <w:spacing w:after="0"/>
              <w:rPr>
                <w:sz w:val="20"/>
                <w:szCs w:val="20"/>
                <w:color w:val="auto"/>
              </w:rPr>
            </w:pPr>
            <w:r>
              <w:rPr>
                <w:rFonts w:ascii="Arial" w:cs="Arial" w:eastAsia="Arial" w:hAnsi="Arial"/>
                <w:sz w:val="15"/>
                <w:szCs w:val="15"/>
                <w:b w:val="1"/>
                <w:bCs w:val="1"/>
                <w:color w:val="auto"/>
              </w:rPr>
              <w:t>0.9 miles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9512 Bloomingdale, IL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11.2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18</w:t>
      </w:r>
    </w:p>
    <w:p>
      <w:pPr>
        <w:sectPr>
          <w:pgSz w:w="11900" w:h="16838" w:orient="portrait"/>
          <w:cols w:equalWidth="0" w:num="1">
            <w:col w:w="10120"/>
          </w:cols>
          <w:pgMar w:left="860" w:top="625" w:right="919" w:bottom="1440" w:gutter="0" w:footer="0" w:header="0"/>
        </w:sectPr>
      </w:pPr>
    </w:p>
    <w:bookmarkStart w:id="22" w:name="page23"/>
    <w:bookmarkEnd w:id="22"/>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DXL Timeline2010-</w:t>
      </w:r>
    </w:p>
    <w:p>
      <w:pPr>
        <w:spacing w:after="0" w:line="200" w:lineRule="exact"/>
        <w:rPr>
          <w:sz w:val="20"/>
          <w:szCs w:val="20"/>
          <w:color w:val="auto"/>
        </w:rPr>
      </w:pPr>
    </w:p>
    <w:p>
      <w:pPr>
        <w:spacing w:after="0" w:line="398" w:lineRule="exact"/>
        <w:rPr>
          <w:sz w:val="20"/>
          <w:szCs w:val="20"/>
          <w:color w:val="auto"/>
        </w:rPr>
      </w:pPr>
    </w:p>
    <w:p>
      <w:pPr>
        <w:ind w:left="4780"/>
        <w:spacing w:after="0"/>
        <w:rPr>
          <w:sz w:val="20"/>
          <w:szCs w:val="20"/>
          <w:color w:val="auto"/>
        </w:rPr>
      </w:pPr>
      <w:r>
        <w:rPr>
          <w:rFonts w:ascii="Arial" w:cs="Arial" w:eastAsia="Arial" w:hAnsi="Arial"/>
          <w:sz w:val="31"/>
          <w:szCs w:val="31"/>
          <w:b w:val="1"/>
          <w:bCs w:val="1"/>
          <w:color w:val="5F5F5F"/>
        </w:rPr>
        <w:t>Store Openings</w:t>
      </w:r>
    </w:p>
    <w:p>
      <w:pPr>
        <w:sectPr>
          <w:pgSz w:w="11900" w:h="16838" w:orient="portrait"/>
          <w:cols w:equalWidth="0" w:num="1">
            <w:col w:w="10220"/>
          </w:cols>
          <w:pgMar w:left="760" w:top="613" w:right="91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640"/>
        <w:spacing w:after="0"/>
        <w:rPr>
          <w:sz w:val="20"/>
          <w:szCs w:val="20"/>
          <w:color w:val="auto"/>
        </w:rPr>
      </w:pPr>
      <w:r>
        <w:rPr>
          <w:rFonts w:ascii="Arial" w:cs="Arial" w:eastAsia="Arial" w:hAnsi="Arial"/>
          <w:sz w:val="31"/>
          <w:szCs w:val="31"/>
          <w:b w:val="1"/>
          <w:bCs w:val="1"/>
          <w:i w:val="1"/>
          <w:iCs w:val="1"/>
          <w:color w:val="5F5F5F"/>
        </w:rPr>
        <w:t>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30"/>
          <w:szCs w:val="30"/>
          <w:b w:val="1"/>
          <w:bCs w:val="1"/>
          <w:i w:val="1"/>
          <w:iCs w:val="1"/>
          <w:color w:val="5F5F5F"/>
        </w:rPr>
        <w:t>Size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30"/>
          <w:szCs w:val="30"/>
          <w:b w:val="1"/>
          <w:bCs w:val="1"/>
          <w:i w:val="1"/>
          <w:iCs w:val="1"/>
          <w:color w:val="5F5F5F"/>
        </w:rPr>
        <w:t>Type</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80"/>
        <w:spacing w:after="0"/>
        <w:rPr>
          <w:sz w:val="20"/>
          <w:szCs w:val="20"/>
          <w:color w:val="auto"/>
        </w:rPr>
      </w:pPr>
      <w:r>
        <w:rPr>
          <w:rFonts w:ascii="Arial" w:cs="Arial" w:eastAsia="Arial" w:hAnsi="Arial"/>
          <w:sz w:val="32"/>
          <w:szCs w:val="32"/>
          <w:b w:val="1"/>
          <w:bCs w:val="1"/>
          <w:i w:val="1"/>
          <w:iCs w:val="1"/>
          <w:color w:val="5F5F5F"/>
        </w:rPr>
        <w:t>Store</w:t>
      </w:r>
    </w:p>
    <w:p>
      <w:pPr>
        <w:spacing w:after="0" w:line="46" w:lineRule="exact"/>
        <w:rPr>
          <w:sz w:val="20"/>
          <w:szCs w:val="20"/>
          <w:color w:val="auto"/>
        </w:rPr>
      </w:pPr>
    </w:p>
    <w:p>
      <w:pPr>
        <w:spacing w:after="0"/>
        <w:rPr>
          <w:sz w:val="20"/>
          <w:szCs w:val="20"/>
          <w:color w:val="auto"/>
        </w:rPr>
      </w:pPr>
      <w:r>
        <w:rPr>
          <w:rFonts w:ascii="Arial" w:cs="Arial" w:eastAsia="Arial" w:hAnsi="Arial"/>
          <w:sz w:val="31"/>
          <w:szCs w:val="31"/>
          <w:b w:val="1"/>
          <w:bCs w:val="1"/>
          <w:i w:val="1"/>
          <w:iCs w:val="1"/>
          <w:color w:val="5F5F5F"/>
        </w:rPr>
        <w:t>ClosingsOpening</w:t>
      </w:r>
    </w:p>
    <w:p>
      <w:pPr>
        <w:spacing w:after="0" w:line="200" w:lineRule="exact"/>
        <w:rPr>
          <w:sz w:val="20"/>
          <w:szCs w:val="20"/>
          <w:color w:val="auto"/>
        </w:rPr>
      </w:pPr>
    </w:p>
    <w:p>
      <w:pPr>
        <w:sectPr>
          <w:pgSz w:w="11900" w:h="16838" w:orient="portrait"/>
          <w:cols w:equalWidth="0" w:num="4">
            <w:col w:w="2020" w:space="720"/>
            <w:col w:w="1280" w:space="720"/>
            <w:col w:w="940" w:space="720"/>
            <w:col w:w="3820"/>
          </w:cols>
          <w:pgMar w:left="760" w:top="613" w:right="919" w:bottom="1440" w:gutter="0" w:footer="0" w:header="0"/>
          <w:type w:val="continuous"/>
        </w:sectPr>
      </w:pPr>
    </w:p>
    <w:p>
      <w:pPr>
        <w:spacing w:after="0" w:line="146" w:lineRule="exact"/>
        <w:rPr>
          <w:sz w:val="20"/>
          <w:szCs w:val="20"/>
          <w:color w:val="auto"/>
        </w:rPr>
      </w:pPr>
    </w:p>
    <w:p>
      <w:pPr>
        <w:ind w:left="400"/>
        <w:spacing w:after="0"/>
        <w:tabs>
          <w:tab w:leader="none" w:pos="4060" w:val="left"/>
        </w:tabs>
        <w:rPr>
          <w:sz w:val="20"/>
          <w:szCs w:val="20"/>
          <w:color w:val="auto"/>
        </w:rPr>
      </w:pPr>
      <w:r>
        <w:rPr>
          <w:rFonts w:ascii="Arial" w:cs="Arial" w:eastAsia="Arial" w:hAnsi="Arial"/>
          <w:sz w:val="25"/>
          <w:szCs w:val="25"/>
          <w:b w:val="1"/>
          <w:bCs w:val="1"/>
          <w:i w:val="1"/>
          <w:iCs w:val="1"/>
          <w:color w:val="5F5F5F"/>
        </w:rPr>
        <w:t xml:space="preserve">Schaumburg, IL </w:t>
      </w:r>
      <w:r>
        <w:rPr>
          <w:rFonts w:ascii="Arial" w:cs="Arial" w:eastAsia="Arial" w:hAnsi="Arial"/>
          <w:sz w:val="25"/>
          <w:szCs w:val="25"/>
          <w:b w:val="1"/>
          <w:bCs w:val="1"/>
          <w:color w:val="5F5F5F"/>
        </w:rPr>
        <w:t>11,967 Sq Ft</w:t>
      </w:r>
      <w:r>
        <w:rPr>
          <w:sz w:val="20"/>
          <w:szCs w:val="20"/>
          <w:color w:val="auto"/>
        </w:rPr>
        <w:tab/>
      </w:r>
      <w:r>
        <w:rPr>
          <w:rFonts w:ascii="Arial" w:cs="Arial" w:eastAsia="Arial" w:hAnsi="Arial"/>
          <w:sz w:val="24"/>
          <w:szCs w:val="24"/>
          <w:b w:val="1"/>
          <w:bCs w:val="1"/>
          <w:color w:val="5F5F5F"/>
        </w:rPr>
        <w:t>New store location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b w:val="1"/>
          <w:bCs w:val="1"/>
          <w:color w:val="5F5F5F"/>
        </w:rPr>
        <w:t>3 stores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24"/>
          <w:szCs w:val="24"/>
          <w:b w:val="1"/>
          <w:bCs w:val="1"/>
          <w:color w:val="5F5F5F"/>
        </w:rPr>
        <w:t>Summer</w:t>
      </w:r>
    </w:p>
    <w:p>
      <w:pPr>
        <w:spacing w:after="0" w:line="211" w:lineRule="exact"/>
        <w:rPr>
          <w:sz w:val="20"/>
          <w:szCs w:val="20"/>
          <w:color w:val="auto"/>
        </w:rPr>
      </w:pPr>
    </w:p>
    <w:p>
      <w:pPr>
        <w:sectPr>
          <w:pgSz w:w="11900" w:h="16838" w:orient="portrait"/>
          <w:cols w:equalWidth="0" w:num="3">
            <w:col w:w="6260" w:space="260"/>
            <w:col w:w="960" w:space="380"/>
            <w:col w:w="2360"/>
          </w:cols>
          <w:pgMar w:left="760" w:top="613" w:right="919" w:bottom="1440" w:gutter="0" w:footer="0" w:header="0"/>
          <w:type w:val="continuous"/>
        </w:sectPr>
      </w:pPr>
    </w:p>
    <w:p>
      <w:pPr>
        <w:spacing w:after="0" w:line="146" w:lineRule="exact"/>
        <w:rPr>
          <w:sz w:val="20"/>
          <w:szCs w:val="20"/>
          <w:color w:val="auto"/>
        </w:rPr>
      </w:pPr>
    </w:p>
    <w:p>
      <w:pPr>
        <w:ind w:left="520"/>
        <w:spacing w:after="0"/>
        <w:tabs>
          <w:tab w:leader="none" w:pos="2400" w:val="left"/>
          <w:tab w:leader="none" w:pos="3980" w:val="left"/>
        </w:tabs>
        <w:rPr>
          <w:sz w:val="20"/>
          <w:szCs w:val="20"/>
          <w:color w:val="auto"/>
        </w:rPr>
      </w:pPr>
      <w:r>
        <w:rPr>
          <w:rFonts w:ascii="Arial" w:cs="Arial" w:eastAsia="Arial" w:hAnsi="Arial"/>
          <w:sz w:val="25"/>
          <w:szCs w:val="25"/>
          <w:b w:val="1"/>
          <w:bCs w:val="1"/>
          <w:i w:val="1"/>
          <w:iCs w:val="1"/>
          <w:color w:val="5F5F5F"/>
        </w:rPr>
        <w:t>Memphis, TN</w:t>
      </w:r>
      <w:r>
        <w:rPr>
          <w:sz w:val="20"/>
          <w:szCs w:val="20"/>
          <w:color w:val="auto"/>
        </w:rPr>
        <w:tab/>
      </w:r>
      <w:r>
        <w:rPr>
          <w:rFonts w:ascii="Arial" w:cs="Arial" w:eastAsia="Arial" w:hAnsi="Arial"/>
          <w:sz w:val="25"/>
          <w:szCs w:val="25"/>
          <w:b w:val="1"/>
          <w:bCs w:val="1"/>
          <w:color w:val="5F5F5F"/>
        </w:rPr>
        <w:t>9,758 Sq Ft</w:t>
      </w:r>
      <w:r>
        <w:rPr>
          <w:sz w:val="20"/>
          <w:szCs w:val="20"/>
          <w:color w:val="auto"/>
        </w:rPr>
        <w:tab/>
      </w:r>
      <w:r>
        <w:rPr>
          <w:rFonts w:ascii="Arial" w:cs="Arial" w:eastAsia="Arial" w:hAnsi="Arial"/>
          <w:sz w:val="24"/>
          <w:szCs w:val="24"/>
          <w:b w:val="1"/>
          <w:bCs w:val="1"/>
          <w:color w:val="5F5F5F"/>
        </w:rPr>
        <w:t>Convert CM XL store 2 stores</w:t>
      </w:r>
    </w:p>
    <w:p>
      <w:pPr>
        <w:spacing w:after="0" w:line="123" w:lineRule="exact"/>
        <w:rPr>
          <w:sz w:val="20"/>
          <w:szCs w:val="20"/>
          <w:color w:val="auto"/>
        </w:rPr>
      </w:pPr>
    </w:p>
    <w:p>
      <w:pPr>
        <w:ind w:left="4140"/>
        <w:spacing w:after="0"/>
        <w:rPr>
          <w:sz w:val="20"/>
          <w:szCs w:val="20"/>
          <w:color w:val="auto"/>
        </w:rPr>
      </w:pPr>
      <w:r>
        <w:rPr>
          <w:rFonts w:ascii="Arial" w:cs="Arial" w:eastAsia="Arial" w:hAnsi="Arial"/>
          <w:sz w:val="25"/>
          <w:szCs w:val="25"/>
          <w:b w:val="1"/>
          <w:bCs w:val="1"/>
          <w:color w:val="5F5F5F"/>
        </w:rPr>
        <w:t>Add 4,500 sq ft to</w:t>
      </w:r>
    </w:p>
    <w:p>
      <w:pPr>
        <w:spacing w:after="0" w:line="40" w:lineRule="exact"/>
        <w:rPr>
          <w:sz w:val="20"/>
          <w:szCs w:val="20"/>
          <w:color w:val="auto"/>
        </w:rPr>
      </w:pPr>
    </w:p>
    <w:p>
      <w:pPr>
        <w:ind w:left="4100"/>
        <w:spacing w:after="0"/>
        <w:rPr>
          <w:sz w:val="20"/>
          <w:szCs w:val="20"/>
          <w:color w:val="auto"/>
        </w:rPr>
      </w:pPr>
      <w:r>
        <w:rPr>
          <w:rFonts w:ascii="Arial" w:cs="Arial" w:eastAsia="Arial" w:hAnsi="Arial"/>
          <w:sz w:val="25"/>
          <w:szCs w:val="25"/>
          <w:b w:val="1"/>
          <w:bCs w:val="1"/>
          <w:color w:val="5F5F5F"/>
        </w:rPr>
        <w:t>existing Rochester</w:t>
      </w:r>
    </w:p>
    <w:p>
      <w:pPr>
        <w:spacing w:after="0" w:line="18" w:lineRule="exact"/>
        <w:rPr>
          <w:sz w:val="20"/>
          <w:szCs w:val="20"/>
          <w:color w:val="auto"/>
        </w:rPr>
      </w:pPr>
    </w:p>
    <w:p>
      <w:pPr>
        <w:ind w:left="580"/>
        <w:spacing w:after="0"/>
        <w:tabs>
          <w:tab w:leader="none" w:pos="2320" w:val="left"/>
          <w:tab w:leader="none" w:pos="4120" w:val="left"/>
          <w:tab w:leader="none" w:pos="6500" w:val="left"/>
        </w:tabs>
        <w:rPr>
          <w:sz w:val="20"/>
          <w:szCs w:val="20"/>
          <w:color w:val="auto"/>
        </w:rPr>
      </w:pPr>
      <w:r>
        <w:rPr>
          <w:rFonts w:ascii="Arial" w:cs="Arial" w:eastAsia="Arial" w:hAnsi="Arial"/>
          <w:sz w:val="25"/>
          <w:szCs w:val="25"/>
          <w:b w:val="1"/>
          <w:bCs w:val="1"/>
          <w:i w:val="1"/>
          <w:iCs w:val="1"/>
          <w:color w:val="5F5F5F"/>
        </w:rPr>
        <w:t>Houston, TX</w:t>
      </w:r>
      <w:r>
        <w:rPr>
          <w:sz w:val="20"/>
          <w:szCs w:val="20"/>
          <w:color w:val="auto"/>
        </w:rPr>
        <w:tab/>
      </w:r>
      <w:r>
        <w:rPr>
          <w:rFonts w:ascii="Arial" w:cs="Arial" w:eastAsia="Arial" w:hAnsi="Arial"/>
          <w:sz w:val="25"/>
          <w:szCs w:val="25"/>
          <w:b w:val="1"/>
          <w:bCs w:val="1"/>
          <w:color w:val="5F5F5F"/>
        </w:rPr>
        <w:t>11,027 Sq Ft</w:t>
        <w:tab/>
        <w:t>store and convert</w:t>
        <w:tab/>
        <w:t>2 stores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24"/>
          <w:szCs w:val="24"/>
          <w:b w:val="1"/>
          <w:bCs w:val="1"/>
          <w:color w:val="5F5F5F"/>
        </w:rPr>
        <w:t>Summer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4"/>
          <w:szCs w:val="24"/>
          <w:b w:val="1"/>
          <w:bCs w:val="1"/>
          <w:color w:val="5F5F5F"/>
        </w:rPr>
        <w:t>Summer</w:t>
      </w:r>
    </w:p>
    <w:p>
      <w:pPr>
        <w:spacing w:after="0" w:line="233" w:lineRule="exact"/>
        <w:rPr>
          <w:sz w:val="20"/>
          <w:szCs w:val="20"/>
          <w:color w:val="auto"/>
        </w:rPr>
      </w:pPr>
    </w:p>
    <w:p>
      <w:pPr>
        <w:sectPr>
          <w:pgSz w:w="11900" w:h="16838" w:orient="portrait"/>
          <w:cols w:equalWidth="0" w:num="2">
            <w:col w:w="7480" w:space="380"/>
            <w:col w:w="2360"/>
          </w:cols>
          <w:pgMar w:left="760" w:top="613" w:right="919" w:bottom="1440" w:gutter="0" w:footer="0" w:header="0"/>
          <w:type w:val="continuous"/>
        </w:sectPr>
      </w:pPr>
    </w:p>
    <w:p>
      <w:pPr>
        <w:spacing w:after="0" w:line="124" w:lineRule="exact"/>
        <w:rPr>
          <w:sz w:val="20"/>
          <w:szCs w:val="20"/>
          <w:color w:val="auto"/>
        </w:rPr>
      </w:pPr>
    </w:p>
    <w:p>
      <w:pPr>
        <w:ind w:left="480"/>
        <w:spacing w:after="0"/>
        <w:tabs>
          <w:tab w:leader="none" w:pos="2320" w:val="left"/>
          <w:tab w:leader="none" w:pos="4060" w:val="left"/>
          <w:tab w:leader="none" w:pos="6500" w:val="left"/>
        </w:tabs>
        <w:rPr>
          <w:sz w:val="20"/>
          <w:szCs w:val="20"/>
          <w:color w:val="auto"/>
        </w:rPr>
      </w:pPr>
      <w:r>
        <w:rPr>
          <w:rFonts w:ascii="Arial" w:cs="Arial" w:eastAsia="Arial" w:hAnsi="Arial"/>
          <w:sz w:val="25"/>
          <w:szCs w:val="25"/>
          <w:b w:val="1"/>
          <w:bCs w:val="1"/>
          <w:i w:val="1"/>
          <w:iCs w:val="1"/>
          <w:color w:val="5F5F5F"/>
        </w:rPr>
        <w:t>Las Vegas, NV</w:t>
      </w:r>
      <w:r>
        <w:rPr>
          <w:sz w:val="20"/>
          <w:szCs w:val="20"/>
          <w:color w:val="auto"/>
        </w:rPr>
        <w:tab/>
      </w:r>
      <w:r>
        <w:rPr>
          <w:rFonts w:ascii="Arial" w:cs="Arial" w:eastAsia="Arial" w:hAnsi="Arial"/>
          <w:sz w:val="25"/>
          <w:szCs w:val="25"/>
          <w:b w:val="1"/>
          <w:bCs w:val="1"/>
          <w:color w:val="5F5F5F"/>
        </w:rPr>
        <w:t>13,206 Sq Ft</w:t>
        <w:tab/>
        <w:t>New store location</w:t>
        <w:tab/>
        <w:t>2 stores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25"/>
          <w:szCs w:val="25"/>
          <w:b w:val="1"/>
          <w:bCs w:val="1"/>
          <w:color w:val="5F5F5F"/>
        </w:rPr>
        <w:t>Fall</w:t>
      </w:r>
    </w:p>
    <w:p>
      <w:pPr>
        <w:spacing w:after="0" w:line="200" w:lineRule="exact"/>
        <w:rPr>
          <w:sz w:val="20"/>
          <w:szCs w:val="20"/>
          <w:color w:val="auto"/>
        </w:rPr>
      </w:pPr>
    </w:p>
    <w:p>
      <w:pPr>
        <w:sectPr>
          <w:pgSz w:w="11900" w:h="16838" w:orient="portrait"/>
          <w:cols w:equalWidth="0" w:num="2">
            <w:col w:w="7480" w:space="620"/>
            <w:col w:w="2120"/>
          </w:cols>
          <w:pgMar w:left="760" w:top="613"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7"/>
          <w:szCs w:val="17"/>
          <w:color w:val="898989"/>
        </w:rPr>
        <w:t>19</w:t>
      </w:r>
    </w:p>
    <w:p>
      <w:pPr>
        <w:sectPr>
          <w:pgSz w:w="11900" w:h="16838" w:orient="portrait"/>
          <w:cols w:equalWidth="0" w:num="1">
            <w:col w:w="10220"/>
          </w:cols>
          <w:pgMar w:left="760" w:top="613" w:right="9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DXL Multi Channel Solution</w:t>
      </w:r>
    </w:p>
    <w:p>
      <w:pPr>
        <w:spacing w:after="0" w:line="200" w:lineRule="exact"/>
        <w:rPr>
          <w:sz w:val="20"/>
          <w:szCs w:val="20"/>
          <w:color w:val="auto"/>
        </w:rPr>
      </w:pPr>
    </w:p>
    <w:p>
      <w:pPr>
        <w:spacing w:after="0" w:line="286" w:lineRule="exact"/>
        <w:rPr>
          <w:sz w:val="20"/>
          <w:szCs w:val="20"/>
          <w:color w:val="auto"/>
        </w:rPr>
      </w:pPr>
    </w:p>
    <w:p>
      <w:pPr>
        <w:ind w:left="6100"/>
        <w:spacing w:after="0"/>
        <w:tabs>
          <w:tab w:leader="none" w:pos="6500" w:val="left"/>
        </w:tabs>
        <w:rPr>
          <w:sz w:val="20"/>
          <w:szCs w:val="20"/>
          <w:color w:val="auto"/>
        </w:rPr>
      </w:pPr>
      <w:r>
        <w:rPr>
          <w:rFonts w:ascii="Arial" w:cs="Arial" w:eastAsia="Arial" w:hAnsi="Arial"/>
          <w:sz w:val="32"/>
          <w:szCs w:val="32"/>
          <w:color w:val="5F5F5F"/>
        </w:rPr>
        <w:t>•</w:t>
      </w:r>
      <w:r>
        <w:rPr>
          <w:sz w:val="20"/>
          <w:szCs w:val="20"/>
          <w:color w:val="auto"/>
        </w:rPr>
        <w:tab/>
      </w:r>
      <w:r>
        <w:rPr>
          <w:rFonts w:ascii="Arial" w:cs="Arial" w:eastAsia="Arial" w:hAnsi="Arial"/>
          <w:sz w:val="31"/>
          <w:szCs w:val="31"/>
          <w:color w:val="5F5F5F"/>
        </w:rPr>
        <w:t>DXL website launch first</w:t>
      </w:r>
    </w:p>
    <w:p>
      <w:pPr>
        <w:spacing w:after="0" w:line="8" w:lineRule="exact"/>
        <w:rPr>
          <w:sz w:val="20"/>
          <w:szCs w:val="20"/>
          <w:color w:val="auto"/>
        </w:rPr>
      </w:pPr>
    </w:p>
    <w:p>
      <w:pPr>
        <w:ind w:left="6520"/>
        <w:spacing w:after="0"/>
        <w:rPr>
          <w:sz w:val="20"/>
          <w:szCs w:val="20"/>
          <w:color w:val="auto"/>
        </w:rPr>
      </w:pPr>
      <w:r>
        <w:rPr>
          <w:rFonts w:ascii="Arial" w:cs="Arial" w:eastAsia="Arial" w:hAnsi="Arial"/>
          <w:sz w:val="32"/>
          <w:szCs w:val="32"/>
          <w:color w:val="5F5F5F"/>
        </w:rPr>
        <w:t>quarter 2011</w:t>
      </w:r>
    </w:p>
    <w:p>
      <w:pPr>
        <w:spacing w:after="0" w:line="289" w:lineRule="exact"/>
        <w:rPr>
          <w:sz w:val="20"/>
          <w:szCs w:val="20"/>
          <w:color w:val="auto"/>
        </w:rPr>
      </w:pPr>
    </w:p>
    <w:p>
      <w:pPr>
        <w:ind w:left="6100"/>
        <w:spacing w:after="0"/>
        <w:tabs>
          <w:tab w:leader="none" w:pos="6500" w:val="left"/>
        </w:tabs>
        <w:rPr>
          <w:sz w:val="20"/>
          <w:szCs w:val="20"/>
          <w:color w:val="auto"/>
        </w:rPr>
      </w:pPr>
      <w:r>
        <w:rPr>
          <w:rFonts w:ascii="Arial" w:cs="Arial" w:eastAsia="Arial" w:hAnsi="Arial"/>
          <w:sz w:val="32"/>
          <w:szCs w:val="32"/>
          <w:color w:val="5F5F5F"/>
        </w:rPr>
        <w:t>•</w:t>
      </w:r>
      <w:r>
        <w:rPr>
          <w:sz w:val="20"/>
          <w:szCs w:val="20"/>
          <w:color w:val="auto"/>
        </w:rPr>
        <w:tab/>
      </w:r>
      <w:r>
        <w:rPr>
          <w:rFonts w:ascii="Arial" w:cs="Arial" w:eastAsia="Arial" w:hAnsi="Arial"/>
          <w:sz w:val="31"/>
          <w:szCs w:val="31"/>
          <w:color w:val="5F5F5F"/>
        </w:rPr>
        <w:t>Customer is able to</w:t>
      </w:r>
    </w:p>
    <w:p>
      <w:pPr>
        <w:spacing w:after="0" w:line="8" w:lineRule="exact"/>
        <w:rPr>
          <w:sz w:val="20"/>
          <w:szCs w:val="20"/>
          <w:color w:val="auto"/>
        </w:rPr>
      </w:pPr>
    </w:p>
    <w:p>
      <w:pPr>
        <w:ind w:left="6520"/>
        <w:spacing w:after="0"/>
        <w:rPr>
          <w:sz w:val="20"/>
          <w:szCs w:val="20"/>
          <w:color w:val="auto"/>
        </w:rPr>
      </w:pPr>
      <w:r>
        <w:rPr>
          <w:rFonts w:ascii="Arial" w:cs="Arial" w:eastAsia="Arial" w:hAnsi="Arial"/>
          <w:sz w:val="32"/>
          <w:szCs w:val="32"/>
          <w:color w:val="5F5F5F"/>
        </w:rPr>
        <w:t>shop by concept, brand,</w:t>
      </w:r>
    </w:p>
    <w:p>
      <w:pPr>
        <w:spacing w:after="0" w:line="8" w:lineRule="exact"/>
        <w:rPr>
          <w:sz w:val="20"/>
          <w:szCs w:val="20"/>
          <w:color w:val="auto"/>
        </w:rPr>
      </w:pPr>
    </w:p>
    <w:p>
      <w:pPr>
        <w:ind w:left="6520"/>
        <w:spacing w:after="0"/>
        <w:rPr>
          <w:sz w:val="20"/>
          <w:szCs w:val="20"/>
          <w:color w:val="auto"/>
        </w:rPr>
      </w:pPr>
      <w:r>
        <w:rPr>
          <w:rFonts w:ascii="Arial" w:cs="Arial" w:eastAsia="Arial" w:hAnsi="Arial"/>
          <w:sz w:val="32"/>
          <w:szCs w:val="32"/>
          <w:color w:val="5F5F5F"/>
        </w:rPr>
        <w:t>lifestyle or price point in</w:t>
      </w:r>
    </w:p>
    <w:p>
      <w:pPr>
        <w:spacing w:after="0" w:line="8" w:lineRule="exact"/>
        <w:rPr>
          <w:sz w:val="20"/>
          <w:szCs w:val="20"/>
          <w:color w:val="auto"/>
        </w:rPr>
      </w:pPr>
    </w:p>
    <w:p>
      <w:pPr>
        <w:ind w:left="6520"/>
        <w:spacing w:after="0"/>
        <w:rPr>
          <w:sz w:val="20"/>
          <w:szCs w:val="20"/>
          <w:color w:val="auto"/>
        </w:rPr>
      </w:pPr>
      <w:r>
        <w:rPr>
          <w:rFonts w:ascii="Arial" w:cs="Arial" w:eastAsia="Arial" w:hAnsi="Arial"/>
          <w:sz w:val="32"/>
          <w:szCs w:val="32"/>
          <w:color w:val="5F5F5F"/>
        </w:rPr>
        <w:t>one simple, easy</w:t>
      </w:r>
    </w:p>
    <w:p>
      <w:pPr>
        <w:spacing w:after="0" w:line="8" w:lineRule="exact"/>
        <w:rPr>
          <w:sz w:val="20"/>
          <w:szCs w:val="20"/>
          <w:color w:val="auto"/>
        </w:rPr>
      </w:pPr>
    </w:p>
    <w:p>
      <w:pPr>
        <w:ind w:left="6520"/>
        <w:spacing w:after="0"/>
        <w:rPr>
          <w:sz w:val="20"/>
          <w:szCs w:val="20"/>
          <w:color w:val="auto"/>
        </w:rPr>
      </w:pPr>
      <w:r>
        <w:rPr>
          <w:rFonts w:ascii="Arial" w:cs="Arial" w:eastAsia="Arial" w:hAnsi="Arial"/>
          <w:sz w:val="32"/>
          <w:szCs w:val="32"/>
          <w:color w:val="5F5F5F"/>
        </w:rPr>
        <w:t>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40"/>
        <w:spacing w:after="0"/>
        <w:rPr>
          <w:sz w:val="20"/>
          <w:szCs w:val="20"/>
          <w:color w:val="auto"/>
        </w:rPr>
      </w:pPr>
      <w:r>
        <w:rPr>
          <w:rFonts w:ascii="Arial" w:cs="Arial" w:eastAsia="Arial" w:hAnsi="Arial"/>
          <w:sz w:val="38"/>
          <w:szCs w:val="38"/>
          <w:b w:val="1"/>
          <w:bCs w:val="1"/>
          <w:color w:val="5F5F5F"/>
        </w:rPr>
        <w:t>www.destinationxl.com</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20</w:t>
      </w:r>
    </w:p>
    <w:p>
      <w:pPr>
        <w:sectPr>
          <w:pgSz w:w="11900" w:h="16838" w:orient="portrait"/>
          <w:cols w:equalWidth="0" w:num="1">
            <w:col w:w="10120"/>
          </w:cols>
          <w:pgMar w:left="860" w:top="578" w:right="919" w:bottom="1440" w:gutter="0" w:footer="0" w:header="0"/>
        </w:sectPr>
      </w:pPr>
    </w:p>
    <w:bookmarkStart w:id="24" w:name="page25"/>
    <w:bookmarkEnd w:id="24"/>
    <w:p>
      <w:pPr>
        <w:ind w:left="4"/>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Long-Term Margin Growth</w:t>
      </w:r>
    </w:p>
    <w:p>
      <w:pPr>
        <w:spacing w:after="0" w:line="200" w:lineRule="exact"/>
        <w:rPr>
          <w:sz w:val="20"/>
          <w:szCs w:val="20"/>
          <w:color w:val="auto"/>
        </w:rPr>
      </w:pPr>
    </w:p>
    <w:p>
      <w:pPr>
        <w:spacing w:after="0" w:line="290"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38"/>
          <w:szCs w:val="38"/>
          <w:color w:val="5F5F5F"/>
        </w:rPr>
      </w:pPr>
      <w:r>
        <w:rPr>
          <w:rFonts w:ascii="Arial" w:cs="Arial" w:eastAsia="Arial" w:hAnsi="Arial"/>
          <w:sz w:val="38"/>
          <w:szCs w:val="38"/>
          <w:b w:val="1"/>
          <w:bCs w:val="1"/>
          <w:color w:val="5F5F5F"/>
        </w:rPr>
        <w:t>Long-term operating margin potential of 8%-12%</w:t>
      </w:r>
    </w:p>
    <w:p>
      <w:pPr>
        <w:spacing w:after="0" w:line="133" w:lineRule="exact"/>
        <w:rPr>
          <w:rFonts w:ascii="Arial" w:cs="Arial" w:eastAsia="Arial" w:hAnsi="Arial"/>
          <w:sz w:val="38"/>
          <w:szCs w:val="38"/>
          <w:color w:val="5F5F5F"/>
        </w:rPr>
      </w:pPr>
    </w:p>
    <w:p>
      <w:pPr>
        <w:ind w:left="564"/>
        <w:spacing w:after="0"/>
        <w:rPr>
          <w:rFonts w:ascii="Arial" w:cs="Arial" w:eastAsia="Arial" w:hAnsi="Arial"/>
          <w:sz w:val="38"/>
          <w:szCs w:val="38"/>
          <w:color w:val="5F5F5F"/>
        </w:rPr>
      </w:pPr>
      <w:r>
        <w:rPr>
          <w:rFonts w:ascii="Arial" w:cs="Arial" w:eastAsia="Arial" w:hAnsi="Arial"/>
          <w:sz w:val="32"/>
          <w:szCs w:val="32"/>
          <w:color w:val="5F5F5F"/>
        </w:rPr>
        <w:t>– Recover $70M in lost sales as economy improves</w:t>
      </w:r>
    </w:p>
    <w:p>
      <w:pPr>
        <w:spacing w:after="0" w:line="200" w:lineRule="exact"/>
        <w:rPr>
          <w:rFonts w:ascii="Arial" w:cs="Arial" w:eastAsia="Arial" w:hAnsi="Arial"/>
          <w:sz w:val="38"/>
          <w:szCs w:val="38"/>
          <w:color w:val="5F5F5F"/>
        </w:rPr>
      </w:pPr>
    </w:p>
    <w:p>
      <w:pPr>
        <w:spacing w:after="0" w:line="323" w:lineRule="exact"/>
        <w:rPr>
          <w:rFonts w:ascii="Arial" w:cs="Arial" w:eastAsia="Arial" w:hAnsi="Arial"/>
          <w:sz w:val="38"/>
          <w:szCs w:val="38"/>
          <w:color w:val="5F5F5F"/>
        </w:rPr>
      </w:pPr>
    </w:p>
    <w:p>
      <w:pPr>
        <w:ind w:left="564"/>
        <w:spacing w:after="0"/>
        <w:rPr>
          <w:rFonts w:ascii="Arial" w:cs="Arial" w:eastAsia="Arial" w:hAnsi="Arial"/>
          <w:sz w:val="38"/>
          <w:szCs w:val="38"/>
          <w:color w:val="5F5F5F"/>
        </w:rPr>
      </w:pPr>
      <w:r>
        <w:rPr>
          <w:rFonts w:ascii="Arial" w:cs="Arial" w:eastAsia="Arial" w:hAnsi="Arial"/>
          <w:sz w:val="32"/>
          <w:szCs w:val="32"/>
          <w:color w:val="5F5F5F"/>
        </w:rPr>
        <w:t>– Increase the amount spent by existing customers</w:t>
      </w:r>
    </w:p>
    <w:p>
      <w:pPr>
        <w:spacing w:after="0" w:line="200" w:lineRule="exact"/>
        <w:rPr>
          <w:rFonts w:ascii="Arial" w:cs="Arial" w:eastAsia="Arial" w:hAnsi="Arial"/>
          <w:sz w:val="38"/>
          <w:szCs w:val="38"/>
          <w:color w:val="5F5F5F"/>
        </w:rPr>
      </w:pPr>
    </w:p>
    <w:p>
      <w:pPr>
        <w:spacing w:after="0" w:line="335" w:lineRule="exact"/>
        <w:rPr>
          <w:rFonts w:ascii="Arial" w:cs="Arial" w:eastAsia="Arial" w:hAnsi="Arial"/>
          <w:sz w:val="38"/>
          <w:szCs w:val="38"/>
          <w:color w:val="5F5F5F"/>
        </w:rPr>
      </w:pPr>
    </w:p>
    <w:p>
      <w:pPr>
        <w:ind w:left="564"/>
        <w:spacing w:after="0"/>
        <w:rPr>
          <w:rFonts w:ascii="Arial" w:cs="Arial" w:eastAsia="Arial" w:hAnsi="Arial"/>
          <w:sz w:val="38"/>
          <w:szCs w:val="38"/>
          <w:color w:val="5F5F5F"/>
        </w:rPr>
      </w:pPr>
      <w:r>
        <w:rPr>
          <w:rFonts w:ascii="Arial" w:cs="Arial" w:eastAsia="Arial" w:hAnsi="Arial"/>
          <w:sz w:val="32"/>
          <w:szCs w:val="32"/>
          <w:color w:val="5F5F5F"/>
        </w:rPr>
        <w:t>– Appeal to the 42”-46”waist size market segment</w:t>
      </w:r>
    </w:p>
    <w:p>
      <w:pPr>
        <w:spacing w:after="0" w:line="200" w:lineRule="exact"/>
        <w:rPr>
          <w:rFonts w:ascii="Arial" w:cs="Arial" w:eastAsia="Arial" w:hAnsi="Arial"/>
          <w:sz w:val="38"/>
          <w:szCs w:val="38"/>
          <w:color w:val="5F5F5F"/>
        </w:rPr>
      </w:pPr>
    </w:p>
    <w:p>
      <w:pPr>
        <w:spacing w:after="0" w:line="335" w:lineRule="exact"/>
        <w:rPr>
          <w:rFonts w:ascii="Arial" w:cs="Arial" w:eastAsia="Arial" w:hAnsi="Arial"/>
          <w:sz w:val="38"/>
          <w:szCs w:val="38"/>
          <w:color w:val="5F5F5F"/>
        </w:rPr>
      </w:pPr>
    </w:p>
    <w:p>
      <w:pPr>
        <w:ind w:left="564"/>
        <w:spacing w:after="0"/>
        <w:rPr>
          <w:rFonts w:ascii="Arial" w:cs="Arial" w:eastAsia="Arial" w:hAnsi="Arial"/>
          <w:sz w:val="38"/>
          <w:szCs w:val="38"/>
          <w:color w:val="5F5F5F"/>
        </w:rPr>
      </w:pPr>
      <w:r>
        <w:rPr>
          <w:rFonts w:ascii="Arial" w:cs="Arial" w:eastAsia="Arial" w:hAnsi="Arial"/>
          <w:sz w:val="32"/>
          <w:szCs w:val="32"/>
          <w:color w:val="5F5F5F"/>
        </w:rPr>
        <w:t>– Grow the direct business to 30%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21</w:t>
      </w:r>
    </w:p>
    <w:p>
      <w:pPr>
        <w:sectPr>
          <w:pgSz w:w="11900" w:h="16838" w:orient="portrait"/>
          <w:cols w:equalWidth="0" w:num="1">
            <w:col w:w="10124"/>
          </w:cols>
          <w:pgMar w:left="856" w:top="625" w:right="919" w:bottom="1440" w:gutter="0" w:footer="0" w:header="0"/>
        </w:sectPr>
      </w:pPr>
    </w:p>
    <w:bookmarkStart w:id="25" w:name="page26"/>
    <w:bookmarkEnd w:id="25"/>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Investment Highlights</w:t>
      </w:r>
    </w:p>
    <w:p>
      <w:pPr>
        <w:spacing w:after="0" w:line="200" w:lineRule="exact"/>
        <w:rPr>
          <w:sz w:val="20"/>
          <w:szCs w:val="20"/>
          <w:color w:val="auto"/>
        </w:rPr>
      </w:pPr>
    </w:p>
    <w:p>
      <w:pPr>
        <w:spacing w:after="0" w:line="280" w:lineRule="exact"/>
        <w:rPr>
          <w:sz w:val="20"/>
          <w:szCs w:val="20"/>
          <w:color w:val="auto"/>
        </w:rPr>
      </w:pPr>
    </w:p>
    <w:p>
      <w:pPr>
        <w:ind w:left="420" w:hanging="417"/>
        <w:spacing w:after="0"/>
        <w:tabs>
          <w:tab w:leader="none" w:pos="420" w:val="left"/>
        </w:tabs>
        <w:numPr>
          <w:ilvl w:val="0"/>
          <w:numId w:val="13"/>
        </w:numPr>
        <w:rPr>
          <w:rFonts w:ascii="Arial" w:cs="Arial" w:eastAsia="Arial" w:hAnsi="Arial"/>
          <w:sz w:val="38"/>
          <w:szCs w:val="38"/>
          <w:color w:val="5F5F5F"/>
        </w:rPr>
      </w:pPr>
      <w:r>
        <w:rPr>
          <w:rFonts w:ascii="Arial" w:cs="Arial" w:eastAsia="Arial" w:hAnsi="Arial"/>
          <w:sz w:val="38"/>
          <w:szCs w:val="38"/>
          <w:color w:val="5F5F5F"/>
        </w:rPr>
        <w:t>Dominant niche positioning</w:t>
      </w:r>
    </w:p>
    <w:p>
      <w:pPr>
        <w:spacing w:after="0" w:line="396" w:lineRule="exact"/>
        <w:rPr>
          <w:rFonts w:ascii="Arial" w:cs="Arial" w:eastAsia="Arial" w:hAnsi="Arial"/>
          <w:sz w:val="38"/>
          <w:szCs w:val="38"/>
          <w:color w:val="5F5F5F"/>
        </w:rPr>
      </w:pPr>
    </w:p>
    <w:p>
      <w:pPr>
        <w:ind w:left="420" w:hanging="417"/>
        <w:spacing w:after="0"/>
        <w:tabs>
          <w:tab w:leader="none" w:pos="420" w:val="left"/>
        </w:tabs>
        <w:numPr>
          <w:ilvl w:val="0"/>
          <w:numId w:val="13"/>
        </w:numPr>
        <w:rPr>
          <w:rFonts w:ascii="Arial" w:cs="Arial" w:eastAsia="Arial" w:hAnsi="Arial"/>
          <w:sz w:val="38"/>
          <w:szCs w:val="38"/>
          <w:color w:val="5F5F5F"/>
        </w:rPr>
      </w:pPr>
      <w:r>
        <w:rPr>
          <w:rFonts w:ascii="Arial" w:cs="Arial" w:eastAsia="Arial" w:hAnsi="Arial"/>
          <w:sz w:val="38"/>
          <w:szCs w:val="38"/>
          <w:color w:val="5F5F5F"/>
        </w:rPr>
        <w:t>Strong and growing market</w:t>
      </w:r>
    </w:p>
    <w:p>
      <w:pPr>
        <w:spacing w:after="0" w:line="384" w:lineRule="exact"/>
        <w:rPr>
          <w:rFonts w:ascii="Arial" w:cs="Arial" w:eastAsia="Arial" w:hAnsi="Arial"/>
          <w:sz w:val="38"/>
          <w:szCs w:val="38"/>
          <w:color w:val="5F5F5F"/>
        </w:rPr>
      </w:pPr>
    </w:p>
    <w:p>
      <w:pPr>
        <w:ind w:left="420" w:hanging="417"/>
        <w:spacing w:after="0"/>
        <w:tabs>
          <w:tab w:leader="none" w:pos="420" w:val="left"/>
        </w:tabs>
        <w:numPr>
          <w:ilvl w:val="0"/>
          <w:numId w:val="13"/>
        </w:numPr>
        <w:rPr>
          <w:rFonts w:ascii="Arial" w:cs="Arial" w:eastAsia="Arial" w:hAnsi="Arial"/>
          <w:sz w:val="38"/>
          <w:szCs w:val="38"/>
          <w:color w:val="5F5F5F"/>
        </w:rPr>
      </w:pPr>
      <w:r>
        <w:rPr>
          <w:rFonts w:ascii="Arial" w:cs="Arial" w:eastAsia="Arial" w:hAnsi="Arial"/>
          <w:sz w:val="38"/>
          <w:szCs w:val="38"/>
          <w:color w:val="5F5F5F"/>
        </w:rPr>
        <w:t>Clean balance sheet</w:t>
      </w:r>
    </w:p>
    <w:p>
      <w:pPr>
        <w:spacing w:after="0" w:line="384" w:lineRule="exact"/>
        <w:rPr>
          <w:rFonts w:ascii="Arial" w:cs="Arial" w:eastAsia="Arial" w:hAnsi="Arial"/>
          <w:sz w:val="38"/>
          <w:szCs w:val="38"/>
          <w:color w:val="5F5F5F"/>
        </w:rPr>
      </w:pPr>
    </w:p>
    <w:p>
      <w:pPr>
        <w:ind w:left="420" w:hanging="417"/>
        <w:spacing w:after="0"/>
        <w:tabs>
          <w:tab w:leader="none" w:pos="420" w:val="left"/>
        </w:tabs>
        <w:numPr>
          <w:ilvl w:val="0"/>
          <w:numId w:val="13"/>
        </w:numPr>
        <w:rPr>
          <w:rFonts w:ascii="Arial" w:cs="Arial" w:eastAsia="Arial" w:hAnsi="Arial"/>
          <w:sz w:val="38"/>
          <w:szCs w:val="38"/>
          <w:color w:val="5F5F5F"/>
        </w:rPr>
      </w:pPr>
      <w:r>
        <w:rPr>
          <w:rFonts w:ascii="Arial" w:cs="Arial" w:eastAsia="Arial" w:hAnsi="Arial"/>
          <w:sz w:val="38"/>
          <w:szCs w:val="38"/>
          <w:color w:val="5F5F5F"/>
        </w:rPr>
        <w:t>Positive free cash flow</w:t>
      </w:r>
    </w:p>
    <w:p>
      <w:pPr>
        <w:spacing w:after="0" w:line="396" w:lineRule="exact"/>
        <w:rPr>
          <w:rFonts w:ascii="Arial" w:cs="Arial" w:eastAsia="Arial" w:hAnsi="Arial"/>
          <w:sz w:val="38"/>
          <w:szCs w:val="38"/>
          <w:color w:val="5F5F5F"/>
        </w:rPr>
      </w:pPr>
    </w:p>
    <w:p>
      <w:pPr>
        <w:ind w:left="420" w:hanging="417"/>
        <w:spacing w:after="0"/>
        <w:tabs>
          <w:tab w:leader="none" w:pos="420" w:val="left"/>
        </w:tabs>
        <w:numPr>
          <w:ilvl w:val="0"/>
          <w:numId w:val="13"/>
        </w:numPr>
        <w:rPr>
          <w:rFonts w:ascii="Arial" w:cs="Arial" w:eastAsia="Arial" w:hAnsi="Arial"/>
          <w:sz w:val="38"/>
          <w:szCs w:val="38"/>
          <w:color w:val="5F5F5F"/>
        </w:rPr>
      </w:pPr>
      <w:r>
        <w:rPr>
          <w:rFonts w:ascii="Arial" w:cs="Arial" w:eastAsia="Arial" w:hAnsi="Arial"/>
          <w:sz w:val="38"/>
          <w:szCs w:val="38"/>
          <w:color w:val="5F5F5F"/>
        </w:rPr>
        <w:t>Long-term market share opportunities</w:t>
      </w:r>
    </w:p>
    <w:p>
      <w:pPr>
        <w:spacing w:after="0" w:line="384" w:lineRule="exact"/>
        <w:rPr>
          <w:rFonts w:ascii="Arial" w:cs="Arial" w:eastAsia="Arial" w:hAnsi="Arial"/>
          <w:sz w:val="38"/>
          <w:szCs w:val="38"/>
          <w:color w:val="5F5F5F"/>
        </w:rPr>
      </w:pPr>
    </w:p>
    <w:p>
      <w:pPr>
        <w:ind w:left="420" w:hanging="417"/>
        <w:spacing w:after="0"/>
        <w:tabs>
          <w:tab w:leader="none" w:pos="420" w:val="left"/>
        </w:tabs>
        <w:numPr>
          <w:ilvl w:val="0"/>
          <w:numId w:val="13"/>
        </w:numPr>
        <w:rPr>
          <w:rFonts w:ascii="Arial" w:cs="Arial" w:eastAsia="Arial" w:hAnsi="Arial"/>
          <w:sz w:val="38"/>
          <w:szCs w:val="38"/>
          <w:color w:val="5F5F5F"/>
        </w:rPr>
      </w:pPr>
      <w:r>
        <w:rPr>
          <w:rFonts w:ascii="Arial" w:cs="Arial" w:eastAsia="Arial" w:hAnsi="Arial"/>
          <w:sz w:val="38"/>
          <w:szCs w:val="38"/>
          <w:color w:val="5F5F5F"/>
        </w:rPr>
        <w:t>Accelerating financial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22</w:t>
      </w:r>
    </w:p>
    <w:p>
      <w:pPr>
        <w:sectPr>
          <w:pgSz w:w="11900" w:h="16838" w:orient="portrait"/>
          <w:cols w:equalWidth="0" w:num="1">
            <w:col w:w="9940"/>
          </w:cols>
          <w:pgMar w:left="1040" w:top="590" w:right="91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80"/>
        <w:spacing w:after="0"/>
        <w:rPr>
          <w:sz w:val="20"/>
          <w:szCs w:val="20"/>
          <w:color w:val="auto"/>
        </w:rPr>
      </w:pPr>
      <w:r>
        <w:rPr>
          <w:rFonts w:ascii="Arial" w:cs="Arial" w:eastAsia="Arial" w:hAnsi="Arial"/>
          <w:sz w:val="69"/>
          <w:szCs w:val="69"/>
          <w:b w:val="1"/>
          <w:bCs w:val="1"/>
          <w:color w:val="5F5F5F"/>
        </w:rPr>
        <w:t>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23</w:t>
      </w:r>
    </w:p>
    <w:p>
      <w:pPr>
        <w:sectPr>
          <w:pgSz w:w="11900" w:h="16838" w:orient="portrait"/>
          <w:cols w:equalWidth="0" w:num="1">
            <w:col w:w="9540"/>
          </w:cols>
          <w:pgMar w:left="1440" w:top="1440" w:right="919" w:bottom="1440" w:gutter="0" w:footer="0" w:header="0"/>
        </w:sectPr>
      </w:pPr>
    </w:p>
    <w:bookmarkStart w:id="27" w:name="page28"/>
    <w:bookmarkEnd w:id="27"/>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Sales and Gross Margin</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24</w:t>
      </w:r>
    </w:p>
    <w:p>
      <w:pPr>
        <w:sectPr>
          <w:pgSz w:w="11900" w:h="16838" w:orient="portrait"/>
          <w:cols w:equalWidth="0" w:num="1">
            <w:col w:w="10040"/>
          </w:cols>
          <w:pgMar w:left="940" w:top="531" w:right="919" w:bottom="1440" w:gutter="0" w:footer="0" w:header="0"/>
        </w:sectPr>
      </w:pPr>
    </w:p>
    <w:bookmarkStart w:id="28" w:name="page29"/>
    <w:bookmarkEnd w:id="28"/>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Expense Management</w:t>
      </w:r>
    </w:p>
    <w:p>
      <w:pPr>
        <w:spacing w:after="0" w:line="200" w:lineRule="exact"/>
        <w:rPr>
          <w:sz w:val="20"/>
          <w:szCs w:val="20"/>
          <w:color w:val="auto"/>
        </w:rPr>
      </w:pPr>
    </w:p>
    <w:p>
      <w:pPr>
        <w:spacing w:after="0" w:line="35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5F5F5F"/>
        </w:rPr>
        <w:t>(In millions)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5F5F5F"/>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80"/>
        <w:spacing w:after="0"/>
        <w:tabs>
          <w:tab w:leader="none" w:pos="6100" w:val="left"/>
        </w:tabs>
        <w:rPr>
          <w:sz w:val="20"/>
          <w:szCs w:val="20"/>
          <w:color w:val="auto"/>
        </w:rPr>
      </w:pPr>
      <w:r>
        <w:rPr>
          <w:rFonts w:ascii="Arial" w:cs="Arial" w:eastAsia="Arial" w:hAnsi="Arial"/>
          <w:sz w:val="22"/>
          <w:szCs w:val="22"/>
          <w:b w:val="1"/>
          <w:bCs w:val="1"/>
          <w:color w:val="5F5F5F"/>
        </w:rPr>
        <w:t>SG&amp;A</w:t>
      </w:r>
      <w:r>
        <w:rPr>
          <w:sz w:val="20"/>
          <w:szCs w:val="20"/>
          <w:color w:val="auto"/>
        </w:rPr>
        <w:tab/>
      </w:r>
      <w:r>
        <w:rPr>
          <w:rFonts w:ascii="Arial" w:cs="Arial" w:eastAsia="Arial" w:hAnsi="Arial"/>
          <w:sz w:val="22"/>
          <w:szCs w:val="22"/>
          <w:b w:val="1"/>
          <w:bCs w:val="1"/>
          <w:color w:val="5F5F5F"/>
        </w:rPr>
        <w:t>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25</w:t>
      </w:r>
    </w:p>
    <w:p>
      <w:pPr>
        <w:sectPr>
          <w:pgSz w:w="11900" w:h="16838" w:orient="portrait"/>
          <w:cols w:equalWidth="0" w:num="1">
            <w:col w:w="10040"/>
          </w:cols>
          <w:pgMar w:left="940" w:top="625" w:right="919" w:bottom="1440" w:gutter="0" w:footer="0" w:header="0"/>
        </w:sectPr>
      </w:pPr>
    </w:p>
    <w:bookmarkStart w:id="29" w:name="page30"/>
    <w:bookmarkEnd w:id="29"/>
    <w:p>
      <w:pPr>
        <w:ind w:left="2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20"/>
                <w:szCs w:val="20"/>
                <w:color w:val="auto"/>
              </w:rPr>
            </w:pPr>
            <w:r>
              <w:rPr>
                <w:rFonts w:ascii="Arial" w:cs="Arial" w:eastAsia="Arial" w:hAnsi="Arial"/>
                <w:sz w:val="19"/>
                <w:szCs w:val="19"/>
                <w:b w:val="1"/>
                <w:bCs w:val="1"/>
                <w:color w:val="5F5F5F"/>
              </w:rPr>
              <w:t>Free cash flow is defined as cash flow from operating activities, less</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60" w:type="dxa"/>
            <w:vAlign w:val="bottom"/>
          </w:tcPr>
          <w:p>
            <w:pPr>
              <w:spacing w:after="0"/>
              <w:rPr>
                <w:sz w:val="20"/>
                <w:szCs w:val="20"/>
                <w:color w:val="auto"/>
              </w:rPr>
            </w:pPr>
            <w:r>
              <w:rPr>
                <w:rFonts w:ascii="Arial" w:cs="Arial" w:eastAsia="Arial" w:hAnsi="Arial"/>
                <w:sz w:val="19"/>
                <w:szCs w:val="19"/>
                <w:b w:val="1"/>
                <w:bCs w:val="1"/>
                <w:color w:val="5F5F5F"/>
              </w:rPr>
              <w:t>capital expenditures and discretionary store asset acquisitions.</w:t>
            </w:r>
          </w:p>
        </w:tc>
        <w:tc>
          <w:tcPr>
            <w:tcW w:w="2160" w:type="dxa"/>
            <w:vAlign w:val="bottom"/>
            <w:vMerge w:val="restart"/>
          </w:tcPr>
          <w:p>
            <w:pPr>
              <w:jc w:val="right"/>
              <w:spacing w:after="0"/>
              <w:rPr>
                <w:sz w:val="20"/>
                <w:szCs w:val="20"/>
                <w:color w:val="auto"/>
              </w:rPr>
            </w:pPr>
            <w:r>
              <w:rPr>
                <w:rFonts w:ascii="Arial" w:cs="Arial" w:eastAsia="Arial" w:hAnsi="Arial"/>
                <w:sz w:val="19"/>
                <w:szCs w:val="19"/>
                <w:color w:val="898989"/>
              </w:rPr>
              <w:t>26</w:t>
            </w:r>
          </w:p>
        </w:tc>
        <w:tc>
          <w:tcPr>
            <w:tcW w:w="0" w:type="dxa"/>
            <w:vAlign w:val="bottom"/>
          </w:tcPr>
          <w:p>
            <w:pPr>
              <w:spacing w:after="0"/>
              <w:rPr>
                <w:sz w:val="1"/>
                <w:szCs w:val="1"/>
                <w:color w:val="auto"/>
              </w:rPr>
            </w:pPr>
          </w:p>
        </w:tc>
      </w:tr>
      <w:tr>
        <w:trPr>
          <w:trHeight w:val="59"/>
        </w:trPr>
        <w:tc>
          <w:tcPr>
            <w:tcW w:w="806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760" w:top="590" w:right="919" w:bottom="1440" w:gutter="0" w:footer="0" w:header="0"/>
        </w:sectPr>
      </w:pPr>
    </w:p>
    <w:bookmarkStart w:id="30" w:name="page31"/>
    <w:bookmarkEnd w:id="30"/>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Balance Sheet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20" w:type="dxa"/>
        <w:tblCellMar>
          <w:top w:w="0" w:type="dxa"/>
          <w:left w:w="0" w:type="dxa"/>
          <w:bottom w:w="0" w:type="dxa"/>
          <w:right w:w="0" w:type="dxa"/>
        </w:tblCellMar>
      </w:tblPr>
      <w:tr>
        <w:trPr>
          <w:trHeight w:val="375"/>
        </w:trPr>
        <w:tc>
          <w:tcPr>
            <w:tcW w:w="1900" w:type="dxa"/>
            <w:vAlign w:val="bottom"/>
          </w:tcPr>
          <w:p>
            <w:pPr>
              <w:spacing w:after="0"/>
              <w:rPr>
                <w:sz w:val="24"/>
                <w:szCs w:val="24"/>
                <w:color w:val="auto"/>
              </w:rPr>
            </w:pPr>
          </w:p>
        </w:tc>
        <w:tc>
          <w:tcPr>
            <w:tcW w:w="1740" w:type="dxa"/>
            <w:vAlign w:val="bottom"/>
          </w:tcPr>
          <w:p>
            <w:pPr>
              <w:jc w:val="right"/>
              <w:ind w:right="522"/>
              <w:spacing w:after="0"/>
              <w:rPr>
                <w:sz w:val="20"/>
                <w:szCs w:val="20"/>
                <w:color w:val="auto"/>
              </w:rPr>
            </w:pPr>
            <w:r>
              <w:rPr>
                <w:rFonts w:ascii="Arial" w:cs="Arial" w:eastAsia="Arial" w:hAnsi="Arial"/>
                <w:sz w:val="32"/>
                <w:szCs w:val="32"/>
                <w:b w:val="1"/>
                <w:bCs w:val="1"/>
                <w:i w:val="1"/>
                <w:iCs w:val="1"/>
                <w:color w:val="5F5F5F"/>
              </w:rPr>
              <w:t>2010</w:t>
            </w: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5"/>
        </w:trPr>
        <w:tc>
          <w:tcPr>
            <w:tcW w:w="1900" w:type="dxa"/>
            <w:vAlign w:val="bottom"/>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32"/>
                <w:szCs w:val="32"/>
                <w:b w:val="1"/>
                <w:bCs w:val="1"/>
                <w:i w:val="1"/>
                <w:iCs w:val="1"/>
                <w:color w:val="5F5F5F"/>
              </w:rPr>
              <w:t>Projected</w:t>
            </w: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9"/>
        </w:trPr>
        <w:tc>
          <w:tcPr>
            <w:tcW w:w="1900" w:type="dxa"/>
            <w:vAlign w:val="bottom"/>
          </w:tcPr>
          <w:p>
            <w:pPr>
              <w:spacing w:after="0"/>
              <w:rPr>
                <w:sz w:val="24"/>
                <w:szCs w:val="24"/>
                <w:color w:val="auto"/>
              </w:rPr>
            </w:pPr>
          </w:p>
        </w:tc>
        <w:tc>
          <w:tcPr>
            <w:tcW w:w="1740" w:type="dxa"/>
            <w:vAlign w:val="bottom"/>
          </w:tcPr>
          <w:p>
            <w:pPr>
              <w:ind w:left="100"/>
              <w:spacing w:after="0"/>
              <w:rPr>
                <w:sz w:val="20"/>
                <w:szCs w:val="20"/>
                <w:color w:val="auto"/>
              </w:rPr>
            </w:pPr>
            <w:r>
              <w:rPr>
                <w:rFonts w:ascii="Arial" w:cs="Arial" w:eastAsia="Arial" w:hAnsi="Arial"/>
                <w:sz w:val="32"/>
                <w:szCs w:val="32"/>
                <w:b w:val="1"/>
                <w:bCs w:val="1"/>
                <w:i w:val="1"/>
                <w:iCs w:val="1"/>
                <w:color w:val="5F5F5F"/>
              </w:rPr>
              <w:t>Year End</w:t>
            </w:r>
          </w:p>
        </w:tc>
        <w:tc>
          <w:tcPr>
            <w:tcW w:w="1520" w:type="dxa"/>
            <w:vAlign w:val="bottom"/>
          </w:tcPr>
          <w:p>
            <w:pPr>
              <w:jc w:val="right"/>
              <w:ind w:right="370"/>
              <w:spacing w:after="0"/>
              <w:rPr>
                <w:sz w:val="20"/>
                <w:szCs w:val="20"/>
                <w:color w:val="auto"/>
              </w:rPr>
            </w:pPr>
            <w:r>
              <w:rPr>
                <w:rFonts w:ascii="Arial" w:cs="Arial" w:eastAsia="Arial" w:hAnsi="Arial"/>
                <w:sz w:val="32"/>
                <w:szCs w:val="32"/>
                <w:b w:val="1"/>
                <w:bCs w:val="1"/>
                <w:i w:val="1"/>
                <w:iCs w:val="1"/>
                <w:color w:val="5F5F5F"/>
              </w:rPr>
              <w:t>2009</w:t>
            </w:r>
          </w:p>
        </w:tc>
        <w:tc>
          <w:tcPr>
            <w:tcW w:w="1700" w:type="dxa"/>
            <w:vAlign w:val="bottom"/>
          </w:tcPr>
          <w:p>
            <w:pPr>
              <w:jc w:val="right"/>
              <w:ind w:right="330"/>
              <w:spacing w:after="0"/>
              <w:rPr>
                <w:sz w:val="20"/>
                <w:szCs w:val="20"/>
                <w:color w:val="auto"/>
              </w:rPr>
            </w:pPr>
            <w:r>
              <w:rPr>
                <w:rFonts w:ascii="Arial" w:cs="Arial" w:eastAsia="Arial" w:hAnsi="Arial"/>
                <w:sz w:val="32"/>
                <w:szCs w:val="32"/>
                <w:b w:val="1"/>
                <w:bCs w:val="1"/>
                <w:i w:val="1"/>
                <w:iCs w:val="1"/>
                <w:color w:val="5F5F5F"/>
              </w:rPr>
              <w:t>2008</w:t>
            </w:r>
          </w:p>
        </w:tc>
        <w:tc>
          <w:tcPr>
            <w:tcW w:w="1380" w:type="dxa"/>
            <w:vAlign w:val="bottom"/>
          </w:tcPr>
          <w:p>
            <w:pPr>
              <w:jc w:val="right"/>
              <w:spacing w:after="0"/>
              <w:rPr>
                <w:sz w:val="20"/>
                <w:szCs w:val="20"/>
                <w:color w:val="auto"/>
              </w:rPr>
            </w:pPr>
            <w:r>
              <w:rPr>
                <w:rFonts w:ascii="Arial" w:cs="Arial" w:eastAsia="Arial" w:hAnsi="Arial"/>
                <w:sz w:val="32"/>
                <w:szCs w:val="32"/>
                <w:b w:val="1"/>
                <w:bCs w:val="1"/>
                <w:i w:val="1"/>
                <w:iCs w:val="1"/>
                <w:color w:val="5F5F5F"/>
              </w:rPr>
              <w:t>2007</w:t>
            </w:r>
          </w:p>
        </w:tc>
      </w:tr>
      <w:tr>
        <w:trPr>
          <w:trHeight w:val="649"/>
        </w:trPr>
        <w:tc>
          <w:tcPr>
            <w:tcW w:w="1900" w:type="dxa"/>
            <w:vAlign w:val="bottom"/>
          </w:tcPr>
          <w:p>
            <w:pPr>
              <w:jc w:val="center"/>
              <w:ind w:right="57"/>
              <w:spacing w:after="0"/>
              <w:rPr>
                <w:sz w:val="20"/>
                <w:szCs w:val="20"/>
                <w:color w:val="auto"/>
              </w:rPr>
            </w:pPr>
            <w:r>
              <w:rPr>
                <w:rFonts w:ascii="Arial" w:cs="Arial" w:eastAsia="Arial" w:hAnsi="Arial"/>
                <w:sz w:val="25"/>
                <w:szCs w:val="25"/>
                <w:b w:val="1"/>
                <w:bCs w:val="1"/>
                <w:color w:val="5F5F5F"/>
                <w:w w:val="99"/>
              </w:rPr>
              <w:t>Inventory</w:t>
            </w:r>
          </w:p>
        </w:tc>
        <w:tc>
          <w:tcPr>
            <w:tcW w:w="1740" w:type="dxa"/>
            <w:vAlign w:val="bottom"/>
          </w:tcPr>
          <w:p>
            <w:pPr>
              <w:jc w:val="center"/>
              <w:ind w:right="222"/>
              <w:spacing w:after="0"/>
              <w:rPr>
                <w:sz w:val="20"/>
                <w:szCs w:val="20"/>
                <w:color w:val="auto"/>
              </w:rPr>
            </w:pPr>
            <w:r>
              <w:rPr>
                <w:rFonts w:ascii="Arial" w:cs="Arial" w:eastAsia="Arial" w:hAnsi="Arial"/>
                <w:sz w:val="25"/>
                <w:szCs w:val="25"/>
                <w:b w:val="1"/>
                <w:bCs w:val="1"/>
                <w:color w:val="5F5F5F"/>
                <w:w w:val="98"/>
              </w:rPr>
              <w:t>$85.0M</w:t>
            </w:r>
          </w:p>
        </w:tc>
        <w:tc>
          <w:tcPr>
            <w:tcW w:w="1520" w:type="dxa"/>
            <w:vAlign w:val="bottom"/>
          </w:tcPr>
          <w:p>
            <w:pPr>
              <w:jc w:val="center"/>
              <w:ind w:right="90"/>
              <w:spacing w:after="0"/>
              <w:rPr>
                <w:sz w:val="20"/>
                <w:szCs w:val="20"/>
                <w:color w:val="auto"/>
              </w:rPr>
            </w:pPr>
            <w:r>
              <w:rPr>
                <w:rFonts w:ascii="Arial" w:cs="Arial" w:eastAsia="Arial" w:hAnsi="Arial"/>
                <w:sz w:val="25"/>
                <w:szCs w:val="25"/>
                <w:b w:val="1"/>
                <w:bCs w:val="1"/>
                <w:color w:val="5F5F5F"/>
                <w:w w:val="98"/>
              </w:rPr>
              <w:t>$90.0M</w:t>
            </w:r>
          </w:p>
        </w:tc>
        <w:tc>
          <w:tcPr>
            <w:tcW w:w="1700" w:type="dxa"/>
            <w:vAlign w:val="bottom"/>
          </w:tcPr>
          <w:p>
            <w:pPr>
              <w:jc w:val="center"/>
              <w:spacing w:after="0"/>
              <w:rPr>
                <w:sz w:val="20"/>
                <w:szCs w:val="20"/>
                <w:color w:val="auto"/>
              </w:rPr>
            </w:pPr>
            <w:r>
              <w:rPr>
                <w:rFonts w:ascii="Arial" w:cs="Arial" w:eastAsia="Arial" w:hAnsi="Arial"/>
                <w:sz w:val="25"/>
                <w:szCs w:val="25"/>
                <w:b w:val="1"/>
                <w:bCs w:val="1"/>
                <w:color w:val="5F5F5F"/>
              </w:rPr>
              <w:t>$98.6M</w:t>
            </w:r>
          </w:p>
        </w:tc>
        <w:tc>
          <w:tcPr>
            <w:tcW w:w="1380" w:type="dxa"/>
            <w:vAlign w:val="bottom"/>
          </w:tcPr>
          <w:p>
            <w:pPr>
              <w:jc w:val="center"/>
              <w:ind w:left="290"/>
              <w:spacing w:after="0"/>
              <w:rPr>
                <w:sz w:val="20"/>
                <w:szCs w:val="20"/>
                <w:color w:val="auto"/>
              </w:rPr>
            </w:pPr>
            <w:r>
              <w:rPr>
                <w:rFonts w:ascii="Arial" w:cs="Arial" w:eastAsia="Arial" w:hAnsi="Arial"/>
                <w:sz w:val="25"/>
                <w:szCs w:val="25"/>
                <w:b w:val="1"/>
                <w:bCs w:val="1"/>
                <w:color w:val="5F5F5F"/>
                <w:w w:val="98"/>
              </w:rPr>
              <w:t>$117.8M</w:t>
            </w:r>
          </w:p>
        </w:tc>
      </w:tr>
      <w:tr>
        <w:trPr>
          <w:trHeight w:val="377"/>
        </w:trPr>
        <w:tc>
          <w:tcPr>
            <w:tcW w:w="1900" w:type="dxa"/>
            <w:vAlign w:val="bottom"/>
          </w:tcPr>
          <w:p>
            <w:pPr>
              <w:jc w:val="center"/>
              <w:ind w:right="17"/>
              <w:spacing w:after="0"/>
              <w:rPr>
                <w:sz w:val="20"/>
                <w:szCs w:val="20"/>
                <w:color w:val="auto"/>
              </w:rPr>
            </w:pPr>
            <w:r>
              <w:rPr>
                <w:rFonts w:ascii="Arial" w:cs="Arial" w:eastAsia="Arial" w:hAnsi="Arial"/>
                <w:sz w:val="25"/>
                <w:szCs w:val="25"/>
                <w:b w:val="1"/>
                <w:bCs w:val="1"/>
                <w:color w:val="5F5F5F"/>
                <w:w w:val="99"/>
              </w:rPr>
              <w:t>Borrowing</w:t>
            </w: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27"/>
        </w:trPr>
        <w:tc>
          <w:tcPr>
            <w:tcW w:w="1900" w:type="dxa"/>
            <w:vAlign w:val="bottom"/>
          </w:tcPr>
          <w:p>
            <w:pPr>
              <w:jc w:val="center"/>
              <w:spacing w:after="0"/>
              <w:rPr>
                <w:sz w:val="20"/>
                <w:szCs w:val="20"/>
                <w:color w:val="auto"/>
              </w:rPr>
            </w:pPr>
            <w:r>
              <w:rPr>
                <w:rFonts w:ascii="Arial" w:cs="Arial" w:eastAsia="Arial" w:hAnsi="Arial"/>
                <w:sz w:val="25"/>
                <w:szCs w:val="25"/>
                <w:b w:val="1"/>
                <w:bCs w:val="1"/>
                <w:color w:val="5F5F5F"/>
                <w:w w:val="97"/>
              </w:rPr>
              <w:t>under revolver</w:t>
            </w:r>
          </w:p>
        </w:tc>
        <w:tc>
          <w:tcPr>
            <w:tcW w:w="1740" w:type="dxa"/>
            <w:vAlign w:val="bottom"/>
          </w:tcPr>
          <w:p>
            <w:pPr>
              <w:jc w:val="center"/>
              <w:ind w:right="222"/>
              <w:spacing w:after="0"/>
              <w:rPr>
                <w:sz w:val="20"/>
                <w:szCs w:val="20"/>
                <w:color w:val="auto"/>
              </w:rPr>
            </w:pPr>
            <w:r>
              <w:rPr>
                <w:rFonts w:ascii="Arial" w:cs="Arial" w:eastAsia="Arial" w:hAnsi="Arial"/>
                <w:sz w:val="25"/>
                <w:szCs w:val="25"/>
                <w:b w:val="1"/>
                <w:bCs w:val="1"/>
                <w:color w:val="5F5F5F"/>
              </w:rPr>
              <w:t>0</w:t>
            </w:r>
          </w:p>
        </w:tc>
        <w:tc>
          <w:tcPr>
            <w:tcW w:w="1520" w:type="dxa"/>
            <w:vAlign w:val="bottom"/>
          </w:tcPr>
          <w:p>
            <w:pPr>
              <w:jc w:val="center"/>
              <w:ind w:right="110"/>
              <w:spacing w:after="0"/>
              <w:rPr>
                <w:sz w:val="20"/>
                <w:szCs w:val="20"/>
                <w:color w:val="auto"/>
              </w:rPr>
            </w:pPr>
            <w:r>
              <w:rPr>
                <w:rFonts w:ascii="Arial" w:cs="Arial" w:eastAsia="Arial" w:hAnsi="Arial"/>
                <w:sz w:val="25"/>
                <w:szCs w:val="25"/>
                <w:b w:val="1"/>
                <w:bCs w:val="1"/>
                <w:color w:val="5F5F5F"/>
                <w:w w:val="97"/>
              </w:rPr>
              <w:t>$3.5M</w:t>
            </w:r>
          </w:p>
        </w:tc>
        <w:tc>
          <w:tcPr>
            <w:tcW w:w="1700" w:type="dxa"/>
            <w:vAlign w:val="bottom"/>
          </w:tcPr>
          <w:p>
            <w:pPr>
              <w:jc w:val="center"/>
              <w:spacing w:after="0"/>
              <w:rPr>
                <w:sz w:val="20"/>
                <w:szCs w:val="20"/>
                <w:color w:val="auto"/>
              </w:rPr>
            </w:pPr>
            <w:r>
              <w:rPr>
                <w:rFonts w:ascii="Arial" w:cs="Arial" w:eastAsia="Arial" w:hAnsi="Arial"/>
                <w:sz w:val="25"/>
                <w:szCs w:val="25"/>
                <w:b w:val="1"/>
                <w:bCs w:val="1"/>
                <w:color w:val="5F5F5F"/>
              </w:rPr>
              <w:t>$38.7M</w:t>
            </w:r>
          </w:p>
        </w:tc>
        <w:tc>
          <w:tcPr>
            <w:tcW w:w="1380" w:type="dxa"/>
            <w:vAlign w:val="bottom"/>
          </w:tcPr>
          <w:p>
            <w:pPr>
              <w:jc w:val="center"/>
              <w:ind w:left="270"/>
              <w:spacing w:after="0"/>
              <w:rPr>
                <w:sz w:val="20"/>
                <w:szCs w:val="20"/>
                <w:color w:val="auto"/>
              </w:rPr>
            </w:pPr>
            <w:r>
              <w:rPr>
                <w:rFonts w:ascii="Arial" w:cs="Arial" w:eastAsia="Arial" w:hAnsi="Arial"/>
                <w:sz w:val="25"/>
                <w:szCs w:val="25"/>
                <w:b w:val="1"/>
                <w:bCs w:val="1"/>
                <w:color w:val="5F5F5F"/>
                <w:w w:val="98"/>
              </w:rPr>
              <w:t>$41.0M</w:t>
            </w:r>
          </w:p>
        </w:tc>
      </w:tr>
      <w:tr>
        <w:trPr>
          <w:trHeight w:val="681"/>
        </w:trPr>
        <w:tc>
          <w:tcPr>
            <w:tcW w:w="1900" w:type="dxa"/>
            <w:vAlign w:val="bottom"/>
          </w:tcPr>
          <w:p>
            <w:pPr>
              <w:jc w:val="center"/>
              <w:spacing w:after="0"/>
              <w:rPr>
                <w:sz w:val="20"/>
                <w:szCs w:val="20"/>
                <w:color w:val="auto"/>
              </w:rPr>
            </w:pPr>
            <w:r>
              <w:rPr>
                <w:rFonts w:ascii="Arial" w:cs="Arial" w:eastAsia="Arial" w:hAnsi="Arial"/>
                <w:sz w:val="25"/>
                <w:szCs w:val="25"/>
                <w:b w:val="1"/>
                <w:bCs w:val="1"/>
                <w:color w:val="5F5F5F"/>
                <w:w w:val="99"/>
              </w:rPr>
              <w:t>Cash on hand</w:t>
            </w:r>
          </w:p>
        </w:tc>
        <w:tc>
          <w:tcPr>
            <w:tcW w:w="1740" w:type="dxa"/>
            <w:vAlign w:val="bottom"/>
          </w:tcPr>
          <w:p>
            <w:pPr>
              <w:jc w:val="center"/>
              <w:ind w:right="182"/>
              <w:spacing w:after="0"/>
              <w:rPr>
                <w:sz w:val="20"/>
                <w:szCs w:val="20"/>
                <w:color w:val="auto"/>
              </w:rPr>
            </w:pPr>
            <w:r>
              <w:rPr>
                <w:rFonts w:ascii="Arial" w:cs="Arial" w:eastAsia="Arial" w:hAnsi="Arial"/>
                <w:sz w:val="25"/>
                <w:szCs w:val="25"/>
                <w:b w:val="1"/>
                <w:bCs w:val="1"/>
                <w:color w:val="5F5F5F"/>
                <w:w w:val="99"/>
              </w:rPr>
              <w:t>$10-15M</w:t>
            </w:r>
          </w:p>
        </w:tc>
        <w:tc>
          <w:tcPr>
            <w:tcW w:w="1520" w:type="dxa"/>
            <w:vAlign w:val="bottom"/>
          </w:tcPr>
          <w:p>
            <w:pPr>
              <w:jc w:val="center"/>
              <w:ind w:right="90"/>
              <w:spacing w:after="0"/>
              <w:rPr>
                <w:sz w:val="20"/>
                <w:szCs w:val="20"/>
                <w:color w:val="auto"/>
              </w:rPr>
            </w:pPr>
            <w:r>
              <w:rPr>
                <w:rFonts w:ascii="Arial" w:cs="Arial" w:eastAsia="Arial" w:hAnsi="Arial"/>
                <w:sz w:val="25"/>
                <w:szCs w:val="25"/>
                <w:b w:val="1"/>
                <w:bCs w:val="1"/>
                <w:color w:val="5F5F5F"/>
              </w:rPr>
              <w:t>0</w:t>
            </w:r>
          </w:p>
        </w:tc>
        <w:tc>
          <w:tcPr>
            <w:tcW w:w="1700" w:type="dxa"/>
            <w:vAlign w:val="bottom"/>
          </w:tcPr>
          <w:p>
            <w:pPr>
              <w:jc w:val="center"/>
              <w:spacing w:after="0"/>
              <w:rPr>
                <w:sz w:val="20"/>
                <w:szCs w:val="20"/>
                <w:color w:val="auto"/>
              </w:rPr>
            </w:pPr>
            <w:r>
              <w:rPr>
                <w:rFonts w:ascii="Arial" w:cs="Arial" w:eastAsia="Arial" w:hAnsi="Arial"/>
                <w:sz w:val="25"/>
                <w:szCs w:val="25"/>
                <w:b w:val="1"/>
                <w:bCs w:val="1"/>
                <w:color w:val="5F5F5F"/>
              </w:rPr>
              <w:t>0</w:t>
            </w:r>
          </w:p>
        </w:tc>
        <w:tc>
          <w:tcPr>
            <w:tcW w:w="1380" w:type="dxa"/>
            <w:vAlign w:val="bottom"/>
          </w:tcPr>
          <w:p>
            <w:pPr>
              <w:jc w:val="center"/>
              <w:ind w:left="270"/>
              <w:spacing w:after="0"/>
              <w:rPr>
                <w:sz w:val="20"/>
                <w:szCs w:val="20"/>
                <w:color w:val="auto"/>
              </w:rPr>
            </w:pPr>
            <w:r>
              <w:rPr>
                <w:rFonts w:ascii="Arial" w:cs="Arial" w:eastAsia="Arial" w:hAnsi="Arial"/>
                <w:sz w:val="25"/>
                <w:szCs w:val="25"/>
                <w:b w:val="1"/>
                <w:bCs w:val="1"/>
                <w:color w:val="5F5F5F"/>
              </w:rPr>
              <w:t>0</w:t>
            </w:r>
          </w:p>
        </w:tc>
      </w:tr>
      <w:tr>
        <w:trPr>
          <w:trHeight w:val="645"/>
        </w:trPr>
        <w:tc>
          <w:tcPr>
            <w:tcW w:w="1900" w:type="dxa"/>
            <w:vAlign w:val="bottom"/>
          </w:tcPr>
          <w:p>
            <w:pPr>
              <w:jc w:val="center"/>
              <w:spacing w:after="0"/>
              <w:rPr>
                <w:sz w:val="20"/>
                <w:szCs w:val="20"/>
                <w:color w:val="auto"/>
              </w:rPr>
            </w:pPr>
            <w:r>
              <w:rPr>
                <w:rFonts w:ascii="Arial" w:cs="Arial" w:eastAsia="Arial" w:hAnsi="Arial"/>
                <w:sz w:val="25"/>
                <w:szCs w:val="25"/>
                <w:b w:val="1"/>
                <w:bCs w:val="1"/>
                <w:color w:val="5F5F5F"/>
                <w:w w:val="98"/>
              </w:rPr>
              <w:t>Fixed term loan</w:t>
            </w:r>
          </w:p>
        </w:tc>
        <w:tc>
          <w:tcPr>
            <w:tcW w:w="1740" w:type="dxa"/>
            <w:vAlign w:val="bottom"/>
          </w:tcPr>
          <w:p>
            <w:pPr>
              <w:jc w:val="center"/>
              <w:ind w:right="202"/>
              <w:spacing w:after="0"/>
              <w:rPr>
                <w:sz w:val="20"/>
                <w:szCs w:val="20"/>
                <w:color w:val="auto"/>
              </w:rPr>
            </w:pPr>
            <w:r>
              <w:rPr>
                <w:rFonts w:ascii="Arial" w:cs="Arial" w:eastAsia="Arial" w:hAnsi="Arial"/>
                <w:sz w:val="25"/>
                <w:szCs w:val="25"/>
                <w:b w:val="1"/>
                <w:bCs w:val="1"/>
                <w:color w:val="5F5F5F"/>
                <w:w w:val="97"/>
              </w:rPr>
              <w:t>$3.0M</w:t>
            </w:r>
          </w:p>
        </w:tc>
        <w:tc>
          <w:tcPr>
            <w:tcW w:w="1520" w:type="dxa"/>
            <w:vAlign w:val="bottom"/>
          </w:tcPr>
          <w:p>
            <w:pPr>
              <w:jc w:val="center"/>
              <w:ind w:right="110"/>
              <w:spacing w:after="0"/>
              <w:rPr>
                <w:sz w:val="20"/>
                <w:szCs w:val="20"/>
                <w:color w:val="auto"/>
              </w:rPr>
            </w:pPr>
            <w:r>
              <w:rPr>
                <w:rFonts w:ascii="Arial" w:cs="Arial" w:eastAsia="Arial" w:hAnsi="Arial"/>
                <w:sz w:val="25"/>
                <w:szCs w:val="25"/>
                <w:b w:val="1"/>
                <w:bCs w:val="1"/>
                <w:color w:val="5F5F5F"/>
                <w:w w:val="97"/>
              </w:rPr>
              <w:t>$7.6M</w:t>
            </w:r>
          </w:p>
        </w:tc>
        <w:tc>
          <w:tcPr>
            <w:tcW w:w="1700" w:type="dxa"/>
            <w:vAlign w:val="bottom"/>
          </w:tcPr>
          <w:p>
            <w:pPr>
              <w:jc w:val="center"/>
              <w:spacing w:after="0"/>
              <w:rPr>
                <w:sz w:val="20"/>
                <w:szCs w:val="20"/>
                <w:color w:val="auto"/>
              </w:rPr>
            </w:pPr>
            <w:r>
              <w:rPr>
                <w:rFonts w:ascii="Arial" w:cs="Arial" w:eastAsia="Arial" w:hAnsi="Arial"/>
                <w:sz w:val="25"/>
                <w:szCs w:val="25"/>
                <w:b w:val="1"/>
                <w:bCs w:val="1"/>
                <w:color w:val="5F5F5F"/>
              </w:rPr>
              <w:t>$12.5M</w:t>
            </w:r>
          </w:p>
        </w:tc>
        <w:tc>
          <w:tcPr>
            <w:tcW w:w="1380" w:type="dxa"/>
            <w:vAlign w:val="bottom"/>
          </w:tcPr>
          <w:p>
            <w:pPr>
              <w:jc w:val="center"/>
              <w:ind w:left="270"/>
              <w:spacing w:after="0"/>
              <w:rPr>
                <w:sz w:val="20"/>
                <w:szCs w:val="20"/>
                <w:color w:val="auto"/>
              </w:rPr>
            </w:pPr>
            <w:r>
              <w:rPr>
                <w:rFonts w:ascii="Arial" w:cs="Arial" w:eastAsia="Arial" w:hAnsi="Arial"/>
                <w:sz w:val="25"/>
                <w:szCs w:val="25"/>
                <w:b w:val="1"/>
                <w:bCs w:val="1"/>
                <w:color w:val="5F5F5F"/>
                <w:w w:val="98"/>
              </w:rPr>
              <w:t>$17.3M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27</w:t>
      </w:r>
    </w:p>
    <w:p>
      <w:pPr>
        <w:sectPr>
          <w:pgSz w:w="11900" w:h="16838" w:orient="portrait"/>
          <w:cols w:equalWidth="0" w:num="1">
            <w:col w:w="10040"/>
          </w:cols>
          <w:pgMar w:left="940" w:top="613" w:right="919" w:bottom="1440" w:gutter="0" w:footer="0" w:header="0"/>
        </w:sectPr>
      </w:pPr>
    </w:p>
    <w:bookmarkStart w:id="31" w:name="page32"/>
    <w:bookmarkEnd w:id="31"/>
    <w:p>
      <w:pPr>
        <w:spacing w:after="0" w:line="286" w:lineRule="auto"/>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t>Strong Capital Structure to Support Growth</w:t>
      </w:r>
    </w:p>
    <w:p>
      <w:pPr>
        <w:spacing w:after="0" w:line="159" w:lineRule="exact"/>
        <w:rPr>
          <w:sz w:val="20"/>
          <w:szCs w:val="20"/>
          <w:color w:val="auto"/>
        </w:rPr>
      </w:pPr>
    </w:p>
    <w:p>
      <w:pPr>
        <w:ind w:left="420" w:right="80" w:hanging="417"/>
        <w:spacing w:after="0" w:line="220" w:lineRule="auto"/>
        <w:tabs>
          <w:tab w:leader="none" w:pos="420" w:val="left"/>
        </w:tabs>
        <w:numPr>
          <w:ilvl w:val="0"/>
          <w:numId w:val="14"/>
        </w:numPr>
        <w:rPr>
          <w:rFonts w:ascii="Arial" w:cs="Arial" w:eastAsia="Arial" w:hAnsi="Arial"/>
          <w:sz w:val="38"/>
          <w:szCs w:val="38"/>
          <w:color w:val="5F5F5F"/>
        </w:rPr>
      </w:pPr>
      <w:r>
        <w:rPr>
          <w:rFonts w:ascii="Arial" w:cs="Arial" w:eastAsia="Arial" w:hAnsi="Arial"/>
          <w:sz w:val="38"/>
          <w:szCs w:val="38"/>
          <w:color w:val="5F5F5F"/>
        </w:rPr>
        <w:t>Current $110M loan facility expires October 2011; $57.8M available at end of 2009</w:t>
      </w:r>
    </w:p>
    <w:p>
      <w:pPr>
        <w:spacing w:after="0" w:line="90" w:lineRule="exact"/>
        <w:rPr>
          <w:rFonts w:ascii="Arial" w:cs="Arial" w:eastAsia="Arial" w:hAnsi="Arial"/>
          <w:sz w:val="38"/>
          <w:szCs w:val="38"/>
          <w:color w:val="5F5F5F"/>
        </w:rPr>
      </w:pPr>
    </w:p>
    <w:p>
      <w:pPr>
        <w:ind w:left="420" w:right="1060" w:hanging="417"/>
        <w:spacing w:after="0" w:line="223" w:lineRule="auto"/>
        <w:tabs>
          <w:tab w:leader="none" w:pos="420" w:val="left"/>
        </w:tabs>
        <w:numPr>
          <w:ilvl w:val="0"/>
          <w:numId w:val="14"/>
        </w:numPr>
        <w:rPr>
          <w:rFonts w:ascii="Arial" w:cs="Arial" w:eastAsia="Arial" w:hAnsi="Arial"/>
          <w:sz w:val="38"/>
          <w:szCs w:val="38"/>
          <w:color w:val="5F5F5F"/>
        </w:rPr>
      </w:pPr>
      <w:r>
        <w:rPr>
          <w:rFonts w:ascii="Arial" w:cs="Arial" w:eastAsia="Arial" w:hAnsi="Arial"/>
          <w:sz w:val="38"/>
          <w:szCs w:val="38"/>
          <w:color w:val="5F5F5F"/>
        </w:rPr>
        <w:t>Expect to be debt free in 2010 with credit availability approaching $70M</w:t>
      </w:r>
    </w:p>
    <w:p>
      <w:pPr>
        <w:spacing w:after="0" w:line="91" w:lineRule="exact"/>
        <w:rPr>
          <w:rFonts w:ascii="Arial" w:cs="Arial" w:eastAsia="Arial" w:hAnsi="Arial"/>
          <w:sz w:val="38"/>
          <w:szCs w:val="38"/>
          <w:color w:val="5F5F5F"/>
        </w:rPr>
      </w:pPr>
    </w:p>
    <w:p>
      <w:pPr>
        <w:ind w:left="420" w:right="580" w:hanging="417"/>
        <w:spacing w:after="0" w:line="213" w:lineRule="auto"/>
        <w:tabs>
          <w:tab w:leader="none" w:pos="420" w:val="left"/>
        </w:tabs>
        <w:numPr>
          <w:ilvl w:val="0"/>
          <w:numId w:val="14"/>
        </w:numPr>
        <w:rPr>
          <w:rFonts w:ascii="Arial" w:cs="Arial" w:eastAsia="Arial" w:hAnsi="Arial"/>
          <w:sz w:val="38"/>
          <w:szCs w:val="38"/>
          <w:color w:val="5F5F5F"/>
        </w:rPr>
      </w:pPr>
      <w:r>
        <w:rPr>
          <w:rFonts w:ascii="Arial" w:cs="Arial" w:eastAsia="Arial" w:hAnsi="Arial"/>
          <w:sz w:val="38"/>
          <w:szCs w:val="38"/>
          <w:color w:val="5F5F5F"/>
        </w:rPr>
        <w:t>Approximately $20M free cash flow expected to be generated in 2010 to reduce indebtedness and support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740"/>
        <w:spacing w:after="0"/>
        <w:rPr>
          <w:sz w:val="20"/>
          <w:szCs w:val="20"/>
          <w:color w:val="auto"/>
        </w:rPr>
      </w:pPr>
      <w:r>
        <w:rPr>
          <w:rFonts w:ascii="Arial" w:cs="Arial" w:eastAsia="Arial" w:hAnsi="Arial"/>
          <w:sz w:val="19"/>
          <w:szCs w:val="19"/>
          <w:color w:val="898989"/>
        </w:rPr>
        <w:t>28</w:t>
      </w:r>
    </w:p>
    <w:p>
      <w:pPr>
        <w:sectPr>
          <w:pgSz w:w="11900" w:h="16838" w:orient="portrait"/>
          <w:cols w:equalWidth="0" w:num="1">
            <w:col w:w="10120"/>
          </w:cols>
          <w:pgMar w:left="1040" w:top="648" w:right="7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5040" cy="55283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5040" cy="552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
        <w:spacing w:after="0"/>
        <w:rPr>
          <w:sz w:val="20"/>
          <w:szCs w:val="20"/>
          <w:color w:val="auto"/>
        </w:rPr>
      </w:pPr>
      <w:r>
        <w:rPr>
          <w:rFonts w:ascii="Arial" w:cs="Arial" w:eastAsia="Arial" w:hAnsi="Arial"/>
          <w:sz w:val="38"/>
          <w:szCs w:val="38"/>
          <w:color w:val="5F5F5F"/>
        </w:rPr>
        <w:t>For additional information:</w:t>
      </w:r>
    </w:p>
    <w:p>
      <w:pPr>
        <w:spacing w:after="0" w:line="65"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Jeffrey Unger</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Casual Male Retail Group, Inc.</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V. P. Investor Relations</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561-482-9715 Office</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561-543-9806 Cell</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jeffunger@usa.net</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jeffunger@tmo.blackberry.net</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www.casualmalexl.com</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www.destinationxl.com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29</w:t>
      </w:r>
    </w:p>
    <w:sectPr>
      <w:pgSz w:w="11900" w:h="16838" w:orient="portrait"/>
      <w:cols w:equalWidth="0" w:num="1">
        <w:col w:w="9540"/>
      </w:cols>
      <w:pgMar w:left="1440" w:top="144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lvl w:ilvl="1">
      <w:lvlJc w:val="left"/>
      <w:lvlText w:val="\endash "/>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endash "/>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lvl w:ilvl="1">
      <w:lvlJc w:val="left"/>
      <w:lvlText w:val="\endash "/>
      <w:numFmt w:val="bullet"/>
      <w:start w:val="1"/>
    </w:lvl>
  </w:abstractNum>
  <w:abstractNum w:abstractNumId="8">
    <w:nsid w:val="1190CDE7"/>
    <w:multiLevelType w:val="hybridMultilevel"/>
    <w:lvl w:ilvl="0">
      <w:lvlJc w:val="left"/>
      <w:lvlText w:val="•"/>
      <w:numFmt w:val="bullet"/>
      <w:start w:val="1"/>
    </w:lvl>
    <w:lvl w:ilvl="1">
      <w:lvlJc w:val="left"/>
      <w:lvlText w:val="\endash "/>
      <w:numFmt w:val="bullet"/>
      <w:start w:val="1"/>
    </w:lvl>
  </w:abstractNum>
  <w:abstractNum w:abstractNumId="9">
    <w:nsid w:val="66EF438D"/>
    <w:multiLevelType w:val="hybridMultilevel"/>
    <w:lvl w:ilvl="0">
      <w:lvlJc w:val="left"/>
      <w:lvlText w:val="•"/>
      <w:numFmt w:val="bullet"/>
      <w:start w:val="1"/>
    </w:lvl>
    <w:lvl w:ilvl="1">
      <w:lvlJc w:val="left"/>
      <w:lvlText w:val="\endash "/>
      <w:numFmt w:val="bullet"/>
      <w:start w:val="1"/>
    </w:lvl>
  </w:abstractNum>
  <w:abstractNum w:abstractNumId="10">
    <w:nsid w:val="140E0F76"/>
    <w:multiLevelType w:val="hybridMultilevel"/>
    <w:lvl w:ilvl="0">
      <w:lvlJc w:val="left"/>
      <w:lvlText w:val="•"/>
      <w:numFmt w:val="bullet"/>
      <w:start w:val="1"/>
    </w:lvl>
    <w:lvl w:ilvl="1">
      <w:lvlJc w:val="left"/>
      <w:lvlText w:val="\endash "/>
      <w:numFmt w:val="bullet"/>
      <w:start w:val="1"/>
    </w:lvl>
  </w:abstractNum>
  <w:abstractNum w:abstractNumId="11">
    <w:nsid w:val="3352255A"/>
    <w:multiLevelType w:val="hybridMultilevel"/>
    <w:lvl w:ilvl="0">
      <w:lvlJc w:val="left"/>
      <w:lvlText w:val="•"/>
      <w:numFmt w:val="bullet"/>
      <w:start w:val="1"/>
    </w:lvl>
    <w:lvl w:ilvl="1">
      <w:lvlJc w:val="left"/>
      <w:lvlText w:val="\endash "/>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2019-12-10T06:32:52Z</dcterms:created>
  <dcterms:modified xsi:type="dcterms:W3CDTF">2019-12-10T06:32:52Z</dcterms:modified>
</cp:coreProperties>
</file>