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0"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UBS AG (for the benefit and on behalf of the UBS Global Asset Management division of UBS AG (see Item 7)</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98-0186363</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spacing w:after="0" w:line="5"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ind w:left="320" w:hanging="207"/>
        <w:spacing w:after="0"/>
        <w:tabs>
          <w:tab w:leader="none" w:pos="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99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disclaims beneficial ownership of such securities pursuant to Rule 13d-4 under the Securities Exchange Act of 1934. In accordance</w:t>
      </w:r>
    </w:p>
    <w:p>
      <w:pPr>
        <w:spacing w:after="0" w:line="6" w:lineRule="exact"/>
        <w:rPr>
          <w:rFonts w:ascii="Courier New" w:cs="Courier New" w:eastAsia="Courier New" w:hAnsi="Courier New"/>
          <w:sz w:val="18"/>
          <w:szCs w:val="18"/>
          <w:color w:val="auto"/>
        </w:rPr>
      </w:pPr>
    </w:p>
    <w:p>
      <w:pPr>
        <w:ind w:right="45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with SEC Release No. 34-39538 (January 12, 1998), this filing reflects the securities beneficially owned</w:t>
      </w:r>
    </w:p>
    <w:p>
      <w:pPr>
        <w:ind w:right="46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the UBS Global Asset Management division of UBS AG and its subsidiaries and affiliates on behalf of its clients. This filing does not reflect securities,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beneficially owned by any other division of UBS AG.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148711104</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1(a).  Name of Issuer: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CANTON, MA</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02021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UBS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148711104</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UBS AG is classified as a Bank as defined in section 3(a)(6) of the Act pursuant to no action relief granted by the staff of the Securities and Exchange Commission.</w:t>
      </w:r>
    </w:p>
    <w:p>
      <w:pPr>
        <w:spacing w:after="0" w:line="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Items 5-11 of the cover pages.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148711104</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999"/>
        <w:spacing w:after="0" w:line="268" w:lineRule="auto"/>
        <w:rPr>
          <w:sz w:val="20"/>
          <w:szCs w:val="20"/>
          <w:color w:val="auto"/>
        </w:rPr>
      </w:pPr>
      <w:r>
        <w:rPr>
          <w:rFonts w:ascii="Courier New" w:cs="Courier New" w:eastAsia="Courier New" w:hAnsi="Courier New"/>
          <w:sz w:val="16"/>
          <w:szCs w:val="16"/>
          <w:color w:val="auto"/>
        </w:rPr>
        <w:t>Accounts managed on a discretionary basis by the UBS Global Asset Management division of UBS AG (UBS Global AM)</w:t>
      </w:r>
    </w:p>
    <w:p>
      <w:pPr>
        <w:ind w:right="3899"/>
        <w:spacing w:after="0" w:line="268" w:lineRule="auto"/>
        <w:rPr>
          <w:sz w:val="20"/>
          <w:szCs w:val="20"/>
          <w:color w:val="auto"/>
        </w:rPr>
      </w:pPr>
      <w:r>
        <w:rPr>
          <w:rFonts w:ascii="Courier New" w:cs="Courier New" w:eastAsia="Courier New" w:hAnsi="Courier New"/>
          <w:sz w:val="16"/>
          <w:szCs w:val="16"/>
          <w:color w:val="auto"/>
        </w:rPr>
        <w:t>have the right to receive or the power to direct the receipt of dividends from, or the proceeds from the sale of, the Common Stock. To the best of our knowledge, no account holds more than 5 percent of the outstanding Common Stock.</w:t>
      </w:r>
    </w:p>
    <w:p>
      <w:pPr>
        <w:ind w:left="220" w:hanging="212"/>
        <w:spacing w:after="0" w:line="234"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7"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In addition to UBS AG, the following UBS Global AM affiliates and subsidiaries are part of the UBS Global Asset Management division included in this filing:</w:t>
      </w:r>
    </w:p>
    <w:p>
      <w:pPr>
        <w:spacing w:after="0" w:line="1"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UBS Global Asset Management (Americas) Inc., UBS Global Asset Management Trust Company, UBS Global Asset Management (Canada) Inc., UBS Global Asset Management (Australia) Ltd., UBS Global Asset Management</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(Hong Kong) Limited, UBS (Trust &amp; Banking) Limited, UBS Global Asset Management (Japan) Ltd., UBS Global Asset Management (Singapore) Ltd., UBS Global Asset Management (Taiwan) Ltd., UBS Global Asset Management (France) SA, UBS Global Asset Management (Deutschland) GmbH, UBS Global Asset Management (Italia) SIM SpA,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Espana S.A., UBS Global Asset Management (UK) Ltd.</w:t>
      </w:r>
    </w:p>
    <w:p>
      <w:pPr>
        <w:spacing w:after="0" w:line="238" w:lineRule="auto"/>
        <w:rPr>
          <w:sz w:val="20"/>
          <w:szCs w:val="20"/>
          <w:color w:val="auto"/>
        </w:rPr>
      </w:pPr>
      <w:r>
        <w:rPr>
          <w:rFonts w:ascii="Courier New" w:cs="Courier New" w:eastAsia="Courier New" w:hAnsi="Courier New"/>
          <w:sz w:val="18"/>
          <w:szCs w:val="18"/>
          <w:color w:val="auto"/>
        </w:rPr>
        <w:t>and UBS Global Asset Management Life Limited.</w:t>
      </w: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w:t>
      </w:r>
    </w:p>
    <w:p>
      <w:pPr>
        <w:spacing w:after="0" w:line="207"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UBS Global AM is composed of wholly-owned subsidiaries and branches of UBS AG. UBS AG is reporting direct and indirect beneficial ownership of holdings. None of the reporting persons affirm the existence of a group within the meaning of Rule 13d-5(b)(1).</w:t>
      </w:r>
    </w:p>
    <w:p>
      <w:pPr>
        <w:spacing w:after="0" w:line="209"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Notice of Dissolution of Group: Not Applicable</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10 Certification:</w:t>
      </w:r>
    </w:p>
    <w:p>
      <w:pPr>
        <w:spacing w:after="0" w:line="4" w:lineRule="exact"/>
        <w:rPr>
          <w:rFonts w:ascii="Courier New" w:cs="Courier New" w:eastAsia="Courier New" w:hAnsi="Courier New"/>
          <w:sz w:val="18"/>
          <w:szCs w:val="18"/>
          <w:color w:val="auto"/>
        </w:rPr>
      </w:pPr>
    </w:p>
    <w:p>
      <w:pPr>
        <w:ind w:right="3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6,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Mark F. Kemper</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Mark F. Kemper</w:t>
      </w:r>
    </w:p>
    <w:p>
      <w:pPr>
        <w:ind w:left="8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5" w:lineRule="exact"/>
        <w:rPr>
          <w:sz w:val="20"/>
          <w:szCs w:val="20"/>
          <w:color w:val="auto"/>
        </w:rPr>
      </w:pPr>
    </w:p>
    <w:p>
      <w:pPr>
        <w:ind w:left="860" w:right="3679"/>
        <w:spacing w:after="0" w:line="290" w:lineRule="auto"/>
        <w:rPr>
          <w:sz w:val="20"/>
          <w:szCs w:val="20"/>
          <w:color w:val="auto"/>
        </w:rPr>
      </w:pPr>
      <w:r>
        <w:rPr>
          <w:rFonts w:ascii="Courier New" w:cs="Courier New" w:eastAsia="Courier New" w:hAnsi="Courier New"/>
          <w:sz w:val="16"/>
          <w:szCs w:val="16"/>
          <w:color w:val="auto"/>
        </w:rPr>
        <w:t>pursuant to Power of Attorney, attached as Exhibit 1, for the UBS Global Asset Management division of UBS AG</w:t>
      </w:r>
    </w:p>
    <w:p>
      <w:pPr>
        <w:spacing w:after="0" w:line="3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J. Calhoun</w:t>
      </w:r>
    </w:p>
    <w:p>
      <w:pPr>
        <w:ind w:left="860"/>
        <w:spacing w:after="0" w:line="238" w:lineRule="auto"/>
        <w:rPr>
          <w:sz w:val="20"/>
          <w:szCs w:val="20"/>
          <w:color w:val="auto"/>
        </w:rPr>
      </w:pPr>
      <w:r>
        <w:rPr>
          <w:rFonts w:ascii="Courier New" w:cs="Courier New" w:eastAsia="Courier New" w:hAnsi="Courier New"/>
          <w:sz w:val="18"/>
          <w:szCs w:val="18"/>
          <w:color w:val="auto"/>
        </w:rPr>
        <w:t>Michael J. Calhoun</w:t>
      </w:r>
    </w:p>
    <w:p>
      <w:pPr>
        <w:ind w:left="860"/>
        <w:spacing w:after="0"/>
        <w:rPr>
          <w:sz w:val="20"/>
          <w:szCs w:val="20"/>
          <w:color w:val="auto"/>
        </w:rPr>
      </w:pPr>
      <w:r>
        <w:rPr>
          <w:rFonts w:ascii="Courier New" w:cs="Courier New" w:eastAsia="Courier New" w:hAnsi="Courier New"/>
          <w:sz w:val="18"/>
          <w:szCs w:val="18"/>
          <w:color w:val="auto"/>
        </w:rPr>
        <w:t>Attorney-in-Fact</w:t>
      </w:r>
    </w:p>
    <w:p>
      <w:pPr>
        <w:spacing w:after="0" w:line="3" w:lineRule="exact"/>
        <w:rPr>
          <w:sz w:val="20"/>
          <w:szCs w:val="20"/>
          <w:color w:val="auto"/>
        </w:rPr>
      </w:pPr>
    </w:p>
    <w:p>
      <w:pPr>
        <w:ind w:left="860" w:right="3679"/>
        <w:spacing w:after="0" w:line="290" w:lineRule="auto"/>
        <w:rPr>
          <w:sz w:val="20"/>
          <w:szCs w:val="20"/>
          <w:color w:val="auto"/>
        </w:rPr>
      </w:pPr>
      <w:r>
        <w:rPr>
          <w:rFonts w:ascii="Courier New" w:cs="Courier New" w:eastAsia="Courier New" w:hAnsi="Courier New"/>
          <w:sz w:val="16"/>
          <w:szCs w:val="16"/>
          <w:color w:val="auto"/>
        </w:rPr>
        <w:t>pursuant to Power of Attorney, attached as Exhibit 1, for the UBS Global Asset Management division of UBS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Description</w:t>
      </w:r>
    </w:p>
    <w:p>
      <w:pPr>
        <w:spacing w:after="0" w:line="200" w:lineRule="exact"/>
        <w:rPr>
          <w:sz w:val="20"/>
          <w:szCs w:val="20"/>
          <w:color w:val="auto"/>
        </w:rPr>
      </w:pPr>
    </w:p>
    <w:p>
      <w:pPr>
        <w:sectPr>
          <w:pgSz w:w="11900" w:h="16838" w:orient="portrait"/>
          <w:cols w:equalWidth="0" w:num="2">
            <w:col w:w="1820" w:space="720"/>
            <w:col w:w="767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 October 28, 2008</w:t>
      </w:r>
    </w:p>
    <w:p>
      <w:pPr>
        <w:spacing w:after="0" w:line="200" w:lineRule="exact"/>
        <w:rPr>
          <w:sz w:val="20"/>
          <w:szCs w:val="20"/>
          <w:color w:val="auto"/>
        </w:rPr>
      </w:pPr>
    </w:p>
    <w:p>
      <w:pPr>
        <w:sectPr>
          <w:pgSz w:w="11900" w:h="16838" w:orient="portrait"/>
          <w:cols w:equalWidth="0" w:num="2">
            <w:col w:w="1820" w:space="720"/>
            <w:col w:w="7679"/>
          </w:cols>
          <w:pgMar w:left="240" w:top="136"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Each of the following employees of UBS Global Asset Management (Americas) Inc. is hereby appointed as agent and attorney-in-fact with power and authority to</w:t>
      </w:r>
    </w:p>
    <w:p>
      <w:pPr>
        <w:spacing w:after="0" w:line="1"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sign US Regulatory Filings on behalf of UBS AG, required as a result of the operations of the UBS Global Asset Management division: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F. Kemper</w:t>
      </w:r>
    </w:p>
    <w:p>
      <w:pPr>
        <w:spacing w:after="0" w:line="238" w:lineRule="auto"/>
        <w:rPr>
          <w:sz w:val="20"/>
          <w:szCs w:val="20"/>
          <w:color w:val="auto"/>
        </w:rPr>
      </w:pPr>
      <w:r>
        <w:rPr>
          <w:rFonts w:ascii="Courier New" w:cs="Courier New" w:eastAsia="Courier New" w:hAnsi="Courier New"/>
          <w:sz w:val="18"/>
          <w:szCs w:val="18"/>
          <w:color w:val="auto"/>
        </w:rPr>
        <w:t>Joseph McGill</w:t>
      </w:r>
    </w:p>
    <w:p>
      <w:pPr>
        <w:spacing w:after="0"/>
        <w:rPr>
          <w:sz w:val="20"/>
          <w:szCs w:val="20"/>
          <w:color w:val="auto"/>
        </w:rPr>
      </w:pPr>
      <w:r>
        <w:rPr>
          <w:rFonts w:ascii="Courier New" w:cs="Courier New" w:eastAsia="Courier New" w:hAnsi="Courier New"/>
          <w:sz w:val="18"/>
          <w:szCs w:val="18"/>
          <w:color w:val="auto"/>
        </w:rPr>
        <w:t>John Moore</w:t>
      </w:r>
    </w:p>
    <w:p>
      <w:pPr>
        <w:spacing w:after="0" w:line="237" w:lineRule="auto"/>
        <w:rPr>
          <w:sz w:val="20"/>
          <w:szCs w:val="20"/>
          <w:color w:val="auto"/>
        </w:rPr>
      </w:pPr>
      <w:r>
        <w:rPr>
          <w:rFonts w:ascii="Courier New" w:cs="Courier New" w:eastAsia="Courier New" w:hAnsi="Courier New"/>
          <w:sz w:val="18"/>
          <w:szCs w:val="18"/>
          <w:color w:val="auto"/>
        </w:rPr>
        <w:t>Michael J. Calhoun</w:t>
      </w:r>
    </w:p>
    <w:p>
      <w:pPr>
        <w:spacing w:after="0" w:line="238" w:lineRule="auto"/>
        <w:rPr>
          <w:sz w:val="20"/>
          <w:szCs w:val="20"/>
          <w:color w:val="auto"/>
        </w:rPr>
      </w:pPr>
      <w:r>
        <w:rPr>
          <w:rFonts w:ascii="Courier New" w:cs="Courier New" w:eastAsia="Courier New" w:hAnsi="Courier New"/>
          <w:sz w:val="18"/>
          <w:szCs w:val="18"/>
          <w:color w:val="auto"/>
        </w:rPr>
        <w:t>Mary T. Capasso</w:t>
      </w:r>
    </w:p>
    <w:p>
      <w:pPr>
        <w:spacing w:after="0"/>
        <w:rPr>
          <w:sz w:val="20"/>
          <w:szCs w:val="20"/>
          <w:color w:val="auto"/>
        </w:rPr>
      </w:pPr>
      <w:r>
        <w:rPr>
          <w:rFonts w:ascii="Courier New" w:cs="Courier New" w:eastAsia="Courier New" w:hAnsi="Courier New"/>
          <w:sz w:val="18"/>
          <w:szCs w:val="18"/>
          <w:color w:val="auto"/>
        </w:rPr>
        <w:t>Trevor Chambers</w:t>
      </w:r>
    </w:p>
    <w:p>
      <w:pPr>
        <w:spacing w:after="0" w:line="206"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This Power of Attorney is limited to the circumstances set forth herein and may be revoked, in whole or in part, at any time. If a person identified above ceases to perform services for UBS Global Asset Management for any reason, this Power of Attorney shall be automatically revoked with respect to that person. Nothing in this Power of Attorney is intended to limit the authority of any other persons to sign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relating to the subject matter 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extent permitted by UBS Group Policy or otherwise.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APPROVED:</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As of October 28, 2008</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Mario Cueni</w:t>
      </w:r>
    </w:p>
    <w:p>
      <w:pPr>
        <w:spacing w:after="0" w:line="238" w:lineRule="auto"/>
        <w:rPr>
          <w:sz w:val="20"/>
          <w:szCs w:val="20"/>
          <w:color w:val="auto"/>
        </w:rPr>
      </w:pPr>
      <w:r>
        <w:rPr>
          <w:rFonts w:ascii="Courier New" w:cs="Courier New" w:eastAsia="Courier New" w:hAnsi="Courier New"/>
          <w:sz w:val="18"/>
          <w:szCs w:val="18"/>
          <w:color w:val="auto"/>
        </w:rPr>
        <w:t>Mario Cueni</w:t>
      </w:r>
    </w:p>
    <w:p>
      <w:pPr>
        <w:spacing w:after="0"/>
        <w:rPr>
          <w:sz w:val="20"/>
          <w:szCs w:val="20"/>
          <w:color w:val="auto"/>
        </w:rPr>
      </w:pPr>
      <w:r>
        <w:rPr>
          <w:rFonts w:ascii="Courier New" w:cs="Courier New" w:eastAsia="Courier New" w:hAnsi="Courier New"/>
          <w:sz w:val="18"/>
          <w:szCs w:val="18"/>
          <w:color w:val="auto"/>
        </w:rPr>
        <w:t>UBS Global Asset Management</w:t>
      </w:r>
    </w:p>
    <w:p>
      <w:pPr>
        <w:spacing w:after="0" w:line="237" w:lineRule="auto"/>
        <w:rPr>
          <w:sz w:val="20"/>
          <w:szCs w:val="20"/>
          <w:color w:val="auto"/>
        </w:rPr>
      </w:pPr>
      <w:r>
        <w:rPr>
          <w:rFonts w:ascii="Courier New" w:cs="Courier New" w:eastAsia="Courier New" w:hAnsi="Courier New"/>
          <w:sz w:val="18"/>
          <w:szCs w:val="18"/>
          <w:color w:val="auto"/>
        </w:rPr>
        <w:t>General Counsel &amp; Chief Risk Officer</w:t>
      </w:r>
    </w:p>
    <w:p>
      <w:pPr>
        <w:spacing w:after="0" w:line="238" w:lineRule="auto"/>
        <w:rPr>
          <w:sz w:val="20"/>
          <w:szCs w:val="20"/>
          <w:color w:val="auto"/>
        </w:rPr>
      </w:pPr>
      <w:r>
        <w:rPr>
          <w:rFonts w:ascii="Courier New" w:cs="Courier New" w:eastAsia="Courier New" w:hAnsi="Courier New"/>
          <w:sz w:val="18"/>
          <w:szCs w:val="18"/>
          <w:color w:val="auto"/>
        </w:rPr>
        <w:t>Member of the Group Managing Board</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Kai R. Sotorp</w:t>
      </w:r>
    </w:p>
    <w:p>
      <w:pPr>
        <w:spacing w:after="0" w:line="238" w:lineRule="auto"/>
        <w:rPr>
          <w:sz w:val="20"/>
          <w:szCs w:val="20"/>
          <w:color w:val="auto"/>
        </w:rPr>
      </w:pPr>
      <w:r>
        <w:rPr>
          <w:rFonts w:ascii="Courier New" w:cs="Courier New" w:eastAsia="Courier New" w:hAnsi="Courier New"/>
          <w:sz w:val="18"/>
          <w:szCs w:val="18"/>
          <w:color w:val="auto"/>
        </w:rPr>
        <w:t>Kai R. Sotorp</w:t>
      </w:r>
    </w:p>
    <w:p>
      <w:pPr>
        <w:spacing w:after="0"/>
        <w:rPr>
          <w:sz w:val="20"/>
          <w:szCs w:val="20"/>
          <w:color w:val="auto"/>
        </w:rPr>
      </w:pPr>
      <w:r>
        <w:rPr>
          <w:rFonts w:ascii="Courier New" w:cs="Courier New" w:eastAsia="Courier New" w:hAnsi="Courier New"/>
          <w:sz w:val="18"/>
          <w:szCs w:val="18"/>
          <w:color w:val="auto"/>
        </w:rPr>
        <w:t>UBS Global Asset Management</w:t>
      </w:r>
    </w:p>
    <w:p>
      <w:pPr>
        <w:spacing w:after="0" w:line="237" w:lineRule="auto"/>
        <w:rPr>
          <w:sz w:val="20"/>
          <w:szCs w:val="20"/>
          <w:color w:val="auto"/>
        </w:rPr>
      </w:pPr>
      <w:r>
        <w:rPr>
          <w:rFonts w:ascii="Courier New" w:cs="Courier New" w:eastAsia="Courier New" w:hAnsi="Courier New"/>
          <w:sz w:val="18"/>
          <w:szCs w:val="18"/>
          <w:color w:val="auto"/>
        </w:rPr>
        <w:t>Head of Americas Member of the Group Managing Board</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a"/>
      <w:numFmt w:val="bullet"/>
      <w:start w:val="1"/>
    </w:lvl>
  </w:abstractNum>
  <w:abstractNum w:abstractNumId="6">
    <w:nsid w:val="109CF92E"/>
    <w:multiLevelType w:val="hybridMultilevel"/>
    <w:lvl w:ilvl="0">
      <w:lvlJc w:val="left"/>
      <w:lvlText w:val="b"/>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lvl w:ilvl="1">
      <w:lvlJc w:val="left"/>
      <w:lvlText w:val="0"/>
      <w:numFmt w:val="bullet"/>
      <w:start w:val="1"/>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2019-12-10T06:58:47Z</dcterms:created>
  <dcterms:modified xsi:type="dcterms:W3CDTF">2019-12-10T06:58:47Z</dcterms:modified>
</cp:coreProperties>
</file>