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Pursuant to Rule 424(b)(3)</w:t>
      </w:r>
    </w:p>
    <w:p>
      <w:pPr>
        <w:spacing w:after="0" w:line="3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333-118966</w:t>
      </w:r>
    </w:p>
    <w:p>
      <w:pPr>
        <w:spacing w:after="0" w:line="16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90" w:lineRule="exact"/>
        <w:rPr>
          <w:sz w:val="24"/>
          <w:szCs w:val="24"/>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Securityholders" to reflect (i) a transfer of a warrant to purchase 164,000 shares of common stock from Harbour Holdings, Ltd. to Millennium Partners, L.P. and (ii) a transfer of a warrant to purchase 116,000 shares of common stock from Skylands Special Investment LLC (f/k/a Strong Special Investment, L.P.) to Millennium Partners, L.P.. The amounts set forth below are based upon information provided to us by the selling stockholder (or their representatives), or on our records, and are accurate to the best of our knowledge. Unless we indicate otherwise, the information in this prospectus supplement is as of September 18, 2006.</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Number of Shares</w:t>
            </w:r>
          </w:p>
        </w:tc>
        <w:tc>
          <w:tcPr>
            <w:tcW w:w="1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Number of Shares</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w w:val="97"/>
              </w:rPr>
              <w:t>Common Stock Beneficially</w:t>
            </w:r>
          </w:p>
        </w:tc>
        <w:tc>
          <w:tcPr>
            <w:tcW w:w="0" w:type="dxa"/>
            <w:vAlign w:val="bottom"/>
          </w:tcPr>
          <w:p>
            <w:pPr>
              <w:spacing w:after="0"/>
              <w:rPr>
                <w:sz w:val="1"/>
                <w:szCs w:val="1"/>
                <w:color w:val="auto"/>
              </w:rPr>
            </w:pPr>
          </w:p>
        </w:tc>
      </w:tr>
      <w:tr>
        <w:trPr>
          <w:trHeight w:val="203"/>
        </w:trPr>
        <w:tc>
          <w:tcPr>
            <w:tcW w:w="17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Selling</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1800" w:type="dxa"/>
            <w:vAlign w:val="bottom"/>
            <w:vMerge w:val="continue"/>
          </w:tcPr>
          <w:p>
            <w:pPr>
              <w:spacing w:after="0"/>
              <w:rPr>
                <w:sz w:val="17"/>
                <w:szCs w:val="17"/>
                <w:color w:val="auto"/>
              </w:rPr>
            </w:pP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After the Sales</w:t>
            </w: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 Stock</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Securityholders</w:t>
            </w: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Before Any Sale</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Subject to Sale</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Number **   Percent***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79"/>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Harbour Holdings,</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24"/>
                <w:szCs w:val="24"/>
                <w:color w:val="auto"/>
              </w:rPr>
            </w:pP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7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24"/>
                <w:szCs w:val="24"/>
                <w:color w:val="auto"/>
              </w:rPr>
            </w:pPr>
          </w:p>
        </w:tc>
        <w:tc>
          <w:tcPr>
            <w:tcW w:w="12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N/A</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Ltd.</w:t>
            </w:r>
          </w:p>
        </w:tc>
        <w:tc>
          <w:tcPr>
            <w:tcW w:w="15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Skylands Special</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LLC</w:t>
            </w: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(f/k/a Strong</w:t>
            </w: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Special Investment,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7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17"/>
                <w:szCs w:val="17"/>
                <w:color w:val="auto"/>
              </w:rPr>
            </w:pPr>
          </w:p>
        </w:tc>
        <w:tc>
          <w:tcPr>
            <w:tcW w:w="12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N/A</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L.P.)</w:t>
            </w:r>
          </w:p>
        </w:tc>
        <w:tc>
          <w:tcPr>
            <w:tcW w:w="15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w w:val="97"/>
              </w:rPr>
              <w:t>Millennium Partners,</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296,237</w:t>
            </w:r>
          </w:p>
        </w:tc>
        <w:tc>
          <w:tcPr>
            <w:tcW w:w="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280,000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16,237</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2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r>
              <w:rPr>
                <w:rFonts w:ascii="Courier New" w:cs="Courier New" w:eastAsia="Courier New" w:hAnsi="Courier New"/>
                <w:sz w:val="18"/>
                <w:szCs w:val="18"/>
                <w:color w:val="auto"/>
              </w:rPr>
              <w:t>L.P.</w:t>
            </w:r>
          </w:p>
        </w:tc>
        <w:tc>
          <w:tcPr>
            <w:tcW w:w="15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(1)</w:t>
            </w:r>
          </w:p>
        </w:tc>
        <w:tc>
          <w:tcPr>
            <w:tcW w:w="14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169" w:lineRule="exact"/>
        <w:rPr>
          <w:sz w:val="24"/>
          <w:szCs w:val="24"/>
          <w:color w:val="auto"/>
        </w:rPr>
      </w:pPr>
    </w:p>
    <w:p>
      <w:pPr>
        <w:ind w:right="1679" w:firstLine="8"/>
        <w:spacing w:after="0" w:line="250"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169" w:lineRule="exact"/>
        <w:rPr>
          <w:rFonts w:ascii="Courier New" w:cs="Courier New" w:eastAsia="Courier New" w:hAnsi="Courier New"/>
          <w:sz w:val="18"/>
          <w:szCs w:val="18"/>
          <w:color w:val="auto"/>
        </w:rPr>
      </w:pPr>
    </w:p>
    <w:p>
      <w:pPr>
        <w:ind w:right="1999" w:firstLine="8"/>
        <w:spacing w:after="0" w:line="274"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34,417,684] shares of common stock outstanding as of September 18, 2006, plus securities deemed to be outstanding with respect to individual stockholders pursuant to Rule 13d-3(d)(1) under the Securities Exchange Act of 1934.</w:t>
      </w:r>
    </w:p>
    <w:p>
      <w:pPr>
        <w:spacing w:after="0" w:line="82" w:lineRule="exact"/>
        <w:rPr>
          <w:sz w:val="24"/>
          <w:szCs w:val="24"/>
          <w:color w:val="auto"/>
        </w:rPr>
      </w:pPr>
    </w:p>
    <w:p>
      <w:pPr>
        <w:ind w:right="1879" w:firstLine="8"/>
        <w:spacing w:after="0" w:line="27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Millennium Management, L.L.C., a Delaware limited liability company, is the managing partner of Millennium Partners, L.P., a Cayman Islands exempted limited partnership, and consequently may be deemed to have voting control and investment discretion over securities owned by Millennium Partners, L.P.</w:t>
      </w:r>
    </w:p>
    <w:p>
      <w:pPr>
        <w:spacing w:after="0" w:line="2" w:lineRule="exact"/>
        <w:rPr>
          <w:rFonts w:ascii="Courier New" w:cs="Courier New" w:eastAsia="Courier New" w:hAnsi="Courier New"/>
          <w:sz w:val="16"/>
          <w:szCs w:val="16"/>
          <w:color w:val="auto"/>
        </w:rPr>
      </w:pPr>
    </w:p>
    <w:p>
      <w:pPr>
        <w:ind w:right="21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Israel A. Englander is the managing member of Millennium Management, L.L.C. As a result, Mr. Englander may be deemed to be the beneficial owner of any shares deemed to be beneficially owned by Millennium Management, L.L.C. The foregoing should not be construed in and of itself as an admission by either Millennium Management, L.L.C. or Mr. Englander as to beneficial ownership of the shares of our common stock owned by Millennium Partners, L.P.</w:t>
      </w:r>
    </w:p>
    <w:p>
      <w:pPr>
        <w:spacing w:after="0" w:line="71" w:lineRule="exact"/>
        <w:rPr>
          <w:rFonts w:ascii="Courier New" w:cs="Courier New" w:eastAsia="Courier New" w:hAnsi="Courier New"/>
          <w:sz w:val="16"/>
          <w:szCs w:val="16"/>
          <w:color w:val="auto"/>
        </w:rPr>
      </w:pPr>
    </w:p>
    <w:p>
      <w:pPr>
        <w:ind w:right="1999" w:firstLine="8"/>
        <w:spacing w:after="0" w:line="292"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16,237 shares of our common stock held by Millenco, L.P., an affiliate of Millenium Partners, L.P. as of the close of business on September 18, 2006.</w:t>
      </w:r>
    </w:p>
    <w:p>
      <w:pPr>
        <w:spacing w:after="0" w:line="66"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6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September 29, 2006.</w:t>
      </w:r>
    </w:p>
    <w:p>
      <w:pPr>
        <w:sectPr>
          <w:pgSz w:w="11900" w:h="16838" w:orient="portrait"/>
          <w:cols w:equalWidth="0" w:num="1">
            <w:col w:w="10219"/>
          </w:cols>
          <w:pgMar w:left="240" w:top="218" w:right="1440" w:bottom="51"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2019-12-19T21:58:58Z</dcterms:created>
  <dcterms:modified xsi:type="dcterms:W3CDTF">2019-12-19T21:58:58Z</dcterms:modified>
</cp:coreProperties>
</file>