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right="1940"/>
        <w:spacing w:after="0" w:line="255" w:lineRule="auto"/>
        <w:rPr>
          <w:sz w:val="20"/>
          <w:szCs w:val="20"/>
          <w:color w:val="auto"/>
        </w:rPr>
      </w:pPr>
      <w:r>
        <w:rPr>
          <w:rFonts w:ascii="Arial" w:cs="Arial" w:eastAsia="Arial" w:hAnsi="Arial"/>
          <w:sz w:val="40"/>
          <w:szCs w:val="40"/>
          <w:color w:val="auto"/>
        </w:rPr>
        <w:t>Oﬀering great clothes that fit Big + Tall men shouldn’t be remarkable.</w:t>
      </w:r>
    </w:p>
    <w:p>
      <w:pPr>
        <w:spacing w:after="0" w:line="94" w:lineRule="exact"/>
        <w:rPr>
          <w:sz w:val="24"/>
          <w:szCs w:val="24"/>
          <w:color w:val="auto"/>
        </w:rPr>
      </w:pPr>
    </w:p>
    <w:p>
      <w:pPr>
        <w:spacing w:after="0"/>
        <w:rPr>
          <w:sz w:val="20"/>
          <w:szCs w:val="20"/>
          <w:color w:val="auto"/>
        </w:rPr>
      </w:pPr>
      <w:r>
        <w:rPr>
          <w:rFonts w:ascii="Arial" w:cs="Arial" w:eastAsia="Arial" w:hAnsi="Arial"/>
          <w:sz w:val="40"/>
          <w:szCs w:val="40"/>
          <w:color w:val="auto"/>
        </w:rPr>
        <w:t>But it is.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22"/>
          <w:szCs w:val="22"/>
          <w:color w:val="auto"/>
        </w:rPr>
        <w:t>Annual Report 2024</w:t>
      </w:r>
    </w:p>
    <w:p>
      <w:pPr>
        <w:sectPr>
          <w:pgSz w:w="11880" w:h="15480" w:orient="portrait"/>
          <w:cols w:equalWidth="0" w:num="2">
            <w:col w:w="7020" w:space="720"/>
            <w:col w:w="2020"/>
          </w:cols>
          <w:pgMar w:left="1040" w:top="1440" w:right="1080" w:bottom="918" w:gutter="0" w:footer="0" w:header="0"/>
        </w:sectPr>
      </w:pPr>
    </w:p>
    <w:bookmarkStart w:id="1" w:name="page2"/>
    <w:bookmarkEnd w:id="1"/>
    <w:p>
      <w:pPr>
        <w:ind w:left="7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25476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4760" cy="9829800"/>
                    </a:xfrm>
                    <a:prstGeom prst="rect">
                      <a:avLst/>
                    </a:prstGeom>
                    <a:noFill/>
                  </pic:spPr>
                </pic:pic>
              </a:graphicData>
            </a:graphic>
          </wp:anchor>
        </w:drawing>
        <w:t>Dear Shareholders,</w:t>
      </w:r>
    </w:p>
    <w:p>
      <w:pPr>
        <w:spacing w:after="0" w:line="226" w:lineRule="exact"/>
        <w:rPr>
          <w:sz w:val="20"/>
          <w:szCs w:val="20"/>
          <w:color w:val="auto"/>
        </w:rPr>
      </w:pPr>
    </w:p>
    <w:p>
      <w:pPr>
        <w:ind w:left="720" w:right="80"/>
        <w:spacing w:after="0" w:line="321" w:lineRule="auto"/>
        <w:rPr>
          <w:sz w:val="20"/>
          <w:szCs w:val="20"/>
          <w:color w:val="auto"/>
        </w:rPr>
      </w:pPr>
      <w:r>
        <w:rPr>
          <w:rFonts w:ascii="Arial" w:cs="Arial" w:eastAsia="Arial" w:hAnsi="Arial"/>
          <w:sz w:val="15"/>
          <w:szCs w:val="15"/>
          <w:color w:val="auto"/>
        </w:rPr>
        <w:t>When I joined the Company back in 2019, what attracted me to DXL was the opportunity to evolve the brand. Despite the compelling assortment of both private and national brands, coupled with a leading retail customer experience, our brand positioning required meaningfully greater definition. The brand’s positioning, now consumer-focused and commercially set, requires driving greater awareness, more stores and enhanced digital access for DXL to accelerate growth. Our objective today is much the same as it was back then: to provide the Big + Tall man with the freedom to choose his own style and to wear what he wants. This singular focus to deliver a superior experience to Big + Tall men, with an unrivaled FIT and an assortment of footwear and apparel that can’t be found anywhere else, is why we exist. I remain as enthusiastic and energized about our Company today as I was on my first day in 2019: to bring DXL to Big + Tall guys everywhere.</w:t>
      </w:r>
    </w:p>
    <w:p>
      <w:pPr>
        <w:spacing w:after="0" w:line="169" w:lineRule="exact"/>
        <w:rPr>
          <w:sz w:val="20"/>
          <w:szCs w:val="20"/>
          <w:color w:val="auto"/>
        </w:rPr>
      </w:pPr>
    </w:p>
    <w:p>
      <w:pPr>
        <w:ind w:left="720" w:right="220"/>
        <w:spacing w:after="0" w:line="320" w:lineRule="auto"/>
        <w:rPr>
          <w:sz w:val="20"/>
          <w:szCs w:val="20"/>
          <w:color w:val="auto"/>
        </w:rPr>
      </w:pPr>
      <w:r>
        <w:rPr>
          <w:rFonts w:ascii="Arial" w:cs="Arial" w:eastAsia="Arial" w:hAnsi="Arial"/>
          <w:sz w:val="15"/>
          <w:szCs w:val="15"/>
          <w:color w:val="auto"/>
        </w:rPr>
        <w:t>When I joined in 2019, our initial focus was to more clearly define our Mission, Vision, and Strategy that would serve as a compass as we began this journey. Less than a year later, as a management team we were forced to quickly pivot our focus and attention as the global pandemic gripped the world and customer demand ground to a halt. In 2020, we were fighting for our survival. We were decisive and we were aggressive</w:t>
      </w:r>
    </w:p>
    <w:p>
      <w:pPr>
        <w:ind w:left="720" w:right="40"/>
        <w:spacing w:after="0" w:line="322" w:lineRule="auto"/>
        <w:rPr>
          <w:sz w:val="20"/>
          <w:szCs w:val="20"/>
          <w:color w:val="auto"/>
        </w:rPr>
      </w:pPr>
      <w:r>
        <w:rPr>
          <w:rFonts w:ascii="Arial" w:cs="Arial" w:eastAsia="Arial" w:hAnsi="Arial"/>
          <w:sz w:val="15"/>
          <w:szCs w:val="15"/>
          <w:color w:val="auto"/>
        </w:rPr>
        <w:t>to preserve liquidity and ensure that our Company remained solvent. What followed in 2021 and 2022 was a remarkable recovery and inflection in consumer demand as our customers emerged from lockdowns and began shopping for clothes once again. We seized the opportunity and successfully leveraged the consumers’ orientation for normalcy and to get back to all that seemed like a distant memory. During those years we achieved the two most prosperous years across all elements of the business in our Company’s history. We grew top line sales, we achieved record profit levels, we recapitalized our balance sheet, we paid off our debt, and we amassed a sizable cash position. As a result, DXL was in a strong position with the financial flexibility to play offense, and we began to lay the groundwork for growth.</w:t>
      </w:r>
    </w:p>
    <w:p>
      <w:pPr>
        <w:spacing w:after="0" w:line="392" w:lineRule="exact"/>
        <w:rPr>
          <w:sz w:val="20"/>
          <w:szCs w:val="20"/>
          <w:color w:val="auto"/>
        </w:rPr>
      </w:pPr>
    </w:p>
    <w:p>
      <w:pPr>
        <w:ind w:left="720"/>
        <w:spacing w:after="0" w:line="320" w:lineRule="auto"/>
        <w:rPr>
          <w:sz w:val="20"/>
          <w:szCs w:val="20"/>
          <w:color w:val="auto"/>
        </w:rPr>
      </w:pPr>
      <w:r>
        <w:rPr>
          <w:rFonts w:ascii="Arial" w:cs="Arial" w:eastAsia="Arial" w:hAnsi="Arial"/>
          <w:sz w:val="15"/>
          <w:szCs w:val="15"/>
          <w:color w:val="auto"/>
        </w:rPr>
        <w:t>Fiscal year 2023 was a year of preparation, learning and staging. We believe the men’s Big + Tall market in the US is approximately $23.0 billion dollars a year which would peg our market share at approximately 2.2%. We knew there was opportunity in this market, which is highly fragmented, where almost everyone who sells men’s apparel dabbles to one degree or another in</w:t>
      </w:r>
    </w:p>
    <w:p>
      <w:pPr>
        <w:ind w:left="720"/>
        <w:spacing w:after="0" w:line="303" w:lineRule="auto"/>
        <w:rPr>
          <w:sz w:val="20"/>
          <w:szCs w:val="20"/>
          <w:color w:val="auto"/>
        </w:rPr>
      </w:pPr>
      <w:r>
        <w:rPr>
          <w:rFonts w:ascii="Arial" w:cs="Arial" w:eastAsia="Arial" w:hAnsi="Arial"/>
          <w:sz w:val="16"/>
          <w:szCs w:val="16"/>
          <w:color w:val="auto"/>
        </w:rPr>
        <w:t>Big + Tall. We spent 2023 focusing on developing a strategic long-range plan in which seeds were planted in 2022; a plan that we believe will allow us to overcome four separate challenges that are limiting our growth.</w:t>
      </w:r>
    </w:p>
    <w:p>
      <w:pPr>
        <w:spacing w:after="0" w:line="171" w:lineRule="exact"/>
        <w:rPr>
          <w:sz w:val="20"/>
          <w:szCs w:val="20"/>
          <w:color w:val="auto"/>
        </w:rPr>
      </w:pPr>
    </w:p>
    <w:p>
      <w:pPr>
        <w:ind w:left="720" w:right="100"/>
        <w:spacing w:after="0" w:line="324" w:lineRule="auto"/>
        <w:rPr>
          <w:sz w:val="20"/>
          <w:szCs w:val="20"/>
          <w:color w:val="auto"/>
        </w:rPr>
      </w:pPr>
      <w:r>
        <w:rPr>
          <w:rFonts w:ascii="Arial" w:cs="Arial" w:eastAsia="Arial" w:hAnsi="Arial"/>
          <w:sz w:val="15"/>
          <w:szCs w:val="15"/>
          <w:color w:val="auto"/>
        </w:rPr>
        <w:t>The first challenge is Awareness. Our internal research in 2023 confirmed that we have significant opportunity to grow awareness of the DXL brand. When Big + Tall men are ready to shop we need DXL to be top of mind. We intend to drive that behavior through a new brand marketing campaign that launched in May 2024. This is the first time in over 5 years that DXL has pursued a coordinated brand campaign, and we are optimistic that our efforts will drive greater awareness.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second challenge is Accessibility. Our internal research in 2023 also told us that Big + Tall consumers do not shop with us 44% of the time because there is no store near them, and 35% of the time because there is no store conveniently near them. We have identified over 100 potential market opportunities across the US that are not currently being served by a DXL store. We opened 3 new stores in the second half of 2023, and we expect to open 8 more new stores in 2024. We are optimistic that we will open upwards of 50 new stores cumulatively over the next several years.</w:t>
      </w:r>
    </w:p>
    <w:p>
      <w:pPr>
        <w:spacing w:after="0" w:line="17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third challenge is Digital Friction. We are transitioning to a new and improved eCommerce platform through a phased approach. The first element of this new platform launched in May 2024, with subsequent enhancements planned to deploy in the third and fourth quarter of 2024. The new platform enables critically important operating capabilities while serving as the foundation for key growth drivers, specifically improvements in CX and UX.</w:t>
      </w:r>
    </w:p>
    <w:p>
      <w:pPr>
        <w:spacing w:after="0" w:line="174" w:lineRule="exact"/>
        <w:rPr>
          <w:sz w:val="20"/>
          <w:szCs w:val="20"/>
          <w:color w:val="auto"/>
        </w:rPr>
      </w:pPr>
    </w:p>
    <w:p>
      <w:pPr>
        <w:ind w:right="180"/>
        <w:spacing w:after="0" w:line="322" w:lineRule="auto"/>
        <w:rPr>
          <w:sz w:val="20"/>
          <w:szCs w:val="20"/>
          <w:color w:val="auto"/>
        </w:rPr>
      </w:pPr>
      <w:r>
        <w:rPr>
          <w:rFonts w:ascii="Arial" w:cs="Arial" w:eastAsia="Arial" w:hAnsi="Arial"/>
          <w:sz w:val="15"/>
          <w:szCs w:val="15"/>
          <w:color w:val="auto"/>
        </w:rPr>
        <w:t>The fourth challenge, perhaps “opportunity” is a better word, is what we are referring to as Alliances &amp; Collaborations. Regardless of how much we invest in the DXL brand, there are certain consumers we will never capture on our own. Collaborating with other retailers to bring the DXL experience beyond our four walls and into another retailer’s environment is the objective here. Our latest foray into this initiative was launching DXL’s Big + Tall offering on Nordstrom’s digital marketplace platform. This is a turn-key solution that brings our assortment and sizing to a new Big + Tall customer who is already shopping at a retailer that is closely aligned with our vision of service and customer experience.</w:t>
      </w:r>
    </w:p>
    <w:p>
      <w:pPr>
        <w:spacing w:after="0" w:line="163"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We have spent the past year developing and optimizing our long-range plan. Despite some of the macroeconomic challenges</w:t>
      </w:r>
    </w:p>
    <w:p>
      <w:pPr>
        <w:ind w:right="40"/>
        <w:spacing w:after="0" w:line="301" w:lineRule="auto"/>
        <w:rPr>
          <w:sz w:val="20"/>
          <w:szCs w:val="20"/>
          <w:color w:val="auto"/>
        </w:rPr>
      </w:pPr>
      <w:r>
        <w:rPr>
          <w:rFonts w:ascii="Arial" w:cs="Arial" w:eastAsia="Arial" w:hAnsi="Arial"/>
          <w:sz w:val="16"/>
          <w:szCs w:val="16"/>
          <w:color w:val="auto"/>
        </w:rPr>
        <w:t>of fiscal 2023 and our not meeting our sales and earnings objectives, I am enthusiastic about the opportunities ahead. We are focused on executing our plan to help make the lives of our Big + Tall guys a little bit better by being his singular destination to look and feel great. I am hopeful you will have a better understanding of what we think is possible over the next three to five years and, as always, we thank you for your interest and support in DXL.</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254000</wp:posOffset>
            </wp:positionV>
            <wp:extent cx="1306830" cy="427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6830"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Harvey S. Kanter</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President and CEO</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Destination XL Group, Inc.</w:t>
      </w:r>
    </w:p>
    <w:p>
      <w:pPr>
        <w:sectPr>
          <w:pgSz w:w="11880" w:h="15480" w:orient="portrait"/>
          <w:cols w:equalWidth="0" w:num="2">
            <w:col w:w="5120" w:space="460"/>
            <w:col w:w="4360"/>
          </w:cols>
          <w:pgMar w:left="1440" w:top="682" w:right="500" w:bottom="611" w:gutter="0" w:footer="0" w:header="0"/>
        </w:sectPr>
      </w:pPr>
    </w:p>
    <w:bookmarkStart w:id="2" w:name="page3"/>
    <w:bookmarkEnd w:id="2"/>
    <w:p>
      <w:pPr>
        <w:jc w:val="center"/>
        <w:spacing w:after="0"/>
        <w:rPr>
          <w:sz w:val="20"/>
          <w:szCs w:val="20"/>
          <w:color w:val="auto"/>
        </w:rPr>
      </w:pPr>
      <w:r>
        <w:rPr>
          <w:rFonts w:ascii="Arial" w:cs="Arial" w:eastAsia="Arial" w:hAnsi="Arial"/>
          <w:sz w:val="32"/>
          <w:szCs w:val="32"/>
          <w:color w:val="1E1E1E"/>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-214630</wp:posOffset>
            </wp:positionV>
            <wp:extent cx="689483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762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-227330</wp:posOffset>
            </wp:positionV>
            <wp:extent cx="689483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76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color w:val="1E1E1E"/>
        </w:rPr>
        <w:t>SECURITIES AND EXCHANGE COMMISSION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color w:val="1E1E1E"/>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59055</wp:posOffset>
            </wp:positionV>
            <wp:extent cx="141097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0970" cy="13970"/>
                    </a:xfrm>
                    <a:prstGeom prst="rect">
                      <a:avLst/>
                    </a:prstGeom>
                    <a:noFill/>
                  </pic:spPr>
                </pic:pic>
              </a:graphicData>
            </a:graphic>
          </wp:anchor>
        </w:drawing>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36"/>
          <w:szCs w:val="36"/>
          <w:u w:val="single" w:color="auto"/>
          <w:color w:val="1E1E1E"/>
        </w:rPr>
        <w:t>FORM 10-K</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6"/>
          <w:szCs w:val="16"/>
          <w:color w:val="1E1E1E"/>
        </w:rPr>
        <w:t>(Mark One)</w:t>
      </w:r>
    </w:p>
    <w:p>
      <w:pPr>
        <w:ind w:left="720"/>
        <w:spacing w:after="0"/>
        <w:rPr>
          <w:sz w:val="20"/>
          <w:szCs w:val="20"/>
          <w:color w:val="auto"/>
        </w:rPr>
      </w:pPr>
      <w:r>
        <w:rPr>
          <w:rFonts w:ascii="Arial" w:cs="Arial" w:eastAsia="Arial" w:hAnsi="Arial"/>
          <w:sz w:val="20"/>
          <w:szCs w:val="20"/>
          <w:color w:val="1E1E1E"/>
        </w:rPr>
        <w:t>ANNUAL REPORT PURSUANT TO SECTION 13 OR 15(d)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118745" cy="1187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16" w:lineRule="exact"/>
        <w:rPr>
          <w:sz w:val="20"/>
          <w:szCs w:val="20"/>
          <w:color w:val="auto"/>
        </w:rPr>
      </w:pPr>
    </w:p>
    <w:p>
      <w:pPr>
        <w:ind w:left="3020"/>
        <w:spacing w:after="0"/>
        <w:rPr>
          <w:sz w:val="20"/>
          <w:szCs w:val="20"/>
          <w:color w:val="auto"/>
        </w:rPr>
      </w:pPr>
      <w:r>
        <w:rPr>
          <w:rFonts w:ascii="Arial" w:cs="Arial" w:eastAsia="Arial" w:hAnsi="Arial"/>
          <w:sz w:val="20"/>
          <w:szCs w:val="20"/>
          <w:color w:val="1E1E1E"/>
        </w:rPr>
        <w:t>For the fiscal year ended February 3, 2024 (Fiscal 2023)</w:t>
      </w:r>
    </w:p>
    <w:p>
      <w:pPr>
        <w:jc w:val="center"/>
        <w:ind w:right="-59"/>
        <w:spacing w:after="0" w:line="238" w:lineRule="auto"/>
        <w:rPr>
          <w:sz w:val="20"/>
          <w:szCs w:val="20"/>
          <w:color w:val="auto"/>
        </w:rPr>
      </w:pPr>
      <w:r>
        <w:rPr>
          <w:rFonts w:ascii="Arial" w:cs="Arial" w:eastAsia="Arial" w:hAnsi="Arial"/>
          <w:sz w:val="20"/>
          <w:szCs w:val="20"/>
          <w:color w:val="1E1E1E"/>
        </w:rPr>
        <w:t>OR</w:t>
      </w:r>
    </w:p>
    <w:p>
      <w:pPr>
        <w:jc w:val="center"/>
        <w:ind w:right="-439"/>
        <w:spacing w:after="0"/>
        <w:rPr>
          <w:sz w:val="20"/>
          <w:szCs w:val="20"/>
          <w:color w:val="auto"/>
        </w:rPr>
      </w:pPr>
      <w:r>
        <w:rPr>
          <w:rFonts w:ascii="Arial" w:cs="Arial" w:eastAsia="Arial" w:hAnsi="Arial"/>
          <w:sz w:val="20"/>
          <w:szCs w:val="20"/>
          <w:color w:val="1E1E1E"/>
        </w:rPr>
        <w:t>TRANSITION REPORT PURSUANT TO SECTION 13 OR 15(d)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-89535</wp:posOffset>
            </wp:positionV>
            <wp:extent cx="106680" cy="1066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680" cy="106680"/>
                    </a:xfrm>
                    <a:prstGeom prst="rect">
                      <a:avLst/>
                    </a:prstGeom>
                    <a:noFill/>
                  </pic:spPr>
                </pic:pic>
              </a:graphicData>
            </a:graphic>
          </wp:anchor>
        </w:drawing>
      </w:r>
    </w:p>
    <w:p>
      <w:pPr>
        <w:ind w:left="3080"/>
        <w:spacing w:after="0"/>
        <w:tabs>
          <w:tab w:leader="none" w:pos="7860" w:val="left"/>
        </w:tabs>
        <w:rPr>
          <w:sz w:val="20"/>
          <w:szCs w:val="20"/>
          <w:color w:val="auto"/>
        </w:rPr>
      </w:pPr>
      <w:r>
        <w:rPr>
          <w:rFonts w:ascii="Arial" w:cs="Arial" w:eastAsia="Arial" w:hAnsi="Arial"/>
          <w:sz w:val="20"/>
          <w:szCs w:val="20"/>
          <w:color w:val="1E1E1E"/>
        </w:rPr>
        <w:t>FOR THE TRANSITION PERIOD FROM</w:t>
      </w:r>
      <w:r>
        <w:rPr>
          <w:sz w:val="20"/>
          <w:szCs w:val="20"/>
          <w:color w:val="auto"/>
        </w:rPr>
        <w:tab/>
      </w:r>
      <w:r>
        <w:rPr>
          <w:rFonts w:ascii="Arial" w:cs="Arial" w:eastAsia="Arial" w:hAnsi="Arial"/>
          <w:sz w:val="20"/>
          <w:szCs w:val="20"/>
          <w:color w:val="1E1E1E"/>
        </w:rPr>
        <w:t>TO</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20"/>
          <w:szCs w:val="20"/>
          <w:color w:val="1E1E1E"/>
        </w:rPr>
        <w:t>Commission File Number 01-34219</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34"/>
          <w:szCs w:val="34"/>
          <w:color w:val="1E1E1E"/>
        </w:rPr>
        <w:t>DESTINATION XL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-234315</wp:posOffset>
            </wp:positionV>
            <wp:extent cx="1410970" cy="13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0970" cy="139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1E1E1E"/>
        </w:rPr>
        <w:t>(Exact name of registrant as specified in its charter)</w:t>
      </w:r>
    </w:p>
    <w:p>
      <w:pPr>
        <w:spacing w:after="0" w:line="87"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5260" w:type="dxa"/>
            <w:vAlign w:val="bottom"/>
          </w:tcPr>
          <w:p>
            <w:pPr>
              <w:jc w:val="center"/>
              <w:ind w:right="1030"/>
              <w:spacing w:after="0"/>
              <w:rPr>
                <w:sz w:val="20"/>
                <w:szCs w:val="20"/>
                <w:color w:val="auto"/>
              </w:rPr>
            </w:pPr>
            <w:r>
              <w:rPr>
                <w:rFonts w:ascii="Arial" w:cs="Arial" w:eastAsia="Arial" w:hAnsi="Arial"/>
                <w:sz w:val="20"/>
                <w:szCs w:val="20"/>
                <w:color w:val="1E1E1E"/>
                <w:w w:val="97"/>
              </w:rPr>
              <w:t>Delaware</w:t>
            </w:r>
          </w:p>
        </w:tc>
        <w:tc>
          <w:tcPr>
            <w:tcW w:w="3480" w:type="dxa"/>
            <w:vAlign w:val="bottom"/>
          </w:tcPr>
          <w:p>
            <w:pPr>
              <w:jc w:val="right"/>
              <w:ind w:right="590"/>
              <w:spacing w:after="0"/>
              <w:rPr>
                <w:sz w:val="20"/>
                <w:szCs w:val="20"/>
                <w:color w:val="auto"/>
              </w:rPr>
            </w:pPr>
            <w:r>
              <w:rPr>
                <w:rFonts w:ascii="Arial" w:cs="Arial" w:eastAsia="Arial" w:hAnsi="Arial"/>
                <w:sz w:val="20"/>
                <w:szCs w:val="20"/>
                <w:color w:val="1E1E1E"/>
              </w:rPr>
              <w:t>04-2623104</w:t>
            </w:r>
          </w:p>
        </w:tc>
      </w:tr>
      <w:tr>
        <w:trPr>
          <w:trHeight w:val="222"/>
        </w:trPr>
        <w:tc>
          <w:tcPr>
            <w:tcW w:w="5260" w:type="dxa"/>
            <w:vAlign w:val="bottom"/>
          </w:tcPr>
          <w:p>
            <w:pPr>
              <w:jc w:val="center"/>
              <w:ind w:right="1050"/>
              <w:spacing w:after="0"/>
              <w:rPr>
                <w:sz w:val="20"/>
                <w:szCs w:val="20"/>
                <w:color w:val="auto"/>
              </w:rPr>
            </w:pPr>
            <w:r>
              <w:rPr>
                <w:rFonts w:ascii="Arial" w:cs="Arial" w:eastAsia="Arial" w:hAnsi="Arial"/>
                <w:sz w:val="16"/>
                <w:szCs w:val="16"/>
                <w:color w:val="1E1E1E"/>
                <w:w w:val="99"/>
              </w:rPr>
              <w:t>(State or other jurisdiction of incorporation or organization)</w:t>
            </w:r>
          </w:p>
        </w:tc>
        <w:tc>
          <w:tcPr>
            <w:tcW w:w="3480" w:type="dxa"/>
            <w:vAlign w:val="bottom"/>
          </w:tcPr>
          <w:p>
            <w:pPr>
              <w:jc w:val="center"/>
              <w:ind w:left="1050"/>
              <w:spacing w:after="0"/>
              <w:rPr>
                <w:sz w:val="20"/>
                <w:szCs w:val="20"/>
                <w:color w:val="auto"/>
              </w:rPr>
            </w:pPr>
            <w:r>
              <w:rPr>
                <w:rFonts w:ascii="Arial" w:cs="Arial" w:eastAsia="Arial" w:hAnsi="Arial"/>
                <w:sz w:val="16"/>
                <w:szCs w:val="16"/>
                <w:color w:val="1E1E1E"/>
              </w:rPr>
              <w:t>(IRS Employer Identification No.)</w:t>
            </w:r>
          </w:p>
        </w:tc>
      </w:tr>
      <w:tr>
        <w:trPr>
          <w:trHeight w:val="285"/>
        </w:trPr>
        <w:tc>
          <w:tcPr>
            <w:tcW w:w="5260" w:type="dxa"/>
            <w:vAlign w:val="bottom"/>
          </w:tcPr>
          <w:p>
            <w:pPr>
              <w:jc w:val="center"/>
              <w:ind w:right="1050"/>
              <w:spacing w:after="0"/>
              <w:rPr>
                <w:sz w:val="20"/>
                <w:szCs w:val="20"/>
                <w:color w:val="auto"/>
              </w:rPr>
            </w:pPr>
            <w:r>
              <w:rPr>
                <w:rFonts w:ascii="Arial" w:cs="Arial" w:eastAsia="Arial" w:hAnsi="Arial"/>
                <w:sz w:val="20"/>
                <w:szCs w:val="20"/>
                <w:color w:val="1E1E1E"/>
                <w:w w:val="98"/>
              </w:rPr>
              <w:t>555 Turnpike Street, Canton, MA</w:t>
            </w:r>
          </w:p>
        </w:tc>
        <w:tc>
          <w:tcPr>
            <w:tcW w:w="3480" w:type="dxa"/>
            <w:vAlign w:val="bottom"/>
          </w:tcPr>
          <w:p>
            <w:pPr>
              <w:jc w:val="right"/>
              <w:ind w:right="830"/>
              <w:spacing w:after="0"/>
              <w:rPr>
                <w:sz w:val="20"/>
                <w:szCs w:val="20"/>
                <w:color w:val="auto"/>
              </w:rPr>
            </w:pPr>
            <w:r>
              <w:rPr>
                <w:rFonts w:ascii="Arial" w:cs="Arial" w:eastAsia="Arial" w:hAnsi="Arial"/>
                <w:sz w:val="20"/>
                <w:szCs w:val="20"/>
                <w:color w:val="1E1E1E"/>
              </w:rPr>
              <w:t>02021</w:t>
            </w:r>
          </w:p>
        </w:tc>
      </w:tr>
      <w:tr>
        <w:trPr>
          <w:trHeight w:val="222"/>
        </w:trPr>
        <w:tc>
          <w:tcPr>
            <w:tcW w:w="5260" w:type="dxa"/>
            <w:vAlign w:val="bottom"/>
          </w:tcPr>
          <w:p>
            <w:pPr>
              <w:jc w:val="center"/>
              <w:ind w:right="1050"/>
              <w:spacing w:after="0"/>
              <w:rPr>
                <w:sz w:val="20"/>
                <w:szCs w:val="20"/>
                <w:color w:val="auto"/>
              </w:rPr>
            </w:pPr>
            <w:r>
              <w:rPr>
                <w:rFonts w:ascii="Arial" w:cs="Arial" w:eastAsia="Arial" w:hAnsi="Arial"/>
                <w:sz w:val="16"/>
                <w:szCs w:val="16"/>
                <w:color w:val="1E1E1E"/>
                <w:w w:val="96"/>
              </w:rPr>
              <w:t>(Address of principal executive offices)</w:t>
            </w:r>
          </w:p>
        </w:tc>
        <w:tc>
          <w:tcPr>
            <w:tcW w:w="3480" w:type="dxa"/>
            <w:vAlign w:val="bottom"/>
          </w:tcPr>
          <w:p>
            <w:pPr>
              <w:jc w:val="center"/>
              <w:ind w:left="1050"/>
              <w:spacing w:after="0"/>
              <w:rPr>
                <w:sz w:val="20"/>
                <w:szCs w:val="20"/>
                <w:color w:val="auto"/>
              </w:rPr>
            </w:pPr>
            <w:r>
              <w:rPr>
                <w:rFonts w:ascii="Arial" w:cs="Arial" w:eastAsia="Arial" w:hAnsi="Arial"/>
                <w:sz w:val="16"/>
                <w:szCs w:val="16"/>
                <w:color w:val="1E1E1E"/>
                <w:w w:val="97"/>
              </w:rPr>
              <w:t>(Zip Code)</w:t>
            </w: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1E1E1E"/>
        </w:rPr>
        <w:t>(781) 828-9300</w:t>
      </w:r>
    </w:p>
    <w:p>
      <w:pPr>
        <w:spacing w:after="0" w:line="3" w:lineRule="exact"/>
        <w:rPr>
          <w:sz w:val="20"/>
          <w:szCs w:val="20"/>
          <w:color w:val="auto"/>
        </w:rPr>
      </w:pPr>
    </w:p>
    <w:p>
      <w:pPr>
        <w:ind w:left="3580"/>
        <w:spacing w:after="0"/>
        <w:rPr>
          <w:sz w:val="20"/>
          <w:szCs w:val="20"/>
          <w:color w:val="auto"/>
        </w:rPr>
      </w:pPr>
      <w:r>
        <w:rPr>
          <w:rFonts w:ascii="Arial" w:cs="Arial" w:eastAsia="Arial" w:hAnsi="Arial"/>
          <w:sz w:val="16"/>
          <w:szCs w:val="16"/>
          <w:color w:val="1E1E1E"/>
        </w:rPr>
        <w:t>(Registrant’s telephone number, including area code)</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1E1E1E"/>
        </w:rPr>
        <w:t>Securities registered pursuant to Section 12(b) of the Act:</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620" w:type="dxa"/>
            <w:vAlign w:val="bottom"/>
            <w:tcBorders>
              <w:top w:val="single" w:sz="8" w:color="1E1E1E"/>
              <w:left w:val="single" w:sz="8" w:color="1E1E1E"/>
              <w:bottom w:val="single" w:sz="8" w:color="1E1E1E"/>
              <w:right w:val="single" w:sz="8" w:color="1E1E1E"/>
            </w:tcBorders>
          </w:tcPr>
          <w:p>
            <w:pPr>
              <w:jc w:val="center"/>
              <w:spacing w:after="0"/>
              <w:rPr>
                <w:sz w:val="20"/>
                <w:szCs w:val="20"/>
                <w:color w:val="auto"/>
              </w:rPr>
            </w:pPr>
            <w:r>
              <w:rPr>
                <w:rFonts w:ascii="Arial" w:cs="Arial" w:eastAsia="Arial" w:hAnsi="Arial"/>
                <w:sz w:val="16"/>
                <w:szCs w:val="16"/>
                <w:color w:val="1E1E1E"/>
                <w:w w:val="93"/>
              </w:rPr>
              <w:t>Title of each class</w:t>
            </w:r>
          </w:p>
        </w:tc>
        <w:tc>
          <w:tcPr>
            <w:tcW w:w="3600" w:type="dxa"/>
            <w:vAlign w:val="bottom"/>
            <w:tcBorders>
              <w:top w:val="single" w:sz="8" w:color="1E1E1E"/>
              <w:bottom w:val="single" w:sz="8" w:color="1E1E1E"/>
              <w:right w:val="single" w:sz="8" w:color="1E1E1E"/>
            </w:tcBorders>
          </w:tcPr>
          <w:p>
            <w:pPr>
              <w:jc w:val="center"/>
              <w:spacing w:after="0"/>
              <w:rPr>
                <w:sz w:val="20"/>
                <w:szCs w:val="20"/>
                <w:color w:val="auto"/>
              </w:rPr>
            </w:pPr>
            <w:r>
              <w:rPr>
                <w:rFonts w:ascii="Arial" w:cs="Arial" w:eastAsia="Arial" w:hAnsi="Arial"/>
                <w:sz w:val="16"/>
                <w:szCs w:val="16"/>
                <w:color w:val="1E1E1E"/>
                <w:w w:val="98"/>
              </w:rPr>
              <w:t>Trading Symbols(s)</w:t>
            </w:r>
          </w:p>
        </w:tc>
        <w:tc>
          <w:tcPr>
            <w:tcW w:w="3580" w:type="dxa"/>
            <w:vAlign w:val="bottom"/>
            <w:tcBorders>
              <w:top w:val="single" w:sz="8" w:color="1E1E1E"/>
              <w:bottom w:val="single" w:sz="8" w:color="1E1E1E"/>
              <w:right w:val="single" w:sz="8" w:color="1E1E1E"/>
            </w:tcBorders>
          </w:tcPr>
          <w:p>
            <w:pPr>
              <w:jc w:val="center"/>
              <w:spacing w:after="0"/>
              <w:rPr>
                <w:sz w:val="20"/>
                <w:szCs w:val="20"/>
                <w:color w:val="auto"/>
              </w:rPr>
            </w:pPr>
            <w:r>
              <w:rPr>
                <w:rFonts w:ascii="Arial" w:cs="Arial" w:eastAsia="Arial" w:hAnsi="Arial"/>
                <w:sz w:val="16"/>
                <w:szCs w:val="16"/>
                <w:color w:val="1E1E1E"/>
                <w:w w:val="94"/>
              </w:rPr>
              <w:t>Name of each exchange on which registered</w:t>
            </w:r>
          </w:p>
        </w:tc>
      </w:tr>
      <w:tr>
        <w:trPr>
          <w:trHeight w:val="232"/>
        </w:trPr>
        <w:tc>
          <w:tcPr>
            <w:tcW w:w="3620" w:type="dxa"/>
            <w:vAlign w:val="bottom"/>
            <w:tcBorders>
              <w:left w:val="single" w:sz="8" w:color="1E1E1E"/>
              <w:bottom w:val="single" w:sz="8" w:color="1E1E1E"/>
              <w:right w:val="single" w:sz="8" w:color="1E1E1E"/>
            </w:tcBorders>
          </w:tcPr>
          <w:p>
            <w:pPr>
              <w:jc w:val="center"/>
              <w:spacing w:after="0"/>
              <w:rPr>
                <w:sz w:val="20"/>
                <w:szCs w:val="20"/>
                <w:color w:val="auto"/>
              </w:rPr>
            </w:pPr>
            <w:r>
              <w:rPr>
                <w:rFonts w:ascii="Arial" w:cs="Arial" w:eastAsia="Arial" w:hAnsi="Arial"/>
                <w:sz w:val="16"/>
                <w:szCs w:val="16"/>
                <w:color w:val="1E1E1E"/>
                <w:w w:val="95"/>
              </w:rPr>
              <w:t>Common Stock, par value $0.01 per share</w:t>
            </w:r>
          </w:p>
        </w:tc>
        <w:tc>
          <w:tcPr>
            <w:tcW w:w="3600" w:type="dxa"/>
            <w:vAlign w:val="bottom"/>
            <w:tcBorders>
              <w:bottom w:val="single" w:sz="8" w:color="1E1E1E"/>
              <w:right w:val="single" w:sz="8" w:color="1E1E1E"/>
            </w:tcBorders>
          </w:tcPr>
          <w:p>
            <w:pPr>
              <w:jc w:val="center"/>
              <w:spacing w:after="0"/>
              <w:rPr>
                <w:sz w:val="20"/>
                <w:szCs w:val="20"/>
                <w:color w:val="auto"/>
              </w:rPr>
            </w:pPr>
            <w:r>
              <w:rPr>
                <w:rFonts w:ascii="Arial" w:cs="Arial" w:eastAsia="Arial" w:hAnsi="Arial"/>
                <w:sz w:val="16"/>
                <w:szCs w:val="16"/>
                <w:color w:val="1E1E1E"/>
              </w:rPr>
              <w:t>DXLG</w:t>
            </w:r>
          </w:p>
        </w:tc>
        <w:tc>
          <w:tcPr>
            <w:tcW w:w="3580" w:type="dxa"/>
            <w:vAlign w:val="bottom"/>
            <w:tcBorders>
              <w:bottom w:val="single" w:sz="8" w:color="1E1E1E"/>
              <w:right w:val="single" w:sz="8" w:color="1E1E1E"/>
            </w:tcBorders>
          </w:tcPr>
          <w:p>
            <w:pPr>
              <w:jc w:val="center"/>
              <w:spacing w:after="0"/>
              <w:rPr>
                <w:sz w:val="20"/>
                <w:szCs w:val="20"/>
                <w:color w:val="auto"/>
              </w:rPr>
            </w:pPr>
            <w:r>
              <w:rPr>
                <w:rFonts w:ascii="Arial" w:cs="Arial" w:eastAsia="Arial" w:hAnsi="Arial"/>
                <w:sz w:val="16"/>
                <w:szCs w:val="16"/>
                <w:color w:val="1E1E1E"/>
                <w:w w:val="98"/>
              </w:rPr>
              <w:t>The Nasdaq Stock Market LLC</w:t>
            </w: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1E1E1E"/>
        </w:rPr>
        <w:t>Securities registered pursuant to Section 12(g) of the Act: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None.</w:t>
      </w:r>
    </w:p>
    <w:p>
      <w:pPr>
        <w:sectPr>
          <w:pgSz w:w="11880" w:h="15480" w:orient="portrait"/>
          <w:cols w:equalWidth="0" w:num="1">
            <w:col w:w="10800"/>
          </w:cols>
          <w:pgMar w:left="540" w:top="596" w:right="540" w:bottom="222"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1E1E1E"/>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color w:val="1E1E1E"/>
        </w:rPr>
        <w:t xml:space="preserve">Yes </w:t>
      </w: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1E1E1E"/>
        </w:rPr>
        <w:t xml:space="preserve">No </w:t>
      </w: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p>
    <w:p>
      <w:pPr>
        <w:spacing w:after="0" w:line="45" w:lineRule="exact"/>
        <w:rPr>
          <w:sz w:val="20"/>
          <w:szCs w:val="20"/>
          <w:color w:val="auto"/>
        </w:rPr>
      </w:pPr>
    </w:p>
    <w:p>
      <w:pPr>
        <w:sectPr>
          <w:pgSz w:w="11880" w:h="15480" w:orient="portrait"/>
          <w:cols w:equalWidth="0" w:num="3">
            <w:col w:w="8460" w:space="180"/>
            <w:col w:w="540" w:space="160"/>
            <w:col w:w="1460"/>
          </w:cols>
          <w:pgMar w:left="540" w:top="596" w:right="540" w:bottom="222" w:gutter="0" w:footer="0" w:header="0"/>
          <w:type w:val="continuous"/>
        </w:sectPr>
      </w:pPr>
    </w:p>
    <w:p>
      <w:pPr>
        <w:spacing w:after="0"/>
        <w:rPr>
          <w:sz w:val="20"/>
          <w:szCs w:val="20"/>
          <w:color w:val="auto"/>
        </w:rPr>
      </w:pPr>
      <w:r>
        <w:rPr>
          <w:rFonts w:ascii="Arial" w:cs="Arial" w:eastAsia="Arial" w:hAnsi="Arial"/>
          <w:sz w:val="16"/>
          <w:szCs w:val="16"/>
          <w:color w:val="1E1E1E"/>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1E1E1E"/>
        </w:rPr>
        <w:t xml:space="preserve">Yes </w:t>
      </w:r>
      <w:r>
        <w:rPr>
          <w:sz w:val="1"/>
          <w:szCs w:val="1"/>
          <w:color w:val="auto"/>
        </w:rPr>
        <w:drawing>
          <wp:inline distT="0" distB="0" distL="0" distR="0">
            <wp:extent cx="111125" cy="1111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1E1E1E"/>
        </w:rPr>
        <w:t xml:space="preserve">No </w:t>
      </w:r>
      <w:r>
        <w:rPr>
          <w:sz w:val="1"/>
          <w:szCs w:val="1"/>
          <w:color w:val="auto"/>
        </w:rPr>
        <w:drawing>
          <wp:inline distT="0" distB="0" distL="0" distR="0">
            <wp:extent cx="111125" cy="1111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p>
    <w:p>
      <w:pPr>
        <w:spacing w:after="0" w:line="32" w:lineRule="exact"/>
        <w:rPr>
          <w:sz w:val="20"/>
          <w:szCs w:val="20"/>
          <w:color w:val="auto"/>
        </w:rPr>
      </w:pPr>
    </w:p>
    <w:p>
      <w:pPr>
        <w:sectPr>
          <w:pgSz w:w="11880" w:h="15480" w:orient="portrait"/>
          <w:cols w:equalWidth="0" w:num="3">
            <w:col w:w="8620" w:space="180"/>
            <w:col w:w="520" w:space="180"/>
            <w:col w:w="1300"/>
          </w:cols>
          <w:pgMar w:left="540" w:top="596" w:right="540" w:bottom="222" w:gutter="0" w:footer="0" w:header="0"/>
          <w:type w:val="continuous"/>
        </w:sectPr>
      </w:pPr>
    </w:p>
    <w:p>
      <w:pPr>
        <w:ind w:right="60"/>
        <w:spacing w:after="0" w:line="252" w:lineRule="auto"/>
        <w:rPr>
          <w:sz w:val="20"/>
          <w:szCs w:val="20"/>
          <w:color w:val="auto"/>
        </w:rPr>
      </w:pPr>
      <w:r>
        <w:rPr>
          <w:rFonts w:ascii="Arial" w:cs="Arial" w:eastAsia="Arial" w:hAnsi="Arial"/>
          <w:sz w:val="16"/>
          <w:szCs w:val="16"/>
          <w:color w:val="1E1E1E"/>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line="237" w:lineRule="auto"/>
        <w:tabs>
          <w:tab w:leader="none" w:pos="3040" w:val="left"/>
          <w:tab w:leader="none" w:pos="3740" w:val="left"/>
        </w:tabs>
        <w:rPr>
          <w:sz w:val="20"/>
          <w:szCs w:val="20"/>
          <w:color w:val="auto"/>
        </w:rPr>
      </w:pPr>
      <w:r>
        <w:rPr>
          <w:rFonts w:ascii="Arial" w:cs="Arial" w:eastAsia="Arial" w:hAnsi="Arial"/>
          <w:sz w:val="18"/>
          <w:szCs w:val="18"/>
          <w:color w:val="1E1E1E"/>
        </w:rPr>
        <w:t>filing requirements for the past 90 days.</w:t>
        <w:tab/>
        <w:t>Yes</w:t>
      </w:r>
      <w:r>
        <w:rPr>
          <w:sz w:val="20"/>
          <w:szCs w:val="20"/>
          <w:color w:val="auto"/>
        </w:rPr>
        <w:tab/>
      </w:r>
      <w:r>
        <w:rPr>
          <w:rFonts w:ascii="Arial" w:cs="Arial" w:eastAsia="Arial" w:hAnsi="Arial"/>
          <w:sz w:val="17"/>
          <w:szCs w:val="17"/>
          <w:color w:val="1E1E1E"/>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-98425</wp:posOffset>
            </wp:positionV>
            <wp:extent cx="111125" cy="111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2578735</wp:posOffset>
            </wp:positionH>
            <wp:positionV relativeFrom="paragraph">
              <wp:posOffset>-98425</wp:posOffset>
            </wp:positionV>
            <wp:extent cx="111125" cy="111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ind w:right="120"/>
        <w:spacing w:after="0" w:line="258" w:lineRule="auto"/>
        <w:rPr>
          <w:sz w:val="20"/>
          <w:szCs w:val="20"/>
          <w:color w:val="auto"/>
        </w:rPr>
      </w:pPr>
      <w:r>
        <w:rPr>
          <w:rFonts w:ascii="Arial" w:cs="Arial" w:eastAsia="Arial" w:hAnsi="Arial"/>
          <w:sz w:val="16"/>
          <w:szCs w:val="16"/>
          <w:color w:val="1E1E1E"/>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w:t>
      </w:r>
    </w:p>
    <w:p>
      <w:pPr>
        <w:spacing w:after="0"/>
        <w:tabs>
          <w:tab w:leader="none" w:pos="960" w:val="left"/>
        </w:tabs>
        <w:rPr>
          <w:sz w:val="20"/>
          <w:szCs w:val="20"/>
          <w:color w:val="auto"/>
        </w:rPr>
      </w:pPr>
      <w:r>
        <w:rPr>
          <w:rFonts w:ascii="Arial" w:cs="Arial" w:eastAsia="Arial" w:hAnsi="Arial"/>
          <w:sz w:val="18"/>
          <w:szCs w:val="18"/>
          <w:color w:val="1E1E1E"/>
        </w:rPr>
        <w:t>such files).</w:t>
        <w:tab/>
        <w:t xml:space="preserve">Yes </w:t>
      </w:r>
      <w:r>
        <w:rPr>
          <w:sz w:val="1"/>
          <w:szCs w:val="1"/>
          <w:color w:val="auto"/>
        </w:rPr>
        <w:drawing>
          <wp:inline distT="0" distB="0" distL="0" distR="0">
            <wp:extent cx="111125" cy="1111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1E1E1E"/>
        </w:rPr>
        <w:t xml:space="preserve">  No </w:t>
      </w:r>
      <w:r>
        <w:rPr>
          <w:sz w:val="1"/>
          <w:szCs w:val="1"/>
          <w:color w:val="auto"/>
        </w:rPr>
        <w:drawing>
          <wp:inline distT="0" distB="0" distL="0" distR="0">
            <wp:extent cx="111125" cy="1111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p>
    <w:p>
      <w:pPr>
        <w:spacing w:after="0" w:line="1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1E1E1E"/>
        </w:rPr>
        <w:t>Indicate by check mark whether the registrant is a large accelerated filer, an accelerated filer, a non-accelerated filer, a smaller reporting company, or emerging growth company. See the definitions of "large accelerated filer," "accelerated filer," "non-accelerated filer," "smaller reporting company" and “emerging growth company” in Rule 12b-2 of the Exchange Act.</w:t>
      </w:r>
    </w:p>
    <w:p>
      <w:pPr>
        <w:sectPr>
          <w:pgSz w:w="11880" w:h="15480" w:orient="portrait"/>
          <w:cols w:equalWidth="0" w:num="1">
            <w:col w:w="10800"/>
          </w:cols>
          <w:pgMar w:left="540" w:top="596" w:right="540" w:bottom="222" w:gutter="0" w:footer="0" w:header="0"/>
          <w:type w:val="continuous"/>
        </w:sectPr>
      </w:pP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1E1E1E"/>
        </w:rPr>
        <w:t>Large accelerated filer</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1E1E1E"/>
        </w:rPr>
        <w:t>Accelerated filer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1741805</wp:posOffset>
            </wp:positionH>
            <wp:positionV relativeFrom="paragraph">
              <wp:posOffset>-78105</wp:posOffset>
            </wp:positionV>
            <wp:extent cx="111125" cy="111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57" w:lineRule="exact"/>
        <w:rPr>
          <w:sz w:val="20"/>
          <w:szCs w:val="20"/>
          <w:color w:val="auto"/>
        </w:rPr>
      </w:pPr>
    </w:p>
    <w:p>
      <w:pPr>
        <w:sectPr>
          <w:pgSz w:w="11880" w:h="15480" w:orient="portrait"/>
          <w:cols w:equalWidth="0" w:num="2">
            <w:col w:w="4680" w:space="720"/>
            <w:col w:w="5400"/>
          </w:cols>
          <w:pgMar w:left="540" w:top="596" w:right="540" w:bottom="222" w:gutter="0" w:footer="0" w:header="0"/>
          <w:type w:val="continuous"/>
        </w:sectPr>
      </w:pPr>
    </w:p>
    <w:p>
      <w:pPr>
        <w:ind w:left="820"/>
        <w:spacing w:after="0"/>
        <w:rPr>
          <w:sz w:val="20"/>
          <w:szCs w:val="20"/>
          <w:color w:val="auto"/>
        </w:rPr>
      </w:pPr>
      <w:r>
        <w:rPr>
          <w:rFonts w:ascii="Arial" w:cs="Arial" w:eastAsia="Arial" w:hAnsi="Arial"/>
          <w:sz w:val="16"/>
          <w:szCs w:val="16"/>
          <w:color w:val="1E1E1E"/>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1E1E1E"/>
        </w:rPr>
        <w:t>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1741805</wp:posOffset>
            </wp:positionH>
            <wp:positionV relativeFrom="paragraph">
              <wp:posOffset>-78740</wp:posOffset>
            </wp:positionV>
            <wp:extent cx="111125" cy="111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9" w:lineRule="exact"/>
        <w:rPr>
          <w:sz w:val="20"/>
          <w:szCs w:val="20"/>
          <w:color w:val="auto"/>
        </w:rPr>
      </w:pPr>
    </w:p>
    <w:p>
      <w:pPr>
        <w:sectPr>
          <w:pgSz w:w="11880" w:h="15480" w:orient="portrait"/>
          <w:cols w:equalWidth="0" w:num="2">
            <w:col w:w="4680" w:space="720"/>
            <w:col w:w="5400"/>
          </w:cols>
          <w:pgMar w:left="540" w:top="596" w:right="540" w:bottom="222" w:gutter="0" w:footer="0" w:header="0"/>
          <w:type w:val="continuous"/>
        </w:sectPr>
      </w:pPr>
    </w:p>
    <w:p>
      <w:pPr>
        <w:ind w:left="5400"/>
        <w:spacing w:after="0"/>
        <w:rPr>
          <w:sz w:val="20"/>
          <w:szCs w:val="20"/>
          <w:color w:val="auto"/>
        </w:rPr>
      </w:pPr>
      <w:r>
        <w:rPr>
          <w:rFonts w:ascii="Arial" w:cs="Arial" w:eastAsia="Arial" w:hAnsi="Arial"/>
          <w:sz w:val="16"/>
          <w:szCs w:val="16"/>
          <w:color w:val="1E1E1E"/>
        </w:rPr>
        <w:t>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5170805</wp:posOffset>
            </wp:positionH>
            <wp:positionV relativeFrom="paragraph">
              <wp:posOffset>-86995</wp:posOffset>
            </wp:positionV>
            <wp:extent cx="111125" cy="111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ectPr>
          <w:pgSz w:w="11880" w:h="15480" w:orient="portrait"/>
          <w:cols w:equalWidth="0" w:num="1">
            <w:col w:w="10800"/>
          </w:cols>
          <w:pgMar w:left="540" w:top="596" w:right="540" w:bottom="222" w:gutter="0" w:footer="0" w:header="0"/>
          <w:type w:val="continuous"/>
        </w:sectPr>
      </w:pPr>
    </w:p>
    <w:p>
      <w:pPr>
        <w:spacing w:after="0" w:line="142" w:lineRule="exact"/>
        <w:rPr>
          <w:sz w:val="20"/>
          <w:szCs w:val="20"/>
          <w:color w:val="auto"/>
        </w:rPr>
      </w:pPr>
    </w:p>
    <w:p>
      <w:pPr>
        <w:spacing w:after="0" w:line="252" w:lineRule="auto"/>
        <w:rPr>
          <w:sz w:val="20"/>
          <w:szCs w:val="20"/>
          <w:color w:val="auto"/>
        </w:rPr>
      </w:pPr>
      <w:r>
        <w:rPr>
          <w:rFonts w:ascii="Arial" w:cs="Arial" w:eastAsia="Arial" w:hAnsi="Arial"/>
          <w:sz w:val="18"/>
          <w:szCs w:val="18"/>
          <w:color w:val="1E1E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1"/>
          <w:szCs w:val="1"/>
          <w:color w:val="auto"/>
        </w:rPr>
        <w:drawing>
          <wp:inline distT="0" distB="0" distL="0" distR="0">
            <wp:extent cx="111125" cy="1111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6"/>
          <w:szCs w:val="16"/>
          <w:color w:val="1E1E1E"/>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spacing w:after="0"/>
        <w:rPr>
          <w:sz w:val="20"/>
          <w:szCs w:val="20"/>
          <w:color w:val="auto"/>
        </w:rPr>
      </w:pPr>
      <w:r>
        <w:rPr>
          <w:rFonts w:ascii="Arial" w:cs="Arial" w:eastAsia="Arial" w:hAnsi="Arial"/>
          <w:sz w:val="18"/>
          <w:szCs w:val="18"/>
          <w:color w:val="1E1E1E"/>
        </w:rPr>
        <w:t xml:space="preserve">prepared or issued its audit report. </w:t>
      </w:r>
      <w:r>
        <w:rPr>
          <w:sz w:val="1"/>
          <w:szCs w:val="1"/>
          <w:color w:val="auto"/>
        </w:rPr>
        <w:drawing>
          <wp:inline distT="0" distB="0" distL="0" distR="0">
            <wp:extent cx="111125" cy="1111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p>
    <w:p>
      <w:pPr>
        <w:spacing w:after="0" w:line="3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1E1E1E"/>
        </w:rPr>
        <w:t xml:space="preserve">If securities are registered pursuant to Section 12(b) of the Act, indicate by check mark whether the financial statements of the registrant included in the filing reflect the correction of an error to previously issued financial statements. </w:t>
      </w:r>
      <w:r>
        <w:rPr>
          <w:sz w:val="1"/>
          <w:szCs w:val="1"/>
          <w:color w:val="auto"/>
        </w:rPr>
        <w:drawing>
          <wp:inline distT="0" distB="0" distL="0" distR="0">
            <wp:extent cx="111125" cy="1111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1E1E1E"/>
        </w:rPr>
        <w:t>Indicate by check mark whether any of those error corrections are restatements that required a recovery analysis of incentive-based compensation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1E1E1E"/>
        </w:rPr>
        <w:t xml:space="preserve">received by any of the registrant’s executive </w:t>
      </w:r>
      <w:r>
        <w:rPr>
          <w:sz w:val="1"/>
          <w:szCs w:val="1"/>
          <w:color w:val="auto"/>
        </w:rPr>
        <w:drawing>
          <wp:inline distT="0" distB="0" distL="0" distR="0">
            <wp:extent cx="155575" cy="1035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5575" cy="103505"/>
                    </a:xfrm>
                    <a:prstGeom prst="rect">
                      <a:avLst/>
                    </a:prstGeom>
                    <a:noFill/>
                    <a:ln>
                      <a:noFill/>
                    </a:ln>
                  </pic:spPr>
                </pic:pic>
              </a:graphicData>
            </a:graphic>
          </wp:inline>
        </w:drawing>
        <w:drawing>
          <wp:inline distT="0" distB="0" distL="0" distR="0">
            <wp:extent cx="123190" cy="8509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3190" cy="85090"/>
                    </a:xfrm>
                    <a:prstGeom prst="rect">
                      <a:avLst/>
                    </a:prstGeom>
                    <a:noFill/>
                    <a:ln>
                      <a:noFill/>
                    </a:ln>
                  </pic:spPr>
                </pic:pic>
              </a:graphicData>
            </a:graphic>
          </wp:inline>
        </w:drawing>
        <w:drawing>
          <wp:inline distT="0" distB="0" distL="0" distR="0">
            <wp:extent cx="107950" cy="8509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7950" cy="85090"/>
                    </a:xfrm>
                    <a:prstGeom prst="rect">
                      <a:avLst/>
                    </a:prstGeom>
                    <a:noFill/>
                    <a:ln>
                      <a:noFill/>
                    </a:ln>
                  </pic:spPr>
                </pic:pic>
              </a:graphicData>
            </a:graphic>
          </wp:inline>
        </w:drawing>
      </w:r>
      <w:r>
        <w:rPr>
          <w:rFonts w:ascii="Arial" w:cs="Arial" w:eastAsia="Arial" w:hAnsi="Arial"/>
          <w:sz w:val="18"/>
          <w:szCs w:val="18"/>
          <w:color w:val="1E1E1E"/>
        </w:rPr>
        <w:t xml:space="preserve"> during the relevant recovery period pursuant to §240.10D-1(b). </w:t>
      </w:r>
      <w:r>
        <w:rPr>
          <w:sz w:val="1"/>
          <w:szCs w:val="1"/>
          <w:color w:val="auto"/>
        </w:rPr>
        <w:drawing>
          <wp:inline distT="0" distB="0" distL="0" distR="0">
            <wp:extent cx="111125" cy="1111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p>
    <w:p>
      <w:pPr>
        <w:spacing w:after="0" w:line="67" w:lineRule="exact"/>
        <w:rPr>
          <w:sz w:val="20"/>
          <w:szCs w:val="20"/>
          <w:color w:val="auto"/>
        </w:rPr>
      </w:pPr>
    </w:p>
    <w:p>
      <w:pPr>
        <w:spacing w:after="0"/>
        <w:tabs>
          <w:tab w:leader="none" w:pos="7580" w:val="left"/>
        </w:tabs>
        <w:rPr>
          <w:sz w:val="20"/>
          <w:szCs w:val="20"/>
          <w:color w:val="auto"/>
        </w:rPr>
      </w:pPr>
      <w:r>
        <w:rPr>
          <w:rFonts w:ascii="Arial" w:cs="Arial" w:eastAsia="Arial" w:hAnsi="Arial"/>
          <w:sz w:val="17"/>
          <w:szCs w:val="17"/>
          <w:color w:val="1E1E1E"/>
        </w:rPr>
        <w:t>Indicate by check mark whether the registrant is a shell company (as defined in Rule 12b-2 of the Act).</w:t>
      </w:r>
      <w:r>
        <w:rPr>
          <w:sz w:val="20"/>
          <w:szCs w:val="20"/>
          <w:color w:val="auto"/>
        </w:rPr>
        <w:tab/>
      </w:r>
      <w:r>
        <w:rPr>
          <w:rFonts w:ascii="Arial" w:cs="Arial" w:eastAsia="Arial" w:hAnsi="Arial"/>
          <w:sz w:val="18"/>
          <w:szCs w:val="18"/>
          <w:color w:val="1E1E1E"/>
        </w:rPr>
        <w:t xml:space="preserve">Yes </w:t>
      </w:r>
      <w:r>
        <w:rPr>
          <w:sz w:val="1"/>
          <w:szCs w:val="1"/>
          <w:color w:val="auto"/>
        </w:rPr>
        <w:drawing>
          <wp:inline distT="0" distB="0" distL="0" distR="0">
            <wp:extent cx="111125" cy="1111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1E1E1E"/>
        </w:rPr>
        <w:t xml:space="preserve">  No </w:t>
      </w:r>
      <w:r>
        <w:rPr>
          <w:sz w:val="1"/>
          <w:szCs w:val="1"/>
          <w:color w:val="auto"/>
        </w:rPr>
        <w:drawing>
          <wp:inline distT="0" distB="0" distL="0" distR="0">
            <wp:extent cx="111125" cy="11112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p>
    <w:p>
      <w:pPr>
        <w:spacing w:after="0" w:line="22"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1E1E1E"/>
        </w:rPr>
        <w:t>As of July 28, 2023, the aggregate market value of the Common Stock held by non-affiliates of the registrant was approximately $268.3 million, based on the last reported sale price on that date. Shares of Common Stock held by each executive officer and director and by certain persons who own 10% or more of the outstanding Common Stock have been excluded on the basis that such persons may be deemed to be affiliates. This determination of affiliate status is not necessarily determinative for other purposes.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1E1E1E"/>
        </w:rPr>
        <w:t>The registrant had 57,989,062 shares of Common Stock, $0.01 par value, outstanding as of March 15, 2024.</w:t>
      </w:r>
    </w:p>
    <w:p>
      <w:pPr>
        <w:ind w:left="3320"/>
        <w:spacing w:after="0" w:line="235" w:lineRule="auto"/>
        <w:rPr>
          <w:sz w:val="20"/>
          <w:szCs w:val="20"/>
          <w:color w:val="auto"/>
        </w:rPr>
      </w:pPr>
      <w:r>
        <w:rPr>
          <w:rFonts w:ascii="Arial" w:cs="Arial" w:eastAsia="Arial" w:hAnsi="Arial"/>
          <w:sz w:val="18"/>
          <w:szCs w:val="18"/>
          <w:color w:val="1E1E1E"/>
        </w:rPr>
        <w:t>DOCUMENTS INCORPORATED BY REFERENCE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Portions of the Proxy Statement for the 2024 Annual Meeting of Stockholders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99695</wp:posOffset>
            </wp:positionV>
            <wp:extent cx="689483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94830" cy="762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85725</wp:posOffset>
            </wp:positionV>
            <wp:extent cx="689483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94830" cy="7620"/>
                    </a:xfrm>
                    <a:prstGeom prst="rect">
                      <a:avLst/>
                    </a:prstGeom>
                    <a:noFill/>
                  </pic:spPr>
                </pic:pic>
              </a:graphicData>
            </a:graphic>
          </wp:anchor>
        </w:drawing>
      </w:r>
    </w:p>
    <w:p>
      <w:pPr>
        <w:sectPr>
          <w:pgSz w:w="11880" w:h="15480" w:orient="portrait"/>
          <w:cols w:equalWidth="0" w:num="1">
            <w:col w:w="10800"/>
          </w:cols>
          <w:pgMar w:left="540" w:top="596" w:right="540" w:bottom="222" w:gutter="0" w:footer="0" w:header="0"/>
          <w:type w:val="continuous"/>
        </w:sectPr>
      </w:pPr>
    </w:p>
    <w:bookmarkStart w:id="3" w:name="page4"/>
    <w:bookmarkEnd w:id="3"/>
    <w:p>
      <w:pPr>
        <w:ind w:left="3900"/>
        <w:spacing w:after="0"/>
        <w:rPr>
          <w:sz w:val="20"/>
          <w:szCs w:val="20"/>
          <w:color w:val="auto"/>
        </w:rPr>
      </w:pPr>
      <w:r>
        <w:rPr>
          <w:rFonts w:ascii="Arial" w:cs="Arial" w:eastAsia="Arial" w:hAnsi="Arial"/>
          <w:sz w:val="20"/>
          <w:szCs w:val="20"/>
          <w:color w:val="1E1E1E"/>
        </w:rPr>
        <w:t>DESTINATION XL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160655</wp:posOffset>
            </wp:positionV>
            <wp:extent cx="89154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91540" cy="7620"/>
                    </a:xfrm>
                    <a:prstGeom prst="rect">
                      <a:avLst/>
                    </a:prstGeom>
                    <a:noFill/>
                  </pic:spPr>
                </pic:pic>
              </a:graphicData>
            </a:graphic>
          </wp:anchor>
        </w:drawing>
      </w:r>
    </w:p>
    <w:p>
      <w:pPr>
        <w:spacing w:after="0" w:line="340" w:lineRule="exact"/>
        <w:rPr>
          <w:sz w:val="20"/>
          <w:szCs w:val="20"/>
          <w:color w:val="auto"/>
        </w:rPr>
      </w:pPr>
    </w:p>
    <w:p>
      <w:pPr>
        <w:ind w:left="3740"/>
        <w:spacing w:after="0"/>
        <w:rPr>
          <w:sz w:val="20"/>
          <w:szCs w:val="20"/>
          <w:color w:val="auto"/>
        </w:rPr>
      </w:pPr>
      <w:r>
        <w:rPr>
          <w:rFonts w:ascii="Arial" w:cs="Arial" w:eastAsia="Arial" w:hAnsi="Arial"/>
          <w:sz w:val="20"/>
          <w:szCs w:val="20"/>
          <w:color w:val="1E1E1E"/>
        </w:rPr>
        <w:t>Index to Annual Report on Form 10-K</w:t>
      </w:r>
    </w:p>
    <w:p>
      <w:pPr>
        <w:ind w:left="4140"/>
        <w:spacing w:after="0"/>
        <w:rPr>
          <w:sz w:val="20"/>
          <w:szCs w:val="20"/>
          <w:color w:val="auto"/>
        </w:rPr>
      </w:pPr>
      <w:r>
        <w:rPr>
          <w:rFonts w:ascii="Arial" w:cs="Arial" w:eastAsia="Arial" w:hAnsi="Arial"/>
          <w:sz w:val="20"/>
          <w:szCs w:val="20"/>
          <w:color w:val="1E1E1E"/>
        </w:rPr>
        <w:t>Year Ended February 3, 2024</w:t>
      </w:r>
    </w:p>
    <w:p>
      <w:pPr>
        <w:spacing w:after="0" w:line="247" w:lineRule="exact"/>
        <w:rPr>
          <w:sz w:val="20"/>
          <w:szCs w:val="20"/>
          <w:color w:val="auto"/>
        </w:rPr>
      </w:pPr>
    </w:p>
    <w:p>
      <w:pPr>
        <w:ind w:left="10360"/>
        <w:spacing w:after="0"/>
        <w:rPr>
          <w:sz w:val="20"/>
          <w:szCs w:val="20"/>
          <w:color w:val="auto"/>
        </w:rPr>
      </w:pPr>
      <w:r>
        <w:rPr>
          <w:rFonts w:ascii="Arial" w:cs="Arial" w:eastAsia="Arial" w:hAnsi="Arial"/>
          <w:sz w:val="16"/>
          <w:szCs w:val="16"/>
          <w:color w:val="1E1E1E"/>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11430</wp:posOffset>
            </wp:positionV>
            <wp:extent cx="33972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9725" cy="7620"/>
                    </a:xfrm>
                    <a:prstGeom prst="rect">
                      <a:avLst/>
                    </a:prstGeom>
                    <a:noFill/>
                  </pic:spPr>
                </pic:pic>
              </a:graphicData>
            </a:graphic>
          </wp:anchor>
        </w:drawing>
      </w:r>
    </w:p>
    <w:p>
      <w:pPr>
        <w:spacing w:after="0" w:line="139" w:lineRule="exact"/>
        <w:rPr>
          <w:sz w:val="20"/>
          <w:szCs w:val="20"/>
          <w:color w:val="auto"/>
        </w:rPr>
      </w:pPr>
    </w:p>
    <w:p>
      <w:pPr>
        <w:ind w:left="5220"/>
        <w:spacing w:after="0"/>
        <w:rPr>
          <w:sz w:val="20"/>
          <w:szCs w:val="20"/>
          <w:color w:val="auto"/>
        </w:rPr>
      </w:pPr>
      <w:r>
        <w:rPr>
          <w:rFonts w:ascii="Arial" w:cs="Arial" w:eastAsia="Arial" w:hAnsi="Arial"/>
          <w:sz w:val="20"/>
          <w:szCs w:val="20"/>
          <w:color w:val="1E1E1E"/>
        </w:rPr>
        <w:t>PART I</w:t>
      </w:r>
    </w:p>
    <w:p>
      <w:pPr>
        <w:spacing w:after="0" w:line="155" w:lineRule="exact"/>
        <w:rPr>
          <w:sz w:val="20"/>
          <w:szCs w:val="20"/>
          <w:color w:val="auto"/>
        </w:rPr>
      </w:pPr>
    </w:p>
    <w:p>
      <w:pPr>
        <w:spacing w:after="0"/>
        <w:tabs>
          <w:tab w:leader="none" w:pos="960" w:val="left"/>
          <w:tab w:leader="dot" w:pos="10660" w:val="left"/>
        </w:tabs>
        <w:rPr>
          <w:sz w:val="20"/>
          <w:szCs w:val="20"/>
          <w:color w:val="auto"/>
        </w:rPr>
      </w:pPr>
      <w:r>
        <w:rPr>
          <w:rFonts w:ascii="Arial" w:cs="Arial" w:eastAsia="Arial" w:hAnsi="Arial"/>
          <w:sz w:val="20"/>
          <w:szCs w:val="20"/>
          <w:color w:val="1E1E1E"/>
        </w:rPr>
        <w:t>Item 1.</w:t>
      </w:r>
      <w:r>
        <w:rPr>
          <w:sz w:val="20"/>
          <w:szCs w:val="20"/>
          <w:color w:val="auto"/>
        </w:rPr>
        <w:tab/>
      </w:r>
      <w:r>
        <w:rPr>
          <w:rFonts w:ascii="Arial" w:cs="Arial" w:eastAsia="Arial" w:hAnsi="Arial"/>
          <w:sz w:val="20"/>
          <w:szCs w:val="20"/>
          <w:color w:val="434343"/>
        </w:rPr>
        <w:t>Business</w:t>
      </w:r>
      <w:r>
        <w:rPr>
          <w:sz w:val="20"/>
          <w:szCs w:val="20"/>
          <w:color w:val="auto"/>
        </w:rPr>
        <w:tab/>
      </w:r>
      <w:r>
        <w:rPr>
          <w:rFonts w:ascii="Arial" w:cs="Arial" w:eastAsia="Arial" w:hAnsi="Arial"/>
          <w:sz w:val="17"/>
          <w:szCs w:val="17"/>
          <w:color w:val="1E1E1E"/>
        </w:rPr>
        <w:t>3</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Arial" w:cs="Arial" w:eastAsia="Arial" w:hAnsi="Arial"/>
          <w:sz w:val="20"/>
          <w:szCs w:val="20"/>
          <w:color w:val="1E1E1E"/>
        </w:rPr>
        <w:t>Item 1A.</w:t>
      </w:r>
      <w:r>
        <w:rPr>
          <w:rFonts w:ascii="Arial" w:cs="Arial" w:eastAsia="Arial" w:hAnsi="Arial"/>
          <w:sz w:val="20"/>
          <w:szCs w:val="20"/>
          <w:color w:val="434343"/>
        </w:rPr>
        <w:tab/>
        <w:t>Risk Factors</w:t>
      </w:r>
      <w:r>
        <w:rPr>
          <w:sz w:val="20"/>
          <w:szCs w:val="20"/>
          <w:color w:val="auto"/>
        </w:rPr>
        <w:tab/>
      </w:r>
      <w:r>
        <w:rPr>
          <w:rFonts w:ascii="Arial" w:cs="Arial" w:eastAsia="Arial" w:hAnsi="Arial"/>
          <w:sz w:val="17"/>
          <w:szCs w:val="17"/>
          <w:color w:val="1E1E1E"/>
        </w:rPr>
        <w:t>12</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Arial" w:cs="Arial" w:eastAsia="Arial" w:hAnsi="Arial"/>
          <w:sz w:val="20"/>
          <w:szCs w:val="20"/>
          <w:color w:val="1E1E1E"/>
        </w:rPr>
        <w:t>Item 1B.</w:t>
      </w:r>
      <w:r>
        <w:rPr>
          <w:rFonts w:ascii="Arial" w:cs="Arial" w:eastAsia="Arial" w:hAnsi="Arial"/>
          <w:sz w:val="20"/>
          <w:szCs w:val="20"/>
          <w:color w:val="434343"/>
        </w:rPr>
        <w:tab/>
        <w:t>Unresolved Staff Comments</w:t>
      </w:r>
      <w:r>
        <w:rPr>
          <w:sz w:val="20"/>
          <w:szCs w:val="20"/>
          <w:color w:val="auto"/>
        </w:rPr>
        <w:tab/>
      </w:r>
      <w:r>
        <w:rPr>
          <w:rFonts w:ascii="Arial" w:cs="Arial" w:eastAsia="Arial" w:hAnsi="Arial"/>
          <w:sz w:val="17"/>
          <w:szCs w:val="17"/>
          <w:color w:val="1E1E1E"/>
        </w:rPr>
        <w:t>18</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Arial" w:cs="Arial" w:eastAsia="Arial" w:hAnsi="Arial"/>
          <w:sz w:val="20"/>
          <w:szCs w:val="20"/>
          <w:color w:val="1E1E1E"/>
        </w:rPr>
        <w:t>Item 1C.</w:t>
      </w:r>
      <w:r>
        <w:rPr>
          <w:rFonts w:ascii="Arial" w:cs="Arial" w:eastAsia="Arial" w:hAnsi="Arial"/>
          <w:sz w:val="20"/>
          <w:szCs w:val="20"/>
          <w:color w:val="434343"/>
        </w:rPr>
        <w:tab/>
        <w:t>Cybersecurity</w:t>
      </w:r>
      <w:r>
        <w:rPr>
          <w:sz w:val="20"/>
          <w:szCs w:val="20"/>
          <w:color w:val="auto"/>
        </w:rPr>
        <w:tab/>
      </w:r>
      <w:r>
        <w:rPr>
          <w:rFonts w:ascii="Arial" w:cs="Arial" w:eastAsia="Arial" w:hAnsi="Arial"/>
          <w:sz w:val="17"/>
          <w:szCs w:val="17"/>
          <w:color w:val="1E1E1E"/>
        </w:rPr>
        <w:t>19</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Arial" w:cs="Arial" w:eastAsia="Arial" w:hAnsi="Arial"/>
          <w:sz w:val="20"/>
          <w:szCs w:val="20"/>
          <w:color w:val="1E1E1E"/>
        </w:rPr>
        <w:t>Item 2.</w:t>
      </w:r>
      <w:r>
        <w:rPr>
          <w:sz w:val="20"/>
          <w:szCs w:val="20"/>
          <w:color w:val="auto"/>
        </w:rPr>
        <w:tab/>
      </w:r>
      <w:r>
        <w:rPr>
          <w:rFonts w:ascii="Arial" w:cs="Arial" w:eastAsia="Arial" w:hAnsi="Arial"/>
          <w:sz w:val="20"/>
          <w:szCs w:val="20"/>
          <w:color w:val="434343"/>
        </w:rPr>
        <w:t>Properties</w:t>
      </w:r>
      <w:r>
        <w:rPr>
          <w:sz w:val="20"/>
          <w:szCs w:val="20"/>
          <w:color w:val="auto"/>
        </w:rPr>
        <w:tab/>
      </w:r>
      <w:r>
        <w:rPr>
          <w:rFonts w:ascii="Arial" w:cs="Arial" w:eastAsia="Arial" w:hAnsi="Arial"/>
          <w:sz w:val="17"/>
          <w:szCs w:val="17"/>
          <w:color w:val="1E1E1E"/>
        </w:rPr>
        <w:t>21</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Arial" w:cs="Arial" w:eastAsia="Arial" w:hAnsi="Arial"/>
          <w:sz w:val="20"/>
          <w:szCs w:val="20"/>
          <w:color w:val="1E1E1E"/>
        </w:rPr>
        <w:t>Item 3.</w:t>
      </w:r>
      <w:r>
        <w:rPr>
          <w:sz w:val="20"/>
          <w:szCs w:val="20"/>
          <w:color w:val="auto"/>
        </w:rPr>
        <w:tab/>
      </w:r>
      <w:r>
        <w:rPr>
          <w:rFonts w:ascii="Arial" w:cs="Arial" w:eastAsia="Arial" w:hAnsi="Arial"/>
          <w:sz w:val="20"/>
          <w:szCs w:val="20"/>
          <w:color w:val="434343"/>
        </w:rPr>
        <w:t>Legal Proceedings</w:t>
      </w:r>
      <w:r>
        <w:rPr>
          <w:sz w:val="20"/>
          <w:szCs w:val="20"/>
          <w:color w:val="auto"/>
        </w:rPr>
        <w:tab/>
      </w:r>
      <w:r>
        <w:rPr>
          <w:rFonts w:ascii="Arial" w:cs="Arial" w:eastAsia="Arial" w:hAnsi="Arial"/>
          <w:sz w:val="17"/>
          <w:szCs w:val="17"/>
          <w:color w:val="1E1E1E"/>
        </w:rPr>
        <w:t>22</w:t>
      </w:r>
    </w:p>
    <w:p>
      <w:pPr>
        <w:spacing w:after="0" w:line="154" w:lineRule="exact"/>
        <w:rPr>
          <w:sz w:val="20"/>
          <w:szCs w:val="20"/>
          <w:color w:val="auto"/>
        </w:rPr>
      </w:pPr>
    </w:p>
    <w:p>
      <w:pPr>
        <w:spacing w:after="0"/>
        <w:tabs>
          <w:tab w:leader="none" w:pos="960" w:val="left"/>
          <w:tab w:leader="dot" w:pos="10560" w:val="left"/>
        </w:tabs>
        <w:rPr>
          <w:sz w:val="20"/>
          <w:szCs w:val="20"/>
          <w:color w:val="auto"/>
        </w:rPr>
      </w:pPr>
      <w:r>
        <w:rPr>
          <w:rFonts w:ascii="Arial" w:cs="Arial" w:eastAsia="Arial" w:hAnsi="Arial"/>
          <w:sz w:val="20"/>
          <w:szCs w:val="20"/>
          <w:color w:val="1E1E1E"/>
        </w:rPr>
        <w:t>Item 4.</w:t>
      </w:r>
      <w:r>
        <w:rPr>
          <w:sz w:val="20"/>
          <w:szCs w:val="20"/>
          <w:color w:val="auto"/>
        </w:rPr>
        <w:tab/>
      </w:r>
      <w:r>
        <w:rPr>
          <w:rFonts w:ascii="Arial" w:cs="Arial" w:eastAsia="Arial" w:hAnsi="Arial"/>
          <w:sz w:val="20"/>
          <w:szCs w:val="20"/>
          <w:color w:val="1E1E1E"/>
        </w:rPr>
        <w:t>Mine Safety Disclosures</w:t>
      </w:r>
      <w:r>
        <w:rPr>
          <w:sz w:val="20"/>
          <w:szCs w:val="20"/>
          <w:color w:val="auto"/>
        </w:rPr>
        <w:tab/>
      </w:r>
      <w:r>
        <w:rPr>
          <w:rFonts w:ascii="Arial" w:cs="Arial" w:eastAsia="Arial" w:hAnsi="Arial"/>
          <w:sz w:val="17"/>
          <w:szCs w:val="17"/>
          <w:color w:val="1E1E1E"/>
        </w:rPr>
        <w:t>22</w:t>
      </w:r>
    </w:p>
    <w:p>
      <w:pPr>
        <w:spacing w:after="0" w:line="148" w:lineRule="exact"/>
        <w:rPr>
          <w:sz w:val="20"/>
          <w:szCs w:val="20"/>
          <w:color w:val="auto"/>
        </w:rPr>
      </w:pPr>
    </w:p>
    <w:p>
      <w:pPr>
        <w:ind w:left="5180"/>
        <w:spacing w:after="0"/>
        <w:rPr>
          <w:sz w:val="20"/>
          <w:szCs w:val="20"/>
          <w:color w:val="auto"/>
        </w:rPr>
      </w:pPr>
      <w:r>
        <w:rPr>
          <w:rFonts w:ascii="Arial" w:cs="Arial" w:eastAsia="Arial" w:hAnsi="Arial"/>
          <w:sz w:val="20"/>
          <w:szCs w:val="20"/>
          <w:color w:val="1E1E1E"/>
        </w:rPr>
        <w:t>PART II</w:t>
      </w:r>
    </w:p>
    <w:p>
      <w:pPr>
        <w:spacing w:after="0" w:line="155" w:lineRule="exact"/>
        <w:rPr>
          <w:sz w:val="20"/>
          <w:szCs w:val="20"/>
          <w:color w:val="auto"/>
        </w:rPr>
      </w:pPr>
    </w:p>
    <w:p>
      <w:pPr>
        <w:spacing w:after="0"/>
        <w:tabs>
          <w:tab w:leader="none" w:pos="960" w:val="left"/>
          <w:tab w:leader="none" w:pos="10560" w:val="left"/>
        </w:tabs>
        <w:rPr>
          <w:sz w:val="20"/>
          <w:szCs w:val="20"/>
          <w:color w:val="auto"/>
        </w:rPr>
      </w:pPr>
      <w:r>
        <w:rPr>
          <w:rFonts w:ascii="Arial" w:cs="Arial" w:eastAsia="Arial" w:hAnsi="Arial"/>
          <w:sz w:val="20"/>
          <w:szCs w:val="20"/>
          <w:color w:val="1E1E1E"/>
        </w:rPr>
        <w:t>Item 5.</w:t>
      </w:r>
      <w:r>
        <w:rPr>
          <w:sz w:val="20"/>
          <w:szCs w:val="20"/>
          <w:color w:val="auto"/>
        </w:rPr>
        <w:tab/>
      </w:r>
      <w:r>
        <w:rPr>
          <w:rFonts w:ascii="Arial" w:cs="Arial" w:eastAsia="Arial" w:hAnsi="Arial"/>
          <w:sz w:val="19"/>
          <w:szCs w:val="19"/>
          <w:color w:val="1E1E1E"/>
        </w:rPr>
        <w:t>Market for Registrant’s Common Equity, Related Stockholder Matters and Issuer Purchases of Equity Securities ..</w:t>
      </w:r>
      <w:r>
        <w:rPr>
          <w:sz w:val="20"/>
          <w:szCs w:val="20"/>
          <w:color w:val="auto"/>
        </w:rPr>
        <w:tab/>
      </w:r>
      <w:r>
        <w:rPr>
          <w:rFonts w:ascii="Arial" w:cs="Arial" w:eastAsia="Arial" w:hAnsi="Arial"/>
          <w:sz w:val="17"/>
          <w:szCs w:val="17"/>
          <w:color w:val="1E1E1E"/>
        </w:rPr>
        <w:t>23</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Arial" w:cs="Arial" w:eastAsia="Arial" w:hAnsi="Arial"/>
          <w:sz w:val="20"/>
          <w:szCs w:val="20"/>
          <w:color w:val="1E1E1E"/>
        </w:rPr>
        <w:t>Item 6.</w:t>
      </w:r>
      <w:r>
        <w:rPr>
          <w:sz w:val="20"/>
          <w:szCs w:val="20"/>
          <w:color w:val="auto"/>
        </w:rPr>
        <w:tab/>
      </w:r>
      <w:r>
        <w:rPr>
          <w:rFonts w:ascii="Arial" w:cs="Arial" w:eastAsia="Arial" w:hAnsi="Arial"/>
          <w:sz w:val="20"/>
          <w:szCs w:val="20"/>
          <w:color w:val="434343"/>
        </w:rPr>
        <w:t>Reserved</w:t>
      </w:r>
      <w:r>
        <w:rPr>
          <w:sz w:val="20"/>
          <w:szCs w:val="20"/>
          <w:color w:val="auto"/>
        </w:rPr>
        <w:tab/>
      </w:r>
      <w:r>
        <w:rPr>
          <w:rFonts w:ascii="Arial" w:cs="Arial" w:eastAsia="Arial" w:hAnsi="Arial"/>
          <w:sz w:val="17"/>
          <w:szCs w:val="17"/>
          <w:color w:val="1E1E1E"/>
        </w:rPr>
        <w:t>24</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Arial" w:cs="Arial" w:eastAsia="Arial" w:hAnsi="Arial"/>
          <w:sz w:val="20"/>
          <w:szCs w:val="20"/>
          <w:color w:val="1E1E1E"/>
        </w:rPr>
        <w:t>Item 7.</w:t>
      </w:r>
      <w:r>
        <w:rPr>
          <w:sz w:val="20"/>
          <w:szCs w:val="20"/>
          <w:color w:val="auto"/>
        </w:rPr>
        <w:tab/>
      </w:r>
      <w:r>
        <w:rPr>
          <w:rFonts w:ascii="Arial" w:cs="Arial" w:eastAsia="Arial" w:hAnsi="Arial"/>
          <w:sz w:val="20"/>
          <w:szCs w:val="20"/>
          <w:color w:val="1E1E1E"/>
        </w:rPr>
        <w:t>Management’s Discussion and Analysis of Financial Condition and Results of Operations</w:t>
      </w:r>
      <w:r>
        <w:rPr>
          <w:sz w:val="20"/>
          <w:szCs w:val="20"/>
          <w:color w:val="auto"/>
        </w:rPr>
        <w:tab/>
      </w:r>
      <w:r>
        <w:rPr>
          <w:rFonts w:ascii="Arial" w:cs="Arial" w:eastAsia="Arial" w:hAnsi="Arial"/>
          <w:sz w:val="17"/>
          <w:szCs w:val="17"/>
          <w:color w:val="1E1E1E"/>
        </w:rPr>
        <w:t>25</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Arial" w:cs="Arial" w:eastAsia="Arial" w:hAnsi="Arial"/>
          <w:sz w:val="20"/>
          <w:szCs w:val="20"/>
          <w:color w:val="1E1E1E"/>
        </w:rPr>
        <w:t>Item 7A.</w:t>
        <w:tab/>
        <w:t>Quantitative and Qualitative Disclosures About Market Risk</w:t>
      </w:r>
      <w:r>
        <w:rPr>
          <w:sz w:val="20"/>
          <w:szCs w:val="20"/>
          <w:color w:val="auto"/>
        </w:rPr>
        <w:tab/>
      </w:r>
      <w:r>
        <w:rPr>
          <w:rFonts w:ascii="Arial" w:cs="Arial" w:eastAsia="Arial" w:hAnsi="Arial"/>
          <w:sz w:val="17"/>
          <w:szCs w:val="17"/>
          <w:color w:val="1E1E1E"/>
        </w:rPr>
        <w:t>34</w:t>
      </w:r>
    </w:p>
    <w:p>
      <w:pPr>
        <w:spacing w:after="0" w:line="154" w:lineRule="exact"/>
        <w:rPr>
          <w:sz w:val="20"/>
          <w:szCs w:val="20"/>
          <w:color w:val="auto"/>
        </w:rPr>
      </w:pPr>
    </w:p>
    <w:p>
      <w:pPr>
        <w:spacing w:after="0"/>
        <w:tabs>
          <w:tab w:leader="none" w:pos="960" w:val="left"/>
          <w:tab w:leader="dot" w:pos="10560" w:val="left"/>
        </w:tabs>
        <w:rPr>
          <w:sz w:val="20"/>
          <w:szCs w:val="20"/>
          <w:color w:val="auto"/>
        </w:rPr>
      </w:pPr>
      <w:r>
        <w:rPr>
          <w:rFonts w:ascii="Arial" w:cs="Arial" w:eastAsia="Arial" w:hAnsi="Arial"/>
          <w:sz w:val="20"/>
          <w:szCs w:val="20"/>
          <w:color w:val="1E1E1E"/>
        </w:rPr>
        <w:t>Item 8.</w:t>
      </w:r>
      <w:r>
        <w:rPr>
          <w:sz w:val="20"/>
          <w:szCs w:val="20"/>
          <w:color w:val="auto"/>
        </w:rPr>
        <w:tab/>
      </w:r>
      <w:r>
        <w:rPr>
          <w:rFonts w:ascii="Arial" w:cs="Arial" w:eastAsia="Arial" w:hAnsi="Arial"/>
          <w:sz w:val="20"/>
          <w:szCs w:val="20"/>
          <w:color w:val="1E1E1E"/>
        </w:rPr>
        <w:t>Financial Statements and Supplementary Data</w:t>
      </w:r>
      <w:r>
        <w:rPr>
          <w:sz w:val="20"/>
          <w:szCs w:val="20"/>
          <w:color w:val="auto"/>
        </w:rPr>
        <w:tab/>
      </w:r>
      <w:r>
        <w:rPr>
          <w:rFonts w:ascii="Arial" w:cs="Arial" w:eastAsia="Arial" w:hAnsi="Arial"/>
          <w:sz w:val="17"/>
          <w:szCs w:val="17"/>
          <w:color w:val="1E1E1E"/>
        </w:rPr>
        <w:t>35</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Arial" w:cs="Arial" w:eastAsia="Arial" w:hAnsi="Arial"/>
          <w:sz w:val="20"/>
          <w:szCs w:val="20"/>
          <w:color w:val="1E1E1E"/>
        </w:rPr>
        <w:t>Item 9.</w:t>
      </w:r>
      <w:r>
        <w:rPr>
          <w:sz w:val="20"/>
          <w:szCs w:val="20"/>
          <w:color w:val="auto"/>
        </w:rPr>
        <w:tab/>
      </w:r>
      <w:r>
        <w:rPr>
          <w:rFonts w:ascii="Arial" w:cs="Arial" w:eastAsia="Arial" w:hAnsi="Arial"/>
          <w:sz w:val="20"/>
          <w:szCs w:val="20"/>
          <w:color w:val="1E1E1E"/>
        </w:rPr>
        <w:t>Changes in and Disagreements with Accountants on Accounting and Financial Disclosure</w:t>
      </w:r>
      <w:r>
        <w:rPr>
          <w:sz w:val="20"/>
          <w:szCs w:val="20"/>
          <w:color w:val="auto"/>
        </w:rPr>
        <w:tab/>
      </w:r>
      <w:r>
        <w:rPr>
          <w:rFonts w:ascii="Arial" w:cs="Arial" w:eastAsia="Arial" w:hAnsi="Arial"/>
          <w:sz w:val="17"/>
          <w:szCs w:val="17"/>
          <w:color w:val="1E1E1E"/>
        </w:rPr>
        <w:t>61</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Arial" w:cs="Arial" w:eastAsia="Arial" w:hAnsi="Arial"/>
          <w:sz w:val="20"/>
          <w:szCs w:val="20"/>
          <w:color w:val="1E1E1E"/>
        </w:rPr>
        <w:t>Item 9A.</w:t>
        <w:tab/>
        <w:t>Controls and Procedures</w:t>
      </w:r>
      <w:r>
        <w:rPr>
          <w:sz w:val="20"/>
          <w:szCs w:val="20"/>
          <w:color w:val="auto"/>
        </w:rPr>
        <w:tab/>
      </w:r>
      <w:r>
        <w:rPr>
          <w:rFonts w:ascii="Arial" w:cs="Arial" w:eastAsia="Arial" w:hAnsi="Arial"/>
          <w:sz w:val="17"/>
          <w:szCs w:val="17"/>
          <w:color w:val="1E1E1E"/>
        </w:rPr>
        <w:t>61</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Arial" w:cs="Arial" w:eastAsia="Arial" w:hAnsi="Arial"/>
          <w:sz w:val="20"/>
          <w:szCs w:val="20"/>
          <w:color w:val="1E1E1E"/>
        </w:rPr>
        <w:t>Item 9B.</w:t>
        <w:tab/>
        <w:t>Other Information</w:t>
      </w:r>
      <w:r>
        <w:rPr>
          <w:sz w:val="20"/>
          <w:szCs w:val="20"/>
          <w:color w:val="auto"/>
        </w:rPr>
        <w:tab/>
      </w:r>
      <w:r>
        <w:rPr>
          <w:rFonts w:ascii="Arial" w:cs="Arial" w:eastAsia="Arial" w:hAnsi="Arial"/>
          <w:sz w:val="17"/>
          <w:szCs w:val="17"/>
          <w:color w:val="1E1E1E"/>
        </w:rPr>
        <w:t>63</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Arial" w:cs="Arial" w:eastAsia="Arial" w:hAnsi="Arial"/>
          <w:sz w:val="20"/>
          <w:szCs w:val="20"/>
          <w:color w:val="1E1E1E"/>
        </w:rPr>
        <w:t>Item 9C.</w:t>
        <w:tab/>
        <w:t>Disclosure Regarding Foreign Jurisdictions that Prevent Inspections</w:t>
      </w:r>
      <w:r>
        <w:rPr>
          <w:sz w:val="20"/>
          <w:szCs w:val="20"/>
          <w:color w:val="auto"/>
        </w:rPr>
        <w:tab/>
      </w:r>
      <w:r>
        <w:rPr>
          <w:rFonts w:ascii="Arial" w:cs="Arial" w:eastAsia="Arial" w:hAnsi="Arial"/>
          <w:sz w:val="17"/>
          <w:szCs w:val="17"/>
          <w:color w:val="1E1E1E"/>
        </w:rPr>
        <w:t>63</w:t>
      </w:r>
    </w:p>
    <w:p>
      <w:pPr>
        <w:spacing w:after="0" w:line="148" w:lineRule="exact"/>
        <w:rPr>
          <w:sz w:val="20"/>
          <w:szCs w:val="20"/>
          <w:color w:val="auto"/>
        </w:rPr>
      </w:pPr>
    </w:p>
    <w:p>
      <w:pPr>
        <w:ind w:left="5140"/>
        <w:spacing w:after="0"/>
        <w:rPr>
          <w:sz w:val="20"/>
          <w:szCs w:val="20"/>
          <w:color w:val="auto"/>
        </w:rPr>
      </w:pPr>
      <w:r>
        <w:rPr>
          <w:rFonts w:ascii="Arial" w:cs="Arial" w:eastAsia="Arial" w:hAnsi="Arial"/>
          <w:sz w:val="20"/>
          <w:szCs w:val="20"/>
          <w:color w:val="1E1E1E"/>
        </w:rPr>
        <w:t>PART III</w:t>
      </w:r>
    </w:p>
    <w:p>
      <w:pPr>
        <w:spacing w:after="0" w:line="155" w:lineRule="exact"/>
        <w:rPr>
          <w:sz w:val="20"/>
          <w:szCs w:val="20"/>
          <w:color w:val="auto"/>
        </w:rPr>
      </w:pPr>
    </w:p>
    <w:p>
      <w:pPr>
        <w:spacing w:after="0"/>
        <w:tabs>
          <w:tab w:leader="none" w:pos="960" w:val="left"/>
          <w:tab w:leader="dot" w:pos="10560" w:val="left"/>
        </w:tabs>
        <w:rPr>
          <w:sz w:val="20"/>
          <w:szCs w:val="20"/>
          <w:color w:val="auto"/>
        </w:rPr>
      </w:pPr>
      <w:r>
        <w:rPr>
          <w:rFonts w:ascii="Arial" w:cs="Arial" w:eastAsia="Arial" w:hAnsi="Arial"/>
          <w:sz w:val="20"/>
          <w:szCs w:val="20"/>
          <w:color w:val="1E1E1E"/>
        </w:rPr>
        <w:t>Item 10.</w:t>
        <w:tab/>
        <w:t>Directors, Executive Officers and Corporate Governance</w:t>
      </w:r>
      <w:r>
        <w:rPr>
          <w:sz w:val="20"/>
          <w:szCs w:val="20"/>
          <w:color w:val="auto"/>
        </w:rPr>
        <w:tab/>
      </w:r>
      <w:r>
        <w:rPr>
          <w:rFonts w:ascii="Arial" w:cs="Arial" w:eastAsia="Arial" w:hAnsi="Arial"/>
          <w:sz w:val="17"/>
          <w:szCs w:val="17"/>
          <w:color w:val="1E1E1E"/>
        </w:rPr>
        <w:t>64</w:t>
      </w:r>
    </w:p>
    <w:p>
      <w:pPr>
        <w:spacing w:after="0" w:line="154" w:lineRule="exact"/>
        <w:rPr>
          <w:sz w:val="20"/>
          <w:szCs w:val="20"/>
          <w:color w:val="auto"/>
        </w:rPr>
      </w:pPr>
    </w:p>
    <w:p>
      <w:pPr>
        <w:spacing w:after="0"/>
        <w:tabs>
          <w:tab w:leader="none" w:pos="960" w:val="left"/>
          <w:tab w:leader="dot" w:pos="10560" w:val="left"/>
        </w:tabs>
        <w:rPr>
          <w:sz w:val="20"/>
          <w:szCs w:val="20"/>
          <w:color w:val="auto"/>
        </w:rPr>
      </w:pPr>
      <w:r>
        <w:rPr>
          <w:rFonts w:ascii="Arial" w:cs="Arial" w:eastAsia="Arial" w:hAnsi="Arial"/>
          <w:sz w:val="20"/>
          <w:szCs w:val="20"/>
          <w:color w:val="1E1E1E"/>
        </w:rPr>
        <w:t>Item 11.</w:t>
        <w:tab/>
        <w:t>Executive Compensation</w:t>
      </w:r>
      <w:r>
        <w:rPr>
          <w:sz w:val="20"/>
          <w:szCs w:val="20"/>
          <w:color w:val="auto"/>
        </w:rPr>
        <w:tab/>
      </w:r>
      <w:r>
        <w:rPr>
          <w:rFonts w:ascii="Arial" w:cs="Arial" w:eastAsia="Arial" w:hAnsi="Arial"/>
          <w:sz w:val="17"/>
          <w:szCs w:val="17"/>
          <w:color w:val="1E1E1E"/>
        </w:rPr>
        <w:t>64</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Arial" w:cs="Arial" w:eastAsia="Arial" w:hAnsi="Arial"/>
          <w:sz w:val="20"/>
          <w:szCs w:val="20"/>
          <w:color w:val="1E1E1E"/>
        </w:rPr>
        <w:t>Item 12.</w:t>
        <w:tab/>
        <w:t>Security Ownership of Certain Beneficial Owners and Management and Related Stockholder Matters</w:t>
      </w:r>
      <w:r>
        <w:rPr>
          <w:sz w:val="20"/>
          <w:szCs w:val="20"/>
          <w:color w:val="auto"/>
        </w:rPr>
        <w:tab/>
      </w:r>
      <w:r>
        <w:rPr>
          <w:rFonts w:ascii="Arial" w:cs="Arial" w:eastAsia="Arial" w:hAnsi="Arial"/>
          <w:sz w:val="17"/>
          <w:szCs w:val="17"/>
          <w:color w:val="1E1E1E"/>
        </w:rPr>
        <w:t>64</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Arial" w:cs="Arial" w:eastAsia="Arial" w:hAnsi="Arial"/>
          <w:sz w:val="20"/>
          <w:szCs w:val="20"/>
          <w:color w:val="1E1E1E"/>
        </w:rPr>
        <w:t>Item 13.</w:t>
        <w:tab/>
        <w:t>Certain Relationships and Related Transactions, and Director Independence</w:t>
      </w:r>
      <w:r>
        <w:rPr>
          <w:sz w:val="20"/>
          <w:szCs w:val="20"/>
          <w:color w:val="auto"/>
        </w:rPr>
        <w:tab/>
      </w:r>
      <w:r>
        <w:rPr>
          <w:rFonts w:ascii="Arial" w:cs="Arial" w:eastAsia="Arial" w:hAnsi="Arial"/>
          <w:sz w:val="17"/>
          <w:szCs w:val="17"/>
          <w:color w:val="1E1E1E"/>
        </w:rPr>
        <w:t>64</w:t>
      </w:r>
    </w:p>
    <w:p>
      <w:pPr>
        <w:spacing w:after="0" w:line="152" w:lineRule="exact"/>
        <w:rPr>
          <w:sz w:val="20"/>
          <w:szCs w:val="20"/>
          <w:color w:val="auto"/>
        </w:rPr>
      </w:pPr>
    </w:p>
    <w:p>
      <w:pPr>
        <w:spacing w:after="0"/>
        <w:tabs>
          <w:tab w:leader="none" w:pos="960" w:val="left"/>
          <w:tab w:leader="dot" w:pos="10560" w:val="left"/>
        </w:tabs>
        <w:rPr>
          <w:sz w:val="20"/>
          <w:szCs w:val="20"/>
          <w:color w:val="auto"/>
        </w:rPr>
      </w:pPr>
      <w:r>
        <w:rPr>
          <w:rFonts w:ascii="Arial" w:cs="Arial" w:eastAsia="Arial" w:hAnsi="Arial"/>
          <w:sz w:val="20"/>
          <w:szCs w:val="20"/>
          <w:color w:val="1E1E1E"/>
        </w:rPr>
        <w:t>Item 14.</w:t>
        <w:tab/>
        <w:t>Principal Accountant Fees and Services</w:t>
      </w:r>
      <w:r>
        <w:rPr>
          <w:sz w:val="20"/>
          <w:szCs w:val="20"/>
          <w:color w:val="auto"/>
        </w:rPr>
        <w:tab/>
      </w:r>
      <w:r>
        <w:rPr>
          <w:rFonts w:ascii="Arial" w:cs="Arial" w:eastAsia="Arial" w:hAnsi="Arial"/>
          <w:sz w:val="17"/>
          <w:szCs w:val="17"/>
          <w:color w:val="1E1E1E"/>
        </w:rPr>
        <w:t>64</w:t>
      </w:r>
    </w:p>
    <w:p>
      <w:pPr>
        <w:spacing w:after="0" w:line="148" w:lineRule="exact"/>
        <w:rPr>
          <w:sz w:val="20"/>
          <w:szCs w:val="20"/>
          <w:color w:val="auto"/>
        </w:rPr>
      </w:pPr>
    </w:p>
    <w:p>
      <w:pPr>
        <w:ind w:left="5160"/>
        <w:spacing w:after="0"/>
        <w:rPr>
          <w:sz w:val="20"/>
          <w:szCs w:val="20"/>
          <w:color w:val="auto"/>
        </w:rPr>
      </w:pPr>
      <w:r>
        <w:rPr>
          <w:rFonts w:ascii="Arial" w:cs="Arial" w:eastAsia="Arial" w:hAnsi="Arial"/>
          <w:sz w:val="20"/>
          <w:szCs w:val="20"/>
          <w:color w:val="1E1E1E"/>
        </w:rPr>
        <w:t>PART IV</w:t>
      </w:r>
    </w:p>
    <w:p>
      <w:pPr>
        <w:spacing w:after="0" w:line="155" w:lineRule="exact"/>
        <w:rPr>
          <w:sz w:val="20"/>
          <w:szCs w:val="20"/>
          <w:color w:val="auto"/>
        </w:rPr>
      </w:pPr>
    </w:p>
    <w:p>
      <w:pPr>
        <w:spacing w:after="0"/>
        <w:tabs>
          <w:tab w:leader="none" w:pos="960" w:val="left"/>
          <w:tab w:leader="dot" w:pos="10560" w:val="left"/>
        </w:tabs>
        <w:rPr>
          <w:sz w:val="20"/>
          <w:szCs w:val="20"/>
          <w:color w:val="auto"/>
        </w:rPr>
      </w:pPr>
      <w:r>
        <w:rPr>
          <w:rFonts w:ascii="Arial" w:cs="Arial" w:eastAsia="Arial" w:hAnsi="Arial"/>
          <w:sz w:val="20"/>
          <w:szCs w:val="20"/>
          <w:color w:val="1E1E1E"/>
        </w:rPr>
        <w:t>Item 15.</w:t>
        <w:tab/>
        <w:t>Exhibits and Financial Statement Schedules</w:t>
      </w:r>
      <w:r>
        <w:rPr>
          <w:sz w:val="20"/>
          <w:szCs w:val="20"/>
          <w:color w:val="auto"/>
        </w:rPr>
        <w:tab/>
      </w:r>
      <w:r>
        <w:rPr>
          <w:rFonts w:ascii="Arial" w:cs="Arial" w:eastAsia="Arial" w:hAnsi="Arial"/>
          <w:sz w:val="17"/>
          <w:szCs w:val="17"/>
          <w:color w:val="1E1E1E"/>
        </w:rPr>
        <w:t>64</w:t>
      </w:r>
    </w:p>
    <w:p>
      <w:pPr>
        <w:spacing w:after="0" w:line="245" w:lineRule="exact"/>
        <w:rPr>
          <w:sz w:val="20"/>
          <w:szCs w:val="20"/>
          <w:color w:val="auto"/>
        </w:rPr>
      </w:pPr>
    </w:p>
    <w:p>
      <w:pPr>
        <w:spacing w:after="0"/>
        <w:tabs>
          <w:tab w:leader="none" w:pos="960" w:val="left"/>
          <w:tab w:leader="dot" w:pos="10560" w:val="left"/>
        </w:tabs>
        <w:rPr>
          <w:sz w:val="20"/>
          <w:szCs w:val="20"/>
          <w:color w:val="auto"/>
        </w:rPr>
      </w:pPr>
      <w:r>
        <w:rPr>
          <w:rFonts w:ascii="Arial" w:cs="Arial" w:eastAsia="Arial" w:hAnsi="Arial"/>
          <w:sz w:val="20"/>
          <w:szCs w:val="20"/>
          <w:color w:val="1E1E1E"/>
        </w:rPr>
        <w:t>Item 16.</w:t>
        <w:tab/>
        <w:t>Form 10-K Summary</w:t>
      </w:r>
      <w:r>
        <w:rPr>
          <w:sz w:val="20"/>
          <w:szCs w:val="20"/>
          <w:color w:val="auto"/>
        </w:rPr>
        <w:tab/>
      </w:r>
      <w:r>
        <w:rPr>
          <w:rFonts w:ascii="Arial" w:cs="Arial" w:eastAsia="Arial" w:hAnsi="Arial"/>
          <w:sz w:val="17"/>
          <w:szCs w:val="17"/>
          <w:color w:val="1E1E1E"/>
        </w:rPr>
        <w:t>64</w:t>
      </w:r>
    </w:p>
    <w:p>
      <w:pPr>
        <w:spacing w:after="0" w:line="152" w:lineRule="exact"/>
        <w:rPr>
          <w:sz w:val="20"/>
          <w:szCs w:val="20"/>
          <w:color w:val="auto"/>
        </w:rPr>
      </w:pPr>
    </w:p>
    <w:p>
      <w:pPr>
        <w:ind w:left="980"/>
        <w:spacing w:after="0"/>
        <w:tabs>
          <w:tab w:leader="dot" w:pos="10560" w:val="left"/>
        </w:tabs>
        <w:rPr>
          <w:sz w:val="20"/>
          <w:szCs w:val="20"/>
          <w:color w:val="auto"/>
        </w:rPr>
      </w:pPr>
      <w:r>
        <w:rPr>
          <w:rFonts w:ascii="Arial" w:cs="Arial" w:eastAsia="Arial" w:hAnsi="Arial"/>
          <w:sz w:val="20"/>
          <w:szCs w:val="20"/>
          <w:color w:val="1E1E1E"/>
        </w:rPr>
        <w:t>Signatures</w:t>
      </w:r>
      <w:r>
        <w:rPr>
          <w:sz w:val="20"/>
          <w:szCs w:val="20"/>
          <w:color w:val="auto"/>
        </w:rPr>
        <w:tab/>
      </w:r>
      <w:r>
        <w:rPr>
          <w:rFonts w:ascii="Arial" w:cs="Arial" w:eastAsia="Arial" w:hAnsi="Arial"/>
          <w:sz w:val="17"/>
          <w:szCs w:val="17"/>
          <w:color w:val="1E1E1E"/>
        </w:rPr>
        <w:t>68</w:t>
      </w:r>
    </w:p>
    <w:p>
      <w:pPr>
        <w:sectPr>
          <w:pgSz w:w="11880" w:h="15480" w:orient="portrait"/>
          <w:cols w:equalWidth="0" w:num="1">
            <w:col w:w="10780"/>
          </w:cols>
          <w:pgMar w:left="540" w:top="653" w:right="56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2</w:t>
      </w:r>
    </w:p>
    <w:p>
      <w:pPr>
        <w:sectPr>
          <w:pgSz w:w="11880" w:h="15480" w:orient="portrait"/>
          <w:cols w:equalWidth="0" w:num="1">
            <w:col w:w="10780"/>
          </w:cols>
          <w:pgMar w:left="540" w:top="653" w:right="560" w:bottom="31"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20"/>
          <w:szCs w:val="20"/>
          <w:color w:val="1E1E1E"/>
        </w:rPr>
        <w:t>PART I.</w:t>
      </w:r>
    </w:p>
    <w:p>
      <w:pPr>
        <w:spacing w:after="0" w:line="23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1E1E1E"/>
        </w:rPr>
        <w:t>Certain statements contained in this Annual Report on Form 10-K (this “Annual Report”) constitute “forward-looking statements,” including forward-looking statements within the meaning of the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under the headings “Business” and “Management’s Discussion and Analysis of Financial Condition and Results of Operations,” but may be found in other locations as well, and include statements regarding our ability to grow market share, the size of the addressable big + tall market, the impact of our strategic growth initiatives, including our ability to build brand awareness, develop new stores and create and expand alliances and collaborations, our ability to grow our top line and maintain profitability, the expected change in gross margin rate in 2024, our expected capital expenditures in 2024, our expected marketing spend in 2024, expected store openings in 2024 and beyond, and our ability to meet our liquidity needs. These forward-looking statements generally relate to plans and objectives for future operations and are based upon management’s reasonable estimates of future results or trends. The forward-looking statements in this Annual Report should not be regarded as a representation by us or any other person that the objectives or plans of the Company will be achieved. Numerous factors could cause our actual results to differ materially from such forward-looking statements, including, without limitation, risks relating to: our ability to successfully implement our business strategy and grow our market share, including through improving brand awareness, increasing our digital presence and expanding existing and entering into new alliances and collaborations, and manage our store portfolio; loss or disruption in our operations and supply chain, including due to the ongoing conflict in the Middle East; labor costs and shortages; increases in certain raw material costs and freight costs; the impact of macroeconomic factors, such as inflation, the ongoing conflict in Ukraine, consumer confidence and high interest rates; as well as those risks and uncertainties set forth below under Item 1A, Risk Factors. Readers are encouraged to review these risks and uncertainties carefully.</w:t>
      </w:r>
    </w:p>
    <w:p>
      <w:pPr>
        <w:spacing w:after="0" w:line="300" w:lineRule="exact"/>
        <w:rPr>
          <w:sz w:val="20"/>
          <w:szCs w:val="20"/>
          <w:color w:val="auto"/>
        </w:rPr>
      </w:pPr>
    </w:p>
    <w:p>
      <w:pPr>
        <w:ind w:right="260"/>
        <w:spacing w:after="0" w:line="248" w:lineRule="auto"/>
        <w:rPr>
          <w:sz w:val="20"/>
          <w:szCs w:val="20"/>
          <w:color w:val="auto"/>
        </w:rPr>
      </w:pPr>
      <w:r>
        <w:rPr>
          <w:rFonts w:ascii="Arial" w:cs="Arial" w:eastAsia="Arial" w:hAnsi="Arial"/>
          <w:sz w:val="20"/>
          <w:szCs w:val="20"/>
          <w:color w:val="1E1E1E"/>
        </w:rPr>
        <w:t>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1E1E1E"/>
        </w:rPr>
        <w:t>Item 1. Business</w:t>
      </w:r>
    </w:p>
    <w:p>
      <w:pPr>
        <w:spacing w:after="0" w:line="114" w:lineRule="exact"/>
        <w:rPr>
          <w:sz w:val="20"/>
          <w:szCs w:val="20"/>
          <w:color w:val="auto"/>
        </w:rPr>
      </w:pPr>
    </w:p>
    <w:p>
      <w:pPr>
        <w:spacing w:after="0" w:line="267" w:lineRule="auto"/>
        <w:rPr>
          <w:sz w:val="20"/>
          <w:szCs w:val="20"/>
          <w:color w:val="auto"/>
        </w:rPr>
      </w:pPr>
      <w:r>
        <w:rPr>
          <w:rFonts w:ascii="Arial" w:cs="Arial" w:eastAsia="Arial" w:hAnsi="Arial"/>
          <w:sz w:val="18"/>
          <w:szCs w:val="18"/>
          <w:color w:val="1E1E1E"/>
        </w:rPr>
        <w:t>Destination XL Group, Inc., together with its subsidiaries (the “Company”), is the leading specialty retailer of big &amp; tall men’s apparel with retail locations throughout the United States. We operate under the trade names of Destination XL</w:t>
      </w:r>
      <w:r>
        <w:rPr>
          <w:rFonts w:ascii="Arial" w:cs="Arial" w:eastAsia="Arial" w:hAnsi="Arial"/>
          <w:sz w:val="11"/>
          <w:szCs w:val="11"/>
          <w:color w:val="1E1E1E"/>
        </w:rPr>
        <w:t>®</w:t>
      </w:r>
      <w:r>
        <w:rPr>
          <w:rFonts w:ascii="Arial" w:cs="Arial" w:eastAsia="Arial" w:hAnsi="Arial"/>
          <w:sz w:val="18"/>
          <w:szCs w:val="18"/>
          <w:color w:val="1E1E1E"/>
        </w:rPr>
        <w:t>, DXL</w:t>
      </w:r>
      <w:r>
        <w:rPr>
          <w:rFonts w:ascii="Arial" w:cs="Arial" w:eastAsia="Arial" w:hAnsi="Arial"/>
          <w:sz w:val="11"/>
          <w:szCs w:val="11"/>
          <w:color w:val="1E1E1E"/>
        </w:rPr>
        <w:t>®</w:t>
      </w:r>
      <w:r>
        <w:rPr>
          <w:rFonts w:ascii="Arial" w:cs="Arial" w:eastAsia="Arial" w:hAnsi="Arial"/>
          <w:sz w:val="18"/>
          <w:szCs w:val="18"/>
          <w:color w:val="1E1E1E"/>
        </w:rPr>
        <w:t>, DXL Men’s Apparel, DXL outlets, Casual Male XL</w:t>
      </w:r>
      <w:r>
        <w:rPr>
          <w:rFonts w:ascii="Arial" w:cs="Arial" w:eastAsia="Arial" w:hAnsi="Arial"/>
          <w:sz w:val="11"/>
          <w:szCs w:val="11"/>
          <w:color w:val="1E1E1E"/>
        </w:rPr>
        <w:t>®</w:t>
      </w:r>
      <w:r>
        <w:rPr>
          <w:rFonts w:ascii="Arial" w:cs="Arial" w:eastAsia="Arial" w:hAnsi="Arial"/>
          <w:sz w:val="18"/>
          <w:szCs w:val="18"/>
          <w:color w:val="1E1E1E"/>
        </w:rPr>
        <w:t xml:space="preserve"> and Casual Male XL outlets. At February 3, 2024, we operated 232 DXL retail stores, 15 DXL outlet stores, 17 Casual Male XL retail stores, 19 Casual Male XL outlet stores, and a digital business, including an e-commerce site at www.dxl.com, a mobile site m.destinationXL.com and mobile app. Unless the context indicates otherwise, all references to “we,” “our,” “ours,” “us” and “the Company” refer to Destination XL Group, Inc. and our consolidated subsidiaries. We refer to our fiscal years ended February 3, 2024, January 28, 2023 and January 29, 2022 as “fiscal 2023,” “fiscal 2022” and “fiscal 2021,”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1E1E1E"/>
        </w:rPr>
        <w:t>OUR INDUSTRY</w:t>
      </w:r>
    </w:p>
    <w:p>
      <w:pPr>
        <w:spacing w:after="0" w:line="116"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1E1E1E"/>
        </w:rPr>
        <w:t>We define the big &amp; tall men’s clothing market as starting at a waist size of 38” and greater, as well as tops sized 1XL and greater. With the assistance of Coresight Research, we believe that the U.S. big &amp; tall men's clothing market is approximately $23 billion and is highly fragmented. Big + Tall is all we do. With our proprietary fit and extensive selection of exclusive brands, we believe that we can grow market share as an integrated commerce retailer able to target a broad market, attracting customers from various income, age and lifestyle segments, offering the underserved consumer the widest selection of sizes and styles.</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1E1E1E"/>
        </w:rPr>
        <w:t>HISTORY</w:t>
      </w:r>
    </w:p>
    <w:p>
      <w:pPr>
        <w:spacing w:after="0" w:line="116" w:lineRule="exact"/>
        <w:rPr>
          <w:sz w:val="20"/>
          <w:szCs w:val="20"/>
          <w:color w:val="auto"/>
        </w:rPr>
      </w:pPr>
    </w:p>
    <w:p>
      <w:pPr>
        <w:ind w:right="200"/>
        <w:spacing w:after="0" w:line="283" w:lineRule="auto"/>
        <w:rPr>
          <w:sz w:val="20"/>
          <w:szCs w:val="20"/>
          <w:color w:val="auto"/>
        </w:rPr>
      </w:pPr>
      <w:r>
        <w:rPr>
          <w:rFonts w:ascii="Arial" w:cs="Arial" w:eastAsia="Arial" w:hAnsi="Arial"/>
          <w:sz w:val="18"/>
          <w:szCs w:val="18"/>
          <w:color w:val="1E1E1E"/>
        </w:rPr>
        <w:t>Our Company was incorporated in the State of Delaware in 1976 under the name "Kara Enterprises, Inc." and subsequently operated under the name "Designs, Inc." Until fiscal 1995, we operated exclusively in Levi Strauss &amp; Co. branded apparel mall and outlet stores. In May 2002, we acquired the Casual Male business from Casual Male Corp. at a bankruptcy court-ordered auction. At the time of the acquisition, Casual Male was the largest specialty retailer of men’s clothing in the big &amp; tall market in the United States. As a result of the acquisition, on August 8, 2002, we changed our name to “Casual Male Retail Group, Inc.”</w:t>
      </w:r>
    </w:p>
    <w:p>
      <w:pPr>
        <w:spacing w:after="0" w:line="49"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color w:val="1E1E1E"/>
        </w:rPr>
        <w:t>In fiscal 2010, we launched a new store concept, Destination XL (“DXL”). The DXL store concept offers our customers an extensive assortment of products, ranging from value-oriented to luxury-oriented with an increased presence of name brands, without having to shop multiple stores. In addition to offering our customers a wide assortment, we also wanted to provide them with a unique shopping experience. We are focused on providing outstanding customer service through our DXL stores, with larger fitting rooms and professional, trained associates providing personal attention. With the initial success of this store format, we made a similar change to our e-commerce business in fiscal 2011 when we launched our DestinationXL.com website (now dxl.com).</w:t>
      </w:r>
    </w:p>
    <w:p>
      <w:pPr>
        <w:sectPr>
          <w:pgSz w:w="11880" w:h="15480" w:orient="portrait"/>
          <w:cols w:equalWidth="0" w:num="1">
            <w:col w:w="10800"/>
          </w:cols>
          <w:pgMar w:left="540" w:top="646"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1E1E1E"/>
        </w:rPr>
        <w:t>3</w:t>
      </w:r>
    </w:p>
    <w:p>
      <w:pPr>
        <w:sectPr>
          <w:pgSz w:w="11880" w:h="15480" w:orient="portrait"/>
          <w:cols w:equalWidth="0" w:num="1">
            <w:col w:w="10800"/>
          </w:cols>
          <w:pgMar w:left="540" w:top="646" w:right="540" w:bottom="31"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color w:val="1E1E1E"/>
        </w:rPr>
        <w:t>OUR BUSINESS</w:t>
      </w:r>
    </w:p>
    <w:p>
      <w:pPr>
        <w:spacing w:after="0" w:line="239" w:lineRule="exact"/>
        <w:rPr>
          <w:sz w:val="20"/>
          <w:szCs w:val="20"/>
          <w:color w:val="auto"/>
        </w:rPr>
      </w:pPr>
    </w:p>
    <w:p>
      <w:pPr>
        <w:spacing w:after="0" w:line="249" w:lineRule="auto"/>
        <w:rPr>
          <w:sz w:val="20"/>
          <w:szCs w:val="20"/>
          <w:color w:val="auto"/>
        </w:rPr>
      </w:pPr>
      <w:r>
        <w:rPr>
          <w:rFonts w:ascii="Arial" w:cs="Arial" w:eastAsia="Arial" w:hAnsi="Arial"/>
          <w:sz w:val="20"/>
          <w:szCs w:val="20"/>
          <w:color w:val="1E1E1E"/>
        </w:rPr>
        <w:t>We operate as an integrated commerce retailer of big &amp; tall men’s clothing and shoes. Through our multiple brands, which include both national brands and our own brands, we provide a premium, personalized shopping experience, whether in-store or digitally, with a broad range of merchandise at varying price points, catering from the value-oriented customer to the luxury customer. Our objective is to appeal to all of our customers by providing a good, better, best array of product assortments in all primary lifestyles with multiple and convenient ways to shop.</w:t>
      </w:r>
    </w:p>
    <w:p>
      <w:pPr>
        <w:spacing w:after="0" w:line="197"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color w:val="1E1E1E"/>
        </w:rPr>
        <w:t>What is unique about our business is our proprietary fit, our ability to manage an array of sizes and optimize our in-stock position throughout each season. Our best-selling pant has 58 size combinations and a unique specification as compared to an average retailer who may only have 15 different size combinations. We maintain a consolidated inventory across all channels that enables us to manage our in-stock position of all sizes effectively, ultimately improving customer service. Moreover, our planning and allocation methodologies, with respect to store assortment planning, help to optimize each location’s market potential without excessive inventory levels.</w:t>
      </w:r>
    </w:p>
    <w:p>
      <w:pPr>
        <w:spacing w:after="0" w:line="200" w:lineRule="exact"/>
        <w:rPr>
          <w:sz w:val="20"/>
          <w:szCs w:val="20"/>
          <w:color w:val="auto"/>
        </w:rPr>
      </w:pPr>
    </w:p>
    <w:p>
      <w:pPr>
        <w:ind w:right="260"/>
        <w:spacing w:after="0" w:line="280" w:lineRule="auto"/>
        <w:rPr>
          <w:sz w:val="20"/>
          <w:szCs w:val="20"/>
          <w:color w:val="auto"/>
        </w:rPr>
      </w:pPr>
      <w:r>
        <w:rPr>
          <w:rFonts w:ascii="Arial" w:cs="Arial" w:eastAsia="Arial" w:hAnsi="Arial"/>
          <w:sz w:val="18"/>
          <w:szCs w:val="18"/>
          <w:color w:val="1E1E1E"/>
        </w:rPr>
        <w:t>Our DXL retail stores, e-commerce site, dxl.com, and mobile app cater to all income demographics and offer our customers merchandise to fit a variety of lifestyles from casual to business, young to mature, in all price ranges and in all large sizes from XL and up. In addition, we also offer a selection of shoes in sizes 10W to 18W on our website at dxl.com. Our Casual Male XL retail stores primarily carry moderate-priced national brands and our own brands of casual sportswear and dresswear. We also operate Casual Male XL outlets and DXL outlets for our value-oriented customers. Through digital marketplaces, we are able to extend our reach, by providing a select offering of our merchandise to new customers who may not be current DXL customers.</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1E1E1E"/>
        </w:rPr>
        <w:t>BUSINESS STRATEGY</w:t>
      </w:r>
    </w:p>
    <w:p>
      <w:pPr>
        <w:spacing w:after="0" w:line="119" w:lineRule="exact"/>
        <w:rPr>
          <w:sz w:val="20"/>
          <w:szCs w:val="20"/>
          <w:color w:val="auto"/>
        </w:rPr>
      </w:pPr>
    </w:p>
    <w:p>
      <w:pPr>
        <w:spacing w:after="0" w:line="260" w:lineRule="auto"/>
        <w:rPr>
          <w:sz w:val="20"/>
          <w:szCs w:val="20"/>
          <w:color w:val="auto"/>
        </w:rPr>
      </w:pPr>
      <w:r>
        <w:rPr>
          <w:rFonts w:ascii="Arial" w:cs="Arial" w:eastAsia="Arial" w:hAnsi="Arial"/>
          <w:sz w:val="19"/>
          <w:szCs w:val="19"/>
          <w:color w:val="1E1E1E"/>
        </w:rPr>
        <w:t>Over the past five years, we have transformed our business, investing in our customer relationship capabilities, our data infrastructure and our data analytics capabilities. We have achieved a heightened level of operational excellence, recapitalized our balance sheet to provide a greater level of financial flexibility, made investments in our technical capabilities, and upgraded our leadership team. Since fiscal 2019, we have grown net sales by 10% and more than doubled our adjusted EBITDA margin rate. In addition, we believe strongly that there is a great opportunity for us to grow our market share. We believe that our addressable market is approximately $23 billion, yet based on our research our unaided brand awareness is 9% and our aided brand awareness is 28%. If we are to grow our revenue base and market share, our addressable market needs to know who we are, what we offer, how we are different from our competition and why they should shop with us.</w:t>
      </w:r>
    </w:p>
    <w:p>
      <w:pPr>
        <w:spacing w:after="0" w:line="67" w:lineRule="exact"/>
        <w:rPr>
          <w:sz w:val="20"/>
          <w:szCs w:val="20"/>
          <w:color w:val="auto"/>
        </w:rPr>
      </w:pPr>
    </w:p>
    <w:p>
      <w:pPr>
        <w:ind w:right="120"/>
        <w:spacing w:after="0" w:line="249" w:lineRule="auto"/>
        <w:rPr>
          <w:sz w:val="20"/>
          <w:szCs w:val="20"/>
          <w:color w:val="auto"/>
        </w:rPr>
      </w:pPr>
      <w:r>
        <w:rPr>
          <w:rFonts w:ascii="Arial" w:cs="Arial" w:eastAsia="Arial" w:hAnsi="Arial"/>
          <w:sz w:val="20"/>
          <w:szCs w:val="20"/>
          <w:color w:val="1E1E1E"/>
        </w:rPr>
        <w:t>We believe that we can change the growth trajectory of the Company through investments in brand marketing, new store development, a new and efficient eCommerce platform, and alliances/collaborations with other brands. We have spent the past year developing a deeper understanding of the big + tall consumer and we are now ready to execute on our long-range plan. We expect to fund these strategic initiatives with cash on hand. Accordingly, in fiscal 2024, our primary focus will be on the following four initiatives:</w:t>
      </w:r>
    </w:p>
    <w:p>
      <w:pPr>
        <w:spacing w:after="0" w:line="319" w:lineRule="exact"/>
        <w:rPr>
          <w:sz w:val="20"/>
          <w:szCs w:val="20"/>
          <w:color w:val="auto"/>
        </w:rPr>
      </w:pPr>
    </w:p>
    <w:p>
      <w:pPr>
        <w:ind w:left="980" w:right="60"/>
        <w:spacing w:after="0" w:line="258" w:lineRule="auto"/>
        <w:rPr>
          <w:sz w:val="20"/>
          <w:szCs w:val="20"/>
          <w:color w:val="auto"/>
        </w:rPr>
      </w:pPr>
      <w:r>
        <w:rPr>
          <w:rFonts w:ascii="Arial" w:cs="Arial" w:eastAsia="Arial" w:hAnsi="Arial"/>
          <w:sz w:val="19"/>
          <w:szCs w:val="19"/>
          <w:u w:val="single" w:color="auto"/>
          <w:color w:val="1E1E1E"/>
        </w:rPr>
        <w:t>Marketing and Brand-Building:</w:t>
      </w:r>
      <w:r>
        <w:rPr>
          <w:rFonts w:ascii="Arial" w:cs="Arial" w:eastAsia="Arial" w:hAnsi="Arial"/>
          <w:sz w:val="19"/>
          <w:szCs w:val="19"/>
          <w:color w:val="1E1E1E"/>
        </w:rPr>
        <w:t xml:space="preserve"> We believe one of our greatest opportunities is to address our overall brand awareness levels. Over the past few years, we have transformed our brand position and differentiated ourselves in terms of experience, fit, and assortment. However, many of our target consumers simply do not know DXL. We now have the financial flexibility, informed consumer research, and the right messaging to invest in building our brand. For the past several years, our advertising-to-sales ratio has been between 5.0% to 6.0%. Our plan is to increase our advertising-to-sales ratio over the next few years, with an advertising-to-sales ratio for fiscal 2024 of approximately 7.0% to 7.5%. We have selected new creative and media agencies to develop, build, and execute a campaign that will create an emotional connection to the brand and drive brand awareness. We are planning a multi-channel campaign targeting an early summer 2024 multi-market test-launch. With favorable results, we plan to fund our marketing and brand building initiatives at greater levels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-1431290</wp:posOffset>
            </wp:positionV>
            <wp:extent cx="71120" cy="711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67" w:lineRule="exact"/>
        <w:rPr>
          <w:sz w:val="20"/>
          <w:szCs w:val="20"/>
          <w:color w:val="auto"/>
        </w:rPr>
      </w:pPr>
    </w:p>
    <w:p>
      <w:pPr>
        <w:ind w:left="980" w:right="20"/>
        <w:spacing w:after="0" w:line="259" w:lineRule="auto"/>
        <w:rPr>
          <w:sz w:val="20"/>
          <w:szCs w:val="20"/>
          <w:color w:val="auto"/>
        </w:rPr>
      </w:pPr>
      <w:r>
        <w:rPr>
          <w:rFonts w:ascii="Arial" w:cs="Arial" w:eastAsia="Arial" w:hAnsi="Arial"/>
          <w:sz w:val="19"/>
          <w:szCs w:val="19"/>
          <w:u w:val="single" w:color="auto"/>
          <w:color w:val="1E1E1E"/>
        </w:rPr>
        <w:t>Store Development</w:t>
      </w:r>
      <w:r>
        <w:rPr>
          <w:rFonts w:ascii="Arial" w:cs="Arial" w:eastAsia="Arial" w:hAnsi="Arial"/>
          <w:sz w:val="19"/>
          <w:szCs w:val="19"/>
          <w:color w:val="1E1E1E"/>
        </w:rPr>
        <w:t>: As we have stated before, we believe there are approximately 50 net new store opportunities. New store development addresses another factor critical to our growth. While we have stores in every major metro market across the United States, there are voids in certain markets where big + tall consumers are not being served by a DXL. In our most recent research across 2,500 big + tall men, 44% self-reported that they do not shop with us because a store is not near them, and 35% self-reported that they do not shop with us because a store location is not convenient. This year we opened three DXL stores, our first store openings since 2019. We currently have plans to open an additional eight stores in fiscal 2024, with 15 new stores per year in fiscal 2025 through 2027. We also converted 11 Casual Male stores to DXL this year and expect to convert another five by the end of 2024. All new store and conversion investments are subject to rigorous ROIC hurdles that are informed by our prior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-1289685</wp:posOffset>
            </wp:positionV>
            <wp:extent cx="76200" cy="762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200" cy="76200"/>
                    </a:xfrm>
                    <a:prstGeom prst="rect">
                      <a:avLst/>
                    </a:prstGeom>
                    <a:noFill/>
                  </pic:spPr>
                </pic:pic>
              </a:graphicData>
            </a:graphic>
          </wp:anchor>
        </w:drawing>
      </w:r>
    </w:p>
    <w:p>
      <w:pPr>
        <w:sectPr>
          <w:pgSz w:w="11880" w:h="15480" w:orient="portrait"/>
          <w:cols w:equalWidth="0" w:num="1">
            <w:col w:w="10780"/>
          </w:cols>
          <w:pgMar w:left="540" w:top="658" w:right="560" w:bottom="31"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4</w:t>
      </w:r>
    </w:p>
    <w:p>
      <w:pPr>
        <w:sectPr>
          <w:pgSz w:w="11880" w:h="15480" w:orient="portrait"/>
          <w:cols w:equalWidth="0" w:num="1">
            <w:col w:w="10780"/>
          </w:cols>
          <w:pgMar w:left="540" w:top="658" w:right="560" w:bottom="31" w:gutter="0" w:footer="0" w:header="0"/>
          <w:type w:val="continuous"/>
        </w:sectPr>
      </w:pPr>
    </w:p>
    <w:bookmarkStart w:id="6" w:name="page7"/>
    <w:bookmarkEnd w:id="6"/>
    <w:p>
      <w:pPr>
        <w:ind w:left="980" w:right="20"/>
        <w:spacing w:after="0" w:line="284" w:lineRule="auto"/>
        <w:rPr>
          <w:sz w:val="20"/>
          <w:szCs w:val="20"/>
          <w:color w:val="auto"/>
        </w:rPr>
      </w:pPr>
      <w:r>
        <w:rPr>
          <w:rFonts w:ascii="Arial" w:cs="Arial" w:eastAsia="Arial" w:hAnsi="Arial"/>
          <w:sz w:val="18"/>
          <w:szCs w:val="18"/>
          <w:u w:val="single" w:color="auto"/>
          <w:color w:val="1E1E1E"/>
        </w:rPr>
        <w:t>New Website</w:t>
      </w:r>
      <w:r>
        <w:rPr>
          <w:rFonts w:ascii="Arial" w:cs="Arial" w:eastAsia="Arial" w:hAnsi="Arial"/>
          <w:sz w:val="18"/>
          <w:szCs w:val="18"/>
          <w:color w:val="1E1E1E"/>
        </w:rPr>
        <w:t>: We are upgrading our website from our legacy infrastructure to a new, modern commerce platform, with various features and functionality launching in the second half of fiscal 2024. We believe this upgrade will provide immediate performance improvements and customer experience benefits by eliminating friction points, optimizing search capability, and enhancing speed and response times. The new platform is engineered by a leading eCommerce technology provider and will position us to respond faster and more effectively to make changes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-717550</wp:posOffset>
            </wp:positionV>
            <wp:extent cx="71120" cy="711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39" w:lineRule="exact"/>
        <w:rPr>
          <w:sz w:val="20"/>
          <w:szCs w:val="20"/>
          <w:color w:val="auto"/>
        </w:rPr>
      </w:pPr>
    </w:p>
    <w:p>
      <w:pPr>
        <w:ind w:left="980" w:right="60"/>
        <w:spacing w:after="0" w:line="259" w:lineRule="auto"/>
        <w:rPr>
          <w:sz w:val="20"/>
          <w:szCs w:val="20"/>
          <w:color w:val="auto"/>
        </w:rPr>
      </w:pPr>
      <w:r>
        <w:rPr>
          <w:rFonts w:ascii="Arial" w:cs="Arial" w:eastAsia="Arial" w:hAnsi="Arial"/>
          <w:sz w:val="19"/>
          <w:szCs w:val="19"/>
          <w:u w:val="single" w:color="auto"/>
          <w:color w:val="1E1E1E"/>
        </w:rPr>
        <w:t>Alliances/Collaborations</w:t>
      </w:r>
      <w:r>
        <w:rPr>
          <w:rFonts w:ascii="Arial" w:cs="Arial" w:eastAsia="Arial" w:hAnsi="Arial"/>
          <w:sz w:val="19"/>
          <w:szCs w:val="19"/>
          <w:color w:val="1E1E1E"/>
        </w:rPr>
        <w:t>: We strongly believe that our "fit authority" is one of our greatest assets and that we can develop successful collaborations with other brands, who are interested in finding a cost- effective way to expand their offering to include big + tall men's apparel. In 2023, we launched UNTUCKit, Fit by DXL in an alliance with UNTUCKit, which is sold exclusively by DXL. In addition, we also added Hugo Boss and Faherty to our list of national brands, each with a level of merchandise exclusivity that cannot be found elsewhere. All three programs exceeded our initial expectations, with door expansion planned for all three in fiscal 2024. We believe our heritage of providing a world-class consumer shopping experience makes DXL an ideal partner for collaborations and alliances. We are in the final stages of an agreement with another retailer that will allow us to sell our product through a new retail distribution channel that is aligned with DXL's leading retail consumer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-1290320</wp:posOffset>
            </wp:positionV>
            <wp:extent cx="76200" cy="762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200" cy="76200"/>
                    </a:xfrm>
                    <a:prstGeom prst="rect">
                      <a:avLst/>
                    </a:prstGeom>
                    <a:noFill/>
                  </pic:spPr>
                </pic:pic>
              </a:graphicData>
            </a:graphic>
          </wp:anchor>
        </w:drawing>
      </w:r>
    </w:p>
    <w:p>
      <w:pPr>
        <w:spacing w:after="0" w:line="174" w:lineRule="exact"/>
        <w:rPr>
          <w:sz w:val="20"/>
          <w:szCs w:val="20"/>
          <w:color w:val="auto"/>
        </w:rPr>
      </w:pPr>
    </w:p>
    <w:p>
      <w:pPr>
        <w:ind w:right="180"/>
        <w:spacing w:after="0" w:line="324" w:lineRule="auto"/>
        <w:rPr>
          <w:sz w:val="20"/>
          <w:szCs w:val="20"/>
          <w:color w:val="auto"/>
        </w:rPr>
      </w:pPr>
      <w:r>
        <w:rPr>
          <w:rFonts w:ascii="Arial" w:cs="Arial" w:eastAsia="Arial" w:hAnsi="Arial"/>
          <w:sz w:val="19"/>
          <w:szCs w:val="19"/>
          <w:color w:val="1E1E1E"/>
        </w:rPr>
        <w:t>As a result of these investments in marketing, stores, and other growth initiatives in fiscal 2024, we believe we can grow our top line and invest greater resources while maintaining a minimum acceptable level of profitability and free cash flow.</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1E1E1E"/>
        </w:rPr>
        <w:t>MERCHANDISE</w:t>
      </w:r>
    </w:p>
    <w:p>
      <w:pPr>
        <w:spacing w:after="0" w:line="356"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1E1E1E"/>
        </w:rPr>
        <w:t>We offer our customers an extensive assortment of apparel consisting of both our own brands and over 100 well-known national brands, within our “good,” “better” and “best” price points. Regardless of our customers’ age, socioeconomic status, or lifestyle preference, we are able to assemble a wardrobe to fit their apparel needs. With over 5,000 styles available, we carry an extensive selection of tops in sizes up to 7XL and 7XLT with additional assortments up to 8XL, bottoms with waist sizes 38” to 70”, and shoes in sizes 10W to 18W.</w:t>
      </w:r>
    </w:p>
    <w:p>
      <w:pPr>
        <w:spacing w:after="0" w:line="74"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color w:val="1E1E1E"/>
        </w:rPr>
        <w:t>What sets us apart from our competitors is our proprietary fit. We are different because our fit is different. Our merchandise is not just an extension of regular sizes. The fit is built from unique specifications for every size and style, with specific design features for the big and tall customer.</w:t>
      </w:r>
    </w:p>
    <w:p>
      <w:pPr>
        <w:spacing w:after="0" w:line="67" w:lineRule="exact"/>
        <w:rPr>
          <w:sz w:val="20"/>
          <w:szCs w:val="20"/>
          <w:color w:val="auto"/>
        </w:rPr>
      </w:pPr>
    </w:p>
    <w:p>
      <w:pPr>
        <w:ind w:right="60"/>
        <w:spacing w:after="0" w:line="265" w:lineRule="auto"/>
        <w:rPr>
          <w:sz w:val="20"/>
          <w:szCs w:val="20"/>
          <w:color w:val="auto"/>
        </w:rPr>
      </w:pPr>
      <w:r>
        <w:rPr>
          <w:rFonts w:ascii="Arial" w:cs="Arial" w:eastAsia="Arial" w:hAnsi="Arial"/>
          <w:sz w:val="19"/>
          <w:szCs w:val="19"/>
          <w:color w:val="1E1E1E"/>
        </w:rPr>
        <w:t>Our stores are merchandised to showcase entire outfits by lifestyle, including traditional, active, modern, tailored and denim. This format allows us to merchandise key items and seasonal goods in prominent displays and makes coordinating outfits easier for the customer while encouraging multi-item purchases. This lifestyle layout also allows us to manage store space and product assortment effectively in each market to target local demographics. The key item strategy is also fully integrated by lifestyle, allowing us to focus on merchandise presentation and offer our customers a compelling value proposition.</w:t>
      </w:r>
    </w:p>
    <w:p>
      <w:pPr>
        <w:spacing w:after="0" w:line="63"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1E1E1E"/>
        </w:rPr>
        <w:t>Merchandise assortments in our DXL stores are organized not only by lifestyle but, within each lifestyle, the assortments are shown in a “good,” “better” and “best” visual presentation. With the “best” merchandise assortments featured most prominently in the DXL store, our customers can visualize current fashion trends and select their wardrobes within their desired price points in a convenient manner.</w:t>
      </w:r>
    </w:p>
    <w:p>
      <w:pPr>
        <w:spacing w:after="0" w:line="69" w:lineRule="exact"/>
        <w:rPr>
          <w:sz w:val="20"/>
          <w:szCs w:val="20"/>
          <w:color w:val="auto"/>
        </w:rPr>
      </w:pPr>
    </w:p>
    <w:p>
      <w:pPr>
        <w:spacing w:after="0" w:line="245" w:lineRule="auto"/>
        <w:rPr>
          <w:sz w:val="20"/>
          <w:szCs w:val="20"/>
          <w:color w:val="auto"/>
        </w:rPr>
      </w:pPr>
      <w:r>
        <w:rPr>
          <w:rFonts w:ascii="Arial" w:cs="Arial" w:eastAsia="Arial" w:hAnsi="Arial"/>
          <w:sz w:val="20"/>
          <w:szCs w:val="20"/>
          <w:color w:val="1E1E1E"/>
        </w:rPr>
        <w:t>Big and tall is all we do and through our own brands and exclusivity with national brands, we estimate that more than 80% of our inventory assortment, in units, is not available elsewhere. Several of the national brands that we carry, in sizes 2XL and above, are sold exclusively by us in our stores and on our website and may otherwise only be available on the brand’s website, if at all. In addition to our exclusive brands, we also work with several other national brands to offer a unique, curated merchandise assortment, in sizes 2XL and above, that are exclusively sold in our stores and on our website and are not available from the brand’s own website. These offerings are a subset of the larger merchandise offering that we carry for these respective brands. The penetration of national brands in a specific DXL store can range from 39% to 80%, depending on several factors, but on average, approximately half of the assortment is branded apparel.</w:t>
      </w:r>
    </w:p>
    <w:p>
      <w:pPr>
        <w:spacing w:after="0" w:line="83" w:lineRule="exact"/>
        <w:rPr>
          <w:sz w:val="20"/>
          <w:szCs w:val="20"/>
          <w:color w:val="auto"/>
        </w:rPr>
      </w:pPr>
    </w:p>
    <w:p>
      <w:pPr>
        <w:ind w:right="100"/>
        <w:spacing w:after="0" w:line="249" w:lineRule="auto"/>
        <w:rPr>
          <w:sz w:val="20"/>
          <w:szCs w:val="20"/>
          <w:color w:val="auto"/>
        </w:rPr>
      </w:pPr>
      <w:r>
        <w:rPr>
          <w:rFonts w:ascii="Arial" w:cs="Arial" w:eastAsia="Arial" w:hAnsi="Arial"/>
          <w:sz w:val="20"/>
          <w:szCs w:val="20"/>
          <w:color w:val="1E1E1E"/>
        </w:rPr>
        <w:t>In October 2023, we launched UNTUCKit, Fit by DXL in collaboration with UNTUCKit, sold exclusively by DXL. The launch was supported by a comprehensive marketing campaign on both DXL and UNTUCKit channels. The shirts are sold exclusively online with ‘try-on’ capsules in select physical stores. Based on the performance, we are expanding this program in fiscal 2024. We will continue to explore other strategic collaborations with other brands that are widely recognized and that could complement our curated assortment.</w:t>
      </w:r>
    </w:p>
    <w:p>
      <w:pPr>
        <w:sectPr>
          <w:pgSz w:w="11880" w:h="15480" w:orient="portrait"/>
          <w:cols w:equalWidth="0" w:num="1">
            <w:col w:w="10800"/>
          </w:cols>
          <w:pgMar w:left="540" w:top="671"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1E1E1E"/>
        </w:rPr>
        <w:t>5</w:t>
      </w:r>
    </w:p>
    <w:p>
      <w:pPr>
        <w:sectPr>
          <w:pgSz w:w="11880" w:h="15480" w:orient="portrait"/>
          <w:cols w:equalWidth="0" w:num="1">
            <w:col w:w="10800"/>
          </w:cols>
          <w:pgMar w:left="540" w:top="671" w:right="540" w:bottom="31" w:gutter="0" w:footer="0" w:header="0"/>
          <w:type w:val="continuous"/>
        </w:sectPr>
      </w:pPr>
    </w:p>
    <w:bookmarkStart w:id="7" w:name="page8"/>
    <w:bookmarkEnd w:id="7"/>
    <w:p>
      <w:pPr>
        <w:spacing w:after="0"/>
        <w:rPr>
          <w:sz w:val="20"/>
          <w:szCs w:val="20"/>
          <w:color w:val="auto"/>
        </w:rPr>
      </w:pPr>
      <w:r>
        <w:rPr>
          <w:rFonts w:ascii="Arial" w:cs="Arial" w:eastAsia="Arial" w:hAnsi="Arial"/>
          <w:sz w:val="20"/>
          <w:szCs w:val="20"/>
          <w:color w:val="1E1E1E"/>
        </w:rPr>
        <w:t>Value-Priced Apparel -“Good” Merchandise</w:t>
      </w:r>
    </w:p>
    <w:p>
      <w:pPr>
        <w:spacing w:after="0" w:line="119" w:lineRule="exact"/>
        <w:rPr>
          <w:sz w:val="20"/>
          <w:szCs w:val="20"/>
          <w:color w:val="auto"/>
        </w:rPr>
      </w:pPr>
    </w:p>
    <w:p>
      <w:pPr>
        <w:ind w:right="140"/>
        <w:spacing w:after="0" w:line="279" w:lineRule="auto"/>
        <w:rPr>
          <w:sz w:val="20"/>
          <w:szCs w:val="20"/>
          <w:color w:val="auto"/>
        </w:rPr>
      </w:pPr>
      <w:r>
        <w:rPr>
          <w:rFonts w:ascii="Arial" w:cs="Arial" w:eastAsia="Arial" w:hAnsi="Arial"/>
          <w:sz w:val="20"/>
          <w:szCs w:val="20"/>
          <w:color w:val="1E1E1E"/>
        </w:rPr>
        <w:t>For our value-oriented customers, we carry Champion, Lee, Wrangler and Reebok. In addition, we carry several value-priced private label lines:</w:t>
      </w:r>
    </w:p>
    <w:p>
      <w:pPr>
        <w:spacing w:after="0" w:line="46" w:lineRule="exact"/>
        <w:rPr>
          <w:sz w:val="20"/>
          <w:szCs w:val="20"/>
          <w:color w:val="auto"/>
        </w:rPr>
      </w:pPr>
    </w:p>
    <w:p>
      <w:pPr>
        <w:ind w:right="60"/>
        <w:spacing w:after="0" w:line="279" w:lineRule="auto"/>
        <w:rPr>
          <w:sz w:val="20"/>
          <w:szCs w:val="20"/>
          <w:color w:val="auto"/>
        </w:rPr>
      </w:pPr>
      <w:r>
        <w:rPr>
          <w:rFonts w:ascii="Arial" w:cs="Arial" w:eastAsia="Arial" w:hAnsi="Arial"/>
          <w:sz w:val="20"/>
          <w:szCs w:val="20"/>
          <w:color w:val="1E1E1E"/>
        </w:rPr>
        <w:t xml:space="preserve">Harbor Bay </w:t>
      </w:r>
      <w:r>
        <w:rPr>
          <w:rFonts w:ascii="Arial" w:cs="Arial" w:eastAsia="Arial" w:hAnsi="Arial"/>
          <w:sz w:val="12"/>
          <w:szCs w:val="12"/>
          <w:color w:val="1E1E1E"/>
        </w:rPr>
        <w:t>®</w:t>
      </w:r>
      <w:r>
        <w:rPr>
          <w:rFonts w:ascii="Arial" w:cs="Arial" w:eastAsia="Arial" w:hAnsi="Arial"/>
          <w:sz w:val="20"/>
          <w:szCs w:val="20"/>
          <w:color w:val="1E1E1E"/>
        </w:rPr>
        <w:t xml:space="preserve"> was our first proprietary brand and it is a traditional line that continues to represent a significant portion of our business, specifically in terms of our core basic merchandise.</w:t>
      </w:r>
    </w:p>
    <w:p>
      <w:pPr>
        <w:spacing w:after="0" w:line="44" w:lineRule="exact"/>
        <w:rPr>
          <w:sz w:val="20"/>
          <w:szCs w:val="20"/>
          <w:color w:val="auto"/>
        </w:rPr>
      </w:pPr>
    </w:p>
    <w:p>
      <w:pPr>
        <w:ind w:right="160"/>
        <w:spacing w:after="0" w:line="279" w:lineRule="auto"/>
        <w:rPr>
          <w:sz w:val="20"/>
          <w:szCs w:val="20"/>
          <w:color w:val="auto"/>
        </w:rPr>
      </w:pPr>
      <w:r>
        <w:rPr>
          <w:rFonts w:ascii="Arial" w:cs="Arial" w:eastAsia="Arial" w:hAnsi="Arial"/>
          <w:sz w:val="20"/>
          <w:szCs w:val="20"/>
          <w:color w:val="1E1E1E"/>
        </w:rPr>
        <w:t>Oak Hill</w:t>
      </w:r>
      <w:r>
        <w:rPr>
          <w:rFonts w:ascii="Arial" w:cs="Arial" w:eastAsia="Arial" w:hAnsi="Arial"/>
          <w:sz w:val="12"/>
          <w:szCs w:val="12"/>
          <w:color w:val="1E1E1E"/>
        </w:rPr>
        <w:t>®</w:t>
      </w:r>
      <w:r>
        <w:rPr>
          <w:rFonts w:ascii="Arial" w:cs="Arial" w:eastAsia="Arial" w:hAnsi="Arial"/>
          <w:sz w:val="20"/>
          <w:szCs w:val="20"/>
          <w:color w:val="1E1E1E"/>
        </w:rPr>
        <w:t xml:space="preserve"> is a premium line catering to those customers looking for slightly more style and quality than our Harbor Bay line but still in a traditional lifestyle.</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1E1E1E"/>
        </w:rPr>
        <w:t>Synrgy™ targets the customer looking for a contemporary/modern look.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1E1E1E"/>
        </w:rPr>
        <w:t>True Nation</w:t>
      </w:r>
      <w:r>
        <w:rPr>
          <w:rFonts w:ascii="Arial" w:cs="Arial" w:eastAsia="Arial" w:hAnsi="Arial"/>
          <w:sz w:val="11"/>
          <w:szCs w:val="11"/>
          <w:color w:val="1E1E1E"/>
        </w:rPr>
        <w:t>®</w:t>
      </w:r>
      <w:r>
        <w:rPr>
          <w:rFonts w:ascii="Arial" w:cs="Arial" w:eastAsia="Arial" w:hAnsi="Arial"/>
          <w:sz w:val="18"/>
          <w:szCs w:val="18"/>
          <w:color w:val="1E1E1E"/>
        </w:rPr>
        <w:t xml:space="preserve"> is a denim-inspired line consisting of vintage-screen t-shirts and wovens and is geared towards our younger customers.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1E1E1E"/>
        </w:rPr>
        <w:t>Society of One</w:t>
      </w:r>
      <w:r>
        <w:rPr>
          <w:rFonts w:ascii="Arial" w:cs="Arial" w:eastAsia="Arial" w:hAnsi="Arial"/>
          <w:sz w:val="12"/>
          <w:szCs w:val="12"/>
          <w:color w:val="1E1E1E"/>
        </w:rPr>
        <w:t>®</w:t>
      </w:r>
      <w:r>
        <w:rPr>
          <w:rFonts w:ascii="Arial" w:cs="Arial" w:eastAsia="Arial" w:hAnsi="Arial"/>
          <w:sz w:val="20"/>
          <w:szCs w:val="20"/>
          <w:color w:val="1E1E1E"/>
        </w:rPr>
        <w:t xml:space="preserve"> is an activewear brand that offers versatile styling options and is grounded by performance technology.</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1E1E1E"/>
        </w:rPr>
        <w:t>Moderate-Priced Apparel -“Better” Merchandise</w:t>
      </w:r>
    </w:p>
    <w:p>
      <w:pPr>
        <w:spacing w:after="0" w:line="116"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1E1E1E"/>
        </w:rPr>
        <w:t>We offer our customers an extensive selection of quality sportswear and dress clothing at moderate prices carrying well-known brands such as: Levi's</w:t>
      </w:r>
      <w:r>
        <w:rPr>
          <w:rFonts w:ascii="Arial" w:cs="Arial" w:eastAsia="Arial" w:hAnsi="Arial"/>
          <w:sz w:val="12"/>
          <w:szCs w:val="12"/>
          <w:color w:val="1E1E1E"/>
        </w:rPr>
        <w:t>®</w:t>
      </w:r>
      <w:r>
        <w:rPr>
          <w:rFonts w:ascii="Arial" w:cs="Arial" w:eastAsia="Arial" w:hAnsi="Arial"/>
          <w:sz w:val="20"/>
          <w:szCs w:val="20"/>
          <w:color w:val="1E1E1E"/>
        </w:rPr>
        <w:t>, Columbia, Carhartt</w:t>
      </w:r>
      <w:r>
        <w:rPr>
          <w:rFonts w:ascii="Arial" w:cs="Arial" w:eastAsia="Arial" w:hAnsi="Arial"/>
          <w:sz w:val="12"/>
          <w:szCs w:val="12"/>
          <w:color w:val="1E1E1E"/>
        </w:rPr>
        <w:t>®</w:t>
      </w:r>
      <w:r>
        <w:rPr>
          <w:rFonts w:ascii="Arial" w:cs="Arial" w:eastAsia="Arial" w:hAnsi="Arial"/>
          <w:sz w:val="20"/>
          <w:szCs w:val="20"/>
          <w:color w:val="1E1E1E"/>
        </w:rPr>
        <w:t>, and Jockey</w:t>
      </w:r>
      <w:r>
        <w:rPr>
          <w:rFonts w:ascii="Arial" w:cs="Arial" w:eastAsia="Arial" w:hAnsi="Arial"/>
          <w:sz w:val="12"/>
          <w:szCs w:val="12"/>
          <w:color w:val="1E1E1E"/>
        </w:rPr>
        <w:t>®</w:t>
      </w:r>
      <w:r>
        <w:rPr>
          <w:rFonts w:ascii="Arial" w:cs="Arial" w:eastAsia="Arial" w:hAnsi="Arial"/>
          <w:sz w:val="20"/>
          <w:szCs w:val="20"/>
          <w:color w:val="1E1E1E"/>
        </w:rPr>
        <w:t>. Our exclusive brands in this price range include O’Neill</w:t>
      </w:r>
      <w:r>
        <w:rPr>
          <w:rFonts w:ascii="Arial" w:cs="Arial" w:eastAsia="Arial" w:hAnsi="Arial"/>
          <w:sz w:val="12"/>
          <w:szCs w:val="12"/>
          <w:color w:val="1E1E1E"/>
        </w:rPr>
        <w:t>®</w:t>
      </w:r>
      <w:r>
        <w:rPr>
          <w:rFonts w:ascii="Arial" w:cs="Arial" w:eastAsia="Arial" w:hAnsi="Arial"/>
          <w:sz w:val="20"/>
          <w:szCs w:val="20"/>
          <w:color w:val="1E1E1E"/>
        </w:rPr>
        <w:t xml:space="preserve"> and Nautica</w:t>
      </w:r>
      <w:r>
        <w:rPr>
          <w:rFonts w:ascii="Arial" w:cs="Arial" w:eastAsia="Arial" w:hAnsi="Arial"/>
          <w:sz w:val="12"/>
          <w:szCs w:val="12"/>
          <w:color w:val="1E1E1E"/>
        </w:rPr>
        <w:t>®</w:t>
      </w:r>
      <w:r>
        <w:rPr>
          <w:rFonts w:ascii="Arial" w:cs="Arial" w:eastAsia="Arial" w:hAnsi="Arial"/>
          <w:sz w:val="20"/>
          <w:szCs w:val="20"/>
          <w:color w:val="1E1E1E"/>
        </w:rPr>
        <w:t>, Adidas Golf</w:t>
      </w:r>
      <w:r>
        <w:rPr>
          <w:rFonts w:ascii="Arial" w:cs="Arial" w:eastAsia="Arial" w:hAnsi="Arial"/>
          <w:sz w:val="12"/>
          <w:szCs w:val="12"/>
          <w:color w:val="1E1E1E"/>
        </w:rPr>
        <w:t>®</w:t>
      </w:r>
      <w:r>
        <w:rPr>
          <w:rFonts w:ascii="Arial" w:cs="Arial" w:eastAsia="Arial" w:hAnsi="Arial"/>
          <w:sz w:val="20"/>
          <w:szCs w:val="20"/>
          <w:color w:val="1E1E1E"/>
        </w:rPr>
        <w:t xml:space="preserve"> and vineyard vines</w:t>
      </w:r>
      <w:r>
        <w:rPr>
          <w:rFonts w:ascii="Arial" w:cs="Arial" w:eastAsia="Arial" w:hAnsi="Arial"/>
          <w:sz w:val="12"/>
          <w:szCs w:val="12"/>
          <w:color w:val="1E1E1E"/>
        </w:rPr>
        <w:t>®</w:t>
      </w:r>
      <w:r>
        <w:rPr>
          <w:rFonts w:ascii="Arial" w:cs="Arial" w:eastAsia="Arial" w:hAnsi="Arial"/>
          <w:sz w:val="20"/>
          <w:szCs w:val="20"/>
          <w:color w:val="1E1E1E"/>
        </w:rPr>
        <w:t>. Within our product assortment for Callaway</w:t>
      </w:r>
      <w:r>
        <w:rPr>
          <w:rFonts w:ascii="Arial" w:cs="Arial" w:eastAsia="Arial" w:hAnsi="Arial"/>
          <w:sz w:val="12"/>
          <w:szCs w:val="12"/>
          <w:color w:val="1E1E1E"/>
        </w:rPr>
        <w:t>®</w:t>
      </w:r>
      <w:r>
        <w:rPr>
          <w:rFonts w:ascii="Arial" w:cs="Arial" w:eastAsia="Arial" w:hAnsi="Arial"/>
          <w:sz w:val="20"/>
          <w:szCs w:val="20"/>
          <w:color w:val="1E1E1E"/>
        </w:rPr>
        <w:t>, Majestic and Tommy Bahama</w:t>
      </w:r>
      <w:r>
        <w:rPr>
          <w:rFonts w:ascii="Arial" w:cs="Arial" w:eastAsia="Arial" w:hAnsi="Arial"/>
          <w:sz w:val="12"/>
          <w:szCs w:val="12"/>
          <w:color w:val="1E1E1E"/>
        </w:rPr>
        <w:t>®</w:t>
      </w:r>
      <w:r>
        <w:rPr>
          <w:rFonts w:ascii="Arial" w:cs="Arial" w:eastAsia="Arial" w:hAnsi="Arial"/>
          <w:sz w:val="20"/>
          <w:szCs w:val="20"/>
          <w:color w:val="1E1E1E"/>
        </w:rPr>
        <w:t xml:space="preserve"> we also offer exclusive styles specially curated for our customers.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1E1E1E"/>
        </w:rPr>
        <w:t>Higher-End Fashion Apparel -“Best” Merchandise</w:t>
      </w:r>
    </w:p>
    <w:p>
      <w:pPr>
        <w:spacing w:after="0" w:line="116" w:lineRule="exact"/>
        <w:rPr>
          <w:sz w:val="20"/>
          <w:szCs w:val="20"/>
          <w:color w:val="auto"/>
        </w:rPr>
      </w:pPr>
    </w:p>
    <w:p>
      <w:pPr>
        <w:spacing w:after="0" w:line="284" w:lineRule="auto"/>
        <w:rPr>
          <w:sz w:val="20"/>
          <w:szCs w:val="20"/>
          <w:color w:val="auto"/>
        </w:rPr>
      </w:pPr>
      <w:r>
        <w:rPr>
          <w:rFonts w:ascii="Arial" w:cs="Arial" w:eastAsia="Arial" w:hAnsi="Arial"/>
          <w:sz w:val="18"/>
          <w:szCs w:val="18"/>
          <w:color w:val="1E1E1E"/>
        </w:rPr>
        <w:t>Within this higher-end price range, we carry a broad selection of quality apparel from well-known branded manufacturers, such as The North Face</w:t>
      </w:r>
      <w:r>
        <w:rPr>
          <w:rFonts w:ascii="Arial" w:cs="Arial" w:eastAsia="Arial" w:hAnsi="Arial"/>
          <w:sz w:val="11"/>
          <w:szCs w:val="11"/>
          <w:color w:val="1E1E1E"/>
        </w:rPr>
        <w:t>®</w:t>
      </w:r>
      <w:r>
        <w:rPr>
          <w:rFonts w:ascii="Arial" w:cs="Arial" w:eastAsia="Arial" w:hAnsi="Arial"/>
          <w:sz w:val="18"/>
          <w:szCs w:val="18"/>
          <w:color w:val="1E1E1E"/>
        </w:rPr>
        <w:t>, Polo Ralph Lauren</w:t>
      </w:r>
      <w:r>
        <w:rPr>
          <w:rFonts w:ascii="Arial" w:cs="Arial" w:eastAsia="Arial" w:hAnsi="Arial"/>
          <w:sz w:val="11"/>
          <w:szCs w:val="11"/>
          <w:color w:val="1E1E1E"/>
        </w:rPr>
        <w:t>®</w:t>
      </w:r>
      <w:r>
        <w:rPr>
          <w:rFonts w:ascii="Arial" w:cs="Arial" w:eastAsia="Arial" w:hAnsi="Arial"/>
          <w:sz w:val="18"/>
          <w:szCs w:val="18"/>
          <w:color w:val="1E1E1E"/>
        </w:rPr>
        <w:t>, Jack Victor</w:t>
      </w:r>
      <w:r>
        <w:rPr>
          <w:rFonts w:ascii="Arial" w:cs="Arial" w:eastAsia="Arial" w:hAnsi="Arial"/>
          <w:sz w:val="11"/>
          <w:szCs w:val="11"/>
          <w:color w:val="1E1E1E"/>
        </w:rPr>
        <w:t>®</w:t>
      </w:r>
      <w:r>
        <w:rPr>
          <w:rFonts w:ascii="Arial" w:cs="Arial" w:eastAsia="Arial" w:hAnsi="Arial"/>
          <w:sz w:val="18"/>
          <w:szCs w:val="18"/>
          <w:color w:val="1E1E1E"/>
        </w:rPr>
        <w:t>, Boss</w:t>
      </w:r>
      <w:r>
        <w:rPr>
          <w:rFonts w:ascii="Arial" w:cs="Arial" w:eastAsia="Arial" w:hAnsi="Arial"/>
          <w:sz w:val="11"/>
          <w:szCs w:val="11"/>
          <w:color w:val="1E1E1E"/>
        </w:rPr>
        <w:t>®</w:t>
      </w:r>
      <w:r>
        <w:rPr>
          <w:rFonts w:ascii="Arial" w:cs="Arial" w:eastAsia="Arial" w:hAnsi="Arial"/>
          <w:sz w:val="18"/>
          <w:szCs w:val="18"/>
          <w:color w:val="1E1E1E"/>
        </w:rPr>
        <w:t>, Faherty</w:t>
      </w:r>
      <w:r>
        <w:rPr>
          <w:rFonts w:ascii="Arial" w:cs="Arial" w:eastAsia="Arial" w:hAnsi="Arial"/>
          <w:sz w:val="11"/>
          <w:szCs w:val="11"/>
          <w:color w:val="1E1E1E"/>
        </w:rPr>
        <w:t>®</w:t>
      </w:r>
      <w:r>
        <w:rPr>
          <w:rFonts w:ascii="Arial" w:cs="Arial" w:eastAsia="Arial" w:hAnsi="Arial"/>
          <w:sz w:val="18"/>
          <w:szCs w:val="18"/>
          <w:color w:val="1E1E1E"/>
        </w:rPr>
        <w:t>, Original Penguin Golf</w:t>
      </w:r>
      <w:r>
        <w:rPr>
          <w:rFonts w:ascii="Arial" w:cs="Arial" w:eastAsia="Arial" w:hAnsi="Arial"/>
          <w:sz w:val="11"/>
          <w:szCs w:val="11"/>
          <w:color w:val="1E1E1E"/>
        </w:rPr>
        <w:t>®</w:t>
      </w:r>
      <w:r>
        <w:rPr>
          <w:rFonts w:ascii="Arial" w:cs="Arial" w:eastAsia="Arial" w:hAnsi="Arial"/>
          <w:sz w:val="18"/>
          <w:szCs w:val="18"/>
          <w:color w:val="1E1E1E"/>
        </w:rPr>
        <w:t>, Michael Kors</w:t>
      </w:r>
      <w:r>
        <w:rPr>
          <w:rFonts w:ascii="Arial" w:cs="Arial" w:eastAsia="Arial" w:hAnsi="Arial"/>
          <w:sz w:val="11"/>
          <w:szCs w:val="11"/>
          <w:color w:val="1E1E1E"/>
        </w:rPr>
        <w:t>®</w:t>
      </w:r>
      <w:r>
        <w:rPr>
          <w:rFonts w:ascii="Arial" w:cs="Arial" w:eastAsia="Arial" w:hAnsi="Arial"/>
          <w:sz w:val="18"/>
          <w:szCs w:val="18"/>
          <w:color w:val="1E1E1E"/>
        </w:rPr>
        <w:t>, and Tallia</w:t>
      </w:r>
      <w:r>
        <w:rPr>
          <w:rFonts w:ascii="Arial" w:cs="Arial" w:eastAsia="Arial" w:hAnsi="Arial"/>
          <w:sz w:val="11"/>
          <w:szCs w:val="11"/>
          <w:color w:val="1E1E1E"/>
        </w:rPr>
        <w:t>®.</w:t>
      </w:r>
      <w:r>
        <w:rPr>
          <w:rFonts w:ascii="Arial" w:cs="Arial" w:eastAsia="Arial" w:hAnsi="Arial"/>
          <w:sz w:val="18"/>
          <w:szCs w:val="18"/>
          <w:color w:val="1E1E1E"/>
        </w:rPr>
        <w:t xml:space="preserve"> Our exclusive brands in this price range include Brooks Brothers</w:t>
      </w:r>
      <w:r>
        <w:rPr>
          <w:rFonts w:ascii="Arial" w:cs="Arial" w:eastAsia="Arial" w:hAnsi="Arial"/>
          <w:sz w:val="11"/>
          <w:szCs w:val="11"/>
          <w:color w:val="1E1E1E"/>
        </w:rPr>
        <w:t>®</w:t>
      </w:r>
      <w:r>
        <w:rPr>
          <w:rFonts w:ascii="Arial" w:cs="Arial" w:eastAsia="Arial" w:hAnsi="Arial"/>
          <w:sz w:val="18"/>
          <w:szCs w:val="18"/>
          <w:color w:val="1E1E1E"/>
        </w:rPr>
        <w:t>, JOE’S</w:t>
      </w:r>
      <w:r>
        <w:rPr>
          <w:rFonts w:ascii="Arial" w:cs="Arial" w:eastAsia="Arial" w:hAnsi="Arial"/>
          <w:sz w:val="11"/>
          <w:szCs w:val="11"/>
          <w:color w:val="1E1E1E"/>
        </w:rPr>
        <w:t>®</w:t>
      </w:r>
      <w:r>
        <w:rPr>
          <w:rFonts w:ascii="Arial" w:cs="Arial" w:eastAsia="Arial" w:hAnsi="Arial"/>
          <w:sz w:val="18"/>
          <w:szCs w:val="18"/>
          <w:color w:val="1E1E1E"/>
        </w:rPr>
        <w:t>Jeans, 7 for all Mankind</w:t>
      </w:r>
      <w:r>
        <w:rPr>
          <w:rFonts w:ascii="Arial" w:cs="Arial" w:eastAsia="Arial" w:hAnsi="Arial"/>
          <w:sz w:val="11"/>
          <w:szCs w:val="11"/>
          <w:color w:val="1E1E1E"/>
        </w:rPr>
        <w:t>®,</w:t>
      </w:r>
      <w:r>
        <w:rPr>
          <w:rFonts w:ascii="Arial" w:cs="Arial" w:eastAsia="Arial" w:hAnsi="Arial"/>
          <w:sz w:val="18"/>
          <w:szCs w:val="18"/>
          <w:color w:val="1E1E1E"/>
        </w:rPr>
        <w:t xml:space="preserve"> Boss</w:t>
      </w:r>
      <w:r>
        <w:rPr>
          <w:rFonts w:ascii="Arial" w:cs="Arial" w:eastAsia="Arial" w:hAnsi="Arial"/>
          <w:sz w:val="11"/>
          <w:szCs w:val="11"/>
          <w:color w:val="1E1E1E"/>
        </w:rPr>
        <w:t>®</w:t>
      </w:r>
      <w:r>
        <w:rPr>
          <w:rFonts w:ascii="Arial" w:cs="Arial" w:eastAsia="Arial" w:hAnsi="Arial"/>
          <w:sz w:val="18"/>
          <w:szCs w:val="18"/>
          <w:color w:val="1E1E1E"/>
        </w:rPr>
        <w:t>, Faherty</w:t>
      </w:r>
      <w:r>
        <w:rPr>
          <w:rFonts w:ascii="Arial" w:cs="Arial" w:eastAsia="Arial" w:hAnsi="Arial"/>
          <w:sz w:val="11"/>
          <w:szCs w:val="11"/>
          <w:color w:val="1E1E1E"/>
        </w:rPr>
        <w:t>®</w:t>
      </w:r>
      <w:r>
        <w:rPr>
          <w:rFonts w:ascii="Arial" w:cs="Arial" w:eastAsia="Arial" w:hAnsi="Arial"/>
          <w:sz w:val="18"/>
          <w:szCs w:val="18"/>
          <w:color w:val="1E1E1E"/>
        </w:rPr>
        <w:t>, Original Penguin Golf</w:t>
      </w:r>
      <w:r>
        <w:rPr>
          <w:rFonts w:ascii="Arial" w:cs="Arial" w:eastAsia="Arial" w:hAnsi="Arial"/>
          <w:sz w:val="11"/>
          <w:szCs w:val="11"/>
          <w:color w:val="1E1E1E"/>
        </w:rPr>
        <w:t>®</w:t>
      </w:r>
      <w:r>
        <w:rPr>
          <w:rFonts w:ascii="Arial" w:cs="Arial" w:eastAsia="Arial" w:hAnsi="Arial"/>
          <w:sz w:val="18"/>
          <w:szCs w:val="18"/>
          <w:color w:val="1E1E1E"/>
        </w:rPr>
        <w:t xml:space="preserve"> and Robert Barakett</w:t>
      </w:r>
      <w:r>
        <w:rPr>
          <w:rFonts w:ascii="Arial" w:cs="Arial" w:eastAsia="Arial" w:hAnsi="Arial"/>
          <w:sz w:val="11"/>
          <w:szCs w:val="11"/>
          <w:color w:val="1E1E1E"/>
        </w:rPr>
        <w:t>®</w:t>
      </w:r>
      <w:r>
        <w:rPr>
          <w:rFonts w:ascii="Arial" w:cs="Arial" w:eastAsia="Arial" w:hAnsi="Arial"/>
          <w:sz w:val="18"/>
          <w:szCs w:val="18"/>
          <w:color w:val="1E1E1E"/>
        </w:rPr>
        <w:t>. Within our product assortment for Psycho Bunny</w:t>
      </w:r>
      <w:r>
        <w:rPr>
          <w:rFonts w:ascii="Arial" w:cs="Arial" w:eastAsia="Arial" w:hAnsi="Arial"/>
          <w:sz w:val="11"/>
          <w:szCs w:val="11"/>
          <w:color w:val="1E1E1E"/>
        </w:rPr>
        <w:t>®</w:t>
      </w:r>
      <w:r>
        <w:rPr>
          <w:rFonts w:ascii="Arial" w:cs="Arial" w:eastAsia="Arial" w:hAnsi="Arial"/>
          <w:sz w:val="18"/>
          <w:szCs w:val="18"/>
          <w:color w:val="1E1E1E"/>
        </w:rPr>
        <w:t>, Lucky and Robert Graham</w:t>
      </w:r>
      <w:r>
        <w:rPr>
          <w:rFonts w:ascii="Arial" w:cs="Arial" w:eastAsia="Arial" w:hAnsi="Arial"/>
          <w:sz w:val="11"/>
          <w:szCs w:val="11"/>
          <w:color w:val="1E1E1E"/>
        </w:rPr>
        <w:t>®</w:t>
      </w:r>
      <w:r>
        <w:rPr>
          <w:rFonts w:ascii="Arial" w:cs="Arial" w:eastAsia="Arial" w:hAnsi="Arial"/>
          <w:sz w:val="18"/>
          <w:szCs w:val="18"/>
          <w:color w:val="1E1E1E"/>
        </w:rPr>
        <w:t xml:space="preserve"> we also offer exclusive styles specially curated for our customers. Polo Ralph Lauren builds one collection a quarter for our customers that is exclusive to DXL.</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1E1E1E"/>
        </w:rPr>
        <w:t>Shoes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1E1E1E"/>
        </w:rPr>
        <w:t>Our DXL website offers an assortment of footwear, with a broad selection from casual to formal, in varying price points. We currently have a selection of more than 200 styles of shoes, ranging in sizes from 10W to 18W, including designer brands such as Cole Haan®, Timberland®, Sketchers®, New Balance®, Reebok® and Deerstags.</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1E1E1E"/>
        </w:rPr>
        <w:t>STORE CHANNEL</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DXL Men’s Apparel Stores</w:t>
      </w:r>
    </w:p>
    <w:p>
      <w:pPr>
        <w:spacing w:after="0" w:line="119"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1E1E1E"/>
        </w:rPr>
        <w:t>As of February 3, 2024, we operated 232 DXL retail stores. Our DXL store concept brings all of our brands together in one format. Within this format, we cater to our diverse customer base, with merchandise representing all price points, from our higher-end brands to value-oriented brands, and all lifestyles, from business to denim. The size of our DXL stores averages 7,400 square feet. Depending on the customers in each respective market, we can adjust the appropriate mix of merchandise, with varying selections from each of our price points, to cater to each demographic market. Our DXL stores are located on real estate that is highly visible, often adjacent to high-performing regional malls or other high-traffic shopping areas.</w:t>
      </w:r>
    </w:p>
    <w:p>
      <w:pPr>
        <w:spacing w:after="0" w:line="64" w:lineRule="exact"/>
        <w:rPr>
          <w:sz w:val="20"/>
          <w:szCs w:val="20"/>
          <w:color w:val="auto"/>
        </w:rPr>
      </w:pPr>
    </w:p>
    <w:p>
      <w:pPr>
        <w:ind w:right="280"/>
        <w:spacing w:after="0" w:line="258" w:lineRule="auto"/>
        <w:rPr>
          <w:sz w:val="20"/>
          <w:szCs w:val="20"/>
          <w:color w:val="auto"/>
        </w:rPr>
      </w:pPr>
      <w:r>
        <w:rPr>
          <w:rFonts w:ascii="Arial" w:cs="Arial" w:eastAsia="Arial" w:hAnsi="Arial"/>
          <w:sz w:val="20"/>
          <w:szCs w:val="20"/>
          <w:color w:val="1E1E1E"/>
        </w:rPr>
        <w:t>In many markets, rebranding a Casual Male XL store to a DXL store provides a viable alternative to the more costly endeavor of relocating a Casual Male XL store to new DXL real estate. In addition, the converted stores benefit from DXL advertising. We are actively reviewing opportunities to relocate or convert Casual Male XL stores to DXL stores.</w:t>
      </w:r>
    </w:p>
    <w:p>
      <w:pPr>
        <w:spacing w:after="0" w:line="67"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color w:val="1E1E1E"/>
        </w:rPr>
        <w:t>During fiscal 2023, we opened three new DXL stores, with plans to open eight new stores in fiscal 2024. These new DXL stores offer an updated look and feel both inside and outside, with the store layout focusing on improving our customer engagement and their overall shopping experience.</w:t>
      </w:r>
    </w:p>
    <w:p>
      <w:pPr>
        <w:spacing w:after="0" w:line="64" w:lineRule="exact"/>
        <w:rPr>
          <w:sz w:val="20"/>
          <w:szCs w:val="20"/>
          <w:color w:val="auto"/>
        </w:rPr>
      </w:pPr>
    </w:p>
    <w:p>
      <w:pPr>
        <w:ind w:right="260"/>
        <w:spacing w:after="0" w:line="302" w:lineRule="auto"/>
        <w:rPr>
          <w:sz w:val="20"/>
          <w:szCs w:val="20"/>
          <w:color w:val="auto"/>
        </w:rPr>
      </w:pPr>
      <w:r>
        <w:rPr>
          <w:rFonts w:ascii="Arial" w:cs="Arial" w:eastAsia="Arial" w:hAnsi="Arial"/>
          <w:sz w:val="18"/>
          <w:szCs w:val="18"/>
          <w:color w:val="1E1E1E"/>
        </w:rPr>
        <w:t>We believe that our store portfolio is a vital asset to our business strategy and we are investing in stores over the next several years. Over the next three to five years, we believe we could potentially open approximately 50 net new DXL stores across the country, which could average 6,000 square feet or 300,000 sq. ft. in total, a 15% increase over our current square footage.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Casual Male XL Retail Stores</w:t>
      </w:r>
    </w:p>
    <w:p>
      <w:pPr>
        <w:spacing w:after="0" w:line="119" w:lineRule="exact"/>
        <w:rPr>
          <w:sz w:val="20"/>
          <w:szCs w:val="20"/>
          <w:color w:val="auto"/>
        </w:rPr>
      </w:pPr>
    </w:p>
    <w:p>
      <w:pPr>
        <w:ind w:right="260"/>
        <w:spacing w:after="0" w:line="269" w:lineRule="auto"/>
        <w:rPr>
          <w:sz w:val="20"/>
          <w:szCs w:val="20"/>
          <w:color w:val="auto"/>
        </w:rPr>
      </w:pPr>
      <w:r>
        <w:rPr>
          <w:rFonts w:ascii="Arial" w:cs="Arial" w:eastAsia="Arial" w:hAnsi="Arial"/>
          <w:sz w:val="19"/>
          <w:szCs w:val="19"/>
          <w:color w:val="1E1E1E"/>
        </w:rPr>
        <w:t>As of February 3, 2024, we operated 17 Casual Male XL full-price retail stores, located primarily in strip centers or stand-alone locations. The majority of the merchandise carried in our Casual Male XL stores is moderate-priced basic or fashion-neutral items, such as jeans, casual pants, t-shirts, polo shirts, dress shirts and suit separates. These stores also carry a full complement of our own brand collections. The average Casual Male XL retail store is approximately 3,200 square feet.</w:t>
      </w:r>
    </w:p>
    <w:p>
      <w:pPr>
        <w:sectPr>
          <w:pgSz w:w="11880" w:h="15480" w:orient="portrait"/>
          <w:cols w:equalWidth="0" w:num="1">
            <w:col w:w="10780"/>
          </w:cols>
          <w:pgMar w:left="540" w:top="658" w:right="560" w:bottom="31" w:gutter="0" w:footer="0" w:header="0"/>
        </w:sect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6</w:t>
      </w:r>
    </w:p>
    <w:p>
      <w:pPr>
        <w:sectPr>
          <w:pgSz w:w="11880" w:h="15480" w:orient="portrait"/>
          <w:cols w:equalWidth="0" w:num="1">
            <w:col w:w="10780"/>
          </w:cols>
          <w:pgMar w:left="540" w:top="658" w:right="560" w:bottom="31" w:gutter="0" w:footer="0" w:header="0"/>
          <w:type w:val="continuous"/>
        </w:sectPr>
      </w:pPr>
    </w:p>
    <w:bookmarkStart w:id="8" w:name="page9"/>
    <w:bookmarkEnd w:id="8"/>
    <w:p>
      <w:pPr>
        <w:spacing w:after="0"/>
        <w:rPr>
          <w:sz w:val="20"/>
          <w:szCs w:val="20"/>
          <w:color w:val="auto"/>
        </w:rPr>
      </w:pPr>
      <w:r>
        <w:rPr>
          <w:rFonts w:ascii="Arial" w:cs="Arial" w:eastAsia="Arial" w:hAnsi="Arial"/>
          <w:sz w:val="20"/>
          <w:szCs w:val="20"/>
          <w:u w:val="single" w:color="auto"/>
          <w:color w:val="1E1E1E"/>
        </w:rPr>
        <w:t>DXL Outlet /Casual Male XL Outlet Stores</w:t>
      </w:r>
    </w:p>
    <w:p>
      <w:pPr>
        <w:spacing w:after="0" w:line="119" w:lineRule="exact"/>
        <w:rPr>
          <w:sz w:val="20"/>
          <w:szCs w:val="20"/>
          <w:color w:val="auto"/>
        </w:rPr>
      </w:pPr>
    </w:p>
    <w:p>
      <w:pPr>
        <w:ind w:right="160"/>
        <w:spacing w:after="0" w:line="265" w:lineRule="auto"/>
        <w:rPr>
          <w:sz w:val="20"/>
          <w:szCs w:val="20"/>
          <w:color w:val="auto"/>
        </w:rPr>
      </w:pPr>
      <w:r>
        <w:rPr>
          <w:rFonts w:ascii="Arial" w:cs="Arial" w:eastAsia="Arial" w:hAnsi="Arial"/>
          <w:sz w:val="19"/>
          <w:szCs w:val="19"/>
          <w:color w:val="1E1E1E"/>
        </w:rPr>
        <w:t>As of February 3, 2024, we operated 15 DXL outlet stores and 19 Casual Male XL outlet stores designed to offer a wide range of casual clothing for the big &amp; tall customer at prices that are generally 20-25% lower than our moderate-priced merchandise. Much of the merchandise in our outlet stores is offered at discounted prices to cater to the value-oriented customer. In addition to own brands and national brands at our “good” price tier, our outlets also carry clearance product obtained from DXL and Casual Male XL stores, offering the outlet customer the ability to purchase brand and fashion product for a reduced price.</w:t>
      </w:r>
    </w:p>
    <w:p>
      <w:pPr>
        <w:spacing w:after="0" w:line="183" w:lineRule="exact"/>
        <w:rPr>
          <w:sz w:val="20"/>
          <w:szCs w:val="20"/>
          <w:color w:val="auto"/>
        </w:rPr>
      </w:pPr>
    </w:p>
    <w:p>
      <w:pPr>
        <w:ind w:right="540"/>
        <w:spacing w:after="0" w:line="279" w:lineRule="auto"/>
        <w:rPr>
          <w:sz w:val="20"/>
          <w:szCs w:val="20"/>
          <w:color w:val="auto"/>
        </w:rPr>
      </w:pPr>
      <w:r>
        <w:rPr>
          <w:rFonts w:ascii="Arial" w:cs="Arial" w:eastAsia="Arial" w:hAnsi="Arial"/>
          <w:sz w:val="20"/>
          <w:szCs w:val="20"/>
          <w:color w:val="1E1E1E"/>
        </w:rPr>
        <w:t>The average DXL outlet is approximately 5,100 square feet and the average Casual Male XL outlet store is approximately 3,000 square feet.</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1E1E1E"/>
        </w:rPr>
        <w:t>DIRECT CHANNEL</w:t>
      </w:r>
    </w:p>
    <w:p>
      <w:pPr>
        <w:spacing w:after="0" w:line="116" w:lineRule="exact"/>
        <w:rPr>
          <w:sz w:val="20"/>
          <w:szCs w:val="20"/>
          <w:color w:val="auto"/>
        </w:rPr>
      </w:pPr>
    </w:p>
    <w:p>
      <w:pPr>
        <w:jc w:val="both"/>
        <w:ind w:right="120"/>
        <w:spacing w:after="0" w:line="300" w:lineRule="auto"/>
        <w:rPr>
          <w:sz w:val="20"/>
          <w:szCs w:val="20"/>
          <w:color w:val="auto"/>
        </w:rPr>
      </w:pPr>
      <w:r>
        <w:rPr>
          <w:rFonts w:ascii="Arial" w:cs="Arial" w:eastAsia="Arial" w:hAnsi="Arial"/>
          <w:sz w:val="18"/>
          <w:szCs w:val="18"/>
          <w:color w:val="1E1E1E"/>
        </w:rPr>
        <w:t>Our direct business is a critical channel for growing sales and market share through new customer acquisition and digital engagement of the active file. Since fiscal 2019, comparable sales from our direct business in fiscal 2023 have grown 50.9%, with our total direct business representing 31.3% of our total retail sales in fiscal 2023, as compared to 23.1% of our retail sales in fiscal 2019.</w:t>
      </w:r>
    </w:p>
    <w:p>
      <w:pPr>
        <w:spacing w:after="0" w:line="33" w:lineRule="exact"/>
        <w:rPr>
          <w:sz w:val="20"/>
          <w:szCs w:val="20"/>
          <w:color w:val="auto"/>
        </w:rPr>
      </w:pPr>
    </w:p>
    <w:p>
      <w:pPr>
        <w:jc w:val="both"/>
        <w:ind w:right="300"/>
        <w:spacing w:after="0" w:line="302" w:lineRule="auto"/>
        <w:rPr>
          <w:sz w:val="20"/>
          <w:szCs w:val="20"/>
          <w:color w:val="auto"/>
        </w:rPr>
      </w:pPr>
      <w:r>
        <w:rPr>
          <w:rFonts w:ascii="Arial" w:cs="Arial" w:eastAsia="Arial" w:hAnsi="Arial"/>
          <w:sz w:val="18"/>
          <w:szCs w:val="18"/>
          <w:color w:val="1E1E1E"/>
        </w:rPr>
        <w:t>We define our direct business as sales that originate online, whether through our website, our app, those initiated online at the store level, our Guest Engagement Center, or through a third-party marketplace. We want to serve our customers wherever and how they want to shop, whether in-person at a store, over the telephone, or online via a computer, smartphone or tablet.</w:t>
      </w:r>
    </w:p>
    <w:p>
      <w:pPr>
        <w:spacing w:after="0" w:line="30" w:lineRule="exact"/>
        <w:rPr>
          <w:sz w:val="20"/>
          <w:szCs w:val="20"/>
          <w:color w:val="auto"/>
        </w:rPr>
      </w:pPr>
    </w:p>
    <w:p>
      <w:pPr>
        <w:ind w:right="100"/>
        <w:spacing w:after="0" w:line="252" w:lineRule="auto"/>
        <w:rPr>
          <w:sz w:val="20"/>
          <w:szCs w:val="20"/>
          <w:color w:val="auto"/>
        </w:rPr>
      </w:pPr>
      <w:r>
        <w:rPr>
          <w:rFonts w:ascii="Arial" w:cs="Arial" w:eastAsia="Arial" w:hAnsi="Arial"/>
          <w:sz w:val="20"/>
          <w:szCs w:val="20"/>
          <w:color w:val="1E1E1E"/>
        </w:rPr>
        <w:t>A key to being a successful integrated commerce retailer is having the ability to showcase all of our store inventories online, resulting in additional transactions that are initiated online, but are ultimately completed in store. In addition, our stores are able to fulfill an order for an item that is out -of-stock in our warehouse. This capability has not only resulted in incremental sales, but it has also helped us reduce clearance merchandise at the store level and manage margins.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DXL Website and App</w:t>
      </w:r>
    </w:p>
    <w:p>
      <w:pPr>
        <w:spacing w:after="0" w:line="119" w:lineRule="exact"/>
        <w:rPr>
          <w:sz w:val="20"/>
          <w:szCs w:val="20"/>
          <w:color w:val="auto"/>
        </w:rPr>
      </w:pPr>
    </w:p>
    <w:p>
      <w:pPr>
        <w:ind w:right="240"/>
        <w:spacing w:after="0" w:line="258" w:lineRule="auto"/>
        <w:rPr>
          <w:sz w:val="20"/>
          <w:szCs w:val="20"/>
          <w:color w:val="auto"/>
        </w:rPr>
      </w:pPr>
      <w:r>
        <w:rPr>
          <w:rFonts w:ascii="Arial" w:cs="Arial" w:eastAsia="Arial" w:hAnsi="Arial"/>
          <w:sz w:val="20"/>
          <w:szCs w:val="20"/>
          <w:color w:val="1E1E1E"/>
        </w:rPr>
        <w:t>Our DXL website and app have been instrumental in our growth over the past three years, with sales from our website and app together increasing 47.4% from fiscal 2019. We continue to see our consumers shift to online shopping helping to drive higher new customer acquisition for the website business.</w:t>
      </w:r>
    </w:p>
    <w:p>
      <w:pPr>
        <w:spacing w:after="0" w:line="67" w:lineRule="exact"/>
        <w:rPr>
          <w:sz w:val="20"/>
          <w:szCs w:val="20"/>
          <w:color w:val="auto"/>
        </w:rPr>
      </w:pPr>
    </w:p>
    <w:p>
      <w:pPr>
        <w:ind w:right="200"/>
        <w:spacing w:after="0" w:line="259" w:lineRule="auto"/>
        <w:rPr>
          <w:sz w:val="20"/>
          <w:szCs w:val="20"/>
          <w:color w:val="auto"/>
        </w:rPr>
      </w:pPr>
      <w:r>
        <w:rPr>
          <w:rFonts w:ascii="Arial" w:cs="Arial" w:eastAsia="Arial" w:hAnsi="Arial"/>
          <w:sz w:val="20"/>
          <w:szCs w:val="20"/>
          <w:color w:val="1E1E1E"/>
        </w:rPr>
        <w:t>As mentioned above, we expect to launch an updated website in the second half of fiscal 2024 that we believe will offer a superior user experience to our customers, with modernized design aesthetics and improved performance, while also providing us the tools to improve our agility and efficiency.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Digital Sales at Store Level</w:t>
      </w:r>
    </w:p>
    <w:p>
      <w:pPr>
        <w:spacing w:after="0" w:line="119" w:lineRule="exact"/>
        <w:rPr>
          <w:sz w:val="20"/>
          <w:szCs w:val="20"/>
          <w:color w:val="auto"/>
        </w:rPr>
      </w:pPr>
    </w:p>
    <w:p>
      <w:pPr>
        <w:spacing w:after="0" w:line="252" w:lineRule="auto"/>
        <w:rPr>
          <w:sz w:val="20"/>
          <w:szCs w:val="20"/>
          <w:color w:val="auto"/>
        </w:rPr>
      </w:pPr>
      <w:r>
        <w:rPr>
          <w:rFonts w:ascii="Arial" w:cs="Arial" w:eastAsia="Arial" w:hAnsi="Arial"/>
          <w:sz w:val="20"/>
          <w:szCs w:val="20"/>
          <w:color w:val="1E1E1E"/>
        </w:rPr>
        <w:t>In support of our integrated commerce approach, our store associates use our website to help fulfill our in-store customers’ clothing needs. If a wider selection of a lifestyle, color or size of an item is not available in our store, then our store associates can order the item for our customer online through our direct channel and have it shipped to the store or directly to the customer. Our customers also have the ability to shop-by-store and pick-up in store on the same day.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Digital Marketplaces</w:t>
      </w:r>
    </w:p>
    <w:p>
      <w:pPr>
        <w:spacing w:after="0" w:line="109" w:lineRule="exact"/>
        <w:rPr>
          <w:sz w:val="20"/>
          <w:szCs w:val="20"/>
          <w:color w:val="auto"/>
        </w:rPr>
      </w:pPr>
    </w:p>
    <w:p>
      <w:pPr>
        <w:ind w:right="440"/>
        <w:spacing w:after="0" w:line="247" w:lineRule="auto"/>
        <w:rPr>
          <w:sz w:val="20"/>
          <w:szCs w:val="20"/>
          <w:color w:val="auto"/>
        </w:rPr>
      </w:pPr>
      <w:r>
        <w:rPr>
          <w:rFonts w:ascii="Arial" w:cs="Arial" w:eastAsia="Arial" w:hAnsi="Arial"/>
          <w:sz w:val="20"/>
          <w:szCs w:val="20"/>
          <w:color w:val="1E1E1E"/>
        </w:rPr>
        <w:t>We continue to broaden our reach through digital, third-party marketplaces. A large portion of our assortment is available on Amazon.com and Walmart.com. Digital marketplaces provide us an opportunity to drive awareness, grow our customer base and introduce new customers to our brand.</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MERCHANDISE PLANNING AND ALLOCATION</w:t>
      </w:r>
    </w:p>
    <w:p>
      <w:pPr>
        <w:spacing w:after="0" w:line="119"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color w:val="1E1E1E"/>
        </w:rPr>
        <w:t>Our merchandise planning and allocation function is critical to the effective management of our inventory, store assortments, product sizes and overall gross margin profitability. The merchandise planning and allocation team has an array of planning and replenishment tools available to assist in maintaining an appropriate level of inventory, in-stock positions at the stores and for the direct channel, and pre-season planning for product assortments for each store and the direct channel. Additionally, in-season reporting identifies opportunities and challenges in inventory performance. Over the past several years, we have made, and we will continue to make, investments in implementing best practice tools and processes for our merchandise planning and allocation.</w:t>
      </w:r>
    </w:p>
    <w:p>
      <w:pPr>
        <w:spacing w:after="0" w:line="51"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color w:val="1E1E1E"/>
        </w:rPr>
        <w:t>Our evergreen merchandise made up approximately 42% of our merchandise assortment in fiscal 2023. Our planning and allocation team estimates quantity and demand several months in advance to optimize gross margin and minimize end-of-season merchandise for all seasonal merchandise. We develop customized assortment strategies by store that accentuate lifestyle preferences for each particular store.</w:t>
      </w:r>
    </w:p>
    <w:p>
      <w:pPr>
        <w:sectPr>
          <w:pgSz w:w="11880" w:h="15480" w:orient="portrait"/>
          <w:cols w:equalWidth="0" w:num="1">
            <w:col w:w="10800"/>
          </w:cols>
          <w:pgMar w:left="540" w:top="658" w:right="540" w:bottom="31"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1E1E1E"/>
        </w:rPr>
        <w:t>7</w:t>
      </w:r>
    </w:p>
    <w:p>
      <w:pPr>
        <w:sectPr>
          <w:pgSz w:w="11880" w:h="15480" w:orient="portrait"/>
          <w:cols w:equalWidth="0" w:num="1">
            <w:col w:w="10800"/>
          </w:cols>
          <w:pgMar w:left="540" w:top="658" w:right="540" w:bottom="31" w:gutter="0" w:footer="0" w:header="0"/>
          <w:type w:val="continuous"/>
        </w:sectPr>
      </w:pPr>
    </w:p>
    <w:bookmarkStart w:id="9" w:name="page10"/>
    <w:bookmarkEnd w:id="9"/>
    <w:p>
      <w:pPr>
        <w:ind w:right="20"/>
        <w:spacing w:after="0" w:line="270" w:lineRule="auto"/>
        <w:rPr>
          <w:sz w:val="20"/>
          <w:szCs w:val="20"/>
          <w:color w:val="auto"/>
        </w:rPr>
      </w:pPr>
      <w:r>
        <w:rPr>
          <w:rFonts w:ascii="Arial" w:cs="Arial" w:eastAsia="Arial" w:hAnsi="Arial"/>
          <w:sz w:val="19"/>
          <w:szCs w:val="19"/>
          <w:color w:val="1E1E1E"/>
        </w:rPr>
        <w:t>Our merchandising data warehouse provides the merchandising team with standardized reporting for monitoring assortment performance by product category and by store, identifying in-stock positions by size and generally monitoring overall inventory levels relative to selling. At season end, we analyze the overall performance of product categories, overall assortments and specific styles by store to focus on the opportunities and challenges for the next season’s planning cycle.</w:t>
      </w:r>
    </w:p>
    <w:p>
      <w:pPr>
        <w:spacing w:after="0" w:line="58" w:lineRule="exact"/>
        <w:rPr>
          <w:sz w:val="20"/>
          <w:szCs w:val="20"/>
          <w:color w:val="auto"/>
        </w:rPr>
      </w:pPr>
    </w:p>
    <w:p>
      <w:pPr>
        <w:ind w:right="120"/>
        <w:spacing w:after="0" w:line="289" w:lineRule="auto"/>
        <w:rPr>
          <w:sz w:val="20"/>
          <w:szCs w:val="20"/>
          <w:color w:val="auto"/>
        </w:rPr>
      </w:pPr>
      <w:r>
        <w:rPr>
          <w:rFonts w:ascii="Arial" w:cs="Arial" w:eastAsia="Arial" w:hAnsi="Arial"/>
          <w:sz w:val="18"/>
          <w:szCs w:val="18"/>
          <w:color w:val="1E1E1E"/>
        </w:rPr>
        <w:t>The merchandise planning and allocation team utilizes a set of specific universal reporting tools in fulfilling their daily, weekly and monthly roles and responsibilities. These reporting tools provide focused and actionable views of the business to optimize the overall assortment by category and by store. We are confident that our inventory performance is optimized by having all members of the merchandise planning and allocation team follow a standardized set of processes with the use of standardized reporting tools.</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1E1E1E"/>
        </w:rPr>
        <w:t>STORE OPERATIONS</w:t>
      </w:r>
    </w:p>
    <w:p>
      <w:pPr>
        <w:spacing w:after="0" w:line="119"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1E1E1E"/>
        </w:rPr>
        <w:t>We believe that our store associates are critical to creating the highest quality experience for our guests. The culture in our stores is to be guest-centric - to engage and build a relationship with each of our customers. Our overall goal is to accomplish three key initiatives in our stores. The first is that we strive to build relationships with all of our guests. The second is that we believe our stores need to be clean, neat and organized in an effort to allow the "just-looking" customer to find what he needs with ease. The last component is our stores serving as mini-distribution centers. The majority of our stores are able to fulfill customer orders that were placed online in one of our digital channels. Our associates are well versed in not only the product selection carried in their specific store, but also the product selection carried online. With a point-of-sale system that can access items online for the guest who is physically in the store, our associates are able to fulfill all of their customers’ needs.</w:t>
      </w:r>
    </w:p>
    <w:p>
      <w:pPr>
        <w:spacing w:after="0" w:line="72" w:lineRule="exact"/>
        <w:rPr>
          <w:sz w:val="20"/>
          <w:szCs w:val="20"/>
          <w:color w:val="auto"/>
        </w:rPr>
      </w:pPr>
    </w:p>
    <w:p>
      <w:pPr>
        <w:spacing w:after="0" w:line="261" w:lineRule="auto"/>
        <w:rPr>
          <w:sz w:val="20"/>
          <w:szCs w:val="20"/>
          <w:color w:val="auto"/>
        </w:rPr>
      </w:pPr>
      <w:r>
        <w:rPr>
          <w:rFonts w:ascii="Arial" w:cs="Arial" w:eastAsia="Arial" w:hAnsi="Arial"/>
          <w:sz w:val="19"/>
          <w:szCs w:val="19"/>
          <w:color w:val="1E1E1E"/>
        </w:rPr>
        <w:t>Our multi-unit, field management team receives extensive training on recruiting associates who are the correct fit for our stores. All store associates participate in our DXL FIT Expert Training and Certification program as part of our commitment to deliver a great guest experience. All new DXL store management team hires are trained extensively through senior peer trainers throughout the country. We believe having a mix of internal promotions (store manager to Regional Sales Manager) as well as external hires with extensive multi-unit background gives us an inclusive and diverse Regional Sales management team. Regional Vice Presidents give us touchpoints in the field in addition to our Regional Sales Managers and store management team to ensure consistency in executing our standards and all programs and processes we deem important to our success.</w:t>
      </w:r>
    </w:p>
    <w:p>
      <w:pPr>
        <w:spacing w:after="0" w:line="67" w:lineRule="exact"/>
        <w:rPr>
          <w:sz w:val="20"/>
          <w:szCs w:val="20"/>
          <w:color w:val="auto"/>
        </w:rPr>
      </w:pPr>
    </w:p>
    <w:p>
      <w:pPr>
        <w:ind w:right="100"/>
        <w:spacing w:after="0" w:line="259" w:lineRule="auto"/>
        <w:rPr>
          <w:sz w:val="20"/>
          <w:szCs w:val="20"/>
          <w:color w:val="auto"/>
        </w:rPr>
      </w:pPr>
      <w:r>
        <w:rPr>
          <w:rFonts w:ascii="Arial" w:cs="Arial" w:eastAsia="Arial" w:hAnsi="Arial"/>
          <w:sz w:val="20"/>
          <w:szCs w:val="20"/>
          <w:color w:val="1E1E1E"/>
        </w:rPr>
        <w:t>Each new member of the store management team goes through extensive training with their Regional Sales Manager and a peer Store Manager. We believe our training system, together with monitoring sales metrics to help identify opportunities for further training, will improve sales productivity and strengthen our customers' brand loyalty.</w:t>
      </w:r>
    </w:p>
    <w:p>
      <w:pPr>
        <w:spacing w:after="0" w:line="67"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1E1E1E"/>
        </w:rPr>
        <w:t>Our field organization is overseen by our Chief Stores and Real Estate Officer, VP Store Operations, Regional Vice Presidents, Regional Sales Managers, and a Store Operations Team, who provide management development and guidance to individual store managers. Each Regional Sales Manager is responsible for hiring and developing store managers at the stores assigned to that Regional Sales Manager’s market, and for the overall operations and profitability of those stores. Each store is staffed with a store manager, assistant manager and key holders. The store manager is responsible for achieving certain sales and operational targets. Our stores have an incentive-based commission plan for managers and selling staff to encourage associates to focus on our customer’s wardrobing needs and sales productivity.</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1E1E1E"/>
        </w:rPr>
        <w:t>MARKETING AND ADVERTISING</w:t>
      </w:r>
    </w:p>
    <w:p>
      <w:pPr>
        <w:spacing w:after="0" w:line="119" w:lineRule="exact"/>
        <w:rPr>
          <w:sz w:val="20"/>
          <w:szCs w:val="20"/>
          <w:color w:val="auto"/>
        </w:rPr>
      </w:pPr>
    </w:p>
    <w:p>
      <w:pPr>
        <w:ind w:right="260"/>
        <w:spacing w:after="0" w:line="283" w:lineRule="auto"/>
        <w:rPr>
          <w:sz w:val="20"/>
          <w:szCs w:val="20"/>
          <w:color w:val="auto"/>
        </w:rPr>
      </w:pPr>
      <w:r>
        <w:rPr>
          <w:rFonts w:ascii="Arial" w:cs="Arial" w:eastAsia="Arial" w:hAnsi="Arial"/>
          <w:sz w:val="18"/>
          <w:szCs w:val="18"/>
          <w:color w:val="1E1E1E"/>
        </w:rPr>
        <w:t xml:space="preserve">We believe that our marketing initiatives are critical to driving our sales growth by increasing traffic to our stores, website and app. Last year, we launched our brand initiative “Wear What You Want” </w:t>
      </w:r>
      <w:r>
        <w:rPr>
          <w:sz w:val="1"/>
          <w:szCs w:val="1"/>
          <w:color w:val="auto"/>
        </w:rPr>
        <w:drawing>
          <wp:inline distT="0" distB="0" distL="0" distR="0">
            <wp:extent cx="81915" cy="7239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915" cy="72390"/>
                    </a:xfrm>
                    <a:prstGeom prst="rect">
                      <a:avLst/>
                    </a:prstGeom>
                    <a:noFill/>
                    <a:ln>
                      <a:noFill/>
                    </a:ln>
                  </pic:spPr>
                </pic:pic>
              </a:graphicData>
            </a:graphic>
          </wp:inline>
        </w:drawing>
      </w:r>
      <w:r>
        <w:rPr>
          <w:rFonts w:ascii="Arial" w:cs="Arial" w:eastAsia="Arial" w:hAnsi="Arial"/>
          <w:sz w:val="18"/>
          <w:szCs w:val="18"/>
          <w:color w:val="1E1E1E"/>
        </w:rPr>
        <w:t xml:space="preserve"> inviting our customer to not only experience the depth of our</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1E1E1E"/>
        </w:rPr>
        <w:t>assortment but also the breadth of exclusivity across our brands, offering brands and styles not available elsewhere. We are providing him with the freedom to choose his own style and wear what he wants. Big + Tall is all we do, and we trade on the belief that we offer superior fit, assortment, and experience to him and through this initiative we are eager to develop relationships with our customers that are built on respect, trust, and belonging.</w:t>
      </w:r>
    </w:p>
    <w:p>
      <w:pPr>
        <w:spacing w:after="0" w:line="69"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1E1E1E"/>
        </w:rPr>
        <w:t>Over the past few years, our marketing strategy has been a more targeted, personalized, data-driven model, enabling us to engage differently with each of our customers based on their shopping behaviors across all our buying channels. We adopted a stringent, analytical perspective to our marketing program, focusing on understanding incremental outcomes in addition to the “return on ad spend” throughout all our programs. This data-driven philosophy extends across all our marketing initiatives as we look at new ways to engage our customers. Our on-going work on enhancing our customer segmentation will ultimately drive our long-term marketing strategy, enabling us to create targeted and personalized content and messaging to our various customer segments. Our marketing programs have included email, direct mail, our loyalty program, direct marketing, digital marketing, social media, and streaming media, among others. Because we are not highly promotional, our loyalty program, The DXL Rewards Club, provides a strong value to our customers and we are planning on making further enhancements to the program during fiscal 2024.</w:t>
      </w:r>
    </w:p>
    <w:p>
      <w:pPr>
        <w:spacing w:after="0" w:line="57" w:lineRule="exact"/>
        <w:rPr>
          <w:sz w:val="20"/>
          <w:szCs w:val="20"/>
          <w:color w:val="auto"/>
        </w:rPr>
      </w:pPr>
    </w:p>
    <w:p>
      <w:pPr>
        <w:ind w:right="60"/>
        <w:spacing w:after="0" w:line="336" w:lineRule="auto"/>
        <w:rPr>
          <w:sz w:val="20"/>
          <w:szCs w:val="20"/>
          <w:color w:val="auto"/>
        </w:rPr>
      </w:pPr>
      <w:r>
        <w:rPr>
          <w:rFonts w:ascii="Arial" w:cs="Arial" w:eastAsia="Arial" w:hAnsi="Arial"/>
          <w:sz w:val="18"/>
          <w:szCs w:val="18"/>
          <w:color w:val="1E1E1E"/>
        </w:rPr>
        <w:t>While we will continue to invest in these targeted marketing initiatives, we also plan to increase our marketing spend in fiscal 2024 to include broad-based advertising, focusing specifically at building brand awareness. We have been working to transform our brand</w:t>
      </w:r>
    </w:p>
    <w:p>
      <w:pPr>
        <w:sectPr>
          <w:pgSz w:w="11880" w:h="15480" w:orient="portrait"/>
          <w:cols w:equalWidth="0" w:num="1">
            <w:col w:w="10780"/>
          </w:cols>
          <w:pgMar w:left="540" w:top="656" w:right="560" w:bottom="31"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8</w:t>
      </w:r>
    </w:p>
    <w:p>
      <w:pPr>
        <w:sectPr>
          <w:pgSz w:w="11880" w:h="15480" w:orient="portrait"/>
          <w:cols w:equalWidth="0" w:num="1">
            <w:col w:w="10780"/>
          </w:cols>
          <w:pgMar w:left="540" w:top="656" w:right="560" w:bottom="31" w:gutter="0" w:footer="0" w:header="0"/>
          <w:type w:val="continuous"/>
        </w:sectPr>
      </w:pPr>
    </w:p>
    <w:bookmarkStart w:id="10" w:name="page11"/>
    <w:bookmarkEnd w:id="10"/>
    <w:p>
      <w:pPr>
        <w:ind w:right="340"/>
        <w:spacing w:after="0" w:line="253" w:lineRule="auto"/>
        <w:rPr>
          <w:sz w:val="20"/>
          <w:szCs w:val="20"/>
          <w:color w:val="auto"/>
        </w:rPr>
      </w:pPr>
      <w:r>
        <w:rPr>
          <w:rFonts w:ascii="Arial" w:cs="Arial" w:eastAsia="Arial" w:hAnsi="Arial"/>
          <w:sz w:val="20"/>
          <w:szCs w:val="20"/>
          <w:color w:val="1E1E1E"/>
        </w:rPr>
        <w:t>positioning by focusing on key customer insights and leveraging our distinct advantages of superior fit, depth of assortment, great styles and largely exclusive brands and an experience like no other. Our focus is to acquire new customers and achieve a greater lifetime value across our entire customer file. Working with our new creative and media agencies, we are planning a multi-channel campaign, targeting an early summer 2024 multi-market test-launch.</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1E1E1E"/>
        </w:rPr>
        <w:t>We expect our marketing costs in fiscal 2024 to be approximately 7.0%-7.5% of sales as compared to 5.9% of sales in fiscal 2023.</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color w:val="1E1E1E"/>
        </w:rPr>
        <w:t>GLOBAL SOURCING</w:t>
      </w:r>
    </w:p>
    <w:p>
      <w:pPr>
        <w:spacing w:after="0" w:line="119" w:lineRule="exact"/>
        <w:rPr>
          <w:sz w:val="20"/>
          <w:szCs w:val="20"/>
          <w:color w:val="auto"/>
        </w:rPr>
      </w:pPr>
    </w:p>
    <w:p>
      <w:pPr>
        <w:spacing w:after="0" w:line="302" w:lineRule="auto"/>
        <w:rPr>
          <w:sz w:val="20"/>
          <w:szCs w:val="20"/>
          <w:color w:val="auto"/>
        </w:rPr>
      </w:pPr>
      <w:r>
        <w:rPr>
          <w:rFonts w:ascii="Arial" w:cs="Arial" w:eastAsia="Arial" w:hAnsi="Arial"/>
          <w:sz w:val="18"/>
          <w:szCs w:val="18"/>
          <w:color w:val="1E1E1E"/>
        </w:rPr>
        <w:t>Our global sourcing strategy is a balanced approach, which considers quality, cost and lead-time, depending on the requirements of the program. We believe our current sourcing structure meets our operating requirements and provides capacity for growth. The growth and effectiveness of our global direct sourcing program is a key component to the strength of merchandise margins.</w:t>
      </w:r>
    </w:p>
    <w:p>
      <w:pPr>
        <w:spacing w:after="0" w:line="30"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1E1E1E"/>
        </w:rPr>
        <w:t>We have built a strong internal team with extensive experience that is responsible for managing an international network of vendors and suppliers across the globe. We have established strong relationships with many of the leading factories and mills across the globe. Our sourcing network consists of over 30 factories in eight countries which are experts in big &amp; tall sizing and production. In fiscal 2023, approximately 52% of all our product needs were sourced directly. We manufacture a significant percentage of our own brand merchandise in Southeast Asian countries including Vietnam, Bangladesh, Cambodia and India. We continue to reduce dependency on China, with less than 10% of our own brands sourced from China, inclusive of our raw materials and trims, and have moved certain programs into the Western Hemisphere with duty-free opportunities such as Nicaragua and Mexico.</w:t>
      </w:r>
    </w:p>
    <w:p>
      <w:pPr>
        <w:spacing w:after="0" w:line="50" w:lineRule="exact"/>
        <w:rPr>
          <w:sz w:val="20"/>
          <w:szCs w:val="20"/>
          <w:color w:val="auto"/>
        </w:rPr>
      </w:pPr>
    </w:p>
    <w:p>
      <w:pPr>
        <w:ind w:right="280"/>
        <w:spacing w:after="0" w:line="279" w:lineRule="auto"/>
        <w:rPr>
          <w:sz w:val="20"/>
          <w:szCs w:val="20"/>
          <w:color w:val="auto"/>
        </w:rPr>
      </w:pPr>
      <w:r>
        <w:rPr>
          <w:rFonts w:ascii="Arial" w:cs="Arial" w:eastAsia="Arial" w:hAnsi="Arial"/>
          <w:sz w:val="20"/>
          <w:szCs w:val="20"/>
          <w:color w:val="1E1E1E"/>
        </w:rPr>
        <w:t>In an effort to minimize foreign currency risk, all payments to our direct sourced vendors are made in U.S. dollars with payment on account.</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1E1E1E"/>
        </w:rPr>
        <w:t>See "Sustainability" below for a discussion of our environmental, ethical and social audits.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1E1E1E"/>
        </w:rPr>
        <w:t>DISTRIBUTION</w:t>
      </w:r>
    </w:p>
    <w:p>
      <w:pPr>
        <w:spacing w:after="0" w:line="119" w:lineRule="exact"/>
        <w:rPr>
          <w:sz w:val="20"/>
          <w:szCs w:val="20"/>
          <w:color w:val="auto"/>
        </w:rPr>
      </w:pPr>
    </w:p>
    <w:p>
      <w:pPr>
        <w:ind w:right="80"/>
        <w:spacing w:after="0" w:line="249" w:lineRule="auto"/>
        <w:rPr>
          <w:sz w:val="20"/>
          <w:szCs w:val="20"/>
          <w:color w:val="auto"/>
        </w:rPr>
      </w:pPr>
      <w:r>
        <w:rPr>
          <w:rFonts w:ascii="Arial" w:cs="Arial" w:eastAsia="Arial" w:hAnsi="Arial"/>
          <w:sz w:val="20"/>
          <w:szCs w:val="20"/>
          <w:color w:val="1E1E1E"/>
        </w:rPr>
        <w:t>All of our retail distribution operations are centralized at our headquarters located in Canton, Massachusetts. We believe that having a centralized distribution facility maximizes the selling space and in-stock position of our stores and reduces the necessary levels of back-room stock. In addition, the distribution center provides order fulfillment services for our e-commerce business. In-bound calls for our e-commerce business are primarily fulfilled by our distribution center and if an order cannot be fulfilled by our distribution center, the order is completed at the store level.</w:t>
      </w:r>
    </w:p>
    <w:p>
      <w:pPr>
        <w:spacing w:after="0" w:line="77" w:lineRule="exact"/>
        <w:rPr>
          <w:sz w:val="20"/>
          <w:szCs w:val="20"/>
          <w:color w:val="auto"/>
        </w:rPr>
      </w:pPr>
    </w:p>
    <w:p>
      <w:pPr>
        <w:ind w:right="200"/>
        <w:spacing w:after="0" w:line="336" w:lineRule="auto"/>
        <w:rPr>
          <w:sz w:val="20"/>
          <w:szCs w:val="20"/>
          <w:color w:val="auto"/>
        </w:rPr>
      </w:pPr>
      <w:r>
        <w:rPr>
          <w:rFonts w:ascii="Arial" w:cs="Arial" w:eastAsia="Arial" w:hAnsi="Arial"/>
          <w:sz w:val="18"/>
          <w:szCs w:val="18"/>
          <w:color w:val="1E1E1E"/>
        </w:rPr>
        <w:t>Our supply chain technology provides visibility for imports and domestic deliveries giving our buyers accurate shipping information and allowing the distribution center to plan staffing for arriving freight, resulting in reduced costs and improved receipt efficiency.</w:t>
      </w:r>
    </w:p>
    <w:p>
      <w:pPr>
        <w:spacing w:after="0" w:line="1" w:lineRule="exact"/>
        <w:rPr>
          <w:sz w:val="20"/>
          <w:szCs w:val="20"/>
          <w:color w:val="auto"/>
        </w:rPr>
      </w:pPr>
    </w:p>
    <w:p>
      <w:pPr>
        <w:ind w:right="160"/>
        <w:spacing w:after="0" w:line="334" w:lineRule="auto"/>
        <w:rPr>
          <w:sz w:val="20"/>
          <w:szCs w:val="20"/>
          <w:color w:val="auto"/>
        </w:rPr>
      </w:pPr>
      <w:r>
        <w:rPr>
          <w:rFonts w:ascii="Arial" w:cs="Arial" w:eastAsia="Arial" w:hAnsi="Arial"/>
          <w:sz w:val="18"/>
          <w:szCs w:val="18"/>
          <w:color w:val="1E1E1E"/>
        </w:rPr>
        <w:t>Our warehousing application and labor management system enable us to streamline our distribution processes, enhance our in-transit times, and reduce our distribution costs. We will continually work to make improvements and upgrades to our software.</w:t>
      </w: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20"/>
          <w:szCs w:val="20"/>
          <w:color w:val="1E1E1E"/>
        </w:rPr>
        <w:t>For store shipments and domestic customer deliveries, we use large national carriers. We are able to track all deliveries from the warehouse to our individual stores, including the status of in-transit shipments. In addition, we are able to provide our direct customers with Authorized Return Service and Web labels, making returns more convenient for them.</w:t>
      </w:r>
    </w:p>
    <w:p>
      <w:pPr>
        <w:spacing w:after="0" w:line="67" w:lineRule="exact"/>
        <w:rPr>
          <w:sz w:val="20"/>
          <w:szCs w:val="20"/>
          <w:color w:val="auto"/>
        </w:rPr>
      </w:pPr>
    </w:p>
    <w:p>
      <w:pPr>
        <w:ind w:right="380"/>
        <w:spacing w:after="0" w:line="278" w:lineRule="auto"/>
        <w:rPr>
          <w:sz w:val="20"/>
          <w:szCs w:val="20"/>
          <w:color w:val="auto"/>
        </w:rPr>
      </w:pPr>
      <w:r>
        <w:rPr>
          <w:rFonts w:ascii="Arial" w:cs="Arial" w:eastAsia="Arial" w:hAnsi="Arial"/>
          <w:sz w:val="19"/>
          <w:szCs w:val="19"/>
          <w:color w:val="1E1E1E"/>
        </w:rPr>
        <w:t>In order to service our International customers, we have contracted with a global e-commerce company for payment and shipment services. Through this service, international customers view and pay for products in their local currency. Our vendor then ships directly to our customer, which we believe helps avoid potential fraud and currency exchange rate risks.</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1E1E1E"/>
        </w:rPr>
        <w:t>MANAGEMENT INFORMATION SYSTEMS</w:t>
      </w:r>
    </w:p>
    <w:p>
      <w:pPr>
        <w:spacing w:after="0" w:line="119" w:lineRule="exact"/>
        <w:rPr>
          <w:sz w:val="20"/>
          <w:szCs w:val="20"/>
          <w:color w:val="auto"/>
        </w:rPr>
      </w:pPr>
    </w:p>
    <w:p>
      <w:pPr>
        <w:ind w:right="280"/>
        <w:spacing w:after="0" w:line="336" w:lineRule="auto"/>
        <w:rPr>
          <w:sz w:val="20"/>
          <w:szCs w:val="20"/>
          <w:color w:val="auto"/>
        </w:rPr>
      </w:pPr>
      <w:r>
        <w:rPr>
          <w:rFonts w:ascii="Arial" w:cs="Arial" w:eastAsia="Arial" w:hAnsi="Arial"/>
          <w:sz w:val="18"/>
          <w:szCs w:val="18"/>
          <w:color w:val="1E1E1E"/>
        </w:rPr>
        <w:t>The infrastructure of our management information systems is a priority to us. We believe that the investments we have made in this regard have improved our overall efficiency and improved our access to information enabling timely, data-driven decisions.</w:t>
      </w:r>
    </w:p>
    <w:p>
      <w:pPr>
        <w:spacing w:after="0" w:line="121"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1E1E1E"/>
        </w:rPr>
        <w:t>Our management information systems consist of a full range of retail merchandising and financial systems, which include merchandise planning and reporting, distribution center processing, inventory allocation, sales reporting, and financial processing and reporting. We believe that our current infrastructure provides us the ability and capacity to process transactions more efficiently and provides our management team with comprehensive tools with which to manage our business. Our direct and retail channels maintain a shared inventory system and we operate a single-system platform for our DXL and Casual Male XL stores to deliver improved efficiencies.</w:t>
      </w:r>
    </w:p>
    <w:p>
      <w:pPr>
        <w:spacing w:after="0" w:line="200" w:lineRule="exact"/>
        <w:rPr>
          <w:sz w:val="20"/>
          <w:szCs w:val="20"/>
          <w:color w:val="auto"/>
        </w:rPr>
      </w:pPr>
    </w:p>
    <w:p>
      <w:pPr>
        <w:ind w:right="320"/>
        <w:spacing w:after="0" w:line="334" w:lineRule="auto"/>
        <w:rPr>
          <w:sz w:val="20"/>
          <w:szCs w:val="20"/>
          <w:color w:val="auto"/>
        </w:rPr>
      </w:pPr>
      <w:r>
        <w:rPr>
          <w:rFonts w:ascii="Arial" w:cs="Arial" w:eastAsia="Arial" w:hAnsi="Arial"/>
          <w:sz w:val="18"/>
          <w:szCs w:val="18"/>
          <w:color w:val="1E1E1E"/>
        </w:rPr>
        <w:t>In an effort to improve our inventory management, we have created a standardized set of “best practices” for both our merchandise planning and allocation groups. Using a retail business intelligence solution, we are able to integrate data from several sources and</w:t>
      </w:r>
    </w:p>
    <w:p>
      <w:pPr>
        <w:sectPr>
          <w:pgSz w:w="11880" w:h="15480" w:orient="portrait"/>
          <w:cols w:equalWidth="0" w:num="1">
            <w:col w:w="10800"/>
          </w:cols>
          <w:pgMar w:left="540" w:top="656" w:right="540" w:bottom="31"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1E1E1E"/>
        </w:rPr>
        <w:t>9</w:t>
      </w:r>
    </w:p>
    <w:p>
      <w:pPr>
        <w:sectPr>
          <w:pgSz w:w="11880" w:h="15480" w:orient="portrait"/>
          <w:cols w:equalWidth="0" w:num="1">
            <w:col w:w="10800"/>
          </w:cols>
          <w:pgMar w:left="540" w:top="656" w:right="540" w:bottom="31" w:gutter="0" w:footer="0" w:header="0"/>
          <w:type w:val="continuous"/>
        </w:sectPr>
      </w:pPr>
    </w:p>
    <w:bookmarkStart w:id="11" w:name="page12"/>
    <w:bookmarkEnd w:id="11"/>
    <w:p>
      <w:pPr>
        <w:ind w:right="280"/>
        <w:spacing w:after="0" w:line="336" w:lineRule="auto"/>
        <w:rPr>
          <w:sz w:val="20"/>
          <w:szCs w:val="20"/>
          <w:color w:val="auto"/>
        </w:rPr>
      </w:pPr>
      <w:r>
        <w:rPr>
          <w:rFonts w:ascii="Arial" w:cs="Arial" w:eastAsia="Arial" w:hAnsi="Arial"/>
          <w:sz w:val="18"/>
          <w:szCs w:val="18"/>
          <w:color w:val="1E1E1E"/>
        </w:rPr>
        <w:t>provide enterprise-wide analytics reporting. Over the past few years, we have continued to develop a custom Assortment Suite application to leverage business intelligence and predictive analytics to provide high-impact insights into core merchandising tasks.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1E1E1E"/>
        </w:rPr>
        <w:t>COMPETITION</w:t>
      </w:r>
    </w:p>
    <w:p>
      <w:pPr>
        <w:spacing w:after="0" w:line="119"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color w:val="1E1E1E"/>
        </w:rPr>
        <w:t>Our business faces competition from a variety of sources, including department stores, mass merchandisers, other specialty stores and discount and off-price retailers that sell big &amp; tall men’s clothing. While we have successfully competed on the basis of merchandise assortment, comfort and fit, customer service and desirable store locations, there can be no assurances that other retailers, including e-commerce retailers, will not adopt purchasing and marketing concepts similar to ours. Discount retailers with significant buying power, such as Walmart, Kohl's and J.C. Penney, represent a source of competition for us. The direct business has many competitors, including the King Size catalog and website as well as online marketplaces, such as Amazon.</w:t>
      </w:r>
    </w:p>
    <w:p>
      <w:pPr>
        <w:spacing w:after="0" w:line="171" w:lineRule="exact"/>
        <w:rPr>
          <w:sz w:val="20"/>
          <w:szCs w:val="20"/>
          <w:color w:val="auto"/>
        </w:rPr>
      </w:pPr>
    </w:p>
    <w:p>
      <w:pPr>
        <w:jc w:val="both"/>
        <w:ind w:right="40"/>
        <w:spacing w:after="0" w:line="249" w:lineRule="auto"/>
        <w:rPr>
          <w:sz w:val="20"/>
          <w:szCs w:val="20"/>
          <w:color w:val="auto"/>
        </w:rPr>
      </w:pPr>
      <w:r>
        <w:rPr>
          <w:rFonts w:ascii="Arial" w:cs="Arial" w:eastAsia="Arial" w:hAnsi="Arial"/>
          <w:sz w:val="20"/>
          <w:szCs w:val="20"/>
          <w:color w:val="1E1E1E"/>
        </w:rPr>
        <w:t>The United States big &amp; tall men’s clothing market is highly competitive with many national and regional department stores, specialty apparel retailers, single market operators and discount stores offering a broad range of apparel products intended for big and tall men. Besides retail competitors, we consider any casual apparel manufacturer operating in outlet malls throughout the United States to be a competitor in the casual apparel market. We believe that we are the only national operator of men’s apparel stores focused exclusively on the men’s big &amp; tall market.</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color w:val="1E1E1E"/>
        </w:rPr>
        <w:t>SEASONALITY</w:t>
      </w:r>
    </w:p>
    <w:p>
      <w:pPr>
        <w:spacing w:after="0" w:line="119"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color w:val="1E1E1E"/>
        </w:rPr>
        <w:t>Historically, and consistent with the retail industry, we have experienced seasonal fluctuations as it relates to our operating income, net income, and free cash flow. Traditionally, a significant portion of our operating income, net income, and free cash flow is generated in the second and fourth quarters. Our inventory is typically at peak levels by the end of the third quarter, which represents a significant use of cash, which is then relieved in the fourth quarter as we sell-down our inventory through the holiday shopping season.</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color w:val="1E1E1E"/>
        </w:rPr>
        <w:t>TRADEMARKS/TRADEMARK LICENSE AGREEMENTS</w:t>
      </w:r>
    </w:p>
    <w:p>
      <w:pPr>
        <w:spacing w:after="0" w:line="119"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1E1E1E"/>
        </w:rPr>
        <w:t>We own several service marks and trademarks relating to our businesses, including, among others, “Destination XL</w:t>
      </w:r>
      <w:r>
        <w:rPr>
          <w:rFonts w:ascii="Arial" w:cs="Arial" w:eastAsia="Arial" w:hAnsi="Arial"/>
          <w:sz w:val="11"/>
          <w:szCs w:val="11"/>
          <w:color w:val="1E1E1E"/>
        </w:rPr>
        <w:t>®</w:t>
      </w:r>
      <w:r>
        <w:rPr>
          <w:rFonts w:ascii="Arial" w:cs="Arial" w:eastAsia="Arial" w:hAnsi="Arial"/>
          <w:sz w:val="18"/>
          <w:szCs w:val="18"/>
          <w:color w:val="1E1E1E"/>
        </w:rPr>
        <w:t>”, “DXL</w:t>
      </w:r>
      <w:r>
        <w:rPr>
          <w:rFonts w:ascii="Arial" w:cs="Arial" w:eastAsia="Arial" w:hAnsi="Arial"/>
          <w:sz w:val="11"/>
          <w:szCs w:val="11"/>
          <w:color w:val="1E1E1E"/>
        </w:rPr>
        <w:t>®</w:t>
      </w:r>
      <w:r>
        <w:rPr>
          <w:rFonts w:ascii="Arial" w:cs="Arial" w:eastAsia="Arial" w:hAnsi="Arial"/>
          <w:sz w:val="18"/>
          <w:szCs w:val="18"/>
          <w:color w:val="1E1E1E"/>
        </w:rPr>
        <w:t>”, “DXL Mens Apparel</w:t>
      </w:r>
      <w:r>
        <w:rPr>
          <w:rFonts w:ascii="Arial" w:cs="Arial" w:eastAsia="Arial" w:hAnsi="Arial"/>
          <w:sz w:val="11"/>
          <w:szCs w:val="11"/>
          <w:color w:val="1E1E1E"/>
        </w:rPr>
        <w:t>®</w:t>
      </w:r>
      <w:r>
        <w:rPr>
          <w:rFonts w:ascii="Arial" w:cs="Arial" w:eastAsia="Arial" w:hAnsi="Arial"/>
          <w:sz w:val="18"/>
          <w:szCs w:val="18"/>
          <w:color w:val="1E1E1E"/>
        </w:rPr>
        <w:t>”, “Big on Being Better</w:t>
      </w:r>
      <w:r>
        <w:rPr>
          <w:rFonts w:ascii="Arial" w:cs="Arial" w:eastAsia="Arial" w:hAnsi="Arial"/>
          <w:sz w:val="11"/>
          <w:szCs w:val="11"/>
          <w:color w:val="1E1E1E"/>
        </w:rPr>
        <w:t>®</w:t>
      </w:r>
      <w:r>
        <w:rPr>
          <w:rFonts w:ascii="Arial" w:cs="Arial" w:eastAsia="Arial" w:hAnsi="Arial"/>
          <w:sz w:val="18"/>
          <w:szCs w:val="18"/>
          <w:color w:val="1E1E1E"/>
        </w:rPr>
        <w:t>”, “Casual Male</w:t>
      </w:r>
      <w:r>
        <w:rPr>
          <w:rFonts w:ascii="Arial" w:cs="Arial" w:eastAsia="Arial" w:hAnsi="Arial"/>
          <w:sz w:val="11"/>
          <w:szCs w:val="11"/>
          <w:color w:val="1E1E1E"/>
        </w:rPr>
        <w:t>®</w:t>
      </w:r>
      <w:r>
        <w:rPr>
          <w:rFonts w:ascii="Arial" w:cs="Arial" w:eastAsia="Arial" w:hAnsi="Arial"/>
          <w:sz w:val="18"/>
          <w:szCs w:val="18"/>
          <w:color w:val="1E1E1E"/>
        </w:rPr>
        <w:t>”, “Casual Male XL</w:t>
      </w:r>
      <w:r>
        <w:rPr>
          <w:rFonts w:ascii="Arial" w:cs="Arial" w:eastAsia="Arial" w:hAnsi="Arial"/>
          <w:sz w:val="11"/>
          <w:szCs w:val="11"/>
          <w:color w:val="1E1E1E"/>
        </w:rPr>
        <w:t>®</w:t>
      </w:r>
      <w:r>
        <w:rPr>
          <w:rFonts w:ascii="Arial" w:cs="Arial" w:eastAsia="Arial" w:hAnsi="Arial"/>
          <w:sz w:val="18"/>
          <w:szCs w:val="18"/>
          <w:color w:val="1E1E1E"/>
        </w:rPr>
        <w:t>”, “Harbor Bay</w:t>
      </w:r>
      <w:r>
        <w:rPr>
          <w:rFonts w:ascii="Arial" w:cs="Arial" w:eastAsia="Arial" w:hAnsi="Arial"/>
          <w:sz w:val="11"/>
          <w:szCs w:val="11"/>
          <w:color w:val="1E1E1E"/>
        </w:rPr>
        <w:t>®</w:t>
      </w:r>
      <w:r>
        <w:rPr>
          <w:rFonts w:ascii="Arial" w:cs="Arial" w:eastAsia="Arial" w:hAnsi="Arial"/>
          <w:sz w:val="18"/>
          <w:szCs w:val="18"/>
          <w:color w:val="1E1E1E"/>
        </w:rPr>
        <w:t>”, “Oak Hill</w:t>
      </w:r>
      <w:r>
        <w:rPr>
          <w:rFonts w:ascii="Arial" w:cs="Arial" w:eastAsia="Arial" w:hAnsi="Arial"/>
          <w:sz w:val="11"/>
          <w:szCs w:val="11"/>
          <w:color w:val="1E1E1E"/>
        </w:rPr>
        <w:t>®</w:t>
      </w:r>
      <w:r>
        <w:rPr>
          <w:rFonts w:ascii="Arial" w:cs="Arial" w:eastAsia="Arial" w:hAnsi="Arial"/>
          <w:sz w:val="18"/>
          <w:szCs w:val="18"/>
          <w:color w:val="1E1E1E"/>
        </w:rPr>
        <w:t>”, “Continuous</w:t>
      </w:r>
    </w:p>
    <w:p>
      <w:pPr>
        <w:ind w:right="680"/>
        <w:spacing w:after="0" w:line="269" w:lineRule="auto"/>
        <w:rPr>
          <w:sz w:val="20"/>
          <w:szCs w:val="20"/>
          <w:color w:val="auto"/>
        </w:rPr>
      </w:pPr>
      <w:r>
        <w:rPr>
          <w:rFonts w:ascii="Arial" w:cs="Arial" w:eastAsia="Arial" w:hAnsi="Arial"/>
          <w:sz w:val="20"/>
          <w:szCs w:val="20"/>
          <w:color w:val="1E1E1E"/>
        </w:rPr>
        <w:t>Comfort</w:t>
      </w:r>
      <w:r>
        <w:rPr>
          <w:rFonts w:ascii="Arial" w:cs="Arial" w:eastAsia="Arial" w:hAnsi="Arial"/>
          <w:sz w:val="12"/>
          <w:szCs w:val="12"/>
          <w:color w:val="1E1E1E"/>
        </w:rPr>
        <w:t>®</w:t>
      </w:r>
      <w:r>
        <w:rPr>
          <w:rFonts w:ascii="Arial" w:cs="Arial" w:eastAsia="Arial" w:hAnsi="Arial"/>
          <w:sz w:val="20"/>
          <w:szCs w:val="20"/>
          <w:color w:val="1E1E1E"/>
        </w:rPr>
        <w:t>”, “Synrgy™”, “Society of One</w:t>
      </w:r>
      <w:r>
        <w:rPr>
          <w:rFonts w:ascii="Arial" w:cs="Arial" w:eastAsia="Arial" w:hAnsi="Arial"/>
          <w:sz w:val="12"/>
          <w:szCs w:val="12"/>
          <w:color w:val="1E1E1E"/>
        </w:rPr>
        <w:t>®</w:t>
      </w:r>
      <w:r>
        <w:rPr>
          <w:rFonts w:ascii="Arial" w:cs="Arial" w:eastAsia="Arial" w:hAnsi="Arial"/>
          <w:sz w:val="20"/>
          <w:szCs w:val="20"/>
          <w:color w:val="1E1E1E"/>
        </w:rPr>
        <w:t>”, “True Nation</w:t>
      </w:r>
      <w:r>
        <w:rPr>
          <w:rFonts w:ascii="Arial" w:cs="Arial" w:eastAsia="Arial" w:hAnsi="Arial"/>
          <w:sz w:val="12"/>
          <w:szCs w:val="12"/>
          <w:color w:val="1E1E1E"/>
        </w:rPr>
        <w:t>®</w:t>
      </w:r>
      <w:r>
        <w:rPr>
          <w:rFonts w:ascii="Arial" w:cs="Arial" w:eastAsia="Arial" w:hAnsi="Arial"/>
          <w:sz w:val="20"/>
          <w:szCs w:val="20"/>
          <w:color w:val="1E1E1E"/>
        </w:rPr>
        <w:t>” and “Wear What You Want</w:t>
      </w:r>
      <w:r>
        <w:rPr>
          <w:sz w:val="1"/>
          <w:szCs w:val="1"/>
          <w:color w:val="auto"/>
        </w:rPr>
        <w:drawing>
          <wp:inline distT="0" distB="0" distL="0" distR="0">
            <wp:extent cx="87630" cy="7874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7630" cy="78740"/>
                    </a:xfrm>
                    <a:prstGeom prst="rect">
                      <a:avLst/>
                    </a:prstGeom>
                    <a:noFill/>
                    <a:ln>
                      <a:noFill/>
                    </a:ln>
                  </pic:spPr>
                </pic:pic>
              </a:graphicData>
            </a:graphic>
          </wp:inline>
        </w:drawing>
      </w:r>
      <w:r>
        <w:rPr>
          <w:rFonts w:ascii="Arial" w:cs="Arial" w:eastAsia="Arial" w:hAnsi="Arial"/>
          <w:sz w:val="22"/>
          <w:szCs w:val="22"/>
          <w:color w:val="1E1E1E"/>
        </w:rPr>
        <w:t>”</w:t>
      </w:r>
      <w:r>
        <w:rPr>
          <w:rFonts w:ascii="Arial" w:cs="Arial" w:eastAsia="Arial" w:hAnsi="Arial"/>
          <w:sz w:val="19"/>
          <w:szCs w:val="19"/>
          <w:color w:val="1E1E1E"/>
        </w:rPr>
        <w:t>. We also hold a U.S. patent for an</w:t>
      </w:r>
      <w:r>
        <w:rPr>
          <w:rFonts w:ascii="Arial" w:cs="Arial" w:eastAsia="Arial" w:hAnsi="Arial"/>
          <w:sz w:val="22"/>
          <w:szCs w:val="22"/>
          <w:color w:val="1E1E1E"/>
        </w:rPr>
        <w:t xml:space="preserve"> </w:t>
      </w:r>
      <w:r>
        <w:rPr>
          <w:rFonts w:ascii="Arial" w:cs="Arial" w:eastAsia="Arial" w:hAnsi="Arial"/>
          <w:sz w:val="19"/>
          <w:szCs w:val="19"/>
          <w:color w:val="1E1E1E"/>
        </w:rPr>
        <w:t>extendable collar system, which is marketed as “Neck-Relaxer</w:t>
      </w:r>
      <w:r>
        <w:rPr>
          <w:rFonts w:ascii="Arial" w:cs="Arial" w:eastAsia="Arial" w:hAnsi="Arial"/>
          <w:sz w:val="12"/>
          <w:szCs w:val="12"/>
          <w:color w:val="1E1E1E"/>
        </w:rPr>
        <w:t>®</w:t>
      </w:r>
      <w:r>
        <w:rPr>
          <w:rFonts w:ascii="Arial" w:cs="Arial" w:eastAsia="Arial" w:hAnsi="Arial"/>
          <w:sz w:val="19"/>
          <w:szCs w:val="19"/>
          <w:color w:val="1E1E1E"/>
        </w:rPr>
        <w:t>” and a U.S. copyright for a no-iron hang tag.</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1E1E1E"/>
        </w:rPr>
        <w:t>SUSTAINABILITY</w:t>
      </w:r>
    </w:p>
    <w:p>
      <w:pPr>
        <w:spacing w:after="0" w:line="119"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color w:val="1E1E1E"/>
        </w:rPr>
        <w:t>At DXL, we recognize the importance of addressing and prioritizing environmental, social and governance ("ESG") issues throughout our business, including recognizing and addressing specific climate-related risks. During fiscal 2021, we formed the Sustainability Committee, consisting of a cross-disciplinary team from corporate management that engaged with a third-party firm to assist us in the development of the Company's initial ESG strategy and initiatives. The committee reports to the senior management team of the Company and to the Nominating and Corporate Governance Committee of our Board of Directors, which is responsible for the oversight of our initiatives. We are working to develop short- and long-term ESG goals, as well as an action plan.</w:t>
      </w:r>
    </w:p>
    <w:p>
      <w:pPr>
        <w:spacing w:after="0" w:line="51" w:lineRule="exact"/>
        <w:rPr>
          <w:sz w:val="20"/>
          <w:szCs w:val="20"/>
          <w:color w:val="auto"/>
        </w:rPr>
      </w:pPr>
    </w:p>
    <w:p>
      <w:pPr>
        <w:spacing w:after="0" w:line="259" w:lineRule="auto"/>
        <w:rPr>
          <w:sz w:val="20"/>
          <w:szCs w:val="20"/>
          <w:color w:val="auto"/>
        </w:rPr>
      </w:pPr>
      <w:r>
        <w:rPr>
          <w:rFonts w:ascii="Arial" w:cs="Arial" w:eastAsia="Arial" w:hAnsi="Arial"/>
          <w:sz w:val="19"/>
          <w:szCs w:val="19"/>
          <w:color w:val="1E1E1E"/>
        </w:rPr>
        <w:t>Since 2019, we have been a member of a leading ethical trade service provider to increase our social, environmental and ethical sustainability, and we participate in their Ethical Trade Audit platform. Since fiscal 2020, we have retained LRQA, formerly Elevate, a global leader in supply chain assessment, and instituted 4-Pillar audits of our supply chain factories. Our intent is to increase our social, environmental and ethical sustainability by utilizing LRQA’s audit tool, "ERSA", which stands for ELEVATE Responsible Sourcing Assessment. ERSA 3.0 covers social compliance, human rights, environmental business ethics, and worker’s sentiment surveys. All audits can be found on their EIQ tool which is a web-based analytical system on which we participate in their Ethical Trade Audit platform. In fiscal 2023, we retained LRQA to also perform environment assessment audits. Through collaboration with LRQA and Bureau Veritas, we are pursuing what we call a “5-Pillar Audit”, which includes traceability of both raw materials and the equipment used to produce finished goods.</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1E1E1E"/>
        </w:rPr>
        <w:t>HUMAN CAPITAL MANAGEMENT</w:t>
      </w:r>
    </w:p>
    <w:p>
      <w:pPr>
        <w:spacing w:after="0" w:line="119" w:lineRule="exact"/>
        <w:rPr>
          <w:sz w:val="20"/>
          <w:szCs w:val="20"/>
          <w:color w:val="auto"/>
        </w:rPr>
      </w:pPr>
    </w:p>
    <w:p>
      <w:pPr>
        <w:spacing w:after="0" w:line="265" w:lineRule="auto"/>
        <w:rPr>
          <w:sz w:val="20"/>
          <w:szCs w:val="20"/>
          <w:color w:val="auto"/>
        </w:rPr>
      </w:pPr>
      <w:r>
        <w:rPr>
          <w:rFonts w:ascii="Arial" w:cs="Arial" w:eastAsia="Arial" w:hAnsi="Arial"/>
          <w:sz w:val="19"/>
          <w:szCs w:val="19"/>
          <w:color w:val="1E1E1E"/>
        </w:rPr>
        <w:t>As of February 3, 2024, we had 1,439 employees. We hire additional temporary employees during the peak holiday season. None of our employees is represented by any collective bargaining agreement. Our associates are our greatest asset and we are committed to providing them with a safe and healthy work environment. Each associate is required to sign a set of policies that include, among other policies, the code of ethics, anti-harassment and procedures for raising a complaint. Our policies also contain protection of human rights and prohibit, among other things, the use of child labor or forced, bonded or indentured labor.</w:t>
      </w:r>
    </w:p>
    <w:p>
      <w:pPr>
        <w:sectPr>
          <w:pgSz w:w="11880" w:h="15480" w:orient="portrait"/>
          <w:cols w:equalWidth="0" w:num="1">
            <w:col w:w="10800"/>
          </w:cols>
          <w:pgMar w:left="540" w:top="656" w:right="540" w:bottom="31"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10</w:t>
      </w:r>
    </w:p>
    <w:p>
      <w:pPr>
        <w:sectPr>
          <w:pgSz w:w="11880" w:h="15480" w:orient="portrait"/>
          <w:cols w:equalWidth="0" w:num="1">
            <w:col w:w="10800"/>
          </w:cols>
          <w:pgMar w:left="540" w:top="656" w:right="540" w:bottom="31" w:gutter="0" w:footer="0" w:header="0"/>
          <w:type w:val="continuous"/>
        </w:sectPr>
      </w:pPr>
    </w:p>
    <w:bookmarkStart w:id="12" w:name="page13"/>
    <w:bookmarkEnd w:id="12"/>
    <w:p>
      <w:pPr>
        <w:spacing w:after="0"/>
        <w:rPr>
          <w:sz w:val="20"/>
          <w:szCs w:val="20"/>
          <w:color w:val="auto"/>
        </w:rPr>
      </w:pPr>
      <w:r>
        <w:rPr>
          <w:rFonts w:ascii="Arial" w:cs="Arial" w:eastAsia="Arial" w:hAnsi="Arial"/>
          <w:sz w:val="20"/>
          <w:szCs w:val="20"/>
          <w:color w:val="1E1E1E"/>
        </w:rPr>
        <w:t>Inclusion and Diversity</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1E1E1E"/>
        </w:rPr>
        <w:t>We are committed to inclusivity, acceptance, and equality. Since 2017, we have had a diversity and inclusion initiative called “Normalizing the Brand.” The program brings awareness to unconscious bias and focuses on ensuring that the composition of our organization looks and feels like the communities where we live and serve. We have policies and training in place with respect to anti-discrimination and anti-harassment, among others, and provide our associates with access to an anonymous hot-line for reporting any concerns. Throughout the year, we require our associates to participate in educational videos. In 2021, we joined with CEO Action for Diversity &amp; Inclusion, a coalition of over 2,000 CEOs, pledging to advance diversity and inclusion in the workplace. By signing on to this commitment, we have pledged to take action to cultivate a workplace where diverse perspectives and experiences are welcomed and respected, and where employees feel encouraged to discuss diversity and inclusion without retribution.</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1E1E1E"/>
        </w:rPr>
        <w:t>Workplace, Culture and Career Development</w:t>
      </w:r>
    </w:p>
    <w:p>
      <w:pPr>
        <w:spacing w:after="0" w:line="117" w:lineRule="exact"/>
        <w:rPr>
          <w:sz w:val="20"/>
          <w:szCs w:val="20"/>
          <w:color w:val="auto"/>
        </w:rPr>
      </w:pPr>
    </w:p>
    <w:p>
      <w:pPr>
        <w:spacing w:after="0" w:line="244" w:lineRule="auto"/>
        <w:rPr>
          <w:sz w:val="20"/>
          <w:szCs w:val="20"/>
          <w:color w:val="auto"/>
        </w:rPr>
      </w:pPr>
      <w:r>
        <w:rPr>
          <w:rFonts w:ascii="Arial" w:cs="Arial" w:eastAsia="Arial" w:hAnsi="Arial"/>
          <w:sz w:val="20"/>
          <w:szCs w:val="20"/>
          <w:color w:val="1E1E1E"/>
        </w:rPr>
        <w:t>We are committed to providing our associates an environment where they have an opportunity to provide input on issues affecting the Company’s workforce and the employer-associate relationship. Periodically through the year, we encourage feedback and ideas from our associates through our annual engagement surveys and periodic pulse surveys. Perhaps most importantly, we promote professional and career development and mentorship programs. Since 2014, we have offered our associates the opportunity to participate in our DXLG Mentor Program, which pairs up to 20 mentees with mentors for one-year periods. The DXL Women’s Leadership Group was formed in fiscal 2016 with a mission of “Women supporting, educating and empowering each other @ DXLG”. It started as a pilot program and quickly expanded to now include over 40 female leaders, both people and process managers, in the corporate office and field. In addition, for the past five years, we have presented Leadercast, a platform for leadership development content available online.</w:t>
      </w:r>
    </w:p>
    <w:p>
      <w:pPr>
        <w:spacing w:after="0" w:line="84" w:lineRule="exact"/>
        <w:rPr>
          <w:sz w:val="20"/>
          <w:szCs w:val="20"/>
          <w:color w:val="auto"/>
        </w:rPr>
      </w:pPr>
    </w:p>
    <w:p>
      <w:pPr>
        <w:ind w:right="240"/>
        <w:spacing w:after="0" w:line="289" w:lineRule="auto"/>
        <w:rPr>
          <w:sz w:val="20"/>
          <w:szCs w:val="20"/>
          <w:color w:val="auto"/>
        </w:rPr>
      </w:pPr>
      <w:r>
        <w:rPr>
          <w:rFonts w:ascii="Arial" w:cs="Arial" w:eastAsia="Arial" w:hAnsi="Arial"/>
          <w:sz w:val="18"/>
          <w:szCs w:val="18"/>
          <w:color w:val="1E1E1E"/>
        </w:rPr>
        <w:t>Our Associate Engagement &amp; Development Committee organizes “Lunch, Learn, Lead” and “Coffee Talk” sessions throughout the year to provide our associates an opportunity to gain insight on a variety of topics, such as, DXL’s social responsibility initiatives, TED talks, Global Sourcing, Normalizing the Brand and Technology. We also joined with Marist College to provide our DXL associates and their immediate adult family members with a 25% discount toward on-line tuition costs.</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1E1E1E"/>
        </w:rPr>
        <w:t>Compensation and Benefits</w:t>
      </w:r>
    </w:p>
    <w:p>
      <w:pPr>
        <w:spacing w:after="0" w:line="117"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1E1E1E"/>
        </w:rPr>
        <w:t>Our compensation programs are designed to pay our associates competitively in the market, based on their skills, qualifications, role, and abilities. Our benefits are designed to help employees and their families stay healthy and help them balance their work and personal lives. These benefits include health and wellness, paid time off, employee assistance, competitive pay, career growth opportunities, paid volunteer time, product discounts, and a culture of recognition. The challenges created by the global pandemic brought mental health awareness to the forefront. We are continually looking for programs and opportunities to offer our associates to ensure physical and mental wellness. We also highlight mental health awareness as part of our “Lunch, Learn, Lead” series and provide other relevant content within our learning management system. We also provide an Employee Assistance Program (EAP) which provides 24/7 assistance to associates and their family members for a variety of issues such as stress, family, parenting, and finances.</w:t>
      </w:r>
    </w:p>
    <w:p>
      <w:pPr>
        <w:spacing w:after="0" w:line="87" w:lineRule="exact"/>
        <w:rPr>
          <w:sz w:val="20"/>
          <w:szCs w:val="20"/>
          <w:color w:val="auto"/>
        </w:rPr>
      </w:pPr>
    </w:p>
    <w:p>
      <w:pPr>
        <w:ind w:right="500"/>
        <w:spacing w:after="0" w:line="276" w:lineRule="auto"/>
        <w:rPr>
          <w:sz w:val="20"/>
          <w:szCs w:val="20"/>
          <w:color w:val="auto"/>
        </w:rPr>
      </w:pPr>
      <w:r>
        <w:rPr>
          <w:rFonts w:ascii="Arial" w:cs="Arial" w:eastAsia="Arial" w:hAnsi="Arial"/>
          <w:sz w:val="20"/>
          <w:szCs w:val="20"/>
          <w:color w:val="1E1E1E"/>
        </w:rPr>
        <w:t>In October 2022, we added a new voluntary benefit, DailyPay, which allows our associates to access their money as they earn it, instead of having to wait until their payday to access their funds.</w:t>
      </w:r>
    </w:p>
    <w:p>
      <w:pPr>
        <w:spacing w:after="0" w:line="49" w:lineRule="exact"/>
        <w:rPr>
          <w:sz w:val="20"/>
          <w:szCs w:val="20"/>
          <w:color w:val="auto"/>
        </w:rPr>
      </w:pPr>
    </w:p>
    <w:p>
      <w:pPr>
        <w:ind w:right="100"/>
        <w:spacing w:after="0" w:line="290" w:lineRule="auto"/>
        <w:rPr>
          <w:sz w:val="20"/>
          <w:szCs w:val="20"/>
          <w:color w:val="auto"/>
        </w:rPr>
      </w:pPr>
      <w:r>
        <w:rPr>
          <w:rFonts w:ascii="Arial" w:cs="Arial" w:eastAsia="Arial" w:hAnsi="Arial"/>
          <w:sz w:val="18"/>
          <w:szCs w:val="18"/>
          <w:color w:val="1E1E1E"/>
        </w:rPr>
        <w:t>For more information regarding human capital, our programs, our health and safety as well as diversity information regarding our board, senior management and associates, such information can be found on our corporate website at https://investor.dxl.com. The information included in, referenced to, or otherwise accessible through, our website is not incorporated by reference in, or considered to be part of, this document or any document unless expressly incorporated by reference therein.</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1E1E1E"/>
        </w:rPr>
        <w:t>AVAILABLE INFORMATION</w:t>
      </w:r>
    </w:p>
    <w:p>
      <w:pPr>
        <w:spacing w:after="0" w:line="119"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1E1E1E"/>
        </w:rPr>
        <w:t xml:space="preserve">Our corporate website is </w:t>
      </w:r>
      <w:r>
        <w:rPr>
          <w:rFonts w:ascii="Arial" w:cs="Arial" w:eastAsia="Arial" w:hAnsi="Arial"/>
          <w:sz w:val="19"/>
          <w:szCs w:val="19"/>
          <w:u w:val="single" w:color="auto"/>
          <w:color w:val="1E1E1E"/>
        </w:rPr>
        <w:t>www.dxl.com.</w:t>
      </w:r>
      <w:r>
        <w:rPr>
          <w:rFonts w:ascii="Arial" w:cs="Arial" w:eastAsia="Arial" w:hAnsi="Arial"/>
          <w:sz w:val="19"/>
          <w:szCs w:val="19"/>
          <w:color w:val="1E1E1E"/>
        </w:rPr>
        <w:t xml:space="preserve"> Our investor relations site is </w:t>
      </w:r>
      <w:r>
        <w:rPr>
          <w:rFonts w:ascii="Arial" w:cs="Arial" w:eastAsia="Arial" w:hAnsi="Arial"/>
          <w:sz w:val="19"/>
          <w:szCs w:val="19"/>
          <w:u w:val="single" w:color="auto"/>
          <w:color w:val="1E1E1E"/>
        </w:rPr>
        <w:t>http://investor.dxl.com.</w:t>
      </w:r>
      <w:r>
        <w:rPr>
          <w:rFonts w:ascii="Arial" w:cs="Arial" w:eastAsia="Arial" w:hAnsi="Arial"/>
          <w:sz w:val="19"/>
          <w:szCs w:val="19"/>
          <w:color w:val="1E1E1E"/>
        </w:rPr>
        <w:t xml:space="preserve"> We make available through our website, free of charge, our Annual Reports on Form 10-K, Quarterly Reports on Form 10-Q, Current Reports on Form 8-K and all amendments to such reports filed or furnished pursuant to Section 13(a) of the Securities Exchange Act of 1934, as amended, as soon as reasonably practicable after we have electronically filed such material with, or furnished such materials to, the Securities and Exchange Commission. The SEC maintains an internet site that contains reports, proxy and information statements, and other information for issuers that file electronically with the SEC at </w:t>
      </w:r>
      <w:r>
        <w:rPr>
          <w:rFonts w:ascii="Arial" w:cs="Arial" w:eastAsia="Arial" w:hAnsi="Arial"/>
          <w:sz w:val="19"/>
          <w:szCs w:val="19"/>
          <w:u w:val="single" w:color="auto"/>
          <w:color w:val="1E1E1E"/>
        </w:rPr>
        <w:t>http://www.sec.gov</w:t>
      </w:r>
      <w:r>
        <w:rPr>
          <w:rFonts w:ascii="Arial" w:cs="Arial" w:eastAsia="Arial" w:hAnsi="Arial"/>
          <w:sz w:val="19"/>
          <w:szCs w:val="19"/>
          <w:color w:val="1E1E1E"/>
        </w:rPr>
        <w:t>.</w:t>
      </w:r>
    </w:p>
    <w:p>
      <w:pPr>
        <w:sectPr>
          <w:pgSz w:w="11880" w:h="15480" w:orient="portrait"/>
          <w:cols w:equalWidth="0" w:num="1">
            <w:col w:w="10780"/>
          </w:cols>
          <w:pgMar w:left="540" w:top="660" w:right="56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11</w:t>
      </w:r>
    </w:p>
    <w:p>
      <w:pPr>
        <w:sectPr>
          <w:pgSz w:w="11880" w:h="15480" w:orient="portrait"/>
          <w:cols w:equalWidth="0" w:num="1">
            <w:col w:w="10780"/>
          </w:cols>
          <w:pgMar w:left="540" w:top="660" w:right="560" w:bottom="31"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color w:val="1E1E1E"/>
        </w:rPr>
        <w:t>Item 1A. Risk Factors</w:t>
      </w:r>
    </w:p>
    <w:p>
      <w:pPr>
        <w:spacing w:after="0" w:line="121" w:lineRule="exact"/>
        <w:rPr>
          <w:sz w:val="20"/>
          <w:szCs w:val="20"/>
          <w:color w:val="auto"/>
        </w:rPr>
      </w:pPr>
    </w:p>
    <w:p>
      <w:pPr>
        <w:ind w:right="220"/>
        <w:spacing w:after="0" w:line="249" w:lineRule="auto"/>
        <w:rPr>
          <w:sz w:val="20"/>
          <w:szCs w:val="20"/>
          <w:color w:val="auto"/>
        </w:rPr>
      </w:pPr>
      <w:r>
        <w:rPr>
          <w:rFonts w:ascii="Arial" w:cs="Arial" w:eastAsia="Arial" w:hAnsi="Arial"/>
          <w:sz w:val="20"/>
          <w:szCs w:val="20"/>
          <w:color w:val="1E1E1E"/>
        </w:rPr>
        <w:t>The following risk factors are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time-to-time. Other unknown or unpredictable factors also could have material adverse effects on our future results, performance or achievements. We cannot assure you that our projected results or events will be achieved or will occur.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Strategic Risks That May Affect Our Business</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We may not be successful in executing our long-term strategy and growing our market share.</w:t>
      </w:r>
    </w:p>
    <w:p>
      <w:pPr>
        <w:spacing w:after="0" w:line="116"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1E1E1E"/>
        </w:rPr>
        <w:t>For us to be successful in the future and maintain growth, we must be able to continue increasing our share of the big &amp; tall men’s apparel market. Our growth is dependent on our ability to continue to build upon our DXL brand, maintain our existing customers and attract new customers. We have developed and are implementing long-term strategic initiatives to grow our business. Our failure to execute our strategy successfully could prevent us from growing our market share, which could have a material adverse effect on our results of operations, cash flows and financial position, including if we were unable to:</w:t>
      </w:r>
    </w:p>
    <w:p>
      <w:pPr>
        <w:spacing w:after="0" w:line="306" w:lineRule="exact"/>
        <w:rPr>
          <w:sz w:val="20"/>
          <w:szCs w:val="20"/>
          <w:color w:val="auto"/>
        </w:rPr>
      </w:pPr>
    </w:p>
    <w:p>
      <w:pPr>
        <w:ind w:left="740"/>
        <w:spacing w:after="0"/>
        <w:rPr>
          <w:sz w:val="20"/>
          <w:szCs w:val="20"/>
          <w:color w:val="auto"/>
        </w:rPr>
      </w:pPr>
      <w:r>
        <w:rPr>
          <w:rFonts w:ascii="Arial" w:cs="Arial" w:eastAsia="Arial" w:hAnsi="Arial"/>
          <w:sz w:val="20"/>
          <w:szCs w:val="20"/>
          <w:color w:val="1E1E1E"/>
        </w:rPr>
        <w:t>grow our store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-85725</wp:posOffset>
            </wp:positionV>
            <wp:extent cx="71120" cy="711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40" w:right="140"/>
        <w:spacing w:after="0" w:line="279" w:lineRule="auto"/>
        <w:rPr>
          <w:sz w:val="20"/>
          <w:szCs w:val="20"/>
          <w:color w:val="auto"/>
        </w:rPr>
      </w:pPr>
      <w:r>
        <w:rPr>
          <w:rFonts w:ascii="Arial" w:cs="Arial" w:eastAsia="Arial" w:hAnsi="Arial"/>
          <w:sz w:val="20"/>
          <w:szCs w:val="20"/>
          <w:color w:val="1E1E1E"/>
        </w:rPr>
        <w:t>develop an effective modern marketing program to build brand awareness as well as increase store and online traffic, attract customers across all channels, and grow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-279400</wp:posOffset>
            </wp:positionV>
            <wp:extent cx="71120" cy="711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41" w:lineRule="exact"/>
        <w:rPr>
          <w:sz w:val="20"/>
          <w:szCs w:val="20"/>
          <w:color w:val="auto"/>
        </w:rPr>
      </w:pPr>
    </w:p>
    <w:p>
      <w:pPr>
        <w:ind w:left="740" w:right="3180"/>
        <w:spacing w:after="0" w:line="380" w:lineRule="auto"/>
        <w:rPr>
          <w:sz w:val="20"/>
          <w:szCs w:val="20"/>
          <w:color w:val="auto"/>
        </w:rPr>
      </w:pPr>
      <w:r>
        <w:rPr>
          <w:rFonts w:ascii="Arial" w:cs="Arial" w:eastAsia="Arial" w:hAnsi="Arial"/>
          <w:sz w:val="20"/>
          <w:szCs w:val="20"/>
          <w:color w:val="1E1E1E"/>
        </w:rPr>
        <w:t>build successful collaborations and alliances, similar to our alliance with UNTUCKit; grow our DXL digital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-402590</wp:posOffset>
            </wp:positionV>
            <wp:extent cx="71120" cy="711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304165</wp:posOffset>
            </wp:positionH>
            <wp:positionV relativeFrom="paragraph">
              <wp:posOffset>-170815</wp:posOffset>
            </wp:positionV>
            <wp:extent cx="71120" cy="711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740"/>
        <w:spacing w:after="0"/>
        <w:rPr>
          <w:sz w:val="20"/>
          <w:szCs w:val="20"/>
          <w:color w:val="auto"/>
        </w:rPr>
      </w:pPr>
      <w:r>
        <w:rPr>
          <w:rFonts w:ascii="Arial" w:cs="Arial" w:eastAsia="Arial" w:hAnsi="Arial"/>
          <w:sz w:val="20"/>
          <w:szCs w:val="20"/>
          <w:color w:val="1E1E1E"/>
        </w:rPr>
        <w:t>launch an upgraded, state-of-the-art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-85725</wp:posOffset>
            </wp:positionV>
            <wp:extent cx="71120" cy="711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740"/>
        <w:spacing w:after="0" w:line="279" w:lineRule="auto"/>
        <w:rPr>
          <w:sz w:val="20"/>
          <w:szCs w:val="20"/>
          <w:color w:val="auto"/>
        </w:rPr>
      </w:pPr>
      <w:r>
        <w:rPr>
          <w:rFonts w:ascii="Arial" w:cs="Arial" w:eastAsia="Arial" w:hAnsi="Arial"/>
          <w:sz w:val="20"/>
          <w:szCs w:val="20"/>
          <w:color w:val="1E1E1E"/>
        </w:rPr>
        <w:t>predict and respond to fashion trends, while offering our customers a broad selection of merchandise in an extended selection of sizes;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-279400</wp:posOffset>
            </wp:positionV>
            <wp:extent cx="71120" cy="711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40" w:lineRule="exact"/>
        <w:rPr>
          <w:sz w:val="20"/>
          <w:szCs w:val="20"/>
          <w:color w:val="auto"/>
        </w:rPr>
      </w:pPr>
    </w:p>
    <w:p>
      <w:pPr>
        <w:ind w:left="740"/>
        <w:spacing w:after="0"/>
        <w:rPr>
          <w:sz w:val="20"/>
          <w:szCs w:val="20"/>
          <w:color w:val="auto"/>
        </w:rPr>
      </w:pPr>
      <w:r>
        <w:rPr>
          <w:rFonts w:ascii="Arial" w:cs="Arial" w:eastAsia="Arial" w:hAnsi="Arial"/>
          <w:sz w:val="20"/>
          <w:szCs w:val="20"/>
          <w:color w:val="1E1E1E"/>
        </w:rPr>
        <w:t>grow our existing customer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-85725</wp:posOffset>
            </wp:positionV>
            <wp:extent cx="71120" cy="711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40"/>
        <w:spacing w:after="0"/>
        <w:rPr>
          <w:sz w:val="20"/>
          <w:szCs w:val="20"/>
          <w:color w:val="auto"/>
        </w:rPr>
      </w:pPr>
      <w:r>
        <w:rPr>
          <w:rFonts w:ascii="Arial" w:cs="Arial" w:eastAsia="Arial" w:hAnsi="Arial"/>
          <w:sz w:val="20"/>
          <w:szCs w:val="20"/>
          <w:color w:val="1E1E1E"/>
        </w:rPr>
        <w:t>hire qualified store management and store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-85725</wp:posOffset>
            </wp:positionV>
            <wp:extent cx="71120" cy="711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740" w:right="2400"/>
        <w:spacing w:after="0" w:line="416" w:lineRule="auto"/>
        <w:rPr>
          <w:sz w:val="20"/>
          <w:szCs w:val="20"/>
          <w:color w:val="auto"/>
        </w:rPr>
      </w:pPr>
      <w:r>
        <w:rPr>
          <w:rFonts w:ascii="Arial" w:cs="Arial" w:eastAsia="Arial" w:hAnsi="Arial"/>
          <w:sz w:val="20"/>
          <w:szCs w:val="20"/>
          <w:color w:val="1E1E1E"/>
        </w:rPr>
        <w:t>grow and then sustain the number of transactions, units-per-transaction and share of wallet; and operate at appropriate operating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-446405</wp:posOffset>
            </wp:positionV>
            <wp:extent cx="71120" cy="711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304165</wp:posOffset>
            </wp:positionH>
            <wp:positionV relativeFrom="paragraph">
              <wp:posOffset>-215900</wp:posOffset>
            </wp:positionV>
            <wp:extent cx="71120" cy="711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right="300"/>
        <w:spacing w:after="0" w:line="257" w:lineRule="auto"/>
        <w:rPr>
          <w:sz w:val="20"/>
          <w:szCs w:val="20"/>
          <w:color w:val="auto"/>
        </w:rPr>
      </w:pPr>
      <w:r>
        <w:rPr>
          <w:rFonts w:ascii="Arial" w:cs="Arial" w:eastAsia="Arial" w:hAnsi="Arial"/>
          <w:sz w:val="20"/>
          <w:szCs w:val="20"/>
          <w:u w:val="single" w:color="auto"/>
          <w:color w:val="1E1E1E"/>
        </w:rPr>
        <w:t>Our marketing programs and efforts to drive traffic and convert that traffic into an increased loyal customer base are critical to achieving market share growth within the big &amp; tall men’s apparel market and may not be successful.</w:t>
      </w:r>
    </w:p>
    <w:p>
      <w:pPr>
        <w:spacing w:after="0" w:line="65" w:lineRule="exact"/>
        <w:rPr>
          <w:sz w:val="20"/>
          <w:szCs w:val="20"/>
          <w:color w:val="auto"/>
        </w:rPr>
      </w:pPr>
    </w:p>
    <w:p>
      <w:pPr>
        <w:spacing w:after="0" w:line="278" w:lineRule="auto"/>
        <w:rPr>
          <w:sz w:val="20"/>
          <w:szCs w:val="20"/>
          <w:color w:val="auto"/>
        </w:rPr>
      </w:pPr>
      <w:r>
        <w:rPr>
          <w:rFonts w:ascii="Arial" w:cs="Arial" w:eastAsia="Arial" w:hAnsi="Arial"/>
          <w:sz w:val="18"/>
          <w:szCs w:val="18"/>
          <w:color w:val="1E1E1E"/>
        </w:rPr>
        <w:t>Our ability to increase our share of the big &amp; tall men’s apparel market is largely dependent on effectively marketing our brand and merchandise to all of our target customers in several diverse market segments so that they will become loyal shoppers who spend a greater portion of their wallets on our product offerings. In order to grow our market share, we depend on the success of our marketing and advertising in a variety of ways, including streaming media advertising, advertising events, our loyalty program, direct mail, and digital marketing, including social media and customer prospecting. Our business is directly impacted by the success of these efforts and those of our vendors. Future marketing efforts by us, our vendors or our other licensors, may be more costly than prior years and, if not successful, may negatively affect our ability to meet our sales goals and gain market share.</w:t>
      </w:r>
    </w:p>
    <w:p>
      <w:pPr>
        <w:spacing w:after="0" w:line="50" w:lineRule="exact"/>
        <w:rPr>
          <w:sz w:val="20"/>
          <w:szCs w:val="20"/>
          <w:color w:val="auto"/>
        </w:rPr>
      </w:pPr>
    </w:p>
    <w:p>
      <w:pPr>
        <w:spacing w:after="0" w:line="250" w:lineRule="auto"/>
        <w:rPr>
          <w:sz w:val="20"/>
          <w:szCs w:val="20"/>
          <w:color w:val="auto"/>
        </w:rPr>
      </w:pPr>
      <w:r>
        <w:rPr>
          <w:rFonts w:ascii="Arial" w:cs="Arial" w:eastAsia="Arial" w:hAnsi="Arial"/>
          <w:sz w:val="20"/>
          <w:szCs w:val="20"/>
          <w:color w:val="1E1E1E"/>
        </w:rPr>
        <w:t>As part of our long-term strategy, we are planning to increase the amount that we expect to spend annually on our marketing efforts over the next few fiscal years, with marketing costs for fiscal 2024 expected to increase to 7.0%-7.5% of sales. There can be no assurance that our long-term strategy and the increased investment in marketing will grow our business or build brand awareness. If our marketing campaigns are unable to drive traffic to our stores and website, the marketing costs incurred will have a negative impact on the Company's profitability.</w:t>
      </w:r>
    </w:p>
    <w:p>
      <w:pPr>
        <w:spacing w:after="0" w:line="299"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u w:val="single" w:color="auto"/>
          <w:color w:val="1E1E1E"/>
        </w:rPr>
        <w:t>Our direct business is a significant component of our growth strategy, and the failure to develop our digital infrastructure could disrupt our business and negatively impact our sales.</w:t>
      </w:r>
    </w:p>
    <w:p>
      <w:pPr>
        <w:spacing w:after="0" w:line="59" w:lineRule="exact"/>
        <w:rPr>
          <w:sz w:val="20"/>
          <w:szCs w:val="20"/>
          <w:color w:val="auto"/>
        </w:rPr>
      </w:pPr>
    </w:p>
    <w:p>
      <w:pPr>
        <w:ind w:right="420"/>
        <w:spacing w:after="0" w:line="336" w:lineRule="auto"/>
        <w:rPr>
          <w:sz w:val="20"/>
          <w:szCs w:val="20"/>
          <w:color w:val="auto"/>
        </w:rPr>
      </w:pPr>
      <w:r>
        <w:rPr>
          <w:rFonts w:ascii="Arial" w:cs="Arial" w:eastAsia="Arial" w:hAnsi="Arial"/>
          <w:sz w:val="18"/>
          <w:szCs w:val="18"/>
          <w:color w:val="1E1E1E"/>
        </w:rPr>
        <w:t>We have made significant investments in capital spending and labor to develop our direct channels and increased investments in digital marketing to attract new customers. The growth of our overall sales is dependent on customers’ continuing to expand their</w:t>
      </w:r>
    </w:p>
    <w:p>
      <w:pPr>
        <w:sectPr>
          <w:pgSz w:w="11880" w:h="15480" w:orient="portrait"/>
          <w:cols w:equalWidth="0" w:num="1">
            <w:col w:w="10780"/>
          </w:cols>
          <w:pgMar w:left="540" w:top="639" w:right="560" w:bottom="31"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12</w:t>
      </w:r>
    </w:p>
    <w:p>
      <w:pPr>
        <w:sectPr>
          <w:pgSz w:w="11880" w:h="15480" w:orient="portrait"/>
          <w:cols w:equalWidth="0" w:num="1">
            <w:col w:w="10780"/>
          </w:cols>
          <w:pgMar w:left="540" w:top="639" w:right="560" w:bottom="31" w:gutter="0" w:footer="0" w:header="0"/>
          <w:type w:val="continuous"/>
        </w:sectPr>
      </w:pPr>
    </w:p>
    <w:bookmarkStart w:id="14" w:name="page15"/>
    <w:bookmarkEnd w:id="14"/>
    <w:p>
      <w:pPr>
        <w:ind w:right="820"/>
        <w:spacing w:after="0" w:line="279" w:lineRule="auto"/>
        <w:rPr>
          <w:sz w:val="20"/>
          <w:szCs w:val="20"/>
          <w:color w:val="auto"/>
        </w:rPr>
      </w:pPr>
      <w:r>
        <w:rPr>
          <w:rFonts w:ascii="Arial" w:cs="Arial" w:eastAsia="Arial" w:hAnsi="Arial"/>
          <w:sz w:val="20"/>
          <w:szCs w:val="20"/>
          <w:color w:val="1E1E1E"/>
        </w:rPr>
        <w:t>online purchases in addition to in-store purchases. While it is our objective to continue to grow this business, there can be no assurance that this growth will continue or be sustainable.</w:t>
      </w:r>
    </w:p>
    <w:p>
      <w:pPr>
        <w:spacing w:after="0" w:line="46"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1E1E1E"/>
        </w:rPr>
        <w:t>Our success in growing our direct business will depend in part upon our development of an increasingly sophisticated e-commerce experience and infrastructure. Increasing sophistication requires that we provide additional website features, functionality and messaging in order to be competitive in the marketplace and maintain market share. We continually update our website features, but we cannot predict future trends and required functionality or our adoption rate for customer preferences. In addition, we are vulnerable to additional risks and uncertainties associated with e-commerce sales, including security breaches, cyber-attacks, consumer privacy concerns, changes in state tax regimes and government regulation of internet activities. Our failure to respond to these risks and uncertainties appropriately could reduce our direct sales, increase our costs and diminish our growth prospects, which could negatively affect our operating results.</w:t>
      </w:r>
    </w:p>
    <w:p>
      <w:pPr>
        <w:spacing w:after="0" w:line="309" w:lineRule="exact"/>
        <w:rPr>
          <w:sz w:val="20"/>
          <w:szCs w:val="20"/>
          <w:color w:val="auto"/>
        </w:rPr>
      </w:pPr>
    </w:p>
    <w:p>
      <w:pPr>
        <w:ind w:right="20"/>
        <w:spacing w:after="0" w:line="275" w:lineRule="auto"/>
        <w:rPr>
          <w:sz w:val="20"/>
          <w:szCs w:val="20"/>
          <w:color w:val="auto"/>
        </w:rPr>
      </w:pPr>
      <w:r>
        <w:rPr>
          <w:rFonts w:ascii="Arial" w:cs="Arial" w:eastAsia="Arial" w:hAnsi="Arial"/>
          <w:sz w:val="20"/>
          <w:szCs w:val="20"/>
          <w:u w:val="single" w:color="auto"/>
          <w:color w:val="1E1E1E"/>
        </w:rPr>
        <w:t>If we are unable to develop and implement our integrated commerce initiatives successfully, our market share and financial results could be adversely affected.</w:t>
      </w:r>
    </w:p>
    <w:p>
      <w:pPr>
        <w:spacing w:after="0" w:line="50"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color w:val="1E1E1E"/>
        </w:rPr>
        <w:t>Our customer’s shopping behavior continues to evolve across multiple channels and we are working to meet his needs, with real time store inventory visibility, our mobile app, and BOPIS (buy online pick-up in stores). We consider ourselves a customer-centric integrated commerce retailer, and we continue to make ongoing investments in our information technology systems to support these evolving capabilities.</w:t>
      </w:r>
    </w:p>
    <w:p>
      <w:pPr>
        <w:spacing w:after="0" w:line="189" w:lineRule="exact"/>
        <w:rPr>
          <w:sz w:val="20"/>
          <w:szCs w:val="20"/>
          <w:color w:val="auto"/>
        </w:rPr>
      </w:pPr>
    </w:p>
    <w:p>
      <w:pPr>
        <w:ind w:right="180"/>
        <w:spacing w:after="0" w:line="253" w:lineRule="auto"/>
        <w:rPr>
          <w:sz w:val="20"/>
          <w:szCs w:val="20"/>
          <w:color w:val="auto"/>
        </w:rPr>
      </w:pPr>
      <w:r>
        <w:rPr>
          <w:rFonts w:ascii="Arial" w:cs="Arial" w:eastAsia="Arial" w:hAnsi="Arial"/>
          <w:sz w:val="20"/>
          <w:szCs w:val="20"/>
          <w:color w:val="1E1E1E"/>
        </w:rPr>
        <w:t>Integrated commerce is rapidly evolving and our success depends on our ability to anticipate and implement innovations in sales and marketing technology and logistics in order to appeal to existing and potential customers who increasingly rely on multiple channels to meet their shopping needs. In addition, our competitors are also investing in these initiatives, some of which may be more successful than our initiatives.</w:t>
      </w:r>
    </w:p>
    <w:p>
      <w:pPr>
        <w:spacing w:after="0" w:line="192" w:lineRule="exact"/>
        <w:rPr>
          <w:sz w:val="20"/>
          <w:szCs w:val="20"/>
          <w:color w:val="auto"/>
        </w:rPr>
      </w:pPr>
    </w:p>
    <w:p>
      <w:pPr>
        <w:ind w:right="200"/>
        <w:spacing w:after="0" w:line="306" w:lineRule="auto"/>
        <w:rPr>
          <w:sz w:val="20"/>
          <w:szCs w:val="20"/>
          <w:color w:val="auto"/>
        </w:rPr>
      </w:pPr>
      <w:r>
        <w:rPr>
          <w:rFonts w:ascii="Arial" w:cs="Arial" w:eastAsia="Arial" w:hAnsi="Arial"/>
          <w:sz w:val="19"/>
          <w:szCs w:val="19"/>
          <w:color w:val="1E1E1E"/>
        </w:rPr>
        <w:t>If the investment in our integrated commerce initiatives is not successful, our systems are unable to support such initiatives, or if our competitors are more successful, our financial results and our market penetration may be adversely affected.</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Our business may be adversely affected if we are unable to manage and grow our store portfolio successfully.</w:t>
      </w:r>
    </w:p>
    <w:p>
      <w:pPr>
        <w:spacing w:after="0" w:line="229" w:lineRule="exact"/>
        <w:rPr>
          <w:sz w:val="20"/>
          <w:szCs w:val="20"/>
          <w:color w:val="auto"/>
        </w:rPr>
      </w:pPr>
    </w:p>
    <w:p>
      <w:pPr>
        <w:ind w:right="100"/>
        <w:spacing w:after="0" w:line="249" w:lineRule="auto"/>
        <w:rPr>
          <w:sz w:val="20"/>
          <w:szCs w:val="20"/>
          <w:color w:val="auto"/>
        </w:rPr>
      </w:pPr>
      <w:r>
        <w:rPr>
          <w:rFonts w:ascii="Arial" w:cs="Arial" w:eastAsia="Arial" w:hAnsi="Arial"/>
          <w:sz w:val="20"/>
          <w:szCs w:val="20"/>
          <w:color w:val="1E1E1E"/>
        </w:rPr>
        <w:t>We lease all of our store locations. Renewing and renegotiating these leases at acceptable lease terms is critical to the profitability of our stores. While we worked closely with our landlords to renegotiate and restructure a majority of our lease portfolio from the onset of the pandemic, there still may be certain stores that may not be profitable and we may not be able to renew existing agreements. We will continue to evaluate our store portfolio to optimize store profitability. As part of that evaluation, we may choose not to renew certain lease locations.</w:t>
      </w:r>
    </w:p>
    <w:p>
      <w:pPr>
        <w:spacing w:after="0" w:line="187" w:lineRule="exact"/>
        <w:rPr>
          <w:sz w:val="20"/>
          <w:szCs w:val="20"/>
          <w:color w:val="auto"/>
        </w:rPr>
      </w:pPr>
    </w:p>
    <w:p>
      <w:pPr>
        <w:ind w:right="140"/>
        <w:spacing w:after="0" w:line="249" w:lineRule="auto"/>
        <w:rPr>
          <w:sz w:val="20"/>
          <w:szCs w:val="20"/>
          <w:color w:val="auto"/>
        </w:rPr>
      </w:pPr>
      <w:r>
        <w:rPr>
          <w:rFonts w:ascii="Arial" w:cs="Arial" w:eastAsia="Arial" w:hAnsi="Arial"/>
          <w:sz w:val="20"/>
          <w:szCs w:val="20"/>
          <w:color w:val="1E1E1E"/>
        </w:rPr>
        <w:t>One of our long-term strategic initiatives is to grow our store portfolio over the next several years and we have identified multiple white space opportunities in new or underpenetrated markets. We are also actively reviewing opportunities to relocate or convert the majority of our remaining Casual Male XL stores to DXL. If we are unable to find locations or obtain favorable lease terms, we may not be able to grow or maintain our current store base and the lack of store growth could negatively affect our ability to growth revenue and market share.</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Operational Risks That May Affect Our Business</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The loss of, or disruption in, our centralized distribution center could negatively impact our business and operations.</w:t>
      </w:r>
    </w:p>
    <w:p>
      <w:pPr>
        <w:spacing w:after="0" w:line="119" w:lineRule="exact"/>
        <w:rPr>
          <w:sz w:val="20"/>
          <w:szCs w:val="20"/>
          <w:color w:val="auto"/>
        </w:rPr>
      </w:pPr>
    </w:p>
    <w:p>
      <w:pPr>
        <w:spacing w:after="0" w:line="278" w:lineRule="auto"/>
        <w:rPr>
          <w:sz w:val="20"/>
          <w:szCs w:val="20"/>
          <w:color w:val="auto"/>
        </w:rPr>
      </w:pPr>
      <w:r>
        <w:rPr>
          <w:rFonts w:ascii="Arial" w:cs="Arial" w:eastAsia="Arial" w:hAnsi="Arial"/>
          <w:sz w:val="18"/>
          <w:szCs w:val="18"/>
          <w:color w:val="1E1E1E"/>
        </w:rPr>
        <w:t>The majority of our merchandise for our stores and e-commerce operations is received into our centralized distribution center in Canton, Massachusetts, where it is then processed, sorted and shipped to our stores or directly to our customers.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well-positioned to support our strategic plans, events beyond our control, such as disruptions in operations due to fire or other catastrophic events, employee matters or shipping problems, labor shortages, severe weather, the impact of climate change or disruptions in our distribution center, could result in delays in the delivery of merchandise to our stores or directly to our customers.</w:t>
      </w:r>
    </w:p>
    <w:p>
      <w:pPr>
        <w:spacing w:after="0" w:line="172" w:lineRule="exact"/>
        <w:rPr>
          <w:sz w:val="20"/>
          <w:szCs w:val="20"/>
          <w:color w:val="auto"/>
        </w:rPr>
      </w:pPr>
    </w:p>
    <w:p>
      <w:pPr>
        <w:ind w:right="140"/>
        <w:spacing w:after="0" w:line="300" w:lineRule="auto"/>
        <w:rPr>
          <w:sz w:val="20"/>
          <w:szCs w:val="20"/>
          <w:color w:val="auto"/>
        </w:rPr>
      </w:pPr>
      <w:r>
        <w:rPr>
          <w:rFonts w:ascii="Arial" w:cs="Arial" w:eastAsia="Arial" w:hAnsi="Arial"/>
          <w:sz w:val="18"/>
          <w:szCs w:val="18"/>
          <w:color w:val="1E1E1E"/>
        </w:rPr>
        <w:t>With all of our management information systems centralized in our corporate headquarters, any disruption or destruction of our system infrastructure could materially affect our business. This type of disaster would be mitigated by our offsite storage and disaster recovery plans, but we would still incur business interruption that may impact our business for a significant period of time.</w:t>
      </w:r>
    </w:p>
    <w:p>
      <w:pPr>
        <w:sectPr>
          <w:pgSz w:w="11880" w:h="15480" w:orient="portrait"/>
          <w:cols w:equalWidth="0" w:num="1">
            <w:col w:w="10800"/>
          </w:cols>
          <w:pgMar w:left="540" w:top="656"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13</w:t>
      </w:r>
    </w:p>
    <w:p>
      <w:pPr>
        <w:sectPr>
          <w:pgSz w:w="11880" w:h="15480" w:orient="portrait"/>
          <w:cols w:equalWidth="0" w:num="1">
            <w:col w:w="10800"/>
          </w:cols>
          <w:pgMar w:left="540" w:top="656" w:right="540" w:bottom="31" w:gutter="0" w:footer="0" w:header="0"/>
          <w:type w:val="continuous"/>
        </w:sectPr>
      </w:pPr>
    </w:p>
    <w:bookmarkStart w:id="15" w:name="page16"/>
    <w:bookmarkEnd w:id="15"/>
    <w:p>
      <w:pPr>
        <w:spacing w:after="0" w:line="259" w:lineRule="auto"/>
        <w:rPr>
          <w:sz w:val="20"/>
          <w:szCs w:val="20"/>
          <w:color w:val="auto"/>
        </w:rPr>
      </w:pPr>
      <w:r>
        <w:rPr>
          <w:rFonts w:ascii="Arial" w:cs="Arial" w:eastAsia="Arial" w:hAnsi="Arial"/>
          <w:sz w:val="20"/>
          <w:szCs w:val="20"/>
          <w:color w:val="1E1E1E"/>
        </w:rPr>
        <w:t>Although we maintain business interruption and property insurance, we cannot be sure that our insurance will be sufficient, or that insurance proceeds will be timely paid to us, in the event our distribution center is shut down for any reason or if we incur higher costs and longer lead times in connection with a disruption relating to our distribution center.</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Our business may be adversely affected due to disruptions in the global supply chain.</w:t>
      </w:r>
    </w:p>
    <w:p>
      <w:pPr>
        <w:spacing w:after="0" w:line="119" w:lineRule="exact"/>
        <w:rPr>
          <w:sz w:val="20"/>
          <w:szCs w:val="20"/>
          <w:color w:val="auto"/>
        </w:rPr>
      </w:pPr>
    </w:p>
    <w:p>
      <w:pPr>
        <w:spacing w:after="0" w:line="274" w:lineRule="auto"/>
        <w:rPr>
          <w:sz w:val="20"/>
          <w:szCs w:val="20"/>
          <w:color w:val="auto"/>
        </w:rPr>
      </w:pPr>
      <w:r>
        <w:rPr>
          <w:rFonts w:ascii="Arial" w:cs="Arial" w:eastAsia="Arial" w:hAnsi="Arial"/>
          <w:sz w:val="18"/>
          <w:szCs w:val="18"/>
          <w:color w:val="1E1E1E"/>
        </w:rPr>
        <w:t>Disruptions in the global supply chain in foreign ports, the impact of climate change and shortages of vessels and shipping containers may impact our ability to import inventory in a timely manner. Recent events in the Middle East have made accessing the Suez Canal a risk, thereby prompting vessels to avoid this route, which adds time and cost. Drought has left water levels lower than ever forcing Panama to reduce the volume of ships passing through the Panama Canal, leading to delays and increased shipping costs. In addition</w:t>
      </w:r>
      <w:r>
        <w:rPr>
          <w:rFonts w:ascii="Arial" w:cs="Arial" w:eastAsia="Arial" w:hAnsi="Arial"/>
          <w:sz w:val="18"/>
          <w:szCs w:val="18"/>
          <w:color w:val="1E1E1E"/>
          <w:strike w:val="1"/>
        </w:rPr>
        <w:t>,</w:t>
      </w:r>
      <w:r>
        <w:rPr>
          <w:rFonts w:ascii="Arial" w:cs="Arial" w:eastAsia="Arial" w:hAnsi="Arial"/>
          <w:sz w:val="18"/>
          <w:szCs w:val="18"/>
          <w:color w:val="1E1E1E"/>
        </w:rPr>
        <w:t xml:space="preserve"> the ongoing war in Ukraine may cause additional tariffs, sanctions, import/export restrictions and future actions that may have a negative impact on the supply chain and may limit the availability of certain raw materials and result in an increase of associated cost. Furthermore,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loss of sales and an adverse impact on our results of operations. Furthermore, we may continue to incur incremental freight costs which could negatively harm our gross margin rates.</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We are dependent on third parties for the manufacture of the merchandise we sell.</w:t>
      </w:r>
    </w:p>
    <w:p>
      <w:pPr>
        <w:spacing w:after="0" w:line="11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1E1E1E"/>
        </w:rPr>
        <w:t>We do not own or operate any manufacturing facilities and are therefore entirely dependent on third parties to manufacture the merchandise we sell. Without adequate supplies of merchandise to sell to our customers in the merchandise styles and fashions demanded by our particular customer base, sales would decrease materially and our business would suffer. We are dependent on these third parties’ ability to fulfill our merchandise orders and meet our delivery terms.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private-label merchandise would negatively impact proper inventory levels, sales and gross margin rates, and ultimately our results of operations.</w:t>
      </w:r>
    </w:p>
    <w:p>
      <w:pPr>
        <w:spacing w:after="0" w:line="54"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color w:val="1E1E1E"/>
        </w:rPr>
        <w:t>In addition, even if our current manufacturers continue to manufacture our products, they may not maintain adequate controls with respect to product specifications and quality and may not continue to produce products that are consistent with our standards. If we were forced to rely on manufacturers who produce products of inferior quality, then our brand and customer satisfaction would likely suffer which would negatively impact our business. These manufacturers may also increase the cost to us of the products we purchase from them.</w:t>
      </w:r>
    </w:p>
    <w:p>
      <w:pPr>
        <w:spacing w:after="0" w:line="77" w:lineRule="exact"/>
        <w:rPr>
          <w:sz w:val="20"/>
          <w:szCs w:val="20"/>
          <w:color w:val="auto"/>
        </w:rPr>
      </w:pPr>
    </w:p>
    <w:p>
      <w:pPr>
        <w:spacing w:after="0" w:line="246" w:lineRule="auto"/>
        <w:rPr>
          <w:sz w:val="20"/>
          <w:szCs w:val="20"/>
          <w:color w:val="auto"/>
        </w:rPr>
      </w:pPr>
      <w:r>
        <w:rPr>
          <w:rFonts w:ascii="Arial" w:cs="Arial" w:eastAsia="Arial" w:hAnsi="Arial"/>
          <w:sz w:val="20"/>
          <w:szCs w:val="20"/>
          <w:color w:val="1E1E1E"/>
        </w:rPr>
        <w:t>The United States Treasury Department has placed sanctions on China’s Xinjiang Production and Construction Corporation ("XPCC") for serious human rights abuses against ethnic minorities in China’s Xinjiang Uyghur Autonomous Region ("XUAR"). In addition, in January 2021, the US Customs Border Protection (“CBP”) issued a Withhold Release Order on Products Made in Xinjiang region of China. In response to the problems in Xinjiang, we developed a Compliance Certificate of Traceability for our cotton vendors. Although we prohibit our vendors from doing business with XPCC, we could be subject to penalties, fines or sanctions and our brand could be harmed if any of the vendors from which we purchase product is found to have done business, directly or indirectly, with XPCC.</w:t>
      </w:r>
    </w:p>
    <w:p>
      <w:pPr>
        <w:spacing w:after="0" w:line="80" w:lineRule="exact"/>
        <w:rPr>
          <w:sz w:val="20"/>
          <w:szCs w:val="20"/>
          <w:color w:val="auto"/>
        </w:rPr>
      </w:pPr>
    </w:p>
    <w:p>
      <w:pPr>
        <w:ind w:right="180"/>
        <w:spacing w:after="0" w:line="249" w:lineRule="auto"/>
        <w:rPr>
          <w:sz w:val="20"/>
          <w:szCs w:val="20"/>
          <w:color w:val="auto"/>
        </w:rPr>
      </w:pPr>
      <w:r>
        <w:rPr>
          <w:rFonts w:ascii="Arial" w:cs="Arial" w:eastAsia="Arial" w:hAnsi="Arial"/>
          <w:sz w:val="20"/>
          <w:szCs w:val="20"/>
          <w:color w:val="1E1E1E"/>
        </w:rPr>
        <w:t>We work with a third-party audit vendor to ensure a responsible and ethical supply chain. We are and will continue to pursue our corporate responsibilities and create a positive effect on human rights as well as the environment. The Company publishes a Vendor Code of Conduct, which is a part of every agreement requiring compliance by the manufacturing facilities. If, despite third-party audits, the manufacturing facilities engage in workplace or human rights violations and we are unable to identify or correct it, it may negatively affect our business and harm our brand.</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Our business is highly competitive, and competitive factors may reduce our revenues and profit margins.</w:t>
      </w:r>
    </w:p>
    <w:p>
      <w:pPr>
        <w:spacing w:after="0" w:line="116" w:lineRule="exact"/>
        <w:rPr>
          <w:sz w:val="20"/>
          <w:szCs w:val="20"/>
          <w:color w:val="auto"/>
        </w:rPr>
      </w:pPr>
    </w:p>
    <w:p>
      <w:pPr>
        <w:ind w:right="80"/>
        <w:spacing w:after="0" w:line="261" w:lineRule="auto"/>
        <w:rPr>
          <w:sz w:val="20"/>
          <w:szCs w:val="20"/>
          <w:color w:val="auto"/>
        </w:rPr>
      </w:pPr>
      <w:r>
        <w:rPr>
          <w:rFonts w:ascii="Arial" w:cs="Arial" w:eastAsia="Arial" w:hAnsi="Arial"/>
          <w:sz w:val="19"/>
          <w:szCs w:val="19"/>
          <w:color w:val="1E1E1E"/>
        </w:rPr>
        <w:t>The United States big &amp; tall men’s apparel market is highly competitive with many national and regional department stores, mass merchandisers, specialty apparel retailers, discount stores and online retailers offering a broad range of apparel products similar to the products that we sell. Besides retail competitors, we consider any manufacturer of big &amp; tall men’s merchandise operating in outlet malls throughout the United States to be a competitor. It is also possible that another competitor, either a mass merchant or a men’s specialty store or specialty apparel catalog, could gain market share in big &amp; tall men’s apparel due to more favorable pricing, locations, brand and fashion assortment and size availability. Many of our competitors and potential competitors may have substantially greater financial, manufacturing and marketing resources than we do.</w:t>
      </w:r>
    </w:p>
    <w:p>
      <w:pPr>
        <w:sectPr>
          <w:pgSz w:w="11880" w:h="15480" w:orient="portrait"/>
          <w:cols w:equalWidth="0" w:num="1">
            <w:col w:w="10780"/>
          </w:cols>
          <w:pgMar w:left="540" w:top="656" w:right="56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14</w:t>
      </w:r>
    </w:p>
    <w:p>
      <w:pPr>
        <w:sectPr>
          <w:pgSz w:w="11880" w:h="15480" w:orient="portrait"/>
          <w:cols w:equalWidth="0" w:num="1">
            <w:col w:w="10780"/>
          </w:cols>
          <w:pgMar w:left="540" w:top="656" w:right="560" w:bottom="31" w:gutter="0" w:footer="0" w:header="0"/>
          <w:type w:val="continuous"/>
        </w:sectPr>
      </w:pPr>
    </w:p>
    <w:bookmarkStart w:id="16" w:name="page17"/>
    <w:bookmarkEnd w:id="16"/>
    <w:p>
      <w:pPr>
        <w:jc w:val="both"/>
        <w:ind w:right="180"/>
        <w:spacing w:after="0" w:line="259" w:lineRule="auto"/>
        <w:rPr>
          <w:sz w:val="20"/>
          <w:szCs w:val="20"/>
          <w:color w:val="auto"/>
        </w:rPr>
      </w:pPr>
      <w:r>
        <w:rPr>
          <w:rFonts w:ascii="Arial" w:cs="Arial" w:eastAsia="Arial" w:hAnsi="Arial"/>
          <w:sz w:val="20"/>
          <w:szCs w:val="20"/>
          <w:color w:val="1E1E1E"/>
        </w:rPr>
        <w:t>The presence in the marketplace of various fashion trends and the limited availability of shelf space also can affect competition. We may not be able to compete successfully with our competitors in the future and could lose market share. A significant loss of market share would adversely affect our revenues and results of operations.</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20"/>
          <w:szCs w:val="20"/>
          <w:color w:val="1E1E1E"/>
        </w:rPr>
        <w:t>In addition, we maintain exclusivity arrangements with several of the brands that we carry. If we were to lose any of these exclusivity arrangements or brands altogether, our revenues may be adversely affected.</w:t>
      </w:r>
    </w:p>
    <w:p>
      <w:pPr>
        <w:spacing w:after="0" w:line="165" w:lineRule="exact"/>
        <w:rPr>
          <w:sz w:val="20"/>
          <w:szCs w:val="20"/>
          <w:color w:val="auto"/>
        </w:rPr>
      </w:pPr>
    </w:p>
    <w:p>
      <w:pPr>
        <w:ind w:right="500"/>
        <w:spacing w:after="0" w:line="277" w:lineRule="auto"/>
        <w:rPr>
          <w:sz w:val="20"/>
          <w:szCs w:val="20"/>
          <w:color w:val="auto"/>
        </w:rPr>
      </w:pPr>
      <w:r>
        <w:rPr>
          <w:rFonts w:ascii="Arial" w:cs="Arial" w:eastAsia="Arial" w:hAnsi="Arial"/>
          <w:sz w:val="20"/>
          <w:szCs w:val="20"/>
          <w:u w:val="single" w:color="auto"/>
          <w:color w:val="1E1E1E"/>
        </w:rPr>
        <w:t>Our business may be negatively impacted and we may be liable if third parties misappropriate proprietary information of our customers and breach our security systems.</w:t>
      </w:r>
    </w:p>
    <w:p>
      <w:pPr>
        <w:spacing w:after="0" w:line="41" w:lineRule="exact"/>
        <w:rPr>
          <w:sz w:val="20"/>
          <w:szCs w:val="20"/>
          <w:color w:val="auto"/>
        </w:rPr>
      </w:pPr>
    </w:p>
    <w:p>
      <w:pPr>
        <w:spacing w:after="0" w:line="260" w:lineRule="auto"/>
        <w:rPr>
          <w:sz w:val="20"/>
          <w:szCs w:val="20"/>
          <w:color w:val="auto"/>
        </w:rPr>
      </w:pPr>
      <w:r>
        <w:rPr>
          <w:rFonts w:ascii="Arial" w:cs="Arial" w:eastAsia="Arial" w:hAnsi="Arial"/>
          <w:sz w:val="18"/>
          <w:szCs w:val="18"/>
          <w:color w:val="1E1E1E"/>
        </w:rPr>
        <w:t>We may be harmed by security risks we face in connection with our electronic processing and transmission of confidential customer information. The majority of our retail sales are settled through credit and debit card transactions. While our Board of Directors has a Cybersecurity and Data Privacy Committee to oversee the monitoring and management of cyber risk and data privacy for our Company, and we have not had any security breaches to date, any breach could expose us to risks of loss, litigation, and liability and could adversely affect our operations as well as cause our shoppers to stop shopping with us as a result of their lack of confidence in the security of their personally identifiable information, which could have a negative impact on our sales and profitability. We attempt to limit exposures to security breaches and sensitive customer data through the use of “tokenization” in connection with both in-store and online credit card transactions, which eliminates the storage of credit card numbers. Like many retailers, we have seen an increase in cyberattack attempts, predominantly through phishing and social engineering scams, and in particular, ransomware. While none of these attempts has been successful, there can be no assurance that our continued security measures will be effective or sufficient in the future. If third parties are able to penetrate our network security or otherwise misappropriate the personal information or credit card information of our customers or if third parties gain unauthorized and improper access to such information, we could be subject to liability. These liabilities could include claims for unauthorized purchases with credit card information, impersonation or other similar fraud claims, or claims for other misuses of personal information, including unauthorized marketing purposes, and could ultimately result in litigation. Liability for misappropriation of this information could be significant.</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20"/>
          <w:szCs w:val="20"/>
          <w:color w:val="1E1E1E"/>
        </w:rPr>
        <w:t>Further, if a third party were to use this proprietary customer information in order to compete with us, it could have a material adverse impact on our business and could result in litigation.</w:t>
      </w:r>
    </w:p>
    <w:p>
      <w:pPr>
        <w:spacing w:after="0" w:line="295" w:lineRule="exact"/>
        <w:rPr>
          <w:sz w:val="20"/>
          <w:szCs w:val="20"/>
          <w:color w:val="auto"/>
        </w:rPr>
      </w:pPr>
    </w:p>
    <w:p>
      <w:pPr>
        <w:ind w:right="180"/>
        <w:spacing w:after="0" w:line="277" w:lineRule="auto"/>
        <w:rPr>
          <w:sz w:val="20"/>
          <w:szCs w:val="20"/>
          <w:color w:val="auto"/>
        </w:rPr>
      </w:pPr>
      <w:r>
        <w:rPr>
          <w:rFonts w:ascii="Arial" w:cs="Arial" w:eastAsia="Arial" w:hAnsi="Arial"/>
          <w:sz w:val="20"/>
          <w:szCs w:val="20"/>
          <w:u w:val="single" w:color="auto"/>
          <w:color w:val="1E1E1E"/>
        </w:rPr>
        <w:t>Our ability to operate and expand our business and to respond to changing business and economic conditions will depend on the availability of adequate capital.</w:t>
      </w:r>
    </w:p>
    <w:p>
      <w:pPr>
        <w:spacing w:after="0" w:line="48" w:lineRule="exact"/>
        <w:rPr>
          <w:sz w:val="20"/>
          <w:szCs w:val="20"/>
          <w:color w:val="auto"/>
        </w:rPr>
      </w:pPr>
    </w:p>
    <w:p>
      <w:pPr>
        <w:ind w:right="120"/>
        <w:spacing w:after="0" w:line="259" w:lineRule="auto"/>
        <w:rPr>
          <w:sz w:val="20"/>
          <w:szCs w:val="20"/>
          <w:color w:val="auto"/>
        </w:rPr>
      </w:pPr>
      <w:r>
        <w:rPr>
          <w:rFonts w:ascii="Arial" w:cs="Arial" w:eastAsia="Arial" w:hAnsi="Arial"/>
          <w:sz w:val="20"/>
          <w:szCs w:val="20"/>
          <w:color w:val="1E1E1E"/>
        </w:rPr>
        <w:t>The operation of our business, the rate of our expansion and our ability to respond to changing business and economic conditions, all depend on the availability of adequate capital, which in turn depends on cash flow generated by our business and, if necessary, the availability of equity or debt capital.</w:t>
      </w:r>
    </w:p>
    <w:p>
      <w:pPr>
        <w:spacing w:after="0" w:line="184" w:lineRule="exact"/>
        <w:rPr>
          <w:sz w:val="20"/>
          <w:szCs w:val="20"/>
          <w:color w:val="auto"/>
        </w:rPr>
      </w:pPr>
    </w:p>
    <w:p>
      <w:pPr>
        <w:ind w:right="420"/>
        <w:spacing w:after="0" w:line="263" w:lineRule="auto"/>
        <w:rPr>
          <w:sz w:val="20"/>
          <w:szCs w:val="20"/>
          <w:color w:val="auto"/>
        </w:rPr>
      </w:pPr>
      <w:r>
        <w:rPr>
          <w:rFonts w:ascii="Arial" w:cs="Arial" w:eastAsia="Arial" w:hAnsi="Arial"/>
          <w:sz w:val="19"/>
          <w:szCs w:val="19"/>
          <w:color w:val="1E1E1E"/>
        </w:rPr>
        <w:t>The amount that we are able to borrow and have outstanding under our credit facility at any given time is determined using an availability formula based on eligible assets. As a result, our ability to borrow is subject to certain risks and uncertainties, such as advance rates and the amount and quality of inventory, which could reduce the funds available to us under our credit facility. In addition, because of the disruptions in the supply chain, inventory levels may be lower than expected. This directly impacts our borrowing base and there can be no assurance that we can effectively manage the balance of maintaining inventory and sufficient availability, especially during peak selling periods.</w:t>
      </w:r>
    </w:p>
    <w:p>
      <w:pPr>
        <w:spacing w:after="0" w:line="184" w:lineRule="exact"/>
        <w:rPr>
          <w:sz w:val="20"/>
          <w:szCs w:val="20"/>
          <w:color w:val="auto"/>
        </w:rPr>
      </w:pPr>
    </w:p>
    <w:p>
      <w:pPr>
        <w:spacing w:after="0" w:line="250" w:lineRule="auto"/>
        <w:rPr>
          <w:sz w:val="20"/>
          <w:szCs w:val="20"/>
          <w:color w:val="auto"/>
        </w:rPr>
      </w:pPr>
      <w:r>
        <w:rPr>
          <w:rFonts w:ascii="Arial" w:cs="Arial" w:eastAsia="Arial" w:hAnsi="Arial"/>
          <w:sz w:val="20"/>
          <w:szCs w:val="20"/>
          <w:color w:val="1E1E1E"/>
        </w:rPr>
        <w:t>We cannot make assurances that our cash flow from operations or cash available under our credit facility will be sufficient to meet our needs. If we are unable to generate sufficient cash flows from operations in the future, we may have to obtain additional financing. If we incur additional indebtedness, that indebtedness may contain significant financial and other covenants that may significantly restrict our operations and we cannot ensure we would be able to obtain refinancing or that such additional financing would be on favorable terms.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We may be unable to predict fashion trends and customer preferences successfully.</w:t>
      </w:r>
    </w:p>
    <w:p>
      <w:pPr>
        <w:spacing w:after="0" w:line="109" w:lineRule="exact"/>
        <w:rPr>
          <w:sz w:val="20"/>
          <w:szCs w:val="20"/>
          <w:color w:val="auto"/>
        </w:rPr>
      </w:pPr>
    </w:p>
    <w:p>
      <w:pPr>
        <w:spacing w:after="0" w:line="249" w:lineRule="auto"/>
        <w:rPr>
          <w:sz w:val="20"/>
          <w:szCs w:val="20"/>
          <w:color w:val="auto"/>
        </w:rPr>
      </w:pPr>
      <w:r>
        <w:rPr>
          <w:rFonts w:ascii="Arial" w:cs="Arial" w:eastAsia="Arial" w:hAnsi="Arial"/>
          <w:sz w:val="19"/>
          <w:szCs w:val="19"/>
          <w:color w:val="1E1E1E"/>
        </w:rPr>
        <w:t>Customer tastes and fashion trends are volatile and tend to change rapidly.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 products or any new product lines, our sales will be impacted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specifically in our DXL stores and from our website, could have serious longer-term consequences, such as an adverse impact on our brand value and the loss of market share to our competitors.</w:t>
      </w:r>
    </w:p>
    <w:p>
      <w:pPr>
        <w:sectPr>
          <w:pgSz w:w="11880" w:h="15480" w:orient="portrait"/>
          <w:cols w:equalWidth="0" w:num="1">
            <w:col w:w="10760"/>
          </w:cols>
          <w:pgMar w:left="540" w:top="656" w:right="58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E1E1E"/>
        </w:rPr>
        <w:t>15</w:t>
      </w:r>
    </w:p>
    <w:p>
      <w:pPr>
        <w:sectPr>
          <w:pgSz w:w="11880" w:h="15480" w:orient="portrait"/>
          <w:cols w:equalWidth="0" w:num="1">
            <w:col w:w="10760"/>
          </w:cols>
          <w:pgMar w:left="540" w:top="656" w:right="580" w:bottom="31"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u w:val="single" w:color="auto"/>
          <w:color w:val="1E1E1E"/>
        </w:rPr>
        <w:t>The loss of any of our key trademarks or licenses could adversely affect demand for our products.</w:t>
      </w:r>
    </w:p>
    <w:p>
      <w:pPr>
        <w:spacing w:after="0" w:line="109"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1E1E1E"/>
        </w:rPr>
        <w:t>We own and use a number of trademarks and operate under several trademark license agreements. We believe that certain of these trademarks have significant value and are instrumental in our ability to create and sustain demand for and to market our products. We cannot be certain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Fluctuations in the price, availability and quality of raw materials and finished goods could increase costs.</w:t>
      </w:r>
    </w:p>
    <w:p>
      <w:pPr>
        <w:spacing w:after="0" w:line="119"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1E1E1E"/>
        </w:rPr>
        <w:t>Due to the aftermath of the COVID-19 pandemic, as well as the ban of Xinjiang cotton, we are seeing cost increases in labor and across raw materials. We have secured raw materials in key item programs to reduce the impact on our gross margin. Fluctuations in the price, availability and quality of fabrics or other raw materials used in the manufacturing of our merchandise could have a material adverse effect on our gross margin or on our ability to meet our customers’ demands. Several factors may affect our costs for raw materials including, among other things, demand, currency fluctuations, political instability, inflationary pressures, fuel prices and weather, including the impact of global climate change. To the extent that we cannot offset these cost increases with other cost reductions or efficiencies, such higher costs will need to be passed on to our customers. Such increased costs could lead to reduced customer demand, which could have a material adverse effect on our results of operations and cash flow.</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If our long-lived assets become impaired, we may need to record significant non-cash impairment charges.</w:t>
      </w:r>
    </w:p>
    <w:p>
      <w:pPr>
        <w:spacing w:after="0" w:line="109"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1E1E1E"/>
        </w:rPr>
        <w:t>Periodically, we review our long-lived assets for impairment whenever economic events or changes in circumstances indicate that the carrying value of an asset may not be recoverable. Specifically, if an individual store location is unable to generate sufficient future cash flows, we may be required to record a partial or full impairment of that store’s right-of-use assets and its property and equipment. In addition, significant negative industry or general economic trends, disruptions to our business and unexpected significant changes or planned changes in our use of the assets (such as store relocations or closures) may also result in impairment charges. Due to the uncertainty that remains regarding the duration of the pandemic and its impact on our store locations, we may need to take additional impairment charges. Any such impairment charges, if significant, could adversely affect our financial position and results of operations.</w:t>
      </w: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Risks Related To Environmental, Social And Governance Issues</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The effects of climate change may adversely impact our business.</w:t>
      </w:r>
    </w:p>
    <w:p>
      <w:pPr>
        <w:spacing w:after="0" w:line="119" w:lineRule="exact"/>
        <w:rPr>
          <w:sz w:val="20"/>
          <w:szCs w:val="20"/>
          <w:color w:val="auto"/>
        </w:rPr>
      </w:pPr>
    </w:p>
    <w:p>
      <w:pPr>
        <w:spacing w:after="0" w:line="274" w:lineRule="auto"/>
        <w:rPr>
          <w:sz w:val="20"/>
          <w:szCs w:val="20"/>
          <w:color w:val="auto"/>
        </w:rPr>
      </w:pPr>
      <w:r>
        <w:rPr>
          <w:rFonts w:ascii="Arial" w:cs="Arial" w:eastAsia="Arial" w:hAnsi="Arial"/>
          <w:sz w:val="18"/>
          <w:szCs w:val="18"/>
          <w:color w:val="1E1E1E"/>
        </w:rPr>
        <w:t>There is increasing concern that a gradual rise in global average temperatures due to increased concentration of carbon dioxide and other greenhouse gases ("GHG") in the atmosphere will cause significant changes in weather patterns. This could result in an increase in the frequency, severity, and duration of extreme weather conditions and natural disasters, as well as water scarcity and poor water quality. These events could adversely impact the availability and price of cotton and other raw materials, disrupt the supply chain and our ability to secure merchandise. Further, extreme weather conditions caused by climate change could negatively impact our financial results if our retail locations are unable to open, customers are unable to travel or our distribution center is unable to fulfill orders or delivery inventory. These events could also create adverse economic conditions and impact consumer confidence and discretionary spending. As a result, the effects of climate change could have a long-term adverse impact on our business and results of operations. We are working to develop policies, standards and goals to help mitigate these risks, including working closely with our vendors and business partners to help identify such risks, develop standards and improve processes.</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We may be unable to achieve our environmental, social and governance goals.</w:t>
      </w:r>
    </w:p>
    <w:p>
      <w:pPr>
        <w:spacing w:after="0" w:line="119"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color w:val="1E1E1E"/>
        </w:rPr>
        <w:t>We are committed to corporate social responsibility and sustainability and we recognize the importance of environmental, social and governance ("ESG") issues. Our Sustainability Committee, comprising a cross-discipline of corporate management, has engaged with a third- party firm to assist us in the development of the Company's ESG policies and initiatives. Achievement of our initiatives is subject to risks and uncertainties and we may fail to achieve our objectives. We may also incur additional costs and require additional resources to implement such policies and initiatives.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1E1E1E"/>
        </w:rPr>
        <w:t>Our business is subject to evolving regulations and expectations with respect to ESG matters that may expose us to increased risks.</w:t>
      </w:r>
    </w:p>
    <w:p>
      <w:pPr>
        <w:spacing w:after="0" w:line="142"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color w:val="1E1E1E"/>
        </w:rPr>
        <w:t>An increased focus by local, state, regional, national, and international regulatory bodies on GHG emissions and climate change issues increases the risk to our business if we are unable to comply with the multiple and evolving policy changes. For example, in March 2024, the SEC adopted rules to enhance and standardize climate-related disclosures by public companies so that there is more consistent, comparable, and reliable information about the financial effects of climate-related risks on a public company’s operations</w:t>
      </w:r>
    </w:p>
    <w:p>
      <w:pPr>
        <w:sectPr>
          <w:pgSz w:w="11880" w:h="15480" w:orient="portrait"/>
          <w:cols w:equalWidth="0" w:num="1">
            <w:col w:w="10800"/>
          </w:cols>
          <w:pgMar w:left="540" w:top="651" w:right="540" w:bottom="31"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16</w:t>
      </w:r>
    </w:p>
    <w:p>
      <w:pPr>
        <w:sectPr>
          <w:pgSz w:w="11880" w:h="15480" w:orient="portrait"/>
          <w:cols w:equalWidth="0" w:num="1">
            <w:col w:w="10800"/>
          </w:cols>
          <w:pgMar w:left="540" w:top="651" w:right="540" w:bottom="31" w:gutter="0" w:footer="0" w:header="0"/>
          <w:type w:val="continuous"/>
        </w:sectPr>
      </w:pPr>
    </w:p>
    <w:bookmarkStart w:id="18" w:name="page19"/>
    <w:bookmarkEnd w:id="18"/>
    <w:p>
      <w:pPr>
        <w:ind w:right="120"/>
        <w:spacing w:after="0" w:line="270" w:lineRule="auto"/>
        <w:rPr>
          <w:sz w:val="20"/>
          <w:szCs w:val="20"/>
          <w:color w:val="auto"/>
        </w:rPr>
      </w:pPr>
      <w:r>
        <w:rPr>
          <w:rFonts w:ascii="Arial" w:cs="Arial" w:eastAsia="Arial" w:hAnsi="Arial"/>
          <w:sz w:val="19"/>
          <w:szCs w:val="19"/>
          <w:color w:val="1E1E1E"/>
        </w:rPr>
        <w:t>and how it manages those risks. In addition, in October 2023, California enacted the Climate Corporate Data Accountability Act and the Climate Related Financial Risk Act that will require large public and private companies that do business within the state to disclose their Scopes 1, 2, and 3 GHG emissions, with third-party assurance of GHG emissions information for certain entities, and issue public reports on their climate-related financial risk and related mitigation measures.</w:t>
      </w:r>
    </w:p>
    <w:p>
      <w:pPr>
        <w:spacing w:after="0" w:line="58"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1E1E1E"/>
        </w:rPr>
        <w:t>Investor advocacy groups, certain institutional investors, investment funds, other market participants, stockholders, and customers have focused increasingly on the ESG or sustainability practices of companies, including those associated with climate change. If our ESG practices do not meet investor or other industry stakeholder expectations and standards, which continue to evolve, our brand, reputation and employee retention may be negatively impacted based on an assessment of our ESG practices. Any disclosures we make may include our policies and practices on a variety of social and ethical matters, including corporate governance, environmental compliance, employee health and safety practices, human capital management, product quality, supply chain management, and workforce inclusion and diversity. It is possible that stakeholders may not be satisfied with our ESG practices or the speed of their adoption. We could also incur additional costs and require additional resources to monitor,</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General Risks That May Affect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Our business is seasonal and is affected by general political and economic conditions.</w:t>
      </w:r>
    </w:p>
    <w:p>
      <w:pPr>
        <w:spacing w:after="0" w:line="239" w:lineRule="exact"/>
        <w:rPr>
          <w:sz w:val="20"/>
          <w:szCs w:val="20"/>
          <w:color w:val="auto"/>
        </w:rPr>
      </w:pPr>
    </w:p>
    <w:p>
      <w:pPr>
        <w:ind w:right="80"/>
        <w:spacing w:after="0" w:line="249" w:lineRule="auto"/>
        <w:rPr>
          <w:sz w:val="20"/>
          <w:szCs w:val="20"/>
          <w:color w:val="auto"/>
        </w:rPr>
      </w:pPr>
      <w:r>
        <w:rPr>
          <w:rFonts w:ascii="Arial" w:cs="Arial" w:eastAsia="Arial" w:hAnsi="Arial"/>
          <w:sz w:val="20"/>
          <w:szCs w:val="20"/>
          <w:color w:val="1E1E1E"/>
        </w:rPr>
        <w:t>Our business is seasonal. Historically, a significant portion of our operating income has been generated during our second and fourth quarters. If, for any reason, we miscalculate the demand for our products during these quarters, our sales in that quarter could decline, resulting in higher labor costs as a percentage of sales, lower margins and excess inventory, which could cause our annual operating results to suffer. Due to our seasonality, the possible adverse impact from such risks is potentially greater if any such risks occur during our second and fourth quarters.</w:t>
      </w:r>
    </w:p>
    <w:p>
      <w:pPr>
        <w:spacing w:after="0" w:line="77" w:lineRule="exact"/>
        <w:rPr>
          <w:sz w:val="20"/>
          <w:szCs w:val="20"/>
          <w:color w:val="auto"/>
        </w:rPr>
      </w:pPr>
    </w:p>
    <w:p>
      <w:pPr>
        <w:spacing w:after="0" w:line="280" w:lineRule="auto"/>
        <w:rPr>
          <w:sz w:val="20"/>
          <w:szCs w:val="20"/>
          <w:color w:val="auto"/>
        </w:rPr>
      </w:pPr>
      <w:r>
        <w:rPr>
          <w:rFonts w:ascii="Arial" w:cs="Arial" w:eastAsia="Arial" w:hAnsi="Arial"/>
          <w:sz w:val="18"/>
          <w:szCs w:val="18"/>
          <w:color w:val="1E1E1E"/>
        </w:rPr>
        <w:t xml:space="preserve">In addition, our operations may be negatively affected by local, regional or national political and economic conditions, such as levels of disposable consumer income, inflation, consumer debt, interest rates, consumer confidence and other macro issues. The volatile political environment, including the upcoming U.S. </w:t>
      </w:r>
      <w:r>
        <w:rPr>
          <w:rFonts w:ascii="Arial" w:cs="Arial" w:eastAsia="Arial" w:hAnsi="Arial"/>
          <w:sz w:val="18"/>
          <w:szCs w:val="18"/>
          <w:color w:val="1A1A1A"/>
        </w:rPr>
        <w:t>presidential</w:t>
      </w:r>
      <w:r>
        <w:rPr>
          <w:rFonts w:ascii="Arial" w:cs="Arial" w:eastAsia="Arial" w:hAnsi="Arial"/>
          <w:sz w:val="18"/>
          <w:szCs w:val="18"/>
          <w:color w:val="1E1E1E"/>
        </w:rPr>
        <w:t xml:space="preserve"> and congressional </w:t>
      </w:r>
      <w:r>
        <w:rPr>
          <w:rFonts w:ascii="Arial" w:cs="Arial" w:eastAsia="Arial" w:hAnsi="Arial"/>
          <w:sz w:val="18"/>
          <w:szCs w:val="18"/>
          <w:color w:val="1A1A1A"/>
        </w:rPr>
        <w:t>election</w:t>
      </w:r>
      <w:r>
        <w:rPr>
          <w:rFonts w:ascii="Arial" w:cs="Arial" w:eastAsia="Arial" w:hAnsi="Arial"/>
          <w:sz w:val="18"/>
          <w:szCs w:val="18"/>
          <w:color w:val="1E1E1E"/>
        </w:rPr>
        <w:t xml:space="preserve"> in November 2024, increases the chance of other legislative and regulatory changes at both the federal and state level that could affect us in ways we cannot predict. In addition, about 46% of the world's population will be holding elections in 2024, the outcome of those elections may have long-term implications on global economies, conflicts, trade negotiations and policies that may directly or indirectly affect our business.</w:t>
      </w:r>
    </w:p>
    <w:p>
      <w:pPr>
        <w:spacing w:after="0" w:line="293" w:lineRule="exact"/>
        <w:rPr>
          <w:sz w:val="20"/>
          <w:szCs w:val="20"/>
          <w:color w:val="auto"/>
        </w:rPr>
      </w:pPr>
    </w:p>
    <w:p>
      <w:pPr>
        <w:ind w:right="80"/>
        <w:spacing w:after="0" w:line="277" w:lineRule="auto"/>
        <w:rPr>
          <w:sz w:val="20"/>
          <w:szCs w:val="20"/>
          <w:color w:val="auto"/>
        </w:rPr>
      </w:pPr>
      <w:r>
        <w:rPr>
          <w:rFonts w:ascii="Arial" w:cs="Arial" w:eastAsia="Arial" w:hAnsi="Arial"/>
          <w:sz w:val="20"/>
          <w:szCs w:val="20"/>
          <w:u w:val="single" w:color="auto"/>
          <w:color w:val="1E1E1E"/>
        </w:rPr>
        <w:t>The global impact of the COVID-19 pandemic and its variants have had, and other global health pandemics may have, an adverse effect on our business, financial results, liquidity, supply chain and workforce.</w:t>
      </w:r>
    </w:p>
    <w:p>
      <w:pPr>
        <w:spacing w:after="0" w:line="168" w:lineRule="exact"/>
        <w:rPr>
          <w:sz w:val="20"/>
          <w:szCs w:val="20"/>
          <w:color w:val="auto"/>
        </w:rPr>
      </w:pPr>
    </w:p>
    <w:p>
      <w:pPr>
        <w:ind w:right="200"/>
        <w:spacing w:after="0" w:line="280" w:lineRule="auto"/>
        <w:rPr>
          <w:sz w:val="20"/>
          <w:szCs w:val="20"/>
          <w:color w:val="auto"/>
        </w:rPr>
      </w:pPr>
      <w:r>
        <w:rPr>
          <w:rFonts w:ascii="Arial" w:cs="Arial" w:eastAsia="Arial" w:hAnsi="Arial"/>
          <w:sz w:val="18"/>
          <w:szCs w:val="18"/>
          <w:color w:val="1E1E1E"/>
        </w:rPr>
        <w:t>The COVID-19 pandemic and its variants caused global uncertainty and disruption and had a material impact on our business, predominately in fiscal 2020 and early 2021. Through fiscal 2023, the pandemic continued to have a lingering negative effect on the global economy that directly impacted our business, specifically as it related to the economy, rising interest rates, labor shortages, increased material costs, global supply chain issues, inflationary pressures, and changes in consumer spending behaviors. Our business may be negatively impacted as it relates to the risk and uncertainty of a potential COVID-19 resurgence, new variants or a new global health pandemic which could materially affect our financial results, access to sources of liquidity and inventory.</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Our success depends significantly on our key personnel and our ability to attract and retain additional personnel.</w:t>
      </w:r>
    </w:p>
    <w:p>
      <w:pPr>
        <w:spacing w:after="0" w:line="116"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1E1E1E"/>
        </w:rPr>
        <w:t>Our future success is dependent on the personal efforts, performance and abilities of our key management, which includes our executive officers as well as members of our senior management. The loss of any of our senior management may result in a loss of organizational focus, poor operating execution, an inability to identify and execute strategic initiatives, an impairment in our ability to identify new store locations, and an inability to consummate possible acquisitions. The competition is intense for the type of highly skilled individuals with relevant industry experience that we require and we may not be able to continue to attract and retain new employees of the caliber needed to achieve our objectives.</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Labor shortages or increases in labor costs due to new regulations could harm our business.</w:t>
      </w:r>
    </w:p>
    <w:p>
      <w:pPr>
        <w:spacing w:after="0" w:line="119"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1E1E1E"/>
        </w:rPr>
        <w:t>Since the end of the pandemic, we have continued to experience labor shortages primarily in our distribution facility and in our stores. If such labor shortages continue, especially during peak-selling periods, it may negatively impact our ability to process inventory in a timely manner and effectively staff our stores. Because of the tight labor market our hourly rates have increased to attract candidates. If we are unable to pass on these higher costs through price increases or reduced workforce hours, our margins and profitability may be adversely impacted which could have a material adverse effect on our business, results of operations or financial condition.</w:t>
      </w:r>
    </w:p>
    <w:p>
      <w:pPr>
        <w:sectPr>
          <w:pgSz w:w="11880" w:h="15480" w:orient="portrait"/>
          <w:cols w:equalWidth="0" w:num="1">
            <w:col w:w="10780"/>
          </w:cols>
          <w:pgMar w:left="540" w:top="656" w:right="56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17</w:t>
      </w:r>
    </w:p>
    <w:p>
      <w:pPr>
        <w:sectPr>
          <w:pgSz w:w="11880" w:h="15480" w:orient="portrait"/>
          <w:cols w:equalWidth="0" w:num="1">
            <w:col w:w="10780"/>
          </w:cols>
          <w:pgMar w:left="540" w:top="656" w:right="560" w:bottom="31" w:gutter="0" w:footer="0" w:header="0"/>
          <w:type w:val="continuous"/>
        </w:sectPr>
      </w:pPr>
    </w:p>
    <w:bookmarkStart w:id="19" w:name="page20"/>
    <w:bookmarkEnd w:id="19"/>
    <w:p>
      <w:pPr>
        <w:spacing w:after="0"/>
        <w:rPr>
          <w:sz w:val="20"/>
          <w:szCs w:val="20"/>
          <w:color w:val="auto"/>
        </w:rPr>
      </w:pPr>
      <w:r>
        <w:rPr>
          <w:rFonts w:ascii="Arial" w:cs="Arial" w:eastAsia="Arial" w:hAnsi="Arial"/>
          <w:sz w:val="19"/>
          <w:szCs w:val="19"/>
          <w:u w:val="single" w:color="auto"/>
          <w:color w:val="1E1E1E"/>
        </w:rPr>
        <w:t>Failure to comply with laws, rules and regulations could negatively affect our business operations and financial performance</w:t>
      </w:r>
      <w:r>
        <w:rPr>
          <w:rFonts w:ascii="Arial" w:cs="Arial" w:eastAsia="Arial" w:hAnsi="Arial"/>
          <w:sz w:val="19"/>
          <w:szCs w:val="19"/>
          <w:color w:val="1E1E1E"/>
        </w:rPr>
        <w:t>.</w:t>
      </w:r>
    </w:p>
    <w:p>
      <w:pPr>
        <w:spacing w:after="0" w:line="128"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1E1E1E"/>
        </w:rPr>
        <w:t>Our business is subject to federal, state, and increasing local rules and regulations, such as state and local wage and hour laws, the U.S. Foreign Corrupt Practices Act, the Employee Retirement Income Security Act (“ERISA”), securities laws, import and export laws (including customs regulations), privacy and information security regulations, unclaimed property laws, and many others. The effect of some of these laws and regulations may be to increase the cost of doing business and may have a material impact on our earnings. In addition, the complexity of the regulatory environment in which we operate and the related cost of compliance are both increasing due to legal and regulatory requirements and increased enforcement. We may also be subject to investigations or audits by governmental authorities and regulatory agencies, which can occur in the ordinary course of business or which can result from increased scrutiny from a particular agency towards an industry, country or practice. If we fail to comply with laws, rules and regulations or the manner in which they are interpreted or applied, we may be subject to government enforcement action, class action litigation or other litigation, damage to our reputation, civil and criminal liability, damages, fines and penalties, and increased cost of regulatory compliance, any of which could adversely affect our results of operations and financial performance.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Risks Related to Our Corporate Structure and Stock</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color w:val="1E1E1E"/>
        </w:rPr>
        <w:t>Our stock price has been and will likely continue to be volatile and fluctuate substantially.</w:t>
      </w:r>
    </w:p>
    <w:p>
      <w:pPr>
        <w:spacing w:after="0" w:line="198" w:lineRule="exact"/>
        <w:rPr>
          <w:sz w:val="20"/>
          <w:szCs w:val="20"/>
          <w:color w:val="auto"/>
        </w:rPr>
      </w:pPr>
    </w:p>
    <w:p>
      <w:pPr>
        <w:ind w:right="40"/>
        <w:spacing w:after="0" w:line="290" w:lineRule="auto"/>
        <w:rPr>
          <w:sz w:val="20"/>
          <w:szCs w:val="20"/>
          <w:color w:val="auto"/>
        </w:rPr>
      </w:pPr>
      <w:r>
        <w:rPr>
          <w:rFonts w:ascii="Arial" w:cs="Arial" w:eastAsia="Arial" w:hAnsi="Arial"/>
          <w:sz w:val="18"/>
          <w:szCs w:val="18"/>
          <w:color w:val="1E1E1E"/>
        </w:rPr>
        <w:t>The market price of our common stock has been and will likely continue to fluctuate substantially as a result of many factors, some of which are beyond our control. For example, from September 8, 2021, when we relisted on the Nasdaq Global market, through February 2, 2024, the reported price of our common stock has ranged from a low of $3.27 on July 1, 2022, to a high of $8.99 on November 17, 2021. Factors that could cause fluctuations in the market price of our common stock include the following:</w:t>
      </w:r>
    </w:p>
    <w:p>
      <w:pPr>
        <w:spacing w:after="0" w:line="135" w:lineRule="exact"/>
        <w:rPr>
          <w:sz w:val="20"/>
          <w:szCs w:val="20"/>
          <w:color w:val="auto"/>
        </w:rPr>
      </w:pPr>
    </w:p>
    <w:p>
      <w:pPr>
        <w:ind w:left="1440" w:right="340"/>
        <w:spacing w:after="0" w:line="254" w:lineRule="auto"/>
        <w:rPr>
          <w:sz w:val="20"/>
          <w:szCs w:val="20"/>
          <w:color w:val="auto"/>
        </w:rPr>
      </w:pPr>
      <w:r>
        <w:rPr>
          <w:rFonts w:ascii="Arial" w:cs="Arial" w:eastAsia="Arial" w:hAnsi="Arial"/>
          <w:sz w:val="20"/>
          <w:szCs w:val="20"/>
          <w:color w:val="1E1E1E"/>
        </w:rPr>
        <w:t>overall changes in the economy and general market volatility, including the effects of inflation and/or recession; news announcements regarding our quarterly or annual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-248920</wp:posOffset>
            </wp:positionV>
            <wp:extent cx="71120" cy="711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679450</wp:posOffset>
            </wp:positionH>
            <wp:positionV relativeFrom="paragraph">
              <wp:posOffset>-93345</wp:posOffset>
            </wp:positionV>
            <wp:extent cx="71120" cy="711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20"/>
          <w:szCs w:val="20"/>
          <w:color w:val="1E1E1E"/>
        </w:rPr>
        <w:t>quarterly comparable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-85725</wp:posOffset>
            </wp:positionV>
            <wp:extent cx="71120" cy="711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20"/>
          <w:szCs w:val="20"/>
          <w:color w:val="1E1E1E"/>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-85725</wp:posOffset>
            </wp:positionV>
            <wp:extent cx="71120" cy="711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20"/>
          <w:szCs w:val="20"/>
          <w:color w:val="1E1E1E"/>
        </w:rPr>
        <w:t>competitive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-85725</wp:posOffset>
            </wp:positionV>
            <wp:extent cx="71120" cy="711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1440" w:right="3420"/>
        <w:spacing w:after="0" w:line="254" w:lineRule="auto"/>
        <w:rPr>
          <w:sz w:val="20"/>
          <w:szCs w:val="20"/>
          <w:color w:val="auto"/>
        </w:rPr>
      </w:pPr>
      <w:r>
        <w:rPr>
          <w:rFonts w:ascii="Arial" w:cs="Arial" w:eastAsia="Arial" w:hAnsi="Arial"/>
          <w:sz w:val="20"/>
          <w:szCs w:val="20"/>
          <w:color w:val="1E1E1E"/>
        </w:rPr>
        <w:t>governmental regulation (such as increased wage and paid benefits laws); litigation affecting us;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-248920</wp:posOffset>
            </wp:positionV>
            <wp:extent cx="71120" cy="711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679450</wp:posOffset>
            </wp:positionH>
            <wp:positionV relativeFrom="paragraph">
              <wp:posOffset>-93345</wp:posOffset>
            </wp:positionV>
            <wp:extent cx="71120" cy="711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20"/>
          <w:szCs w:val="20"/>
          <w:color w:val="1E1E1E"/>
        </w:rPr>
        <w:t>market views as to the prospects of the Company or retail clothing industry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-85725</wp:posOffset>
            </wp:positionV>
            <wp:extent cx="71120" cy="711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342"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u w:val="single" w:color="auto"/>
          <w:color w:val="1E1E1E"/>
        </w:rPr>
        <w:t>Our certificate of incorporation, as amended, limits transfers of our common stock and may, along with state law, inhibit potential acquisition bids that could be beneficial to our stockholders.</w:t>
      </w:r>
    </w:p>
    <w:p>
      <w:pPr>
        <w:spacing w:after="0" w:line="48"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1E1E1E"/>
        </w:rPr>
        <w:t>Our certificate of incorporation, as amended, contains provisions that restrict any person or entity from attempting to purchase our stock, without prior permission from the Board of Directors, to the extent that such transfer would (i) create or result in an individual or entity becoming a five-percent stockholder of our stock, or (ii) increase the stock ownership percentage of any existing five-percent stockholder. These provisions provide that any transfer that violates such provisions shall be null and void and would require the purported transferee, upon demand by us, to transfer the shares that exceed the five percent limit to an agent designated by us for the purpose of conducting a sale of such excess shares. These provisions would make the acquisition of our Company more expensive to the acquirer and could significantly delay, discourage, or prevent third parties from acquiring our Company without the approval of our Board of Directors.</w:t>
      </w:r>
    </w:p>
    <w:p>
      <w:pPr>
        <w:spacing w:after="0" w:line="187" w:lineRule="exact"/>
        <w:rPr>
          <w:sz w:val="20"/>
          <w:szCs w:val="20"/>
          <w:color w:val="auto"/>
        </w:rPr>
      </w:pPr>
    </w:p>
    <w:p>
      <w:pPr>
        <w:spacing w:after="0" w:line="246" w:lineRule="auto"/>
        <w:rPr>
          <w:sz w:val="20"/>
          <w:szCs w:val="20"/>
          <w:color w:val="auto"/>
        </w:rPr>
      </w:pPr>
      <w:r>
        <w:rPr>
          <w:rFonts w:ascii="Arial" w:cs="Arial" w:eastAsia="Arial" w:hAnsi="Arial"/>
          <w:sz w:val="20"/>
          <w:szCs w:val="20"/>
          <w:color w:val="1E1E1E"/>
        </w:rPr>
        <w:t>In addition, 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1E1E1E"/>
        </w:rPr>
        <w:t>Item 1B. Unresolved Staff Comments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1E1E1E"/>
        </w:rPr>
        <w:t>None.</w:t>
      </w:r>
    </w:p>
    <w:p>
      <w:pPr>
        <w:sectPr>
          <w:pgSz w:w="11880" w:h="15480" w:orient="portrait"/>
          <w:cols w:equalWidth="0" w:num="1">
            <w:col w:w="10760"/>
          </w:cols>
          <w:pgMar w:left="540" w:top="651" w:right="58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E1E1E"/>
        </w:rPr>
        <w:t>18</w:t>
      </w:r>
    </w:p>
    <w:p>
      <w:pPr>
        <w:sectPr>
          <w:pgSz w:w="11880" w:h="15480" w:orient="portrait"/>
          <w:cols w:equalWidth="0" w:num="1">
            <w:col w:w="10760"/>
          </w:cols>
          <w:pgMar w:left="540" w:top="651" w:right="580" w:bottom="31" w:gutter="0" w:footer="0" w:header="0"/>
          <w:type w:val="continuous"/>
        </w:sectPr>
      </w:pPr>
    </w:p>
    <w:bookmarkStart w:id="20" w:name="page21"/>
    <w:bookmarkEnd w:id="20"/>
    <w:p>
      <w:pPr>
        <w:spacing w:after="0"/>
        <w:rPr>
          <w:sz w:val="20"/>
          <w:szCs w:val="20"/>
          <w:color w:val="auto"/>
        </w:rPr>
      </w:pPr>
      <w:r>
        <w:rPr>
          <w:rFonts w:ascii="Arial" w:cs="Arial" w:eastAsia="Arial" w:hAnsi="Arial"/>
          <w:sz w:val="20"/>
          <w:szCs w:val="20"/>
          <w:color w:val="1E1E1E"/>
        </w:rPr>
        <w:t>Item 1C. Cybersecurity</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1E1E1E"/>
        </w:rPr>
        <w:t>Risk Management and Strategy</w:t>
      </w:r>
    </w:p>
    <w:p>
      <w:pPr>
        <w:spacing w:after="0" w:line="234" w:lineRule="exact"/>
        <w:rPr>
          <w:sz w:val="20"/>
          <w:szCs w:val="20"/>
          <w:color w:val="auto"/>
        </w:rPr>
      </w:pPr>
    </w:p>
    <w:p>
      <w:pPr>
        <w:ind w:right="40"/>
        <w:spacing w:after="0" w:line="252" w:lineRule="auto"/>
        <w:rPr>
          <w:sz w:val="20"/>
          <w:szCs w:val="20"/>
          <w:color w:val="auto"/>
        </w:rPr>
      </w:pPr>
      <w:r>
        <w:rPr>
          <w:rFonts w:ascii="Arial" w:cs="Arial" w:eastAsia="Arial" w:hAnsi="Arial"/>
          <w:sz w:val="20"/>
          <w:szCs w:val="20"/>
          <w:color w:val="1E1E1E"/>
        </w:rPr>
        <w:t>We recognize the critical importance of maintaining the trust and confidence of our customers and employees. Consequently, we maintain a comprehensive security incident response plan (“SIRP”) and we assess, identify, and manage material risks associated with cybersecurity threats. Our SIRP includes immediate actions to mitigate the impact and long-term strategies for remediation and prevention of future incidents.</w:t>
      </w:r>
    </w:p>
    <w:p>
      <w:pPr>
        <w:spacing w:after="0" w:line="184" w:lineRule="exact"/>
        <w:rPr>
          <w:sz w:val="20"/>
          <w:szCs w:val="20"/>
          <w:color w:val="auto"/>
        </w:rPr>
      </w:pPr>
    </w:p>
    <w:p>
      <w:pPr>
        <w:ind w:right="180"/>
        <w:spacing w:after="0" w:line="289" w:lineRule="auto"/>
        <w:rPr>
          <w:sz w:val="20"/>
          <w:szCs w:val="20"/>
          <w:color w:val="auto"/>
        </w:rPr>
      </w:pPr>
      <w:r>
        <w:rPr>
          <w:rFonts w:ascii="Arial" w:cs="Arial" w:eastAsia="Arial" w:hAnsi="Arial"/>
          <w:sz w:val="18"/>
          <w:szCs w:val="18"/>
          <w:color w:val="1E1E1E"/>
        </w:rPr>
        <w:t>We have integrated cybersecurity risk management into our broader risk management framework through various mechanisms, including (i) our updates to the Cybersecurity and Data Privacy Committee (the “Cyber Committee”, created by our Board of Directors (the “Board”) in 2016), which meets at least quarterly; (ii) our annual enterprise risk management update to the Board, and (iii) our information technology and security related internal controls, including vulnerability management programs.</w:t>
      </w:r>
    </w:p>
    <w:p>
      <w:pPr>
        <w:spacing w:after="0" w:line="153" w:lineRule="exact"/>
        <w:rPr>
          <w:sz w:val="20"/>
          <w:szCs w:val="20"/>
          <w:color w:val="auto"/>
        </w:rPr>
      </w:pPr>
    </w:p>
    <w:p>
      <w:pPr>
        <w:ind w:right="160"/>
        <w:spacing w:after="0" w:line="249" w:lineRule="auto"/>
        <w:rPr>
          <w:sz w:val="20"/>
          <w:szCs w:val="20"/>
          <w:color w:val="auto"/>
        </w:rPr>
      </w:pPr>
      <w:r>
        <w:rPr>
          <w:rFonts w:ascii="Arial" w:cs="Arial" w:eastAsia="Arial" w:hAnsi="Arial"/>
          <w:sz w:val="20"/>
          <w:szCs w:val="20"/>
          <w:color w:val="1E1E1E"/>
        </w:rPr>
        <w:t>The Company trains employees to understand their role in attempting to protect the Company from cybersecurity attacks. Our information security training program for employees includes acknowledgement of our information security policies, regular internal communications, and testing to measure the effectiveness of our information security program. For example, we conduct regular phishing awareness campaigns designed to emulate current threats and provide immediate feedback and, as necessary, additional training or remedial action.</w:t>
      </w:r>
    </w:p>
    <w:p>
      <w:pPr>
        <w:spacing w:after="0" w:line="187" w:lineRule="exact"/>
        <w:rPr>
          <w:sz w:val="20"/>
          <w:szCs w:val="20"/>
          <w:color w:val="auto"/>
        </w:rPr>
      </w:pPr>
    </w:p>
    <w:p>
      <w:pPr>
        <w:ind w:right="300"/>
        <w:spacing w:after="0" w:line="265" w:lineRule="auto"/>
        <w:rPr>
          <w:sz w:val="20"/>
          <w:szCs w:val="20"/>
          <w:color w:val="auto"/>
        </w:rPr>
      </w:pPr>
      <w:r>
        <w:rPr>
          <w:rFonts w:ascii="Arial" w:cs="Arial" w:eastAsia="Arial" w:hAnsi="Arial"/>
          <w:sz w:val="19"/>
          <w:szCs w:val="19"/>
          <w:color w:val="1E1E1E"/>
        </w:rPr>
        <w:t>In addition, the Company engages third parties to assist in assessing, identifying, and remediating material risks from cybersecurity threats. Our key cybersecurity controls are regularly tested by third-party service providers, which we retain to help identify vulnerabilities in our systems and to help maintain compliance to standards and regulatory requirements. Other third-party service providers are enlisted by the Company for security operations center services to augment our teams’ monitoring capabilities and to assist with our investigation and response to alerts on emerging and ongoing threats.</w:t>
      </w:r>
    </w:p>
    <w:p>
      <w:pPr>
        <w:spacing w:after="0" w:line="174" w:lineRule="exact"/>
        <w:rPr>
          <w:sz w:val="20"/>
          <w:szCs w:val="20"/>
          <w:color w:val="auto"/>
        </w:rPr>
      </w:pPr>
    </w:p>
    <w:p>
      <w:pPr>
        <w:ind w:right="100"/>
        <w:spacing w:after="0" w:line="270" w:lineRule="auto"/>
        <w:rPr>
          <w:sz w:val="20"/>
          <w:szCs w:val="20"/>
          <w:color w:val="auto"/>
        </w:rPr>
      </w:pPr>
      <w:r>
        <w:rPr>
          <w:rFonts w:ascii="Arial" w:cs="Arial" w:eastAsia="Arial" w:hAnsi="Arial"/>
          <w:sz w:val="19"/>
          <w:szCs w:val="19"/>
          <w:color w:val="1E1E1E"/>
        </w:rPr>
        <w:t>Further, our cybersecurity team continuously evaluates and addresses cybersecurity risks in alignment with our business objectives and operational needs. We use various security tools and processes to help prevent, identify, escalate, investigate, resolve and recover from identified vulnerabilities and security incidents in a timely manner, including, but not limited to, risk assessment network security controls, detection and response tools and a vulnerability management program.</w:t>
      </w:r>
    </w:p>
    <w:p>
      <w:pPr>
        <w:spacing w:after="0" w:line="166" w:lineRule="exact"/>
        <w:rPr>
          <w:sz w:val="20"/>
          <w:szCs w:val="20"/>
          <w:color w:val="auto"/>
        </w:rPr>
      </w:pPr>
    </w:p>
    <w:p>
      <w:pPr>
        <w:ind w:right="300"/>
        <w:spacing w:after="0" w:line="311" w:lineRule="auto"/>
        <w:rPr>
          <w:sz w:val="20"/>
          <w:szCs w:val="20"/>
          <w:color w:val="auto"/>
        </w:rPr>
      </w:pPr>
      <w:r>
        <w:rPr>
          <w:rFonts w:ascii="Arial" w:cs="Arial" w:eastAsia="Arial" w:hAnsi="Arial"/>
          <w:sz w:val="17"/>
          <w:szCs w:val="17"/>
          <w:color w:val="1E1E1E"/>
        </w:rPr>
        <w:t>The complexity and evolving nature of cybersecurity threats requires that we engage with a range of external experts, including cybersecurity assessors and consultants, in evaluating and testing our risk management systems. This enables us to leverage specialized knowledge and insights, to be confident that our cybersecurity strategies and processes are consistent with industry best practices. Our collaboration with these third-parties includes regular threat assessments and consultation on security enhancements.</w:t>
      </w:r>
    </w:p>
    <w:p>
      <w:pPr>
        <w:spacing w:after="0" w:line="136" w:lineRule="exact"/>
        <w:rPr>
          <w:sz w:val="20"/>
          <w:szCs w:val="20"/>
          <w:color w:val="auto"/>
        </w:rPr>
      </w:pPr>
    </w:p>
    <w:p>
      <w:pPr>
        <w:ind w:right="280"/>
        <w:spacing w:after="0" w:line="259" w:lineRule="auto"/>
        <w:rPr>
          <w:sz w:val="20"/>
          <w:szCs w:val="20"/>
          <w:color w:val="auto"/>
        </w:rPr>
      </w:pPr>
      <w:r>
        <w:rPr>
          <w:rFonts w:ascii="Arial" w:cs="Arial" w:eastAsia="Arial" w:hAnsi="Arial"/>
          <w:sz w:val="20"/>
          <w:szCs w:val="20"/>
          <w:color w:val="1E1E1E"/>
        </w:rPr>
        <w:t>In order to mitigate data or security incidents that may originate from third party vendors or suppliers, we conduct both privacy and security assessments to properly identify, prioritize, assess and remediate any third-party risks, and require security and privacy addenda to our contracts where applicable.</w:t>
      </w:r>
    </w:p>
    <w:p>
      <w:pPr>
        <w:spacing w:after="0" w:line="175" w:lineRule="exact"/>
        <w:rPr>
          <w:sz w:val="20"/>
          <w:szCs w:val="20"/>
          <w:color w:val="auto"/>
        </w:rPr>
      </w:pPr>
    </w:p>
    <w:p>
      <w:pPr>
        <w:ind w:right="120"/>
        <w:spacing w:after="0" w:line="266" w:lineRule="auto"/>
        <w:rPr>
          <w:sz w:val="20"/>
          <w:szCs w:val="20"/>
          <w:color w:val="auto"/>
        </w:rPr>
      </w:pPr>
      <w:r>
        <w:rPr>
          <w:rFonts w:ascii="Arial" w:cs="Arial" w:eastAsia="Arial" w:hAnsi="Arial"/>
          <w:sz w:val="19"/>
          <w:szCs w:val="19"/>
          <w:color w:val="1E1E1E"/>
        </w:rPr>
        <w:t>The nature of our business exposes us to cybersecurity threats and attacks that can lead to the unauthorized acquisition or access, compromise, loss, misuse or theft of our data, including personal information, confidential information or intellectual property. To date, risks from cybersecurity threats, including as a result of any previous cybersecurity incidents, have not materially affected the Company, including our business strategy, results of operations, or financial condition. Also see Part 1, Item 1A, Risk Factors, in this Annual Report on Form 10-K for a discussion of cybersecurity risks.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1E1E1E"/>
        </w:rPr>
        <w:t>Governance</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20"/>
          <w:szCs w:val="20"/>
          <w:color w:val="1E1E1E"/>
        </w:rPr>
        <w:t>Our Board is ultimately responsible for the risk oversight of the Company, including cybersecurity and privacy risks. Our Board has delegated day-to-day responsibility for oversight of cybersecurity risks to the Cyber Committee. The Cyber Committee is composed of board members with diverse expertise including risk management, technology, and finance, equipping them to oversee cybersecurity risks effectively.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1E1E1E"/>
        </w:rPr>
        <w:t>Pursuant to its charter, our Cyber Committee:</w:t>
      </w:r>
    </w:p>
    <w:p>
      <w:pPr>
        <w:spacing w:after="0" w:line="135" w:lineRule="exact"/>
        <w:rPr>
          <w:sz w:val="20"/>
          <w:szCs w:val="20"/>
          <w:color w:val="auto"/>
        </w:rPr>
      </w:pPr>
    </w:p>
    <w:p>
      <w:pPr>
        <w:ind w:left="980" w:right="420"/>
        <w:spacing w:after="0" w:line="306" w:lineRule="auto"/>
        <w:rPr>
          <w:sz w:val="20"/>
          <w:szCs w:val="20"/>
          <w:color w:val="auto"/>
        </w:rPr>
      </w:pPr>
      <w:r>
        <w:rPr>
          <w:rFonts w:ascii="Arial" w:cs="Arial" w:eastAsia="Arial" w:hAnsi="Arial"/>
          <w:sz w:val="19"/>
          <w:szCs w:val="19"/>
          <w:color w:val="1E1E1E"/>
        </w:rPr>
        <w:t>assists our Board in fulfilling its risk oversight responsibilities with respect to the protection of the Company’s assets, including confidential, proprietary and personal information, reputation and goodwill in all 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-294005</wp:posOffset>
            </wp:positionV>
            <wp:extent cx="71120" cy="711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6" w:lineRule="exact"/>
        <w:rPr>
          <w:sz w:val="20"/>
          <w:szCs w:val="20"/>
          <w:color w:val="auto"/>
        </w:rPr>
      </w:pPr>
    </w:p>
    <w:p>
      <w:pPr>
        <w:ind w:left="980"/>
        <w:spacing w:after="0"/>
        <w:rPr>
          <w:sz w:val="20"/>
          <w:szCs w:val="20"/>
          <w:color w:val="auto"/>
        </w:rPr>
      </w:pPr>
      <w:r>
        <w:rPr>
          <w:rFonts w:ascii="Arial" w:cs="Arial" w:eastAsia="Arial" w:hAnsi="Arial"/>
          <w:sz w:val="20"/>
          <w:szCs w:val="20"/>
          <w:color w:val="1E1E1E"/>
        </w:rPr>
        <w:t>supervises and monitors the soundness of our cybersecurity and data protection strategies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-85725</wp:posOffset>
            </wp:positionV>
            <wp:extent cx="71120" cy="711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ectPr>
          <w:pgSz w:w="11880" w:h="15480" w:orient="portrait"/>
          <w:cols w:equalWidth="0" w:num="1">
            <w:col w:w="10800"/>
          </w:cols>
          <w:pgMar w:left="540" w:top="653" w:right="540" w:bottom="31"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19</w:t>
      </w:r>
    </w:p>
    <w:p>
      <w:pPr>
        <w:sectPr>
          <w:pgSz w:w="11880" w:h="15480" w:orient="portrait"/>
          <w:cols w:equalWidth="0" w:num="1">
            <w:col w:w="10800"/>
          </w:cols>
          <w:pgMar w:left="540" w:top="653" w:right="540" w:bottom="31" w:gutter="0" w:footer="0" w:header="0"/>
          <w:type w:val="continuous"/>
        </w:sectPr>
      </w:pPr>
    </w:p>
    <w:bookmarkStart w:id="21" w:name="page22"/>
    <w:bookmarkEnd w:id="21"/>
    <w:p>
      <w:pPr>
        <w:ind w:left="980" w:right="220"/>
        <w:spacing w:after="0" w:line="279" w:lineRule="auto"/>
        <w:rPr>
          <w:sz w:val="20"/>
          <w:szCs w:val="20"/>
          <w:color w:val="auto"/>
        </w:rPr>
      </w:pPr>
      <w:r>
        <w:rPr>
          <w:rFonts w:ascii="Arial" w:cs="Arial" w:eastAsia="Arial" w:hAnsi="Arial"/>
          <w:sz w:val="20"/>
          <w:szCs w:val="20"/>
          <w:color w:val="1E1E1E"/>
        </w:rPr>
        <w:t>oversees and monitors our material compliance with applicable information security, privacy and data protection laws, industry standards and contractual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-279400</wp:posOffset>
            </wp:positionV>
            <wp:extent cx="71120" cy="711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40" w:lineRule="exact"/>
        <w:rPr>
          <w:sz w:val="20"/>
          <w:szCs w:val="20"/>
          <w:color w:val="auto"/>
        </w:rPr>
      </w:pPr>
    </w:p>
    <w:p>
      <w:pPr>
        <w:ind w:left="980" w:right="40"/>
        <w:spacing w:after="0" w:line="306" w:lineRule="auto"/>
        <w:rPr>
          <w:sz w:val="20"/>
          <w:szCs w:val="20"/>
          <w:color w:val="auto"/>
        </w:rPr>
      </w:pPr>
      <w:r>
        <w:rPr>
          <w:rFonts w:ascii="Arial" w:cs="Arial" w:eastAsia="Arial" w:hAnsi="Arial"/>
          <w:sz w:val="19"/>
          <w:szCs w:val="19"/>
          <w:color w:val="1E1E1E"/>
        </w:rPr>
        <w:t>promotes and furthers the integrity, adoption and coordination of our data security processes across the Company to help ensure that data and system security is a Company-wide business objective and priority;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-294005</wp:posOffset>
            </wp:positionV>
            <wp:extent cx="71120" cy="711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8" w:lineRule="exact"/>
        <w:rPr>
          <w:sz w:val="20"/>
          <w:szCs w:val="20"/>
          <w:color w:val="auto"/>
        </w:rPr>
      </w:pPr>
    </w:p>
    <w:p>
      <w:pPr>
        <w:ind w:left="980"/>
        <w:spacing w:after="0" w:line="276" w:lineRule="auto"/>
        <w:rPr>
          <w:sz w:val="20"/>
          <w:szCs w:val="20"/>
          <w:color w:val="auto"/>
        </w:rPr>
      </w:pPr>
      <w:r>
        <w:rPr>
          <w:rFonts w:ascii="Arial" w:cs="Arial" w:eastAsia="Arial" w:hAnsi="Arial"/>
          <w:sz w:val="20"/>
          <w:szCs w:val="20"/>
          <w:color w:val="1E1E1E"/>
        </w:rPr>
        <w:t>oversees our cybersecurity and data protection performance and the overall implementation of our cybersecurity and data protection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-275590</wp:posOffset>
            </wp:positionV>
            <wp:extent cx="71120" cy="711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40"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1E1E1E"/>
        </w:rPr>
        <w:t>At the management level, our Chief Technology Officer (“CTO”), SVP, Technology and Information as well as our cybersecurity personnel are primarily responsible for identifying, assessing, monitoring and managing our cybersecurity. Our CTO reports directly to our President and Chief Executive Officer and at least quarterly meets with the Cyber Committee. Our current CTO has over 35 years of industry experience, including serving as CIO/CTO for over 6 years and having extensive experience in developing and leading technology risk management programs. Additionally, our technology staff holds multiple industry standard security certifications, including Cisco Certified Network Associate ("CCNA"), PCI Internal Security Assessor ("PCI ISA") and Certified Ethical Hacker ("CEH").</w:t>
      </w:r>
    </w:p>
    <w:p>
      <w:pPr>
        <w:sectPr>
          <w:pgSz w:w="11880" w:h="15480" w:orient="portrait"/>
          <w:cols w:equalWidth="0" w:num="1">
            <w:col w:w="10680"/>
          </w:cols>
          <w:pgMar w:left="540" w:top="671" w:right="66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1E1E1E"/>
        </w:rPr>
        <w:t>20</w:t>
      </w:r>
    </w:p>
    <w:p>
      <w:pPr>
        <w:sectPr>
          <w:pgSz w:w="11880" w:h="15480" w:orient="portrait"/>
          <w:cols w:equalWidth="0" w:num="1">
            <w:col w:w="10680"/>
          </w:cols>
          <w:pgMar w:left="540" w:top="671" w:right="660" w:bottom="31" w:gutter="0" w:footer="0" w:header="0"/>
          <w:type w:val="continuous"/>
        </w:sectPr>
      </w:pPr>
    </w:p>
    <w:bookmarkStart w:id="22" w:name="page23"/>
    <w:bookmarkEnd w:id="22"/>
    <w:p>
      <w:pPr>
        <w:spacing w:after="0"/>
        <w:rPr>
          <w:sz w:val="20"/>
          <w:szCs w:val="20"/>
          <w:color w:val="auto"/>
        </w:rPr>
      </w:pPr>
      <w:r>
        <w:rPr>
          <w:rFonts w:ascii="Arial" w:cs="Arial" w:eastAsia="Arial" w:hAnsi="Arial"/>
          <w:sz w:val="20"/>
          <w:szCs w:val="20"/>
          <w:color w:val="1E1E1E"/>
        </w:rPr>
        <w:t>Item 2. Properties</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9"/>
          <w:szCs w:val="19"/>
          <w:color w:val="1E1E1E"/>
        </w:rPr>
        <w:t>Our corporate offices and retail distribution center are located at 555 Turnpike Street in Canton, Massachusetts. The property consists of a 755,992 gross square foot building located on approximately 27.3 acres. We owned the property until January 30, 2006, at which time we entered into a sale-leaseback transaction, whereby we entered into a twenty-year lease agreement for an initial annual rent payment of $4.6 million, with periodic increases every fifth anniversary of the lease.</w:t>
      </w:r>
    </w:p>
    <w:p>
      <w:pPr>
        <w:spacing w:after="0" w:line="176" w:lineRule="exact"/>
        <w:rPr>
          <w:sz w:val="20"/>
          <w:szCs w:val="20"/>
          <w:color w:val="auto"/>
        </w:rPr>
      </w:pPr>
    </w:p>
    <w:p>
      <w:pPr>
        <w:ind w:right="280"/>
        <w:spacing w:after="0" w:line="266" w:lineRule="auto"/>
        <w:rPr>
          <w:sz w:val="20"/>
          <w:szCs w:val="20"/>
          <w:color w:val="auto"/>
        </w:rPr>
      </w:pPr>
      <w:r>
        <w:rPr>
          <w:rFonts w:ascii="Arial" w:cs="Arial" w:eastAsia="Arial" w:hAnsi="Arial"/>
          <w:sz w:val="19"/>
          <w:szCs w:val="19"/>
          <w:color w:val="1E1E1E"/>
        </w:rPr>
        <w:t>As of February 3, 2024, we operated 232 Destination XL retail stores, 15 Destination XL outlet stores, 17 Casual Male XL retail stores and 19 Casual Male XL outlet stores. We lease all of these stores directly from owners of several different types of centers, including life-style centers, shopping centers, freestanding buildings, outlet centers and downtown locations. The store leases are generally 5 to 10 years in length and contain renewal options extending their terms by between 5 and 10 years. Following this discussion is a listing by state of all store locations open at February 3, 2024.</w:t>
      </w:r>
    </w:p>
    <w:p>
      <w:pPr>
        <w:spacing w:after="0" w:line="181"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color w:val="1E1E1E"/>
        </w:rPr>
        <w:t>Sites for new stores are selected based on several factors, including population and density levels,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sales to invested capital ratio, and return on investment requirements.</w:t>
      </w:r>
    </w:p>
    <w:p>
      <w:pPr>
        <w:sectPr>
          <w:pgSz w:w="11880" w:h="15480" w:orient="portrait"/>
          <w:cols w:equalWidth="0" w:num="1">
            <w:col w:w="10700"/>
          </w:cols>
          <w:pgMar w:left="540" w:top="653" w:right="6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1E1E1E"/>
        </w:rPr>
        <w:t>21</w:t>
      </w:r>
    </w:p>
    <w:p>
      <w:pPr>
        <w:sectPr>
          <w:pgSz w:w="11880" w:h="15480" w:orient="portrait"/>
          <w:cols w:equalWidth="0" w:num="1">
            <w:col w:w="10700"/>
          </w:cols>
          <w:pgMar w:left="540" w:top="653" w:right="640" w:bottom="31" w:gutter="0" w:footer="0" w:header="0"/>
          <w:type w:val="continuous"/>
        </w:sectPr>
      </w:pPr>
    </w:p>
    <w:bookmarkStart w:id="23" w:name="page24"/>
    <w:bookmarkEnd w:id="23"/>
    <w:p>
      <w:pPr>
        <w:jc w:val="center"/>
        <w:ind w:right="-219"/>
        <w:spacing w:after="0"/>
        <w:rPr>
          <w:sz w:val="20"/>
          <w:szCs w:val="20"/>
          <w:color w:val="auto"/>
        </w:rPr>
      </w:pPr>
      <w:r>
        <w:rPr>
          <w:rFonts w:ascii="Arial" w:cs="Arial" w:eastAsia="Arial" w:hAnsi="Arial"/>
          <w:sz w:val="20"/>
          <w:szCs w:val="20"/>
          <w:u w:val="single" w:color="auto"/>
          <w:color w:val="1E1E1E"/>
        </w:rPr>
        <w:t>Store count by state at February 3, 2024</w:t>
      </w:r>
    </w:p>
    <w:p>
      <w:pPr>
        <w:spacing w:after="0" w:line="209" w:lineRule="exact"/>
        <w:rPr>
          <w:sz w:val="20"/>
          <w:szCs w:val="20"/>
          <w:color w:val="auto"/>
        </w:rPr>
      </w:pPr>
    </w:p>
    <w:tbl>
      <w:tblPr>
        <w:tblLayout w:type="fixed"/>
        <w:tblInd w:w="162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1E1E1E"/>
                <w:w w:val="92"/>
              </w:rPr>
              <w:t>Casual Male XL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60" w:type="dxa"/>
            <w:vAlign w:val="bottom"/>
            <w:gridSpan w:val="2"/>
            <w:vMerge w:val="restart"/>
          </w:tcPr>
          <w:p>
            <w:pPr>
              <w:spacing w:after="0"/>
              <w:rPr>
                <w:sz w:val="20"/>
                <w:szCs w:val="20"/>
                <w:color w:val="auto"/>
              </w:rPr>
            </w:pPr>
            <w:r>
              <w:rPr>
                <w:rFonts w:ascii="Arial" w:cs="Arial" w:eastAsia="Arial" w:hAnsi="Arial"/>
                <w:sz w:val="16"/>
                <w:szCs w:val="16"/>
                <w:color w:val="1E1E1E"/>
              </w:rPr>
              <w:t>United States</w:t>
            </w:r>
          </w:p>
        </w:tc>
        <w:tc>
          <w:tcPr>
            <w:tcW w:w="1080" w:type="dxa"/>
            <w:vAlign w:val="bottom"/>
          </w:tcPr>
          <w:p>
            <w:pPr>
              <w:jc w:val="right"/>
              <w:spacing w:after="0" w:line="182" w:lineRule="exact"/>
              <w:rPr>
                <w:sz w:val="20"/>
                <w:szCs w:val="20"/>
                <w:color w:val="auto"/>
              </w:rPr>
            </w:pPr>
            <w:r>
              <w:rPr>
                <w:rFonts w:ascii="Arial" w:cs="Arial" w:eastAsia="Arial" w:hAnsi="Arial"/>
                <w:sz w:val="16"/>
                <w:szCs w:val="16"/>
                <w:color w:val="1E1E1E"/>
                <w:w w:val="98"/>
              </w:rPr>
              <w:t>DXL retail and</w:t>
            </w:r>
          </w:p>
        </w:tc>
        <w:tc>
          <w:tcPr>
            <w:tcW w:w="80" w:type="dxa"/>
            <w:vAlign w:val="bottom"/>
          </w:tcPr>
          <w:p>
            <w:pPr>
              <w:spacing w:after="0"/>
              <w:rPr>
                <w:sz w:val="15"/>
                <w:szCs w:val="15"/>
                <w:color w:val="auto"/>
              </w:rPr>
            </w:pPr>
          </w:p>
        </w:tc>
        <w:tc>
          <w:tcPr>
            <w:tcW w:w="1160" w:type="dxa"/>
            <w:vAlign w:val="bottom"/>
          </w:tcPr>
          <w:p>
            <w:pPr>
              <w:jc w:val="center"/>
              <w:spacing w:after="0" w:line="182" w:lineRule="exact"/>
              <w:rPr>
                <w:sz w:val="20"/>
                <w:szCs w:val="20"/>
                <w:color w:val="auto"/>
              </w:rPr>
            </w:pPr>
            <w:r>
              <w:rPr>
                <w:rFonts w:ascii="Arial" w:cs="Arial" w:eastAsia="Arial" w:hAnsi="Arial"/>
                <w:sz w:val="16"/>
                <w:szCs w:val="16"/>
                <w:color w:val="1E1E1E"/>
                <w:w w:val="91"/>
              </w:rPr>
              <w:t>retail and outlet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160" w:type="dxa"/>
            <w:vAlign w:val="bottom"/>
            <w:gridSpan w:val="2"/>
            <w:vMerge w:val="continue"/>
          </w:tcPr>
          <w:p>
            <w:pPr>
              <w:spacing w:after="0"/>
              <w:rPr>
                <w:sz w:val="17"/>
                <w:szCs w:val="17"/>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1E1E1E"/>
              </w:rPr>
              <w:t>outlet stores</w:t>
            </w:r>
          </w:p>
        </w:tc>
        <w:tc>
          <w:tcPr>
            <w:tcW w:w="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1E1E1E"/>
                <w:w w:val="82"/>
              </w:rPr>
              <w:t>stores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920" w:type="dxa"/>
            <w:vAlign w:val="bottom"/>
            <w:tcBorders>
              <w:top w:val="single" w:sz="8" w:color="1E1E1E"/>
            </w:tcBorders>
            <w:shd w:val="clear" w:color="auto" w:fill="E4E4E4"/>
          </w:tcPr>
          <w:p>
            <w:pPr>
              <w:ind w:left="100"/>
              <w:spacing w:after="0" w:line="171" w:lineRule="exact"/>
              <w:rPr>
                <w:sz w:val="20"/>
                <w:szCs w:val="20"/>
                <w:color w:val="auto"/>
              </w:rPr>
            </w:pPr>
            <w:r>
              <w:rPr>
                <w:rFonts w:ascii="Arial" w:cs="Arial" w:eastAsia="Arial" w:hAnsi="Arial"/>
                <w:sz w:val="16"/>
                <w:szCs w:val="16"/>
                <w:color w:val="1E1E1E"/>
              </w:rPr>
              <w:t>Alabama</w:t>
            </w:r>
          </w:p>
        </w:tc>
        <w:tc>
          <w:tcPr>
            <w:tcW w:w="4240" w:type="dxa"/>
            <w:vAlign w:val="bottom"/>
            <w:tcBorders>
              <w:top w:val="single" w:sz="8" w:color="E4E4E4"/>
            </w:tcBorders>
            <w:shd w:val="clear" w:color="auto" w:fill="E4E4E4"/>
          </w:tcPr>
          <w:p>
            <w:pPr>
              <w:spacing w:after="0"/>
              <w:rPr>
                <w:sz w:val="14"/>
                <w:szCs w:val="14"/>
                <w:color w:val="auto"/>
              </w:rPr>
            </w:pPr>
          </w:p>
        </w:tc>
        <w:tc>
          <w:tcPr>
            <w:tcW w:w="1080" w:type="dxa"/>
            <w:vAlign w:val="bottom"/>
            <w:tcBorders>
              <w:top w:val="single" w:sz="8" w:color="1E1E1E"/>
            </w:tcBorders>
            <w:shd w:val="clear" w:color="auto" w:fill="E4E4E4"/>
          </w:tcPr>
          <w:p>
            <w:pPr>
              <w:jc w:val="right"/>
              <w:spacing w:after="0" w:line="171" w:lineRule="exact"/>
              <w:rPr>
                <w:sz w:val="20"/>
                <w:szCs w:val="20"/>
                <w:color w:val="auto"/>
              </w:rPr>
            </w:pPr>
            <w:r>
              <w:rPr>
                <w:rFonts w:ascii="Arial" w:cs="Arial" w:eastAsia="Arial" w:hAnsi="Arial"/>
                <w:sz w:val="16"/>
                <w:szCs w:val="16"/>
                <w:color w:val="1E1E1E"/>
              </w:rPr>
              <w:t>2</w:t>
            </w:r>
          </w:p>
        </w:tc>
        <w:tc>
          <w:tcPr>
            <w:tcW w:w="80" w:type="dxa"/>
            <w:vAlign w:val="bottom"/>
            <w:tcBorders>
              <w:top w:val="single" w:sz="8" w:color="E4E4E4"/>
            </w:tcBorders>
            <w:shd w:val="clear" w:color="auto" w:fill="E4E4E4"/>
          </w:tcPr>
          <w:p>
            <w:pPr>
              <w:spacing w:after="0"/>
              <w:rPr>
                <w:sz w:val="14"/>
                <w:szCs w:val="14"/>
                <w:color w:val="auto"/>
              </w:rPr>
            </w:pPr>
          </w:p>
        </w:tc>
        <w:tc>
          <w:tcPr>
            <w:tcW w:w="1160" w:type="dxa"/>
            <w:vAlign w:val="bottom"/>
            <w:tcBorders>
              <w:top w:val="single" w:sz="8" w:color="1E1E1E"/>
            </w:tcBorders>
            <w:shd w:val="clear" w:color="auto" w:fill="E4E4E4"/>
          </w:tcPr>
          <w:p>
            <w:pPr>
              <w:jc w:val="right"/>
              <w:spacing w:after="0" w:line="171" w:lineRule="exact"/>
              <w:rPr>
                <w:sz w:val="20"/>
                <w:szCs w:val="20"/>
                <w:color w:val="auto"/>
              </w:rPr>
            </w:pPr>
            <w:r>
              <w:rPr>
                <w:rFonts w:ascii="Arial" w:cs="Arial" w:eastAsia="Arial" w:hAnsi="Arial"/>
                <w:sz w:val="16"/>
                <w:szCs w:val="16"/>
                <w:color w:val="1E1E1E"/>
              </w:rPr>
              <w:t>1</w:t>
            </w:r>
          </w:p>
        </w:tc>
        <w:tc>
          <w:tcPr>
            <w:tcW w:w="80" w:type="dxa"/>
            <w:vAlign w:val="bottom"/>
            <w:tcBorders>
              <w:top w:val="single" w:sz="8" w:color="E4E4E4"/>
            </w:tcBorders>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60" w:type="dxa"/>
            <w:vAlign w:val="bottom"/>
            <w:gridSpan w:val="2"/>
          </w:tcPr>
          <w:p>
            <w:pPr>
              <w:ind w:left="100"/>
              <w:spacing w:after="0"/>
              <w:rPr>
                <w:sz w:val="20"/>
                <w:szCs w:val="20"/>
                <w:color w:val="auto"/>
              </w:rPr>
            </w:pPr>
            <w:r>
              <w:rPr>
                <w:rFonts w:ascii="Arial" w:cs="Arial" w:eastAsia="Arial" w:hAnsi="Arial"/>
                <w:sz w:val="16"/>
                <w:szCs w:val="16"/>
                <w:color w:val="1E1E1E"/>
              </w:rPr>
              <w:t>Arizona</w:t>
            </w:r>
          </w:p>
        </w:tc>
        <w:tc>
          <w:tcPr>
            <w:tcW w:w="1080" w:type="dxa"/>
            <w:vAlign w:val="bottom"/>
          </w:tcPr>
          <w:p>
            <w:pPr>
              <w:jc w:val="right"/>
              <w:spacing w:after="0"/>
              <w:rPr>
                <w:sz w:val="20"/>
                <w:szCs w:val="20"/>
                <w:color w:val="auto"/>
              </w:rPr>
            </w:pPr>
            <w:r>
              <w:rPr>
                <w:rFonts w:ascii="Arial" w:cs="Arial" w:eastAsia="Arial" w:hAnsi="Arial"/>
                <w:sz w:val="16"/>
                <w:szCs w:val="16"/>
                <w:color w:val="1E1E1E"/>
              </w:rPr>
              <w:t>5</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60" w:type="dxa"/>
            <w:vAlign w:val="bottom"/>
            <w:gridSpan w:val="2"/>
            <w:shd w:val="clear" w:color="auto" w:fill="E4E4E4"/>
          </w:tcPr>
          <w:p>
            <w:pPr>
              <w:ind w:left="100"/>
              <w:spacing w:after="0" w:line="182" w:lineRule="exact"/>
              <w:rPr>
                <w:sz w:val="20"/>
                <w:szCs w:val="20"/>
                <w:color w:val="auto"/>
              </w:rPr>
            </w:pPr>
            <w:r>
              <w:rPr>
                <w:rFonts w:ascii="Arial" w:cs="Arial" w:eastAsia="Arial" w:hAnsi="Arial"/>
                <w:sz w:val="16"/>
                <w:szCs w:val="16"/>
                <w:color w:val="1E1E1E"/>
              </w:rPr>
              <w:t>Arkansas</w:t>
            </w:r>
          </w:p>
        </w:tc>
        <w:tc>
          <w:tcPr>
            <w:tcW w:w="1080" w:type="dxa"/>
            <w:vAlign w:val="bottom"/>
            <w:shd w:val="clear" w:color="auto" w:fill="E4E4E4"/>
          </w:tcPr>
          <w:p>
            <w:pPr>
              <w:jc w:val="right"/>
              <w:spacing w:after="0" w:line="182" w:lineRule="exact"/>
              <w:rPr>
                <w:sz w:val="20"/>
                <w:szCs w:val="20"/>
                <w:color w:val="auto"/>
              </w:rPr>
            </w:pPr>
            <w:r>
              <w:rPr>
                <w:rFonts w:ascii="Arial" w:cs="Arial" w:eastAsia="Arial" w:hAnsi="Arial"/>
                <w:sz w:val="16"/>
                <w:szCs w:val="16"/>
                <w:color w:val="1E1E1E"/>
              </w:rPr>
              <w:t>—</w:t>
            </w:r>
          </w:p>
        </w:tc>
        <w:tc>
          <w:tcPr>
            <w:tcW w:w="1240" w:type="dxa"/>
            <w:vAlign w:val="bottom"/>
            <w:gridSpan w:val="2"/>
            <w:shd w:val="clear" w:color="auto" w:fill="E4E4E4"/>
          </w:tcPr>
          <w:p>
            <w:pPr>
              <w:jc w:val="right"/>
              <w:spacing w:after="0" w:line="182" w:lineRule="exact"/>
              <w:rPr>
                <w:sz w:val="20"/>
                <w:szCs w:val="20"/>
                <w:color w:val="auto"/>
              </w:rPr>
            </w:pPr>
            <w:r>
              <w:rPr>
                <w:rFonts w:ascii="Arial" w:cs="Arial" w:eastAsia="Arial" w:hAnsi="Arial"/>
                <w:sz w:val="16"/>
                <w:szCs w:val="16"/>
                <w:color w:val="1E1E1E"/>
              </w:rPr>
              <w:t>1</w:t>
            </w:r>
          </w:p>
        </w:tc>
        <w:tc>
          <w:tcPr>
            <w:tcW w:w="80" w:type="dxa"/>
            <w:vAlign w:val="bottom"/>
            <w:shd w:val="clear" w:color="auto" w:fill="E4E4E4"/>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60" w:type="dxa"/>
            <w:vAlign w:val="bottom"/>
            <w:gridSpan w:val="2"/>
          </w:tcPr>
          <w:p>
            <w:pPr>
              <w:ind w:left="100"/>
              <w:spacing w:after="0"/>
              <w:rPr>
                <w:sz w:val="20"/>
                <w:szCs w:val="20"/>
                <w:color w:val="auto"/>
              </w:rPr>
            </w:pPr>
            <w:r>
              <w:rPr>
                <w:rFonts w:ascii="Arial" w:cs="Arial" w:eastAsia="Arial" w:hAnsi="Arial"/>
                <w:sz w:val="16"/>
                <w:szCs w:val="16"/>
                <w:color w:val="1E1E1E"/>
              </w:rPr>
              <w:t>California</w:t>
            </w:r>
          </w:p>
        </w:tc>
        <w:tc>
          <w:tcPr>
            <w:tcW w:w="1080" w:type="dxa"/>
            <w:vAlign w:val="bottom"/>
          </w:tcPr>
          <w:p>
            <w:pPr>
              <w:jc w:val="right"/>
              <w:spacing w:after="0"/>
              <w:rPr>
                <w:sz w:val="20"/>
                <w:szCs w:val="20"/>
                <w:color w:val="auto"/>
              </w:rPr>
            </w:pPr>
            <w:r>
              <w:rPr>
                <w:rFonts w:ascii="Arial" w:cs="Arial" w:eastAsia="Arial" w:hAnsi="Arial"/>
                <w:sz w:val="16"/>
                <w:szCs w:val="16"/>
                <w:color w:val="1E1E1E"/>
              </w:rPr>
              <w:t>25</w:t>
            </w:r>
          </w:p>
        </w:tc>
        <w:tc>
          <w:tcPr>
            <w:tcW w:w="1240" w:type="dxa"/>
            <w:vAlign w:val="bottom"/>
            <w:gridSpan w:val="2"/>
          </w:tcPr>
          <w:p>
            <w:pPr>
              <w:jc w:val="right"/>
              <w:spacing w:after="0"/>
              <w:rPr>
                <w:sz w:val="20"/>
                <w:szCs w:val="20"/>
                <w:color w:val="auto"/>
              </w:rPr>
            </w:pPr>
            <w:r>
              <w:rPr>
                <w:rFonts w:ascii="Arial" w:cs="Arial" w:eastAsia="Arial" w:hAnsi="Arial"/>
                <w:sz w:val="16"/>
                <w:szCs w:val="16"/>
                <w:color w:val="1E1E1E"/>
              </w:rPr>
              <w:t>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60" w:type="dxa"/>
            <w:vAlign w:val="bottom"/>
            <w:gridSpan w:val="2"/>
            <w:shd w:val="clear" w:color="auto" w:fill="E4E4E4"/>
          </w:tcPr>
          <w:p>
            <w:pPr>
              <w:ind w:left="100"/>
              <w:spacing w:after="0"/>
              <w:rPr>
                <w:sz w:val="20"/>
                <w:szCs w:val="20"/>
                <w:color w:val="auto"/>
              </w:rPr>
            </w:pPr>
            <w:r>
              <w:rPr>
                <w:rFonts w:ascii="Arial" w:cs="Arial" w:eastAsia="Arial" w:hAnsi="Arial"/>
                <w:sz w:val="16"/>
                <w:szCs w:val="16"/>
                <w:color w:val="1E1E1E"/>
              </w:rPr>
              <w:t>Colorado</w:t>
            </w:r>
          </w:p>
        </w:tc>
        <w:tc>
          <w:tcPr>
            <w:tcW w:w="1080" w:type="dxa"/>
            <w:vAlign w:val="bottom"/>
            <w:shd w:val="clear" w:color="auto" w:fill="E4E4E4"/>
          </w:tcPr>
          <w:p>
            <w:pPr>
              <w:jc w:val="right"/>
              <w:spacing w:after="0"/>
              <w:rPr>
                <w:sz w:val="20"/>
                <w:szCs w:val="20"/>
                <w:color w:val="auto"/>
              </w:rPr>
            </w:pPr>
            <w:r>
              <w:rPr>
                <w:rFonts w:ascii="Arial" w:cs="Arial" w:eastAsia="Arial" w:hAnsi="Arial"/>
                <w:sz w:val="16"/>
                <w:szCs w:val="16"/>
                <w:color w:val="1E1E1E"/>
              </w:rPr>
              <w:t>3</w:t>
            </w:r>
          </w:p>
        </w:tc>
        <w:tc>
          <w:tcPr>
            <w:tcW w:w="80" w:type="dxa"/>
            <w:vAlign w:val="bottom"/>
            <w:shd w:val="clear" w:color="auto" w:fill="E4E4E4"/>
          </w:tcPr>
          <w:p>
            <w:pPr>
              <w:spacing w:after="0"/>
              <w:rPr>
                <w:sz w:val="16"/>
                <w:szCs w:val="16"/>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color w:val="1E1E1E"/>
              </w:rPr>
              <w:t>—</w:t>
            </w:r>
          </w:p>
        </w:tc>
        <w:tc>
          <w:tcPr>
            <w:tcW w:w="8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60" w:type="dxa"/>
            <w:vAlign w:val="bottom"/>
            <w:gridSpan w:val="2"/>
          </w:tcPr>
          <w:p>
            <w:pPr>
              <w:ind w:left="100"/>
              <w:spacing w:after="0" w:line="182" w:lineRule="exact"/>
              <w:rPr>
                <w:sz w:val="20"/>
                <w:szCs w:val="20"/>
                <w:color w:val="auto"/>
              </w:rPr>
            </w:pPr>
            <w:r>
              <w:rPr>
                <w:rFonts w:ascii="Arial" w:cs="Arial" w:eastAsia="Arial" w:hAnsi="Arial"/>
                <w:sz w:val="16"/>
                <w:szCs w:val="16"/>
                <w:color w:val="1E1E1E"/>
              </w:rPr>
              <w:t>Connecticut</w:t>
            </w:r>
          </w:p>
        </w:tc>
        <w:tc>
          <w:tcPr>
            <w:tcW w:w="1080" w:type="dxa"/>
            <w:vAlign w:val="bottom"/>
          </w:tcPr>
          <w:p>
            <w:pPr>
              <w:jc w:val="right"/>
              <w:spacing w:after="0" w:line="182" w:lineRule="exact"/>
              <w:rPr>
                <w:sz w:val="20"/>
                <w:szCs w:val="20"/>
                <w:color w:val="auto"/>
              </w:rPr>
            </w:pPr>
            <w:r>
              <w:rPr>
                <w:rFonts w:ascii="Arial" w:cs="Arial" w:eastAsia="Arial" w:hAnsi="Arial"/>
                <w:sz w:val="16"/>
                <w:szCs w:val="16"/>
                <w:color w:val="1E1E1E"/>
              </w:rPr>
              <w:t>3</w:t>
            </w:r>
          </w:p>
        </w:tc>
        <w:tc>
          <w:tcPr>
            <w:tcW w:w="8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1E1E1E"/>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60" w:type="dxa"/>
            <w:vAlign w:val="bottom"/>
            <w:gridSpan w:val="2"/>
            <w:shd w:val="clear" w:color="auto" w:fill="E4E4E4"/>
          </w:tcPr>
          <w:p>
            <w:pPr>
              <w:ind w:left="100"/>
              <w:spacing w:after="0"/>
              <w:rPr>
                <w:sz w:val="20"/>
                <w:szCs w:val="20"/>
                <w:color w:val="auto"/>
              </w:rPr>
            </w:pPr>
            <w:r>
              <w:rPr>
                <w:rFonts w:ascii="Arial" w:cs="Arial" w:eastAsia="Arial" w:hAnsi="Arial"/>
                <w:sz w:val="16"/>
                <w:szCs w:val="16"/>
                <w:color w:val="1E1E1E"/>
              </w:rPr>
              <w:t>Delaware</w:t>
            </w:r>
          </w:p>
        </w:tc>
        <w:tc>
          <w:tcPr>
            <w:tcW w:w="1080" w:type="dxa"/>
            <w:vAlign w:val="bottom"/>
            <w:shd w:val="clear" w:color="auto" w:fill="E4E4E4"/>
          </w:tcPr>
          <w:p>
            <w:pPr>
              <w:jc w:val="right"/>
              <w:spacing w:after="0"/>
              <w:rPr>
                <w:sz w:val="20"/>
                <w:szCs w:val="20"/>
                <w:color w:val="auto"/>
              </w:rPr>
            </w:pPr>
            <w:r>
              <w:rPr>
                <w:rFonts w:ascii="Arial" w:cs="Arial" w:eastAsia="Arial" w:hAnsi="Arial"/>
                <w:sz w:val="16"/>
                <w:szCs w:val="16"/>
                <w:color w:val="1E1E1E"/>
              </w:rPr>
              <w:t>2</w:t>
            </w:r>
          </w:p>
        </w:tc>
        <w:tc>
          <w:tcPr>
            <w:tcW w:w="80" w:type="dxa"/>
            <w:vAlign w:val="bottom"/>
            <w:shd w:val="clear" w:color="auto" w:fill="E4E4E4"/>
          </w:tcPr>
          <w:p>
            <w:pPr>
              <w:spacing w:after="0"/>
              <w:rPr>
                <w:sz w:val="16"/>
                <w:szCs w:val="16"/>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color w:val="1E1E1E"/>
              </w:rPr>
              <w:t>—</w:t>
            </w:r>
          </w:p>
        </w:tc>
        <w:tc>
          <w:tcPr>
            <w:tcW w:w="8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60" w:type="dxa"/>
            <w:vAlign w:val="bottom"/>
            <w:gridSpan w:val="2"/>
          </w:tcPr>
          <w:p>
            <w:pPr>
              <w:ind w:left="100"/>
              <w:spacing w:after="0"/>
              <w:rPr>
                <w:sz w:val="20"/>
                <w:szCs w:val="20"/>
                <w:color w:val="auto"/>
              </w:rPr>
            </w:pPr>
            <w:r>
              <w:rPr>
                <w:rFonts w:ascii="Arial" w:cs="Arial" w:eastAsia="Arial" w:hAnsi="Arial"/>
                <w:sz w:val="16"/>
                <w:szCs w:val="16"/>
                <w:color w:val="1E1E1E"/>
              </w:rPr>
              <w:t>Florida</w:t>
            </w:r>
          </w:p>
        </w:tc>
        <w:tc>
          <w:tcPr>
            <w:tcW w:w="1080" w:type="dxa"/>
            <w:vAlign w:val="bottom"/>
          </w:tcPr>
          <w:p>
            <w:pPr>
              <w:jc w:val="right"/>
              <w:spacing w:after="0"/>
              <w:rPr>
                <w:sz w:val="20"/>
                <w:szCs w:val="20"/>
                <w:color w:val="auto"/>
              </w:rPr>
            </w:pPr>
            <w:r>
              <w:rPr>
                <w:rFonts w:ascii="Arial" w:cs="Arial" w:eastAsia="Arial" w:hAnsi="Arial"/>
                <w:sz w:val="16"/>
                <w:szCs w:val="16"/>
                <w:color w:val="1E1E1E"/>
              </w:rPr>
              <w:t>11</w:t>
            </w:r>
          </w:p>
        </w:tc>
        <w:tc>
          <w:tcPr>
            <w:tcW w:w="1240" w:type="dxa"/>
            <w:vAlign w:val="bottom"/>
            <w:gridSpan w:val="2"/>
          </w:tcPr>
          <w:p>
            <w:pPr>
              <w:jc w:val="right"/>
              <w:spacing w:after="0"/>
              <w:rPr>
                <w:sz w:val="20"/>
                <w:szCs w:val="20"/>
                <w:color w:val="auto"/>
              </w:rPr>
            </w:pPr>
            <w:r>
              <w:rPr>
                <w:rFonts w:ascii="Arial" w:cs="Arial" w:eastAsia="Arial" w:hAnsi="Arial"/>
                <w:sz w:val="16"/>
                <w:szCs w:val="16"/>
                <w:color w:val="1E1E1E"/>
              </w:rPr>
              <w:t>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60" w:type="dxa"/>
            <w:vAlign w:val="bottom"/>
            <w:gridSpan w:val="2"/>
            <w:shd w:val="clear" w:color="auto" w:fill="E4E4E4"/>
          </w:tcPr>
          <w:p>
            <w:pPr>
              <w:ind w:left="100"/>
              <w:spacing w:after="0" w:line="182" w:lineRule="exact"/>
              <w:rPr>
                <w:sz w:val="20"/>
                <w:szCs w:val="20"/>
                <w:color w:val="auto"/>
              </w:rPr>
            </w:pPr>
            <w:r>
              <w:rPr>
                <w:rFonts w:ascii="Arial" w:cs="Arial" w:eastAsia="Arial" w:hAnsi="Arial"/>
                <w:sz w:val="16"/>
                <w:szCs w:val="16"/>
                <w:color w:val="1E1E1E"/>
              </w:rPr>
              <w:t>Georgia</w:t>
            </w:r>
          </w:p>
        </w:tc>
        <w:tc>
          <w:tcPr>
            <w:tcW w:w="1080" w:type="dxa"/>
            <w:vAlign w:val="bottom"/>
            <w:shd w:val="clear" w:color="auto" w:fill="E4E4E4"/>
          </w:tcPr>
          <w:p>
            <w:pPr>
              <w:jc w:val="right"/>
              <w:spacing w:after="0" w:line="182" w:lineRule="exact"/>
              <w:rPr>
                <w:sz w:val="20"/>
                <w:szCs w:val="20"/>
                <w:color w:val="auto"/>
              </w:rPr>
            </w:pPr>
            <w:r>
              <w:rPr>
                <w:rFonts w:ascii="Arial" w:cs="Arial" w:eastAsia="Arial" w:hAnsi="Arial"/>
                <w:sz w:val="16"/>
                <w:szCs w:val="16"/>
                <w:color w:val="1E1E1E"/>
              </w:rPr>
              <w:t>4</w:t>
            </w:r>
          </w:p>
        </w:tc>
        <w:tc>
          <w:tcPr>
            <w:tcW w:w="1240" w:type="dxa"/>
            <w:vAlign w:val="bottom"/>
            <w:gridSpan w:val="2"/>
            <w:shd w:val="clear" w:color="auto" w:fill="E4E4E4"/>
          </w:tcPr>
          <w:p>
            <w:pPr>
              <w:jc w:val="right"/>
              <w:spacing w:after="0" w:line="182" w:lineRule="exact"/>
              <w:rPr>
                <w:sz w:val="20"/>
                <w:szCs w:val="20"/>
                <w:color w:val="auto"/>
              </w:rPr>
            </w:pPr>
            <w:r>
              <w:rPr>
                <w:rFonts w:ascii="Arial" w:cs="Arial" w:eastAsia="Arial" w:hAnsi="Arial"/>
                <w:sz w:val="16"/>
                <w:szCs w:val="16"/>
                <w:color w:val="1E1E1E"/>
              </w:rPr>
              <w:t>2</w:t>
            </w:r>
          </w:p>
        </w:tc>
        <w:tc>
          <w:tcPr>
            <w:tcW w:w="80" w:type="dxa"/>
            <w:vAlign w:val="bottom"/>
            <w:shd w:val="clear" w:color="auto" w:fill="E4E4E4"/>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60" w:type="dxa"/>
            <w:vAlign w:val="bottom"/>
            <w:gridSpan w:val="2"/>
          </w:tcPr>
          <w:p>
            <w:pPr>
              <w:ind w:left="100"/>
              <w:spacing w:after="0"/>
              <w:rPr>
                <w:sz w:val="20"/>
                <w:szCs w:val="20"/>
                <w:color w:val="auto"/>
              </w:rPr>
            </w:pPr>
            <w:r>
              <w:rPr>
                <w:rFonts w:ascii="Arial" w:cs="Arial" w:eastAsia="Arial" w:hAnsi="Arial"/>
                <w:sz w:val="16"/>
                <w:szCs w:val="16"/>
                <w:color w:val="1E1E1E"/>
              </w:rPr>
              <w:t>Idaho</w:t>
            </w:r>
          </w:p>
        </w:tc>
        <w:tc>
          <w:tcPr>
            <w:tcW w:w="1080" w:type="dxa"/>
            <w:vAlign w:val="bottom"/>
          </w:tcPr>
          <w:p>
            <w:pPr>
              <w:jc w:val="right"/>
              <w:spacing w:after="0"/>
              <w:rPr>
                <w:sz w:val="20"/>
                <w:szCs w:val="20"/>
                <w:color w:val="auto"/>
              </w:rPr>
            </w:pPr>
            <w:r>
              <w:rPr>
                <w:rFonts w:ascii="Arial" w:cs="Arial" w:eastAsia="Arial" w:hAnsi="Arial"/>
                <w:sz w:val="16"/>
                <w:szCs w:val="16"/>
                <w:color w:val="1E1E1E"/>
              </w:rPr>
              <w:t>1</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60" w:type="dxa"/>
            <w:vAlign w:val="bottom"/>
            <w:gridSpan w:val="2"/>
            <w:shd w:val="clear" w:color="auto" w:fill="E4E4E4"/>
          </w:tcPr>
          <w:p>
            <w:pPr>
              <w:ind w:left="100"/>
              <w:spacing w:after="0"/>
              <w:rPr>
                <w:sz w:val="20"/>
                <w:szCs w:val="20"/>
                <w:color w:val="auto"/>
              </w:rPr>
            </w:pPr>
            <w:r>
              <w:rPr>
                <w:rFonts w:ascii="Arial" w:cs="Arial" w:eastAsia="Arial" w:hAnsi="Arial"/>
                <w:sz w:val="16"/>
                <w:szCs w:val="16"/>
                <w:color w:val="1E1E1E"/>
              </w:rPr>
              <w:t>Illinois</w:t>
            </w:r>
          </w:p>
        </w:tc>
        <w:tc>
          <w:tcPr>
            <w:tcW w:w="1080" w:type="dxa"/>
            <w:vAlign w:val="bottom"/>
            <w:shd w:val="clear" w:color="auto" w:fill="E4E4E4"/>
          </w:tcPr>
          <w:p>
            <w:pPr>
              <w:jc w:val="right"/>
              <w:spacing w:after="0"/>
              <w:rPr>
                <w:sz w:val="20"/>
                <w:szCs w:val="20"/>
                <w:color w:val="auto"/>
              </w:rPr>
            </w:pPr>
            <w:r>
              <w:rPr>
                <w:rFonts w:ascii="Arial" w:cs="Arial" w:eastAsia="Arial" w:hAnsi="Arial"/>
                <w:sz w:val="16"/>
                <w:szCs w:val="16"/>
                <w:color w:val="1E1E1E"/>
              </w:rPr>
              <w:t>11</w:t>
            </w:r>
          </w:p>
        </w:tc>
        <w:tc>
          <w:tcPr>
            <w:tcW w:w="1240" w:type="dxa"/>
            <w:vAlign w:val="bottom"/>
            <w:gridSpan w:val="2"/>
            <w:shd w:val="clear" w:color="auto" w:fill="E4E4E4"/>
          </w:tcPr>
          <w:p>
            <w:pPr>
              <w:jc w:val="right"/>
              <w:spacing w:after="0"/>
              <w:rPr>
                <w:sz w:val="20"/>
                <w:szCs w:val="20"/>
                <w:color w:val="auto"/>
              </w:rPr>
            </w:pPr>
            <w:r>
              <w:rPr>
                <w:rFonts w:ascii="Arial" w:cs="Arial" w:eastAsia="Arial" w:hAnsi="Arial"/>
                <w:sz w:val="16"/>
                <w:szCs w:val="16"/>
                <w:color w:val="1E1E1E"/>
              </w:rPr>
              <w:t>1</w:t>
            </w:r>
          </w:p>
        </w:tc>
        <w:tc>
          <w:tcPr>
            <w:tcW w:w="8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60" w:type="dxa"/>
            <w:vAlign w:val="bottom"/>
            <w:gridSpan w:val="2"/>
          </w:tcPr>
          <w:p>
            <w:pPr>
              <w:ind w:left="100"/>
              <w:spacing w:after="0" w:line="182" w:lineRule="exact"/>
              <w:rPr>
                <w:sz w:val="20"/>
                <w:szCs w:val="20"/>
                <w:color w:val="auto"/>
              </w:rPr>
            </w:pPr>
            <w:r>
              <w:rPr>
                <w:rFonts w:ascii="Arial" w:cs="Arial" w:eastAsia="Arial" w:hAnsi="Arial"/>
                <w:sz w:val="16"/>
                <w:szCs w:val="16"/>
                <w:color w:val="1E1E1E"/>
              </w:rPr>
              <w:t>Indiana</w:t>
            </w:r>
          </w:p>
        </w:tc>
        <w:tc>
          <w:tcPr>
            <w:tcW w:w="1080" w:type="dxa"/>
            <w:vAlign w:val="bottom"/>
          </w:tcPr>
          <w:p>
            <w:pPr>
              <w:jc w:val="right"/>
              <w:spacing w:after="0" w:line="182" w:lineRule="exact"/>
              <w:rPr>
                <w:sz w:val="20"/>
                <w:szCs w:val="20"/>
                <w:color w:val="auto"/>
              </w:rPr>
            </w:pPr>
            <w:r>
              <w:rPr>
                <w:rFonts w:ascii="Arial" w:cs="Arial" w:eastAsia="Arial" w:hAnsi="Arial"/>
                <w:sz w:val="16"/>
                <w:szCs w:val="16"/>
                <w:color w:val="1E1E1E"/>
              </w:rPr>
              <w:t>6</w:t>
            </w:r>
          </w:p>
        </w:tc>
        <w:tc>
          <w:tcPr>
            <w:tcW w:w="1240" w:type="dxa"/>
            <w:vAlign w:val="bottom"/>
            <w:gridSpan w:val="2"/>
          </w:tcPr>
          <w:p>
            <w:pPr>
              <w:jc w:val="right"/>
              <w:spacing w:after="0" w:line="182" w:lineRule="exact"/>
              <w:rPr>
                <w:sz w:val="20"/>
                <w:szCs w:val="20"/>
                <w:color w:val="auto"/>
              </w:rPr>
            </w:pPr>
            <w:r>
              <w:rPr>
                <w:rFonts w:ascii="Arial" w:cs="Arial" w:eastAsia="Arial" w:hAnsi="Arial"/>
                <w:sz w:val="16"/>
                <w:szCs w:val="16"/>
                <w:color w:val="1E1E1E"/>
              </w:rPr>
              <w:t>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60" w:type="dxa"/>
            <w:vAlign w:val="bottom"/>
            <w:gridSpan w:val="2"/>
            <w:shd w:val="clear" w:color="auto" w:fill="E4E4E4"/>
          </w:tcPr>
          <w:p>
            <w:pPr>
              <w:ind w:left="100"/>
              <w:spacing w:after="0"/>
              <w:rPr>
                <w:sz w:val="20"/>
                <w:szCs w:val="20"/>
                <w:color w:val="auto"/>
              </w:rPr>
            </w:pPr>
            <w:r>
              <w:rPr>
                <w:rFonts w:ascii="Arial" w:cs="Arial" w:eastAsia="Arial" w:hAnsi="Arial"/>
                <w:sz w:val="16"/>
                <w:szCs w:val="16"/>
                <w:color w:val="1E1E1E"/>
              </w:rPr>
              <w:t>Iowa</w:t>
            </w:r>
          </w:p>
        </w:tc>
        <w:tc>
          <w:tcPr>
            <w:tcW w:w="1080" w:type="dxa"/>
            <w:vAlign w:val="bottom"/>
            <w:shd w:val="clear" w:color="auto" w:fill="E4E4E4"/>
          </w:tcPr>
          <w:p>
            <w:pPr>
              <w:jc w:val="right"/>
              <w:spacing w:after="0"/>
              <w:rPr>
                <w:sz w:val="20"/>
                <w:szCs w:val="20"/>
                <w:color w:val="auto"/>
              </w:rPr>
            </w:pPr>
            <w:r>
              <w:rPr>
                <w:rFonts w:ascii="Arial" w:cs="Arial" w:eastAsia="Arial" w:hAnsi="Arial"/>
                <w:sz w:val="16"/>
                <w:szCs w:val="16"/>
                <w:color w:val="1E1E1E"/>
              </w:rPr>
              <w:t>3</w:t>
            </w:r>
          </w:p>
        </w:tc>
        <w:tc>
          <w:tcPr>
            <w:tcW w:w="80" w:type="dxa"/>
            <w:vAlign w:val="bottom"/>
            <w:shd w:val="clear" w:color="auto" w:fill="E4E4E4"/>
          </w:tcPr>
          <w:p>
            <w:pPr>
              <w:spacing w:after="0"/>
              <w:rPr>
                <w:sz w:val="16"/>
                <w:szCs w:val="16"/>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color w:val="1E1E1E"/>
              </w:rPr>
              <w:t>—</w:t>
            </w:r>
          </w:p>
        </w:tc>
        <w:tc>
          <w:tcPr>
            <w:tcW w:w="8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60" w:type="dxa"/>
            <w:vAlign w:val="bottom"/>
            <w:gridSpan w:val="2"/>
          </w:tcPr>
          <w:p>
            <w:pPr>
              <w:ind w:left="100"/>
              <w:spacing w:after="0"/>
              <w:rPr>
                <w:sz w:val="20"/>
                <w:szCs w:val="20"/>
                <w:color w:val="auto"/>
              </w:rPr>
            </w:pPr>
            <w:r>
              <w:rPr>
                <w:rFonts w:ascii="Arial" w:cs="Arial" w:eastAsia="Arial" w:hAnsi="Arial"/>
                <w:sz w:val="16"/>
                <w:szCs w:val="16"/>
                <w:color w:val="1E1E1E"/>
              </w:rPr>
              <w:t>Kansas</w:t>
            </w:r>
          </w:p>
        </w:tc>
        <w:tc>
          <w:tcPr>
            <w:tcW w:w="1080" w:type="dxa"/>
            <w:vAlign w:val="bottom"/>
          </w:tcPr>
          <w:p>
            <w:pPr>
              <w:jc w:val="right"/>
              <w:spacing w:after="0"/>
              <w:rPr>
                <w:sz w:val="20"/>
                <w:szCs w:val="20"/>
                <w:color w:val="auto"/>
              </w:rPr>
            </w:pPr>
            <w:r>
              <w:rPr>
                <w:rFonts w:ascii="Arial" w:cs="Arial" w:eastAsia="Arial" w:hAnsi="Arial"/>
                <w:sz w:val="16"/>
                <w:szCs w:val="16"/>
                <w:color w:val="1E1E1E"/>
              </w:rPr>
              <w:t>2</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60" w:type="dxa"/>
            <w:vAlign w:val="bottom"/>
            <w:gridSpan w:val="2"/>
            <w:shd w:val="clear" w:color="auto" w:fill="E4E4E4"/>
          </w:tcPr>
          <w:p>
            <w:pPr>
              <w:ind w:left="100"/>
              <w:spacing w:after="0" w:line="182" w:lineRule="exact"/>
              <w:rPr>
                <w:sz w:val="20"/>
                <w:szCs w:val="20"/>
                <w:color w:val="auto"/>
              </w:rPr>
            </w:pPr>
            <w:r>
              <w:rPr>
                <w:rFonts w:ascii="Arial" w:cs="Arial" w:eastAsia="Arial" w:hAnsi="Arial"/>
                <w:sz w:val="16"/>
                <w:szCs w:val="16"/>
                <w:color w:val="1E1E1E"/>
              </w:rPr>
              <w:t>Kentucky</w:t>
            </w:r>
          </w:p>
        </w:tc>
        <w:tc>
          <w:tcPr>
            <w:tcW w:w="1080" w:type="dxa"/>
            <w:vAlign w:val="bottom"/>
            <w:shd w:val="clear" w:color="auto" w:fill="E4E4E4"/>
          </w:tcPr>
          <w:p>
            <w:pPr>
              <w:jc w:val="right"/>
              <w:spacing w:after="0" w:line="182" w:lineRule="exact"/>
              <w:rPr>
                <w:sz w:val="20"/>
                <w:szCs w:val="20"/>
                <w:color w:val="auto"/>
              </w:rPr>
            </w:pPr>
            <w:r>
              <w:rPr>
                <w:rFonts w:ascii="Arial" w:cs="Arial" w:eastAsia="Arial" w:hAnsi="Arial"/>
                <w:sz w:val="16"/>
                <w:szCs w:val="16"/>
                <w:color w:val="1E1E1E"/>
              </w:rPr>
              <w:t>3</w:t>
            </w:r>
          </w:p>
        </w:tc>
        <w:tc>
          <w:tcPr>
            <w:tcW w:w="80" w:type="dxa"/>
            <w:vAlign w:val="bottom"/>
            <w:shd w:val="clear" w:color="auto" w:fill="E4E4E4"/>
          </w:tcPr>
          <w:p>
            <w:pPr>
              <w:spacing w:after="0"/>
              <w:rPr>
                <w:sz w:val="15"/>
                <w:szCs w:val="15"/>
                <w:color w:val="auto"/>
              </w:rPr>
            </w:pPr>
          </w:p>
        </w:tc>
        <w:tc>
          <w:tcPr>
            <w:tcW w:w="1160" w:type="dxa"/>
            <w:vAlign w:val="bottom"/>
            <w:shd w:val="clear" w:color="auto" w:fill="E4E4E4"/>
          </w:tcPr>
          <w:p>
            <w:pPr>
              <w:jc w:val="right"/>
              <w:spacing w:after="0" w:line="182" w:lineRule="exact"/>
              <w:rPr>
                <w:sz w:val="20"/>
                <w:szCs w:val="20"/>
                <w:color w:val="auto"/>
              </w:rPr>
            </w:pPr>
            <w:r>
              <w:rPr>
                <w:rFonts w:ascii="Arial" w:cs="Arial" w:eastAsia="Arial" w:hAnsi="Arial"/>
                <w:sz w:val="16"/>
                <w:szCs w:val="16"/>
                <w:color w:val="1E1E1E"/>
              </w:rPr>
              <w:t>—</w:t>
            </w:r>
          </w:p>
        </w:tc>
        <w:tc>
          <w:tcPr>
            <w:tcW w:w="80" w:type="dxa"/>
            <w:vAlign w:val="bottom"/>
            <w:shd w:val="clear" w:color="auto" w:fill="E4E4E4"/>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60" w:type="dxa"/>
            <w:vAlign w:val="bottom"/>
            <w:gridSpan w:val="2"/>
          </w:tcPr>
          <w:p>
            <w:pPr>
              <w:ind w:left="100"/>
              <w:spacing w:after="0"/>
              <w:rPr>
                <w:sz w:val="20"/>
                <w:szCs w:val="20"/>
                <w:color w:val="auto"/>
              </w:rPr>
            </w:pPr>
            <w:r>
              <w:rPr>
                <w:rFonts w:ascii="Arial" w:cs="Arial" w:eastAsia="Arial" w:hAnsi="Arial"/>
                <w:sz w:val="16"/>
                <w:szCs w:val="16"/>
                <w:color w:val="1E1E1E"/>
              </w:rPr>
              <w:t>Louisiana</w:t>
            </w:r>
          </w:p>
        </w:tc>
        <w:tc>
          <w:tcPr>
            <w:tcW w:w="1080" w:type="dxa"/>
            <w:vAlign w:val="bottom"/>
          </w:tcPr>
          <w:p>
            <w:pPr>
              <w:jc w:val="right"/>
              <w:spacing w:after="0"/>
              <w:rPr>
                <w:sz w:val="20"/>
                <w:szCs w:val="20"/>
                <w:color w:val="auto"/>
              </w:rPr>
            </w:pPr>
            <w:r>
              <w:rPr>
                <w:rFonts w:ascii="Arial" w:cs="Arial" w:eastAsia="Arial" w:hAnsi="Arial"/>
                <w:sz w:val="16"/>
                <w:szCs w:val="16"/>
                <w:color w:val="1E1E1E"/>
              </w:rPr>
              <w:t>3</w:t>
            </w:r>
          </w:p>
        </w:tc>
        <w:tc>
          <w:tcPr>
            <w:tcW w:w="1240" w:type="dxa"/>
            <w:vAlign w:val="bottom"/>
            <w:gridSpan w:val="2"/>
          </w:tcPr>
          <w:p>
            <w:pPr>
              <w:jc w:val="right"/>
              <w:spacing w:after="0"/>
              <w:rPr>
                <w:sz w:val="20"/>
                <w:szCs w:val="20"/>
                <w:color w:val="auto"/>
              </w:rPr>
            </w:pPr>
            <w:r>
              <w:rPr>
                <w:rFonts w:ascii="Arial" w:cs="Arial" w:eastAsia="Arial" w:hAnsi="Arial"/>
                <w:sz w:val="16"/>
                <w:szCs w:val="16"/>
                <w:color w:val="1E1E1E"/>
              </w:rPr>
              <w:t>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60" w:type="dxa"/>
            <w:vAlign w:val="bottom"/>
            <w:gridSpan w:val="2"/>
            <w:shd w:val="clear" w:color="auto" w:fill="E4E4E4"/>
          </w:tcPr>
          <w:p>
            <w:pPr>
              <w:ind w:left="100"/>
              <w:spacing w:after="0"/>
              <w:rPr>
                <w:sz w:val="20"/>
                <w:szCs w:val="20"/>
                <w:color w:val="auto"/>
              </w:rPr>
            </w:pPr>
            <w:r>
              <w:rPr>
                <w:rFonts w:ascii="Arial" w:cs="Arial" w:eastAsia="Arial" w:hAnsi="Arial"/>
                <w:sz w:val="16"/>
                <w:szCs w:val="16"/>
                <w:color w:val="1E1E1E"/>
              </w:rPr>
              <w:t>Maine</w:t>
            </w:r>
          </w:p>
        </w:tc>
        <w:tc>
          <w:tcPr>
            <w:tcW w:w="1080" w:type="dxa"/>
            <w:vAlign w:val="bottom"/>
            <w:shd w:val="clear" w:color="auto" w:fill="E4E4E4"/>
          </w:tcPr>
          <w:p>
            <w:pPr>
              <w:jc w:val="right"/>
              <w:spacing w:after="0"/>
              <w:rPr>
                <w:sz w:val="20"/>
                <w:szCs w:val="20"/>
                <w:color w:val="auto"/>
              </w:rPr>
            </w:pPr>
            <w:r>
              <w:rPr>
                <w:rFonts w:ascii="Arial" w:cs="Arial" w:eastAsia="Arial" w:hAnsi="Arial"/>
                <w:sz w:val="16"/>
                <w:szCs w:val="16"/>
                <w:color w:val="1E1E1E"/>
              </w:rPr>
              <w:t>2</w:t>
            </w:r>
          </w:p>
        </w:tc>
        <w:tc>
          <w:tcPr>
            <w:tcW w:w="80" w:type="dxa"/>
            <w:vAlign w:val="bottom"/>
            <w:shd w:val="clear" w:color="auto" w:fill="E4E4E4"/>
          </w:tcPr>
          <w:p>
            <w:pPr>
              <w:spacing w:after="0"/>
              <w:rPr>
                <w:sz w:val="16"/>
                <w:szCs w:val="16"/>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color w:val="1E1E1E"/>
              </w:rPr>
              <w:t>—</w:t>
            </w:r>
          </w:p>
        </w:tc>
        <w:tc>
          <w:tcPr>
            <w:tcW w:w="8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60" w:type="dxa"/>
            <w:vAlign w:val="bottom"/>
            <w:gridSpan w:val="2"/>
          </w:tcPr>
          <w:p>
            <w:pPr>
              <w:ind w:left="100"/>
              <w:spacing w:after="0" w:line="182" w:lineRule="exact"/>
              <w:rPr>
                <w:sz w:val="20"/>
                <w:szCs w:val="20"/>
                <w:color w:val="auto"/>
              </w:rPr>
            </w:pPr>
            <w:r>
              <w:rPr>
                <w:rFonts w:ascii="Arial" w:cs="Arial" w:eastAsia="Arial" w:hAnsi="Arial"/>
                <w:sz w:val="16"/>
                <w:szCs w:val="16"/>
                <w:color w:val="1E1E1E"/>
              </w:rPr>
              <w:t>Maryland</w:t>
            </w:r>
          </w:p>
        </w:tc>
        <w:tc>
          <w:tcPr>
            <w:tcW w:w="1080" w:type="dxa"/>
            <w:vAlign w:val="bottom"/>
          </w:tcPr>
          <w:p>
            <w:pPr>
              <w:jc w:val="right"/>
              <w:spacing w:after="0" w:line="182" w:lineRule="exact"/>
              <w:rPr>
                <w:sz w:val="20"/>
                <w:szCs w:val="20"/>
                <w:color w:val="auto"/>
              </w:rPr>
            </w:pPr>
            <w:r>
              <w:rPr>
                <w:rFonts w:ascii="Arial" w:cs="Arial" w:eastAsia="Arial" w:hAnsi="Arial"/>
                <w:sz w:val="16"/>
                <w:szCs w:val="16"/>
                <w:color w:val="1E1E1E"/>
              </w:rPr>
              <w:t>6</w:t>
            </w:r>
          </w:p>
        </w:tc>
        <w:tc>
          <w:tcPr>
            <w:tcW w:w="1240" w:type="dxa"/>
            <w:vAlign w:val="bottom"/>
            <w:gridSpan w:val="2"/>
          </w:tcPr>
          <w:p>
            <w:pPr>
              <w:jc w:val="right"/>
              <w:spacing w:after="0" w:line="182" w:lineRule="exact"/>
              <w:rPr>
                <w:sz w:val="20"/>
                <w:szCs w:val="20"/>
                <w:color w:val="auto"/>
              </w:rPr>
            </w:pPr>
            <w:r>
              <w:rPr>
                <w:rFonts w:ascii="Arial" w:cs="Arial" w:eastAsia="Arial" w:hAnsi="Arial"/>
                <w:sz w:val="16"/>
                <w:szCs w:val="16"/>
                <w:color w:val="1E1E1E"/>
              </w:rPr>
              <w:t>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60" w:type="dxa"/>
            <w:vAlign w:val="bottom"/>
            <w:gridSpan w:val="2"/>
            <w:shd w:val="clear" w:color="auto" w:fill="E4E4E4"/>
          </w:tcPr>
          <w:p>
            <w:pPr>
              <w:ind w:left="100"/>
              <w:spacing w:after="0"/>
              <w:rPr>
                <w:sz w:val="20"/>
                <w:szCs w:val="20"/>
                <w:color w:val="auto"/>
              </w:rPr>
            </w:pPr>
            <w:r>
              <w:rPr>
                <w:rFonts w:ascii="Arial" w:cs="Arial" w:eastAsia="Arial" w:hAnsi="Arial"/>
                <w:sz w:val="16"/>
                <w:szCs w:val="16"/>
                <w:color w:val="1E1E1E"/>
              </w:rPr>
              <w:t>Massachusetts</w:t>
            </w:r>
          </w:p>
        </w:tc>
        <w:tc>
          <w:tcPr>
            <w:tcW w:w="1080" w:type="dxa"/>
            <w:vAlign w:val="bottom"/>
            <w:shd w:val="clear" w:color="auto" w:fill="E4E4E4"/>
          </w:tcPr>
          <w:p>
            <w:pPr>
              <w:jc w:val="right"/>
              <w:spacing w:after="0"/>
              <w:rPr>
                <w:sz w:val="20"/>
                <w:szCs w:val="20"/>
                <w:color w:val="auto"/>
              </w:rPr>
            </w:pPr>
            <w:r>
              <w:rPr>
                <w:rFonts w:ascii="Arial" w:cs="Arial" w:eastAsia="Arial" w:hAnsi="Arial"/>
                <w:sz w:val="16"/>
                <w:szCs w:val="16"/>
                <w:color w:val="1E1E1E"/>
              </w:rPr>
              <w:t>7</w:t>
            </w:r>
          </w:p>
        </w:tc>
        <w:tc>
          <w:tcPr>
            <w:tcW w:w="80" w:type="dxa"/>
            <w:vAlign w:val="bottom"/>
            <w:shd w:val="clear" w:color="auto" w:fill="E4E4E4"/>
          </w:tcPr>
          <w:p>
            <w:pPr>
              <w:spacing w:after="0"/>
              <w:rPr>
                <w:sz w:val="16"/>
                <w:szCs w:val="16"/>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color w:val="1E1E1E"/>
              </w:rPr>
              <w:t>—</w:t>
            </w:r>
          </w:p>
        </w:tc>
        <w:tc>
          <w:tcPr>
            <w:tcW w:w="8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60" w:type="dxa"/>
            <w:vAlign w:val="bottom"/>
            <w:gridSpan w:val="2"/>
          </w:tcPr>
          <w:p>
            <w:pPr>
              <w:ind w:left="100"/>
              <w:spacing w:after="0"/>
              <w:rPr>
                <w:sz w:val="20"/>
                <w:szCs w:val="20"/>
                <w:color w:val="auto"/>
              </w:rPr>
            </w:pPr>
            <w:r>
              <w:rPr>
                <w:rFonts w:ascii="Arial" w:cs="Arial" w:eastAsia="Arial" w:hAnsi="Arial"/>
                <w:sz w:val="16"/>
                <w:szCs w:val="16"/>
                <w:color w:val="1E1E1E"/>
              </w:rPr>
              <w:t>Michigan</w:t>
            </w:r>
          </w:p>
        </w:tc>
        <w:tc>
          <w:tcPr>
            <w:tcW w:w="1080" w:type="dxa"/>
            <w:vAlign w:val="bottom"/>
          </w:tcPr>
          <w:p>
            <w:pPr>
              <w:jc w:val="right"/>
              <w:spacing w:after="0"/>
              <w:rPr>
                <w:sz w:val="20"/>
                <w:szCs w:val="20"/>
                <w:color w:val="auto"/>
              </w:rPr>
            </w:pPr>
            <w:r>
              <w:rPr>
                <w:rFonts w:ascii="Arial" w:cs="Arial" w:eastAsia="Arial" w:hAnsi="Arial"/>
                <w:sz w:val="16"/>
                <w:szCs w:val="16"/>
                <w:color w:val="1E1E1E"/>
              </w:rPr>
              <w:t>13</w:t>
            </w:r>
          </w:p>
        </w:tc>
        <w:tc>
          <w:tcPr>
            <w:tcW w:w="1240" w:type="dxa"/>
            <w:vAlign w:val="bottom"/>
            <w:gridSpan w:val="2"/>
          </w:tcPr>
          <w:p>
            <w:pPr>
              <w:jc w:val="right"/>
              <w:spacing w:after="0"/>
              <w:rPr>
                <w:sz w:val="20"/>
                <w:szCs w:val="20"/>
                <w:color w:val="auto"/>
              </w:rPr>
            </w:pPr>
            <w:r>
              <w:rPr>
                <w:rFonts w:ascii="Arial" w:cs="Arial" w:eastAsia="Arial" w:hAnsi="Arial"/>
                <w:sz w:val="16"/>
                <w:szCs w:val="16"/>
                <w:color w:val="1E1E1E"/>
              </w:rPr>
              <w:t>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60" w:type="dxa"/>
            <w:vAlign w:val="bottom"/>
            <w:gridSpan w:val="2"/>
            <w:shd w:val="clear" w:color="auto" w:fill="E4E4E4"/>
          </w:tcPr>
          <w:p>
            <w:pPr>
              <w:ind w:left="100"/>
              <w:spacing w:after="0" w:line="182" w:lineRule="exact"/>
              <w:rPr>
                <w:sz w:val="20"/>
                <w:szCs w:val="20"/>
                <w:color w:val="auto"/>
              </w:rPr>
            </w:pPr>
            <w:r>
              <w:rPr>
                <w:rFonts w:ascii="Arial" w:cs="Arial" w:eastAsia="Arial" w:hAnsi="Arial"/>
                <w:sz w:val="16"/>
                <w:szCs w:val="16"/>
                <w:color w:val="1E1E1E"/>
              </w:rPr>
              <w:t>Minnesota</w:t>
            </w:r>
          </w:p>
        </w:tc>
        <w:tc>
          <w:tcPr>
            <w:tcW w:w="1080" w:type="dxa"/>
            <w:vAlign w:val="bottom"/>
            <w:shd w:val="clear" w:color="auto" w:fill="E4E4E4"/>
          </w:tcPr>
          <w:p>
            <w:pPr>
              <w:jc w:val="right"/>
              <w:spacing w:after="0" w:line="182" w:lineRule="exact"/>
              <w:rPr>
                <w:sz w:val="20"/>
                <w:szCs w:val="20"/>
                <w:color w:val="auto"/>
              </w:rPr>
            </w:pPr>
            <w:r>
              <w:rPr>
                <w:rFonts w:ascii="Arial" w:cs="Arial" w:eastAsia="Arial" w:hAnsi="Arial"/>
                <w:sz w:val="16"/>
                <w:szCs w:val="16"/>
                <w:color w:val="1E1E1E"/>
              </w:rPr>
              <w:t>3</w:t>
            </w:r>
          </w:p>
        </w:tc>
        <w:tc>
          <w:tcPr>
            <w:tcW w:w="80" w:type="dxa"/>
            <w:vAlign w:val="bottom"/>
            <w:shd w:val="clear" w:color="auto" w:fill="E4E4E4"/>
          </w:tcPr>
          <w:p>
            <w:pPr>
              <w:spacing w:after="0"/>
              <w:rPr>
                <w:sz w:val="15"/>
                <w:szCs w:val="15"/>
                <w:color w:val="auto"/>
              </w:rPr>
            </w:pPr>
          </w:p>
        </w:tc>
        <w:tc>
          <w:tcPr>
            <w:tcW w:w="1160" w:type="dxa"/>
            <w:vAlign w:val="bottom"/>
            <w:shd w:val="clear" w:color="auto" w:fill="E4E4E4"/>
          </w:tcPr>
          <w:p>
            <w:pPr>
              <w:jc w:val="right"/>
              <w:spacing w:after="0" w:line="182" w:lineRule="exact"/>
              <w:rPr>
                <w:sz w:val="20"/>
                <w:szCs w:val="20"/>
                <w:color w:val="auto"/>
              </w:rPr>
            </w:pPr>
            <w:r>
              <w:rPr>
                <w:rFonts w:ascii="Arial" w:cs="Arial" w:eastAsia="Arial" w:hAnsi="Arial"/>
                <w:sz w:val="16"/>
                <w:szCs w:val="16"/>
                <w:color w:val="1E1E1E"/>
              </w:rPr>
              <w:t>—</w:t>
            </w:r>
          </w:p>
        </w:tc>
        <w:tc>
          <w:tcPr>
            <w:tcW w:w="80" w:type="dxa"/>
            <w:vAlign w:val="bottom"/>
            <w:shd w:val="clear" w:color="auto" w:fill="E4E4E4"/>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60" w:type="dxa"/>
            <w:vAlign w:val="bottom"/>
            <w:gridSpan w:val="2"/>
          </w:tcPr>
          <w:p>
            <w:pPr>
              <w:ind w:left="100"/>
              <w:spacing w:after="0"/>
              <w:rPr>
                <w:sz w:val="20"/>
                <w:szCs w:val="20"/>
                <w:color w:val="auto"/>
              </w:rPr>
            </w:pPr>
            <w:r>
              <w:rPr>
                <w:rFonts w:ascii="Arial" w:cs="Arial" w:eastAsia="Arial" w:hAnsi="Arial"/>
                <w:sz w:val="16"/>
                <w:szCs w:val="16"/>
                <w:color w:val="1E1E1E"/>
              </w:rPr>
              <w:t>Mississippi</w:t>
            </w:r>
          </w:p>
        </w:tc>
        <w:tc>
          <w:tcPr>
            <w:tcW w:w="1080" w:type="dxa"/>
            <w:vAlign w:val="bottom"/>
          </w:tcPr>
          <w:p>
            <w:pPr>
              <w:jc w:val="right"/>
              <w:spacing w:after="0"/>
              <w:rPr>
                <w:sz w:val="20"/>
                <w:szCs w:val="20"/>
                <w:color w:val="auto"/>
              </w:rPr>
            </w:pPr>
            <w:r>
              <w:rPr>
                <w:rFonts w:ascii="Arial" w:cs="Arial" w:eastAsia="Arial" w:hAnsi="Arial"/>
                <w:sz w:val="16"/>
                <w:szCs w:val="16"/>
                <w:color w:val="1E1E1E"/>
              </w:rPr>
              <w:t>1</w:t>
            </w:r>
          </w:p>
        </w:tc>
        <w:tc>
          <w:tcPr>
            <w:tcW w:w="1240" w:type="dxa"/>
            <w:vAlign w:val="bottom"/>
            <w:gridSpan w:val="2"/>
          </w:tcPr>
          <w:p>
            <w:pPr>
              <w:jc w:val="right"/>
              <w:spacing w:after="0"/>
              <w:rPr>
                <w:sz w:val="20"/>
                <w:szCs w:val="20"/>
                <w:color w:val="auto"/>
              </w:rPr>
            </w:pPr>
            <w:r>
              <w:rPr>
                <w:rFonts w:ascii="Arial" w:cs="Arial" w:eastAsia="Arial" w:hAnsi="Arial"/>
                <w:sz w:val="16"/>
                <w:szCs w:val="16"/>
                <w:color w:val="1E1E1E"/>
              </w:rPr>
              <w:t>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60" w:type="dxa"/>
            <w:vAlign w:val="bottom"/>
            <w:gridSpan w:val="2"/>
            <w:shd w:val="clear" w:color="auto" w:fill="E4E4E4"/>
          </w:tcPr>
          <w:p>
            <w:pPr>
              <w:ind w:left="100"/>
              <w:spacing w:after="0"/>
              <w:rPr>
                <w:sz w:val="20"/>
                <w:szCs w:val="20"/>
                <w:color w:val="auto"/>
              </w:rPr>
            </w:pPr>
            <w:r>
              <w:rPr>
                <w:rFonts w:ascii="Arial" w:cs="Arial" w:eastAsia="Arial" w:hAnsi="Arial"/>
                <w:sz w:val="16"/>
                <w:szCs w:val="16"/>
                <w:color w:val="1E1E1E"/>
              </w:rPr>
              <w:t>Missouri</w:t>
            </w:r>
          </w:p>
        </w:tc>
        <w:tc>
          <w:tcPr>
            <w:tcW w:w="1080" w:type="dxa"/>
            <w:vAlign w:val="bottom"/>
            <w:shd w:val="clear" w:color="auto" w:fill="E4E4E4"/>
          </w:tcPr>
          <w:p>
            <w:pPr>
              <w:jc w:val="right"/>
              <w:spacing w:after="0"/>
              <w:rPr>
                <w:sz w:val="20"/>
                <w:szCs w:val="20"/>
                <w:color w:val="auto"/>
              </w:rPr>
            </w:pPr>
            <w:r>
              <w:rPr>
                <w:rFonts w:ascii="Arial" w:cs="Arial" w:eastAsia="Arial" w:hAnsi="Arial"/>
                <w:sz w:val="16"/>
                <w:szCs w:val="16"/>
                <w:color w:val="1E1E1E"/>
              </w:rPr>
              <w:t>6</w:t>
            </w:r>
          </w:p>
        </w:tc>
        <w:tc>
          <w:tcPr>
            <w:tcW w:w="1240" w:type="dxa"/>
            <w:vAlign w:val="bottom"/>
            <w:gridSpan w:val="2"/>
            <w:shd w:val="clear" w:color="auto" w:fill="E4E4E4"/>
          </w:tcPr>
          <w:p>
            <w:pPr>
              <w:jc w:val="right"/>
              <w:spacing w:after="0"/>
              <w:rPr>
                <w:sz w:val="20"/>
                <w:szCs w:val="20"/>
                <w:color w:val="auto"/>
              </w:rPr>
            </w:pPr>
            <w:r>
              <w:rPr>
                <w:rFonts w:ascii="Arial" w:cs="Arial" w:eastAsia="Arial" w:hAnsi="Arial"/>
                <w:sz w:val="16"/>
                <w:szCs w:val="16"/>
                <w:color w:val="1E1E1E"/>
              </w:rPr>
              <w:t>1</w:t>
            </w:r>
          </w:p>
        </w:tc>
        <w:tc>
          <w:tcPr>
            <w:tcW w:w="8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60" w:type="dxa"/>
            <w:vAlign w:val="bottom"/>
            <w:gridSpan w:val="2"/>
          </w:tcPr>
          <w:p>
            <w:pPr>
              <w:ind w:left="100"/>
              <w:spacing w:after="0" w:line="182" w:lineRule="exact"/>
              <w:rPr>
                <w:sz w:val="20"/>
                <w:szCs w:val="20"/>
                <w:color w:val="auto"/>
              </w:rPr>
            </w:pPr>
            <w:r>
              <w:rPr>
                <w:rFonts w:ascii="Arial" w:cs="Arial" w:eastAsia="Arial" w:hAnsi="Arial"/>
                <w:sz w:val="16"/>
                <w:szCs w:val="16"/>
                <w:color w:val="1E1E1E"/>
              </w:rPr>
              <w:t>Montana</w:t>
            </w:r>
          </w:p>
        </w:tc>
        <w:tc>
          <w:tcPr>
            <w:tcW w:w="1080" w:type="dxa"/>
            <w:vAlign w:val="bottom"/>
          </w:tcPr>
          <w:p>
            <w:pPr>
              <w:jc w:val="right"/>
              <w:spacing w:after="0" w:line="182" w:lineRule="exact"/>
              <w:rPr>
                <w:sz w:val="20"/>
                <w:szCs w:val="20"/>
                <w:color w:val="auto"/>
              </w:rPr>
            </w:pPr>
            <w:r>
              <w:rPr>
                <w:rFonts w:ascii="Arial" w:cs="Arial" w:eastAsia="Arial" w:hAnsi="Arial"/>
                <w:sz w:val="16"/>
                <w:szCs w:val="16"/>
                <w:color w:val="1E1E1E"/>
              </w:rPr>
              <w:t>1</w:t>
            </w:r>
          </w:p>
        </w:tc>
        <w:tc>
          <w:tcPr>
            <w:tcW w:w="8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1E1E1E"/>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60" w:type="dxa"/>
            <w:vAlign w:val="bottom"/>
            <w:gridSpan w:val="2"/>
            <w:shd w:val="clear" w:color="auto" w:fill="E4E4E4"/>
          </w:tcPr>
          <w:p>
            <w:pPr>
              <w:ind w:left="100"/>
              <w:spacing w:after="0"/>
              <w:rPr>
                <w:sz w:val="20"/>
                <w:szCs w:val="20"/>
                <w:color w:val="auto"/>
              </w:rPr>
            </w:pPr>
            <w:r>
              <w:rPr>
                <w:rFonts w:ascii="Arial" w:cs="Arial" w:eastAsia="Arial" w:hAnsi="Arial"/>
                <w:sz w:val="16"/>
                <w:szCs w:val="16"/>
                <w:color w:val="1E1E1E"/>
              </w:rPr>
              <w:t>Nebraska</w:t>
            </w:r>
          </w:p>
        </w:tc>
        <w:tc>
          <w:tcPr>
            <w:tcW w:w="1080" w:type="dxa"/>
            <w:vAlign w:val="bottom"/>
            <w:shd w:val="clear" w:color="auto" w:fill="E4E4E4"/>
          </w:tcPr>
          <w:p>
            <w:pPr>
              <w:jc w:val="right"/>
              <w:spacing w:after="0"/>
              <w:rPr>
                <w:sz w:val="20"/>
                <w:szCs w:val="20"/>
                <w:color w:val="auto"/>
              </w:rPr>
            </w:pPr>
            <w:r>
              <w:rPr>
                <w:rFonts w:ascii="Arial" w:cs="Arial" w:eastAsia="Arial" w:hAnsi="Arial"/>
                <w:sz w:val="16"/>
                <w:szCs w:val="16"/>
                <w:color w:val="1E1E1E"/>
              </w:rPr>
              <w:t>2</w:t>
            </w:r>
          </w:p>
        </w:tc>
        <w:tc>
          <w:tcPr>
            <w:tcW w:w="80" w:type="dxa"/>
            <w:vAlign w:val="bottom"/>
            <w:shd w:val="clear" w:color="auto" w:fill="E4E4E4"/>
          </w:tcPr>
          <w:p>
            <w:pPr>
              <w:spacing w:after="0"/>
              <w:rPr>
                <w:sz w:val="16"/>
                <w:szCs w:val="16"/>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color w:val="1E1E1E"/>
              </w:rPr>
              <w:t>—</w:t>
            </w:r>
          </w:p>
        </w:tc>
        <w:tc>
          <w:tcPr>
            <w:tcW w:w="8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60" w:type="dxa"/>
            <w:vAlign w:val="bottom"/>
            <w:gridSpan w:val="2"/>
          </w:tcPr>
          <w:p>
            <w:pPr>
              <w:ind w:left="100"/>
              <w:spacing w:after="0"/>
              <w:rPr>
                <w:sz w:val="20"/>
                <w:szCs w:val="20"/>
                <w:color w:val="auto"/>
              </w:rPr>
            </w:pPr>
            <w:r>
              <w:rPr>
                <w:rFonts w:ascii="Arial" w:cs="Arial" w:eastAsia="Arial" w:hAnsi="Arial"/>
                <w:sz w:val="16"/>
                <w:szCs w:val="16"/>
                <w:color w:val="1E1E1E"/>
              </w:rPr>
              <w:t>Nevada</w:t>
            </w:r>
          </w:p>
        </w:tc>
        <w:tc>
          <w:tcPr>
            <w:tcW w:w="1080" w:type="dxa"/>
            <w:vAlign w:val="bottom"/>
          </w:tcPr>
          <w:p>
            <w:pPr>
              <w:jc w:val="right"/>
              <w:spacing w:after="0"/>
              <w:rPr>
                <w:sz w:val="20"/>
                <w:szCs w:val="20"/>
                <w:color w:val="auto"/>
              </w:rPr>
            </w:pPr>
            <w:r>
              <w:rPr>
                <w:rFonts w:ascii="Arial" w:cs="Arial" w:eastAsia="Arial" w:hAnsi="Arial"/>
                <w:sz w:val="16"/>
                <w:szCs w:val="16"/>
                <w:color w:val="1E1E1E"/>
              </w:rPr>
              <w:t>3</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60" w:type="dxa"/>
            <w:vAlign w:val="bottom"/>
            <w:gridSpan w:val="2"/>
            <w:shd w:val="clear" w:color="auto" w:fill="E4E4E4"/>
          </w:tcPr>
          <w:p>
            <w:pPr>
              <w:ind w:left="100"/>
              <w:spacing w:after="0" w:line="182" w:lineRule="exact"/>
              <w:rPr>
                <w:sz w:val="20"/>
                <w:szCs w:val="20"/>
                <w:color w:val="auto"/>
              </w:rPr>
            </w:pPr>
            <w:r>
              <w:rPr>
                <w:rFonts w:ascii="Arial" w:cs="Arial" w:eastAsia="Arial" w:hAnsi="Arial"/>
                <w:sz w:val="16"/>
                <w:szCs w:val="16"/>
                <w:color w:val="1E1E1E"/>
              </w:rPr>
              <w:t>New Hampshire</w:t>
            </w:r>
          </w:p>
        </w:tc>
        <w:tc>
          <w:tcPr>
            <w:tcW w:w="1080" w:type="dxa"/>
            <w:vAlign w:val="bottom"/>
            <w:shd w:val="clear" w:color="auto" w:fill="E4E4E4"/>
          </w:tcPr>
          <w:p>
            <w:pPr>
              <w:jc w:val="right"/>
              <w:spacing w:after="0" w:line="182" w:lineRule="exact"/>
              <w:rPr>
                <w:sz w:val="20"/>
                <w:szCs w:val="20"/>
                <w:color w:val="auto"/>
              </w:rPr>
            </w:pPr>
            <w:r>
              <w:rPr>
                <w:rFonts w:ascii="Arial" w:cs="Arial" w:eastAsia="Arial" w:hAnsi="Arial"/>
                <w:sz w:val="16"/>
                <w:szCs w:val="16"/>
                <w:color w:val="1E1E1E"/>
              </w:rPr>
              <w:t>3</w:t>
            </w:r>
          </w:p>
        </w:tc>
        <w:tc>
          <w:tcPr>
            <w:tcW w:w="80" w:type="dxa"/>
            <w:vAlign w:val="bottom"/>
            <w:shd w:val="clear" w:color="auto" w:fill="E4E4E4"/>
          </w:tcPr>
          <w:p>
            <w:pPr>
              <w:spacing w:after="0"/>
              <w:rPr>
                <w:sz w:val="15"/>
                <w:szCs w:val="15"/>
                <w:color w:val="auto"/>
              </w:rPr>
            </w:pPr>
          </w:p>
        </w:tc>
        <w:tc>
          <w:tcPr>
            <w:tcW w:w="1160" w:type="dxa"/>
            <w:vAlign w:val="bottom"/>
            <w:shd w:val="clear" w:color="auto" w:fill="E4E4E4"/>
          </w:tcPr>
          <w:p>
            <w:pPr>
              <w:jc w:val="right"/>
              <w:spacing w:after="0" w:line="182" w:lineRule="exact"/>
              <w:rPr>
                <w:sz w:val="20"/>
                <w:szCs w:val="20"/>
                <w:color w:val="auto"/>
              </w:rPr>
            </w:pPr>
            <w:r>
              <w:rPr>
                <w:rFonts w:ascii="Arial" w:cs="Arial" w:eastAsia="Arial" w:hAnsi="Arial"/>
                <w:sz w:val="16"/>
                <w:szCs w:val="16"/>
                <w:color w:val="1E1E1E"/>
              </w:rPr>
              <w:t>—</w:t>
            </w:r>
          </w:p>
        </w:tc>
        <w:tc>
          <w:tcPr>
            <w:tcW w:w="80" w:type="dxa"/>
            <w:vAlign w:val="bottom"/>
            <w:shd w:val="clear" w:color="auto" w:fill="E4E4E4"/>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60" w:type="dxa"/>
            <w:vAlign w:val="bottom"/>
            <w:gridSpan w:val="2"/>
          </w:tcPr>
          <w:p>
            <w:pPr>
              <w:ind w:left="100"/>
              <w:spacing w:after="0"/>
              <w:rPr>
                <w:sz w:val="20"/>
                <w:szCs w:val="20"/>
                <w:color w:val="auto"/>
              </w:rPr>
            </w:pPr>
            <w:r>
              <w:rPr>
                <w:rFonts w:ascii="Arial" w:cs="Arial" w:eastAsia="Arial" w:hAnsi="Arial"/>
                <w:sz w:val="16"/>
                <w:szCs w:val="16"/>
                <w:color w:val="1E1E1E"/>
              </w:rPr>
              <w:t>New Jersey</w:t>
            </w:r>
          </w:p>
        </w:tc>
        <w:tc>
          <w:tcPr>
            <w:tcW w:w="1080" w:type="dxa"/>
            <w:vAlign w:val="bottom"/>
          </w:tcPr>
          <w:p>
            <w:pPr>
              <w:jc w:val="right"/>
              <w:spacing w:after="0"/>
              <w:rPr>
                <w:sz w:val="20"/>
                <w:szCs w:val="20"/>
                <w:color w:val="auto"/>
              </w:rPr>
            </w:pPr>
            <w:r>
              <w:rPr>
                <w:rFonts w:ascii="Arial" w:cs="Arial" w:eastAsia="Arial" w:hAnsi="Arial"/>
                <w:sz w:val="16"/>
                <w:szCs w:val="16"/>
                <w:color w:val="1E1E1E"/>
              </w:rPr>
              <w:t>9</w:t>
            </w:r>
          </w:p>
        </w:tc>
        <w:tc>
          <w:tcPr>
            <w:tcW w:w="1240" w:type="dxa"/>
            <w:vAlign w:val="bottom"/>
            <w:gridSpan w:val="2"/>
          </w:tcPr>
          <w:p>
            <w:pPr>
              <w:jc w:val="right"/>
              <w:spacing w:after="0"/>
              <w:rPr>
                <w:sz w:val="20"/>
                <w:szCs w:val="20"/>
                <w:color w:val="auto"/>
              </w:rPr>
            </w:pPr>
            <w:r>
              <w:rPr>
                <w:rFonts w:ascii="Arial" w:cs="Arial" w:eastAsia="Arial" w:hAnsi="Arial"/>
                <w:sz w:val="16"/>
                <w:szCs w:val="16"/>
                <w:color w:val="1E1E1E"/>
              </w:rPr>
              <w:t>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60" w:type="dxa"/>
            <w:vAlign w:val="bottom"/>
            <w:gridSpan w:val="2"/>
            <w:shd w:val="clear" w:color="auto" w:fill="E4E4E4"/>
          </w:tcPr>
          <w:p>
            <w:pPr>
              <w:ind w:left="100"/>
              <w:spacing w:after="0"/>
              <w:rPr>
                <w:sz w:val="20"/>
                <w:szCs w:val="20"/>
                <w:color w:val="auto"/>
              </w:rPr>
            </w:pPr>
            <w:r>
              <w:rPr>
                <w:rFonts w:ascii="Arial" w:cs="Arial" w:eastAsia="Arial" w:hAnsi="Arial"/>
                <w:sz w:val="16"/>
                <w:szCs w:val="16"/>
                <w:color w:val="1E1E1E"/>
              </w:rPr>
              <w:t>New Mexico</w:t>
            </w:r>
          </w:p>
        </w:tc>
        <w:tc>
          <w:tcPr>
            <w:tcW w:w="1080" w:type="dxa"/>
            <w:vAlign w:val="bottom"/>
            <w:shd w:val="clear" w:color="auto" w:fill="E4E4E4"/>
          </w:tcPr>
          <w:p>
            <w:pPr>
              <w:jc w:val="right"/>
              <w:spacing w:after="0"/>
              <w:rPr>
                <w:sz w:val="20"/>
                <w:szCs w:val="20"/>
                <w:color w:val="auto"/>
              </w:rPr>
            </w:pPr>
            <w:r>
              <w:rPr>
                <w:rFonts w:ascii="Arial" w:cs="Arial" w:eastAsia="Arial" w:hAnsi="Arial"/>
                <w:sz w:val="16"/>
                <w:szCs w:val="16"/>
                <w:color w:val="1E1E1E"/>
              </w:rPr>
              <w:t>1</w:t>
            </w:r>
          </w:p>
        </w:tc>
        <w:tc>
          <w:tcPr>
            <w:tcW w:w="80" w:type="dxa"/>
            <w:vAlign w:val="bottom"/>
            <w:shd w:val="clear" w:color="auto" w:fill="E4E4E4"/>
          </w:tcPr>
          <w:p>
            <w:pPr>
              <w:spacing w:after="0"/>
              <w:rPr>
                <w:sz w:val="16"/>
                <w:szCs w:val="16"/>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color w:val="1E1E1E"/>
              </w:rPr>
              <w:t>—</w:t>
            </w:r>
          </w:p>
        </w:tc>
        <w:tc>
          <w:tcPr>
            <w:tcW w:w="8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60" w:type="dxa"/>
            <w:vAlign w:val="bottom"/>
            <w:gridSpan w:val="2"/>
          </w:tcPr>
          <w:p>
            <w:pPr>
              <w:ind w:left="100"/>
              <w:spacing w:after="0" w:line="182" w:lineRule="exact"/>
              <w:rPr>
                <w:sz w:val="20"/>
                <w:szCs w:val="20"/>
                <w:color w:val="auto"/>
              </w:rPr>
            </w:pPr>
            <w:r>
              <w:rPr>
                <w:rFonts w:ascii="Arial" w:cs="Arial" w:eastAsia="Arial" w:hAnsi="Arial"/>
                <w:sz w:val="16"/>
                <w:szCs w:val="16"/>
                <w:color w:val="1E1E1E"/>
              </w:rPr>
              <w:t>New York</w:t>
            </w:r>
          </w:p>
        </w:tc>
        <w:tc>
          <w:tcPr>
            <w:tcW w:w="1080" w:type="dxa"/>
            <w:vAlign w:val="bottom"/>
          </w:tcPr>
          <w:p>
            <w:pPr>
              <w:jc w:val="right"/>
              <w:spacing w:after="0" w:line="182" w:lineRule="exact"/>
              <w:rPr>
                <w:sz w:val="20"/>
                <w:szCs w:val="20"/>
                <w:color w:val="auto"/>
              </w:rPr>
            </w:pPr>
            <w:r>
              <w:rPr>
                <w:rFonts w:ascii="Arial" w:cs="Arial" w:eastAsia="Arial" w:hAnsi="Arial"/>
                <w:sz w:val="16"/>
                <w:szCs w:val="16"/>
                <w:color w:val="1E1E1E"/>
              </w:rPr>
              <w:t>18</w:t>
            </w:r>
          </w:p>
        </w:tc>
        <w:tc>
          <w:tcPr>
            <w:tcW w:w="1240" w:type="dxa"/>
            <w:vAlign w:val="bottom"/>
            <w:gridSpan w:val="2"/>
          </w:tcPr>
          <w:p>
            <w:pPr>
              <w:jc w:val="right"/>
              <w:spacing w:after="0" w:line="182" w:lineRule="exact"/>
              <w:rPr>
                <w:sz w:val="20"/>
                <w:szCs w:val="20"/>
                <w:color w:val="auto"/>
              </w:rPr>
            </w:pPr>
            <w:r>
              <w:rPr>
                <w:rFonts w:ascii="Arial" w:cs="Arial" w:eastAsia="Arial" w:hAnsi="Arial"/>
                <w:sz w:val="16"/>
                <w:szCs w:val="16"/>
                <w:color w:val="1E1E1E"/>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60" w:type="dxa"/>
            <w:vAlign w:val="bottom"/>
            <w:gridSpan w:val="2"/>
            <w:shd w:val="clear" w:color="auto" w:fill="E4E4E4"/>
          </w:tcPr>
          <w:p>
            <w:pPr>
              <w:ind w:left="100"/>
              <w:spacing w:after="0"/>
              <w:rPr>
                <w:sz w:val="20"/>
                <w:szCs w:val="20"/>
                <w:color w:val="auto"/>
              </w:rPr>
            </w:pPr>
            <w:r>
              <w:rPr>
                <w:rFonts w:ascii="Arial" w:cs="Arial" w:eastAsia="Arial" w:hAnsi="Arial"/>
                <w:sz w:val="16"/>
                <w:szCs w:val="16"/>
                <w:color w:val="1E1E1E"/>
              </w:rPr>
              <w:t>North Carolina</w:t>
            </w:r>
          </w:p>
        </w:tc>
        <w:tc>
          <w:tcPr>
            <w:tcW w:w="1080" w:type="dxa"/>
            <w:vAlign w:val="bottom"/>
            <w:shd w:val="clear" w:color="auto" w:fill="E4E4E4"/>
          </w:tcPr>
          <w:p>
            <w:pPr>
              <w:jc w:val="right"/>
              <w:spacing w:after="0"/>
              <w:rPr>
                <w:sz w:val="20"/>
                <w:szCs w:val="20"/>
                <w:color w:val="auto"/>
              </w:rPr>
            </w:pPr>
            <w:r>
              <w:rPr>
                <w:rFonts w:ascii="Arial" w:cs="Arial" w:eastAsia="Arial" w:hAnsi="Arial"/>
                <w:sz w:val="16"/>
                <w:szCs w:val="16"/>
                <w:color w:val="1E1E1E"/>
              </w:rPr>
              <w:t>4</w:t>
            </w:r>
          </w:p>
        </w:tc>
        <w:tc>
          <w:tcPr>
            <w:tcW w:w="1240" w:type="dxa"/>
            <w:vAlign w:val="bottom"/>
            <w:gridSpan w:val="2"/>
            <w:shd w:val="clear" w:color="auto" w:fill="E4E4E4"/>
          </w:tcPr>
          <w:p>
            <w:pPr>
              <w:jc w:val="right"/>
              <w:spacing w:after="0"/>
              <w:rPr>
                <w:sz w:val="20"/>
                <w:szCs w:val="20"/>
                <w:color w:val="auto"/>
              </w:rPr>
            </w:pPr>
            <w:r>
              <w:rPr>
                <w:rFonts w:ascii="Arial" w:cs="Arial" w:eastAsia="Arial" w:hAnsi="Arial"/>
                <w:sz w:val="16"/>
                <w:szCs w:val="16"/>
                <w:color w:val="1E1E1E"/>
              </w:rPr>
              <w:t>1</w:t>
            </w:r>
          </w:p>
        </w:tc>
        <w:tc>
          <w:tcPr>
            <w:tcW w:w="8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60" w:type="dxa"/>
            <w:vAlign w:val="bottom"/>
            <w:gridSpan w:val="2"/>
          </w:tcPr>
          <w:p>
            <w:pPr>
              <w:ind w:left="100"/>
              <w:spacing w:after="0"/>
              <w:rPr>
                <w:sz w:val="20"/>
                <w:szCs w:val="20"/>
                <w:color w:val="auto"/>
              </w:rPr>
            </w:pPr>
            <w:r>
              <w:rPr>
                <w:rFonts w:ascii="Arial" w:cs="Arial" w:eastAsia="Arial" w:hAnsi="Arial"/>
                <w:sz w:val="16"/>
                <w:szCs w:val="16"/>
                <w:color w:val="1E1E1E"/>
              </w:rPr>
              <w:t>North Dakota</w:t>
            </w:r>
          </w:p>
        </w:tc>
        <w:tc>
          <w:tcPr>
            <w:tcW w:w="1080" w:type="dxa"/>
            <w:vAlign w:val="bottom"/>
          </w:tcPr>
          <w:p>
            <w:pPr>
              <w:jc w:val="right"/>
              <w:spacing w:after="0"/>
              <w:rPr>
                <w:sz w:val="20"/>
                <w:szCs w:val="20"/>
                <w:color w:val="auto"/>
              </w:rPr>
            </w:pPr>
            <w:r>
              <w:rPr>
                <w:rFonts w:ascii="Arial" w:cs="Arial" w:eastAsia="Arial" w:hAnsi="Arial"/>
                <w:sz w:val="16"/>
                <w:szCs w:val="16"/>
                <w:color w:val="1E1E1E"/>
              </w:rPr>
              <w:t>1</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60" w:type="dxa"/>
            <w:vAlign w:val="bottom"/>
            <w:gridSpan w:val="2"/>
            <w:shd w:val="clear" w:color="auto" w:fill="E4E4E4"/>
          </w:tcPr>
          <w:p>
            <w:pPr>
              <w:ind w:left="100"/>
              <w:spacing w:after="0" w:line="182" w:lineRule="exact"/>
              <w:rPr>
                <w:sz w:val="20"/>
                <w:szCs w:val="20"/>
                <w:color w:val="auto"/>
              </w:rPr>
            </w:pPr>
            <w:r>
              <w:rPr>
                <w:rFonts w:ascii="Arial" w:cs="Arial" w:eastAsia="Arial" w:hAnsi="Arial"/>
                <w:sz w:val="16"/>
                <w:szCs w:val="16"/>
                <w:color w:val="1E1E1E"/>
              </w:rPr>
              <w:t>Ohio</w:t>
            </w:r>
          </w:p>
        </w:tc>
        <w:tc>
          <w:tcPr>
            <w:tcW w:w="1080" w:type="dxa"/>
            <w:vAlign w:val="bottom"/>
            <w:shd w:val="clear" w:color="auto" w:fill="E4E4E4"/>
          </w:tcPr>
          <w:p>
            <w:pPr>
              <w:jc w:val="right"/>
              <w:spacing w:after="0" w:line="182" w:lineRule="exact"/>
              <w:rPr>
                <w:sz w:val="20"/>
                <w:szCs w:val="20"/>
                <w:color w:val="auto"/>
              </w:rPr>
            </w:pPr>
            <w:r>
              <w:rPr>
                <w:rFonts w:ascii="Arial" w:cs="Arial" w:eastAsia="Arial" w:hAnsi="Arial"/>
                <w:sz w:val="16"/>
                <w:szCs w:val="16"/>
                <w:color w:val="1E1E1E"/>
              </w:rPr>
              <w:t>11</w:t>
            </w:r>
          </w:p>
        </w:tc>
        <w:tc>
          <w:tcPr>
            <w:tcW w:w="1240" w:type="dxa"/>
            <w:vAlign w:val="bottom"/>
            <w:gridSpan w:val="2"/>
            <w:shd w:val="clear" w:color="auto" w:fill="E4E4E4"/>
          </w:tcPr>
          <w:p>
            <w:pPr>
              <w:jc w:val="right"/>
              <w:spacing w:after="0" w:line="182" w:lineRule="exact"/>
              <w:rPr>
                <w:sz w:val="20"/>
                <w:szCs w:val="20"/>
                <w:color w:val="auto"/>
              </w:rPr>
            </w:pPr>
            <w:r>
              <w:rPr>
                <w:rFonts w:ascii="Arial" w:cs="Arial" w:eastAsia="Arial" w:hAnsi="Arial"/>
                <w:sz w:val="16"/>
                <w:szCs w:val="16"/>
                <w:color w:val="1E1E1E"/>
              </w:rPr>
              <w:t>1</w:t>
            </w:r>
          </w:p>
        </w:tc>
        <w:tc>
          <w:tcPr>
            <w:tcW w:w="80" w:type="dxa"/>
            <w:vAlign w:val="bottom"/>
            <w:shd w:val="clear" w:color="auto" w:fill="E4E4E4"/>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60" w:type="dxa"/>
            <w:vAlign w:val="bottom"/>
            <w:gridSpan w:val="2"/>
          </w:tcPr>
          <w:p>
            <w:pPr>
              <w:ind w:left="100"/>
              <w:spacing w:after="0"/>
              <w:rPr>
                <w:sz w:val="20"/>
                <w:szCs w:val="20"/>
                <w:color w:val="auto"/>
              </w:rPr>
            </w:pPr>
            <w:r>
              <w:rPr>
                <w:rFonts w:ascii="Arial" w:cs="Arial" w:eastAsia="Arial" w:hAnsi="Arial"/>
                <w:sz w:val="16"/>
                <w:szCs w:val="16"/>
                <w:color w:val="1E1E1E"/>
              </w:rPr>
              <w:t>Oklahoma</w:t>
            </w:r>
          </w:p>
        </w:tc>
        <w:tc>
          <w:tcPr>
            <w:tcW w:w="1080" w:type="dxa"/>
            <w:vAlign w:val="bottom"/>
          </w:tcPr>
          <w:p>
            <w:pPr>
              <w:jc w:val="right"/>
              <w:spacing w:after="0"/>
              <w:rPr>
                <w:sz w:val="20"/>
                <w:szCs w:val="20"/>
                <w:color w:val="auto"/>
              </w:rPr>
            </w:pPr>
            <w:r>
              <w:rPr>
                <w:rFonts w:ascii="Arial" w:cs="Arial" w:eastAsia="Arial" w:hAnsi="Arial"/>
                <w:sz w:val="16"/>
                <w:szCs w:val="16"/>
                <w:color w:val="1E1E1E"/>
              </w:rPr>
              <w:t>2</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60" w:type="dxa"/>
            <w:vAlign w:val="bottom"/>
            <w:gridSpan w:val="2"/>
            <w:shd w:val="clear" w:color="auto" w:fill="E4E4E4"/>
          </w:tcPr>
          <w:p>
            <w:pPr>
              <w:ind w:left="100"/>
              <w:spacing w:after="0" w:line="182" w:lineRule="exact"/>
              <w:rPr>
                <w:sz w:val="20"/>
                <w:szCs w:val="20"/>
                <w:color w:val="auto"/>
              </w:rPr>
            </w:pPr>
            <w:r>
              <w:rPr>
                <w:rFonts w:ascii="Arial" w:cs="Arial" w:eastAsia="Arial" w:hAnsi="Arial"/>
                <w:sz w:val="16"/>
                <w:szCs w:val="16"/>
                <w:color w:val="1E1E1E"/>
              </w:rPr>
              <w:t>Oregon</w:t>
            </w:r>
          </w:p>
        </w:tc>
        <w:tc>
          <w:tcPr>
            <w:tcW w:w="1080" w:type="dxa"/>
            <w:vAlign w:val="bottom"/>
            <w:shd w:val="clear" w:color="auto" w:fill="E4E4E4"/>
          </w:tcPr>
          <w:p>
            <w:pPr>
              <w:jc w:val="right"/>
              <w:spacing w:after="0" w:line="182" w:lineRule="exact"/>
              <w:rPr>
                <w:sz w:val="20"/>
                <w:szCs w:val="20"/>
                <w:color w:val="auto"/>
              </w:rPr>
            </w:pPr>
            <w:r>
              <w:rPr>
                <w:rFonts w:ascii="Arial" w:cs="Arial" w:eastAsia="Arial" w:hAnsi="Arial"/>
                <w:sz w:val="16"/>
                <w:szCs w:val="16"/>
                <w:color w:val="1E1E1E"/>
              </w:rPr>
              <w:t>2</w:t>
            </w:r>
          </w:p>
        </w:tc>
        <w:tc>
          <w:tcPr>
            <w:tcW w:w="1240" w:type="dxa"/>
            <w:vAlign w:val="bottom"/>
            <w:gridSpan w:val="2"/>
            <w:shd w:val="clear" w:color="auto" w:fill="E4E4E4"/>
          </w:tcPr>
          <w:p>
            <w:pPr>
              <w:jc w:val="right"/>
              <w:spacing w:after="0" w:line="182" w:lineRule="exact"/>
              <w:rPr>
                <w:sz w:val="20"/>
                <w:szCs w:val="20"/>
                <w:color w:val="auto"/>
              </w:rPr>
            </w:pPr>
            <w:r>
              <w:rPr>
                <w:rFonts w:ascii="Arial" w:cs="Arial" w:eastAsia="Arial" w:hAnsi="Arial"/>
                <w:sz w:val="16"/>
                <w:szCs w:val="16"/>
                <w:color w:val="1E1E1E"/>
              </w:rPr>
              <w:t>1</w:t>
            </w:r>
          </w:p>
        </w:tc>
        <w:tc>
          <w:tcPr>
            <w:tcW w:w="80" w:type="dxa"/>
            <w:vAlign w:val="bottom"/>
            <w:shd w:val="clear" w:color="auto" w:fill="E4E4E4"/>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60" w:type="dxa"/>
            <w:vAlign w:val="bottom"/>
            <w:gridSpan w:val="2"/>
          </w:tcPr>
          <w:p>
            <w:pPr>
              <w:ind w:left="100"/>
              <w:spacing w:after="0"/>
              <w:rPr>
                <w:sz w:val="20"/>
                <w:szCs w:val="20"/>
                <w:color w:val="auto"/>
              </w:rPr>
            </w:pPr>
            <w:r>
              <w:rPr>
                <w:rFonts w:ascii="Arial" w:cs="Arial" w:eastAsia="Arial" w:hAnsi="Arial"/>
                <w:sz w:val="16"/>
                <w:szCs w:val="16"/>
                <w:color w:val="1E1E1E"/>
              </w:rPr>
              <w:t>Pennsylvania</w:t>
            </w:r>
          </w:p>
        </w:tc>
        <w:tc>
          <w:tcPr>
            <w:tcW w:w="1080" w:type="dxa"/>
            <w:vAlign w:val="bottom"/>
          </w:tcPr>
          <w:p>
            <w:pPr>
              <w:jc w:val="right"/>
              <w:spacing w:after="0"/>
              <w:rPr>
                <w:sz w:val="20"/>
                <w:szCs w:val="20"/>
                <w:color w:val="auto"/>
              </w:rPr>
            </w:pPr>
            <w:r>
              <w:rPr>
                <w:rFonts w:ascii="Arial" w:cs="Arial" w:eastAsia="Arial" w:hAnsi="Arial"/>
                <w:sz w:val="16"/>
                <w:szCs w:val="16"/>
                <w:color w:val="1E1E1E"/>
              </w:rPr>
              <w:t>13</w:t>
            </w:r>
          </w:p>
        </w:tc>
        <w:tc>
          <w:tcPr>
            <w:tcW w:w="1240" w:type="dxa"/>
            <w:vAlign w:val="bottom"/>
            <w:gridSpan w:val="2"/>
          </w:tcPr>
          <w:p>
            <w:pPr>
              <w:jc w:val="right"/>
              <w:spacing w:after="0"/>
              <w:rPr>
                <w:sz w:val="20"/>
                <w:szCs w:val="20"/>
                <w:color w:val="auto"/>
              </w:rPr>
            </w:pPr>
            <w:r>
              <w:rPr>
                <w:rFonts w:ascii="Arial" w:cs="Arial" w:eastAsia="Arial" w:hAnsi="Arial"/>
                <w:sz w:val="16"/>
                <w:szCs w:val="16"/>
                <w:color w:val="1E1E1E"/>
              </w:rPr>
              <w:t>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60" w:type="dxa"/>
            <w:vAlign w:val="bottom"/>
            <w:gridSpan w:val="2"/>
            <w:shd w:val="clear" w:color="auto" w:fill="E4E4E4"/>
          </w:tcPr>
          <w:p>
            <w:pPr>
              <w:ind w:left="100"/>
              <w:spacing w:after="0"/>
              <w:rPr>
                <w:sz w:val="20"/>
                <w:szCs w:val="20"/>
                <w:color w:val="auto"/>
              </w:rPr>
            </w:pPr>
            <w:r>
              <w:rPr>
                <w:rFonts w:ascii="Arial" w:cs="Arial" w:eastAsia="Arial" w:hAnsi="Arial"/>
                <w:sz w:val="16"/>
                <w:szCs w:val="16"/>
                <w:color w:val="1E1E1E"/>
              </w:rPr>
              <w:t>Rhode Island</w:t>
            </w:r>
          </w:p>
        </w:tc>
        <w:tc>
          <w:tcPr>
            <w:tcW w:w="1080" w:type="dxa"/>
            <w:vAlign w:val="bottom"/>
            <w:shd w:val="clear" w:color="auto" w:fill="E4E4E4"/>
          </w:tcPr>
          <w:p>
            <w:pPr>
              <w:jc w:val="right"/>
              <w:spacing w:after="0"/>
              <w:rPr>
                <w:sz w:val="20"/>
                <w:szCs w:val="20"/>
                <w:color w:val="auto"/>
              </w:rPr>
            </w:pPr>
            <w:r>
              <w:rPr>
                <w:rFonts w:ascii="Arial" w:cs="Arial" w:eastAsia="Arial" w:hAnsi="Arial"/>
                <w:sz w:val="16"/>
                <w:szCs w:val="16"/>
                <w:color w:val="1E1E1E"/>
              </w:rPr>
              <w:t>1</w:t>
            </w:r>
          </w:p>
        </w:tc>
        <w:tc>
          <w:tcPr>
            <w:tcW w:w="80" w:type="dxa"/>
            <w:vAlign w:val="bottom"/>
            <w:shd w:val="clear" w:color="auto" w:fill="E4E4E4"/>
          </w:tcPr>
          <w:p>
            <w:pPr>
              <w:spacing w:after="0"/>
              <w:rPr>
                <w:sz w:val="16"/>
                <w:szCs w:val="16"/>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color w:val="1E1E1E"/>
              </w:rPr>
              <w:t>—</w:t>
            </w:r>
          </w:p>
        </w:tc>
        <w:tc>
          <w:tcPr>
            <w:tcW w:w="8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60" w:type="dxa"/>
            <w:vAlign w:val="bottom"/>
            <w:gridSpan w:val="2"/>
          </w:tcPr>
          <w:p>
            <w:pPr>
              <w:ind w:left="100"/>
              <w:spacing w:after="0" w:line="182" w:lineRule="exact"/>
              <w:rPr>
                <w:sz w:val="20"/>
                <w:szCs w:val="20"/>
                <w:color w:val="auto"/>
              </w:rPr>
            </w:pPr>
            <w:r>
              <w:rPr>
                <w:rFonts w:ascii="Arial" w:cs="Arial" w:eastAsia="Arial" w:hAnsi="Arial"/>
                <w:sz w:val="16"/>
                <w:szCs w:val="16"/>
                <w:color w:val="1E1E1E"/>
              </w:rPr>
              <w:t>South Carolina</w:t>
            </w:r>
          </w:p>
        </w:tc>
        <w:tc>
          <w:tcPr>
            <w:tcW w:w="1080" w:type="dxa"/>
            <w:vAlign w:val="bottom"/>
          </w:tcPr>
          <w:p>
            <w:pPr>
              <w:jc w:val="right"/>
              <w:spacing w:after="0" w:line="182" w:lineRule="exact"/>
              <w:rPr>
                <w:sz w:val="20"/>
                <w:szCs w:val="20"/>
                <w:color w:val="auto"/>
              </w:rPr>
            </w:pPr>
            <w:r>
              <w:rPr>
                <w:rFonts w:ascii="Arial" w:cs="Arial" w:eastAsia="Arial" w:hAnsi="Arial"/>
                <w:sz w:val="16"/>
                <w:szCs w:val="16"/>
                <w:color w:val="1E1E1E"/>
              </w:rPr>
              <w:t>4</w:t>
            </w:r>
          </w:p>
        </w:tc>
        <w:tc>
          <w:tcPr>
            <w:tcW w:w="8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1E1E1E"/>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60" w:type="dxa"/>
            <w:vAlign w:val="bottom"/>
            <w:gridSpan w:val="2"/>
            <w:shd w:val="clear" w:color="auto" w:fill="E4E4E4"/>
          </w:tcPr>
          <w:p>
            <w:pPr>
              <w:ind w:left="100"/>
              <w:spacing w:after="0"/>
              <w:rPr>
                <w:sz w:val="20"/>
                <w:szCs w:val="20"/>
                <w:color w:val="auto"/>
              </w:rPr>
            </w:pPr>
            <w:r>
              <w:rPr>
                <w:rFonts w:ascii="Arial" w:cs="Arial" w:eastAsia="Arial" w:hAnsi="Arial"/>
                <w:sz w:val="16"/>
                <w:szCs w:val="16"/>
                <w:color w:val="1E1E1E"/>
              </w:rPr>
              <w:t>South Dakota</w:t>
            </w:r>
          </w:p>
        </w:tc>
        <w:tc>
          <w:tcPr>
            <w:tcW w:w="1080" w:type="dxa"/>
            <w:vAlign w:val="bottom"/>
            <w:shd w:val="clear" w:color="auto" w:fill="E4E4E4"/>
          </w:tcPr>
          <w:p>
            <w:pPr>
              <w:jc w:val="right"/>
              <w:spacing w:after="0"/>
              <w:rPr>
                <w:sz w:val="20"/>
                <w:szCs w:val="20"/>
                <w:color w:val="auto"/>
              </w:rPr>
            </w:pPr>
            <w:r>
              <w:rPr>
                <w:rFonts w:ascii="Arial" w:cs="Arial" w:eastAsia="Arial" w:hAnsi="Arial"/>
                <w:sz w:val="16"/>
                <w:szCs w:val="16"/>
                <w:color w:val="1E1E1E"/>
              </w:rPr>
              <w:t>1</w:t>
            </w:r>
          </w:p>
        </w:tc>
        <w:tc>
          <w:tcPr>
            <w:tcW w:w="80" w:type="dxa"/>
            <w:vAlign w:val="bottom"/>
            <w:shd w:val="clear" w:color="auto" w:fill="E4E4E4"/>
          </w:tcPr>
          <w:p>
            <w:pPr>
              <w:spacing w:after="0"/>
              <w:rPr>
                <w:sz w:val="16"/>
                <w:szCs w:val="16"/>
                <w:color w:val="auto"/>
              </w:rPr>
            </w:pP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color w:val="1E1E1E"/>
              </w:rPr>
              <w:t>—</w:t>
            </w:r>
          </w:p>
        </w:tc>
        <w:tc>
          <w:tcPr>
            <w:tcW w:w="8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60" w:type="dxa"/>
            <w:vAlign w:val="bottom"/>
            <w:gridSpan w:val="2"/>
          </w:tcPr>
          <w:p>
            <w:pPr>
              <w:ind w:left="100"/>
              <w:spacing w:after="0"/>
              <w:rPr>
                <w:sz w:val="20"/>
                <w:szCs w:val="20"/>
                <w:color w:val="auto"/>
              </w:rPr>
            </w:pPr>
            <w:r>
              <w:rPr>
                <w:rFonts w:ascii="Arial" w:cs="Arial" w:eastAsia="Arial" w:hAnsi="Arial"/>
                <w:sz w:val="16"/>
                <w:szCs w:val="16"/>
                <w:color w:val="1E1E1E"/>
              </w:rPr>
              <w:t>Tennessee</w:t>
            </w:r>
          </w:p>
        </w:tc>
        <w:tc>
          <w:tcPr>
            <w:tcW w:w="1080" w:type="dxa"/>
            <w:vAlign w:val="bottom"/>
          </w:tcPr>
          <w:p>
            <w:pPr>
              <w:jc w:val="right"/>
              <w:spacing w:after="0"/>
              <w:rPr>
                <w:sz w:val="20"/>
                <w:szCs w:val="20"/>
                <w:color w:val="auto"/>
              </w:rPr>
            </w:pPr>
            <w:r>
              <w:rPr>
                <w:rFonts w:ascii="Arial" w:cs="Arial" w:eastAsia="Arial" w:hAnsi="Arial"/>
                <w:sz w:val="16"/>
                <w:szCs w:val="16"/>
                <w:color w:val="1E1E1E"/>
              </w:rPr>
              <w:t>7</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60" w:type="dxa"/>
            <w:vAlign w:val="bottom"/>
            <w:gridSpan w:val="2"/>
            <w:shd w:val="clear" w:color="auto" w:fill="E4E4E4"/>
          </w:tcPr>
          <w:p>
            <w:pPr>
              <w:ind w:left="100"/>
              <w:spacing w:after="0" w:line="182" w:lineRule="exact"/>
              <w:rPr>
                <w:sz w:val="20"/>
                <w:szCs w:val="20"/>
                <w:color w:val="auto"/>
              </w:rPr>
            </w:pPr>
            <w:r>
              <w:rPr>
                <w:rFonts w:ascii="Arial" w:cs="Arial" w:eastAsia="Arial" w:hAnsi="Arial"/>
                <w:sz w:val="16"/>
                <w:szCs w:val="16"/>
                <w:color w:val="1E1E1E"/>
              </w:rPr>
              <w:t>Texas</w:t>
            </w:r>
          </w:p>
        </w:tc>
        <w:tc>
          <w:tcPr>
            <w:tcW w:w="1080" w:type="dxa"/>
            <w:vAlign w:val="bottom"/>
            <w:shd w:val="clear" w:color="auto" w:fill="E4E4E4"/>
          </w:tcPr>
          <w:p>
            <w:pPr>
              <w:jc w:val="right"/>
              <w:spacing w:after="0" w:line="182" w:lineRule="exact"/>
              <w:rPr>
                <w:sz w:val="20"/>
                <w:szCs w:val="20"/>
                <w:color w:val="auto"/>
              </w:rPr>
            </w:pPr>
            <w:r>
              <w:rPr>
                <w:rFonts w:ascii="Arial" w:cs="Arial" w:eastAsia="Arial" w:hAnsi="Arial"/>
                <w:sz w:val="16"/>
                <w:szCs w:val="16"/>
                <w:color w:val="1E1E1E"/>
              </w:rPr>
              <w:t>24</w:t>
            </w:r>
          </w:p>
        </w:tc>
        <w:tc>
          <w:tcPr>
            <w:tcW w:w="1240" w:type="dxa"/>
            <w:vAlign w:val="bottom"/>
            <w:gridSpan w:val="2"/>
            <w:shd w:val="clear" w:color="auto" w:fill="E4E4E4"/>
          </w:tcPr>
          <w:p>
            <w:pPr>
              <w:jc w:val="right"/>
              <w:spacing w:after="0" w:line="182" w:lineRule="exact"/>
              <w:rPr>
                <w:sz w:val="20"/>
                <w:szCs w:val="20"/>
                <w:color w:val="auto"/>
              </w:rPr>
            </w:pPr>
            <w:r>
              <w:rPr>
                <w:rFonts w:ascii="Arial" w:cs="Arial" w:eastAsia="Arial" w:hAnsi="Arial"/>
                <w:sz w:val="16"/>
                <w:szCs w:val="16"/>
                <w:color w:val="1E1E1E"/>
              </w:rPr>
              <w:t>3</w:t>
            </w:r>
          </w:p>
        </w:tc>
        <w:tc>
          <w:tcPr>
            <w:tcW w:w="80" w:type="dxa"/>
            <w:vAlign w:val="bottom"/>
            <w:shd w:val="clear" w:color="auto" w:fill="E4E4E4"/>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60" w:type="dxa"/>
            <w:vAlign w:val="bottom"/>
            <w:gridSpan w:val="2"/>
          </w:tcPr>
          <w:p>
            <w:pPr>
              <w:ind w:left="100"/>
              <w:spacing w:after="0"/>
              <w:rPr>
                <w:sz w:val="20"/>
                <w:szCs w:val="20"/>
                <w:color w:val="auto"/>
              </w:rPr>
            </w:pPr>
            <w:r>
              <w:rPr>
                <w:rFonts w:ascii="Arial" w:cs="Arial" w:eastAsia="Arial" w:hAnsi="Arial"/>
                <w:sz w:val="16"/>
                <w:szCs w:val="16"/>
                <w:color w:val="1E1E1E"/>
              </w:rPr>
              <w:t>Utah</w:t>
            </w:r>
          </w:p>
        </w:tc>
        <w:tc>
          <w:tcPr>
            <w:tcW w:w="1080" w:type="dxa"/>
            <w:vAlign w:val="bottom"/>
          </w:tcPr>
          <w:p>
            <w:pPr>
              <w:jc w:val="right"/>
              <w:spacing w:after="0"/>
              <w:rPr>
                <w:sz w:val="20"/>
                <w:szCs w:val="20"/>
                <w:color w:val="auto"/>
              </w:rPr>
            </w:pPr>
            <w:r>
              <w:rPr>
                <w:rFonts w:ascii="Arial" w:cs="Arial" w:eastAsia="Arial" w:hAnsi="Arial"/>
                <w:sz w:val="16"/>
                <w:szCs w:val="16"/>
                <w:color w:val="1E1E1E"/>
              </w:rPr>
              <w:t>1</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60" w:type="dxa"/>
            <w:vAlign w:val="bottom"/>
            <w:gridSpan w:val="2"/>
            <w:shd w:val="clear" w:color="auto" w:fill="E4E4E4"/>
          </w:tcPr>
          <w:p>
            <w:pPr>
              <w:ind w:left="100"/>
              <w:spacing w:after="0"/>
              <w:rPr>
                <w:sz w:val="20"/>
                <w:szCs w:val="20"/>
                <w:color w:val="auto"/>
              </w:rPr>
            </w:pPr>
            <w:r>
              <w:rPr>
                <w:rFonts w:ascii="Arial" w:cs="Arial" w:eastAsia="Arial" w:hAnsi="Arial"/>
                <w:sz w:val="16"/>
                <w:szCs w:val="16"/>
                <w:color w:val="1E1E1E"/>
              </w:rPr>
              <w:t>Virginia</w:t>
            </w:r>
          </w:p>
        </w:tc>
        <w:tc>
          <w:tcPr>
            <w:tcW w:w="1080" w:type="dxa"/>
            <w:vAlign w:val="bottom"/>
            <w:shd w:val="clear" w:color="auto" w:fill="E4E4E4"/>
          </w:tcPr>
          <w:p>
            <w:pPr>
              <w:jc w:val="right"/>
              <w:spacing w:after="0"/>
              <w:rPr>
                <w:sz w:val="20"/>
                <w:szCs w:val="20"/>
                <w:color w:val="auto"/>
              </w:rPr>
            </w:pPr>
            <w:r>
              <w:rPr>
                <w:rFonts w:ascii="Arial" w:cs="Arial" w:eastAsia="Arial" w:hAnsi="Arial"/>
                <w:sz w:val="16"/>
                <w:szCs w:val="16"/>
                <w:color w:val="1E1E1E"/>
              </w:rPr>
              <w:t>6</w:t>
            </w:r>
          </w:p>
        </w:tc>
        <w:tc>
          <w:tcPr>
            <w:tcW w:w="1240" w:type="dxa"/>
            <w:vAlign w:val="bottom"/>
            <w:gridSpan w:val="2"/>
            <w:shd w:val="clear" w:color="auto" w:fill="E4E4E4"/>
          </w:tcPr>
          <w:p>
            <w:pPr>
              <w:jc w:val="right"/>
              <w:spacing w:after="0"/>
              <w:rPr>
                <w:sz w:val="20"/>
                <w:szCs w:val="20"/>
                <w:color w:val="auto"/>
              </w:rPr>
            </w:pPr>
            <w:r>
              <w:rPr>
                <w:rFonts w:ascii="Arial" w:cs="Arial" w:eastAsia="Arial" w:hAnsi="Arial"/>
                <w:sz w:val="16"/>
                <w:szCs w:val="16"/>
                <w:color w:val="1E1E1E"/>
              </w:rPr>
              <w:t>2</w:t>
            </w:r>
          </w:p>
        </w:tc>
        <w:tc>
          <w:tcPr>
            <w:tcW w:w="8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60" w:type="dxa"/>
            <w:vAlign w:val="bottom"/>
            <w:gridSpan w:val="2"/>
          </w:tcPr>
          <w:p>
            <w:pPr>
              <w:ind w:left="100"/>
              <w:spacing w:after="0" w:line="182" w:lineRule="exact"/>
              <w:rPr>
                <w:sz w:val="20"/>
                <w:szCs w:val="20"/>
                <w:color w:val="auto"/>
              </w:rPr>
            </w:pPr>
            <w:r>
              <w:rPr>
                <w:rFonts w:ascii="Arial" w:cs="Arial" w:eastAsia="Arial" w:hAnsi="Arial"/>
                <w:sz w:val="16"/>
                <w:szCs w:val="16"/>
                <w:color w:val="1E1E1E"/>
              </w:rPr>
              <w:t>Washington</w:t>
            </w:r>
          </w:p>
        </w:tc>
        <w:tc>
          <w:tcPr>
            <w:tcW w:w="1080" w:type="dxa"/>
            <w:vAlign w:val="bottom"/>
          </w:tcPr>
          <w:p>
            <w:pPr>
              <w:jc w:val="right"/>
              <w:spacing w:after="0" w:line="182" w:lineRule="exact"/>
              <w:rPr>
                <w:sz w:val="20"/>
                <w:szCs w:val="20"/>
                <w:color w:val="auto"/>
              </w:rPr>
            </w:pPr>
            <w:r>
              <w:rPr>
                <w:rFonts w:ascii="Arial" w:cs="Arial" w:eastAsia="Arial" w:hAnsi="Arial"/>
                <w:sz w:val="16"/>
                <w:szCs w:val="16"/>
                <w:color w:val="1E1E1E"/>
              </w:rPr>
              <w:t>5</w:t>
            </w:r>
          </w:p>
        </w:tc>
        <w:tc>
          <w:tcPr>
            <w:tcW w:w="8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1E1E1E"/>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60" w:type="dxa"/>
            <w:vAlign w:val="bottom"/>
            <w:gridSpan w:val="2"/>
            <w:shd w:val="clear" w:color="auto" w:fill="E4E4E4"/>
          </w:tcPr>
          <w:p>
            <w:pPr>
              <w:ind w:left="100"/>
              <w:spacing w:after="0"/>
              <w:rPr>
                <w:sz w:val="20"/>
                <w:szCs w:val="20"/>
                <w:color w:val="auto"/>
              </w:rPr>
            </w:pPr>
            <w:r>
              <w:rPr>
                <w:rFonts w:ascii="Arial" w:cs="Arial" w:eastAsia="Arial" w:hAnsi="Arial"/>
                <w:sz w:val="16"/>
                <w:szCs w:val="16"/>
                <w:color w:val="1E1E1E"/>
              </w:rPr>
              <w:t>West Virginia</w:t>
            </w:r>
          </w:p>
        </w:tc>
        <w:tc>
          <w:tcPr>
            <w:tcW w:w="1080" w:type="dxa"/>
            <w:vAlign w:val="bottom"/>
            <w:shd w:val="clear" w:color="auto" w:fill="E4E4E4"/>
          </w:tcPr>
          <w:p>
            <w:pPr>
              <w:jc w:val="right"/>
              <w:spacing w:after="0"/>
              <w:rPr>
                <w:sz w:val="20"/>
                <w:szCs w:val="20"/>
                <w:color w:val="auto"/>
              </w:rPr>
            </w:pPr>
            <w:r>
              <w:rPr>
                <w:rFonts w:ascii="Arial" w:cs="Arial" w:eastAsia="Arial" w:hAnsi="Arial"/>
                <w:sz w:val="16"/>
                <w:szCs w:val="16"/>
                <w:color w:val="1E1E1E"/>
              </w:rPr>
              <w:t>1</w:t>
            </w:r>
          </w:p>
        </w:tc>
        <w:tc>
          <w:tcPr>
            <w:tcW w:w="1240" w:type="dxa"/>
            <w:vAlign w:val="bottom"/>
            <w:gridSpan w:val="2"/>
            <w:shd w:val="clear" w:color="auto" w:fill="E4E4E4"/>
          </w:tcPr>
          <w:p>
            <w:pPr>
              <w:jc w:val="right"/>
              <w:spacing w:after="0"/>
              <w:rPr>
                <w:sz w:val="20"/>
                <w:szCs w:val="20"/>
                <w:color w:val="auto"/>
              </w:rPr>
            </w:pPr>
            <w:r>
              <w:rPr>
                <w:rFonts w:ascii="Arial" w:cs="Arial" w:eastAsia="Arial" w:hAnsi="Arial"/>
                <w:sz w:val="16"/>
                <w:szCs w:val="16"/>
                <w:color w:val="1E1E1E"/>
              </w:rPr>
              <w:t>0</w:t>
            </w:r>
          </w:p>
        </w:tc>
        <w:tc>
          <w:tcPr>
            <w:tcW w:w="8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60" w:type="dxa"/>
            <w:vAlign w:val="bottom"/>
            <w:gridSpan w:val="2"/>
          </w:tcPr>
          <w:p>
            <w:pPr>
              <w:ind w:left="100"/>
              <w:spacing w:after="0"/>
              <w:rPr>
                <w:sz w:val="20"/>
                <w:szCs w:val="20"/>
                <w:color w:val="auto"/>
              </w:rPr>
            </w:pPr>
            <w:r>
              <w:rPr>
                <w:rFonts w:ascii="Arial" w:cs="Arial" w:eastAsia="Arial" w:hAnsi="Arial"/>
                <w:sz w:val="16"/>
                <w:szCs w:val="16"/>
                <w:color w:val="1E1E1E"/>
              </w:rPr>
              <w:t>Wisconsin</w:t>
            </w:r>
          </w:p>
        </w:tc>
        <w:tc>
          <w:tcPr>
            <w:tcW w:w="1080" w:type="dxa"/>
            <w:vAlign w:val="bottom"/>
          </w:tcPr>
          <w:p>
            <w:pPr>
              <w:jc w:val="right"/>
              <w:spacing w:after="0"/>
              <w:rPr>
                <w:sz w:val="20"/>
                <w:szCs w:val="20"/>
                <w:color w:val="auto"/>
              </w:rPr>
            </w:pPr>
            <w:r>
              <w:rPr>
                <w:rFonts w:ascii="Arial" w:cs="Arial" w:eastAsia="Arial" w:hAnsi="Arial"/>
                <w:sz w:val="16"/>
                <w:szCs w:val="16"/>
                <w:color w:val="1E1E1E"/>
              </w:rPr>
              <w:t>5</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1E1E1E"/>
        </w:rPr>
        <w:t>Item 3. Legal Proceedings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20"/>
          <w:szCs w:val="20"/>
          <w:color w:val="1E1E1E"/>
        </w:rPr>
        <w:t>From time to time, we are subject to various legal proceedings and claims that arise in the ordinary course of business. Management believes that the resolution of these matters will not have a material adverse impact on our future results of operations or financial position.</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1E1E1E"/>
        </w:rPr>
        <w:t>Item 4. Mine Safety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1E1E1E"/>
        </w:rPr>
        <w:t>Not applicable.</w:t>
      </w:r>
    </w:p>
    <w:p>
      <w:pPr>
        <w:sectPr>
          <w:pgSz w:w="11880" w:h="15480" w:orient="portrait"/>
          <w:cols w:equalWidth="0" w:num="1">
            <w:col w:w="10560"/>
          </w:cols>
          <w:pgMar w:left="540" w:top="864" w:right="78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1E1E1E"/>
        </w:rPr>
        <w:t>22</w:t>
      </w:r>
    </w:p>
    <w:p>
      <w:pPr>
        <w:sectPr>
          <w:pgSz w:w="11880" w:h="15480" w:orient="portrait"/>
          <w:cols w:equalWidth="0" w:num="1">
            <w:col w:w="10560"/>
          </w:cols>
          <w:pgMar w:left="540" w:top="864" w:right="780" w:bottom="31" w:gutter="0" w:footer="0" w:header="0"/>
          <w:type w:val="continuous"/>
        </w:sectPr>
      </w:pPr>
    </w:p>
    <w:bookmarkStart w:id="24" w:name="page25"/>
    <w:bookmarkEnd w:id="24"/>
    <w:p>
      <w:pPr>
        <w:ind w:left="5000"/>
        <w:spacing w:after="0"/>
        <w:rPr>
          <w:sz w:val="20"/>
          <w:szCs w:val="20"/>
          <w:color w:val="auto"/>
        </w:rPr>
      </w:pPr>
      <w:r>
        <w:rPr>
          <w:rFonts w:ascii="Arial" w:cs="Arial" w:eastAsia="Arial" w:hAnsi="Arial"/>
          <w:sz w:val="20"/>
          <w:szCs w:val="20"/>
          <w:color w:val="1E1E1E"/>
        </w:rPr>
        <w:t>PART II.</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1E1E1E"/>
        </w:rPr>
        <w:t>Item 5. Market for Registrant’s Common Equity, Related Stockholder Matters and Issuer Purchases of Equity Securities</w:t>
      </w:r>
    </w:p>
    <w:p>
      <w:pPr>
        <w:spacing w:after="0" w:line="365"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Market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1E1E1E"/>
        </w:rPr>
        <w:t>Our common stock is listed for trading on the Nasdaq Global Market under the symbol “DXLG”.</w:t>
      </w:r>
    </w:p>
    <w:p>
      <w:pPr>
        <w:spacing w:after="0" w:line="360"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Holders</w:t>
      </w:r>
    </w:p>
    <w:p>
      <w:pPr>
        <w:spacing w:after="0" w:line="119"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color w:val="1E1E1E"/>
        </w:rPr>
        <w:t>As of March 15, 2024, based upon data provided by the transfer agent for our common stock, there were approximately 75 holders of record of our common stock. The number of holders does not include individuals or entities who beneficially own shares but whose shares are held of record by a broker or clearing agent.</w:t>
      </w:r>
    </w:p>
    <w:p>
      <w:pPr>
        <w:spacing w:after="0" w:line="308"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Issuer Purchases of Equity Securities</w:t>
      </w:r>
    </w:p>
    <w:p>
      <w:pPr>
        <w:spacing w:after="0" w:line="119" w:lineRule="exact"/>
        <w:rPr>
          <w:sz w:val="20"/>
          <w:szCs w:val="20"/>
          <w:color w:val="auto"/>
        </w:rPr>
      </w:pPr>
    </w:p>
    <w:p>
      <w:pPr>
        <w:ind w:right="140"/>
        <w:spacing w:after="0" w:line="283" w:lineRule="auto"/>
        <w:rPr>
          <w:sz w:val="20"/>
          <w:szCs w:val="20"/>
          <w:color w:val="auto"/>
        </w:rPr>
      </w:pPr>
      <w:r>
        <w:rPr>
          <w:rFonts w:ascii="Arial" w:cs="Arial" w:eastAsia="Arial" w:hAnsi="Arial"/>
          <w:sz w:val="18"/>
          <w:szCs w:val="18"/>
          <w:color w:val="1E1E1E"/>
        </w:rPr>
        <w:t>On March 14, 2023, the Company’s Board of Directors approved a stock repurchase program pursuant to which the Company was initially authorized to repurchase up to $15.0 million of its common stock through open market and privately-negotiated transactions. The initial authorization was completed during the third quarter of fiscal 2023. On November 15, 2023, the Board of Directors approved an amendment to the stock repurchase program to increase the amount authorized under the program from $15.0 million to $25.0 million, effective November 17, 2023. Subsequent to the end of fiscal 2023, the stock repurchase program was completed.</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1E1E1E"/>
        </w:rPr>
        <w:t>Stock repurchase activity during the three months ended February 3, 2024 was as follows: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44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32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640" w:type="dxa"/>
            <w:vAlign w:val="bottom"/>
            <w:shd w:val="clear" w:color="auto" w:fill="E4E4E4"/>
          </w:tcPr>
          <w:p>
            <w:pPr>
              <w:jc w:val="center"/>
              <w:spacing w:after="0" w:line="210" w:lineRule="exact"/>
              <w:rPr>
                <w:sz w:val="20"/>
                <w:szCs w:val="20"/>
                <w:color w:val="auto"/>
              </w:rPr>
            </w:pPr>
            <w:r>
              <w:rPr>
                <w:rFonts w:ascii="Arial" w:cs="Arial" w:eastAsia="Arial" w:hAnsi="Arial"/>
                <w:sz w:val="20"/>
                <w:szCs w:val="20"/>
                <w:color w:val="1E1E1E"/>
              </w:rPr>
              <w:t>(c)</w:t>
            </w:r>
          </w:p>
        </w:tc>
        <w:tc>
          <w:tcPr>
            <w:tcW w:w="22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800" w:type="dxa"/>
            <w:vAlign w:val="bottom"/>
            <w:gridSpan w:val="2"/>
            <w:shd w:val="clear" w:color="auto" w:fill="E4E4E4"/>
          </w:tcPr>
          <w:p>
            <w:pPr>
              <w:jc w:val="center"/>
              <w:ind w:right="200"/>
              <w:spacing w:after="0" w:line="210" w:lineRule="exact"/>
              <w:rPr>
                <w:sz w:val="20"/>
                <w:szCs w:val="20"/>
                <w:color w:val="auto"/>
              </w:rPr>
            </w:pPr>
            <w:r>
              <w:rPr>
                <w:rFonts w:ascii="Arial" w:cs="Arial" w:eastAsia="Arial" w:hAnsi="Arial"/>
                <w:sz w:val="20"/>
                <w:szCs w:val="20"/>
                <w:color w:val="1E1E1E"/>
                <w:w w:val="97"/>
              </w:rPr>
              <w:t>(d)</w:t>
            </w:r>
          </w:p>
        </w:tc>
        <w:tc>
          <w:tcPr>
            <w:tcW w:w="0" w:type="dxa"/>
            <w:vAlign w:val="bottom"/>
          </w:tcPr>
          <w:p>
            <w:pPr>
              <w:spacing w:after="0"/>
              <w:rPr>
                <w:sz w:val="1"/>
                <w:szCs w:val="1"/>
                <w:color w:val="auto"/>
              </w:rPr>
            </w:pPr>
          </w:p>
        </w:tc>
      </w:tr>
      <w:tr>
        <w:trPr>
          <w:trHeight w:val="230"/>
        </w:trPr>
        <w:tc>
          <w:tcPr>
            <w:tcW w:w="362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440" w:type="dxa"/>
            <w:vAlign w:val="bottom"/>
            <w:vMerge w:val="restart"/>
            <w:shd w:val="clear" w:color="auto" w:fill="E4E4E4"/>
          </w:tcPr>
          <w:p>
            <w:pPr>
              <w:jc w:val="center"/>
              <w:spacing w:after="0"/>
              <w:rPr>
                <w:sz w:val="20"/>
                <w:szCs w:val="20"/>
                <w:color w:val="auto"/>
              </w:rPr>
            </w:pPr>
            <w:r>
              <w:rPr>
                <w:rFonts w:ascii="Arial" w:cs="Arial" w:eastAsia="Arial" w:hAnsi="Arial"/>
                <w:sz w:val="20"/>
                <w:szCs w:val="20"/>
                <w:color w:val="1E1E1E"/>
                <w:w w:val="97"/>
              </w:rPr>
              <w:t>(a)</w:t>
            </w:r>
          </w:p>
        </w:tc>
        <w:tc>
          <w:tcPr>
            <w:tcW w:w="2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320" w:type="dxa"/>
            <w:vAlign w:val="bottom"/>
            <w:vMerge w:val="restart"/>
            <w:shd w:val="clear" w:color="auto" w:fill="E4E4E4"/>
          </w:tcPr>
          <w:p>
            <w:pPr>
              <w:jc w:val="center"/>
              <w:ind w:right="20"/>
              <w:spacing w:after="0"/>
              <w:rPr>
                <w:sz w:val="20"/>
                <w:szCs w:val="20"/>
                <w:color w:val="auto"/>
              </w:rPr>
            </w:pPr>
            <w:r>
              <w:rPr>
                <w:rFonts w:ascii="Arial" w:cs="Arial" w:eastAsia="Arial" w:hAnsi="Arial"/>
                <w:sz w:val="20"/>
                <w:szCs w:val="20"/>
                <w:color w:val="1E1E1E"/>
                <w:w w:val="97"/>
              </w:rPr>
              <w:t>(b)</w:t>
            </w:r>
          </w:p>
        </w:tc>
        <w:tc>
          <w:tcPr>
            <w:tcW w:w="220" w:type="dxa"/>
            <w:vAlign w:val="bottom"/>
            <w:shd w:val="clear" w:color="auto" w:fill="E4E4E4"/>
          </w:tcPr>
          <w:p>
            <w:pPr>
              <w:spacing w:after="0"/>
              <w:rPr>
                <w:sz w:val="20"/>
                <w:szCs w:val="20"/>
                <w:color w:val="auto"/>
              </w:rPr>
            </w:pPr>
          </w:p>
        </w:tc>
        <w:tc>
          <w:tcPr>
            <w:tcW w:w="1640" w:type="dxa"/>
            <w:vAlign w:val="bottom"/>
            <w:shd w:val="clear" w:color="auto" w:fill="E4E4E4"/>
          </w:tcPr>
          <w:p>
            <w:pPr>
              <w:jc w:val="center"/>
              <w:spacing w:after="0"/>
              <w:rPr>
                <w:sz w:val="20"/>
                <w:szCs w:val="20"/>
                <w:color w:val="auto"/>
              </w:rPr>
            </w:pPr>
            <w:r>
              <w:rPr>
                <w:rFonts w:ascii="Arial" w:cs="Arial" w:eastAsia="Arial" w:hAnsi="Arial"/>
                <w:sz w:val="20"/>
                <w:szCs w:val="20"/>
                <w:color w:val="1E1E1E"/>
                <w:w w:val="92"/>
              </w:rPr>
              <w:t>Total number of</w:t>
            </w:r>
          </w:p>
        </w:tc>
        <w:tc>
          <w:tcPr>
            <w:tcW w:w="2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800" w:type="dxa"/>
            <w:vAlign w:val="bottom"/>
            <w:gridSpan w:val="2"/>
            <w:shd w:val="clear" w:color="auto" w:fill="E4E4E4"/>
          </w:tcPr>
          <w:p>
            <w:pPr>
              <w:jc w:val="center"/>
              <w:ind w:right="220"/>
              <w:spacing w:after="0"/>
              <w:rPr>
                <w:sz w:val="20"/>
                <w:szCs w:val="20"/>
                <w:color w:val="auto"/>
              </w:rPr>
            </w:pPr>
            <w:r>
              <w:rPr>
                <w:rFonts w:ascii="Arial" w:cs="Arial" w:eastAsia="Arial" w:hAnsi="Arial"/>
                <w:sz w:val="20"/>
                <w:szCs w:val="20"/>
                <w:color w:val="1E1E1E"/>
                <w:w w:val="94"/>
              </w:rPr>
              <w:t>Approximate dollar</w:t>
            </w:r>
          </w:p>
        </w:tc>
        <w:tc>
          <w:tcPr>
            <w:tcW w:w="0" w:type="dxa"/>
            <w:vAlign w:val="bottom"/>
          </w:tcPr>
          <w:p>
            <w:pPr>
              <w:spacing w:after="0"/>
              <w:rPr>
                <w:sz w:val="1"/>
                <w:szCs w:val="1"/>
                <w:color w:val="auto"/>
              </w:rPr>
            </w:pPr>
          </w:p>
        </w:tc>
      </w:tr>
      <w:tr>
        <w:trPr>
          <w:trHeight w:val="230"/>
        </w:trPr>
        <w:tc>
          <w:tcPr>
            <w:tcW w:w="362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440" w:type="dxa"/>
            <w:vAlign w:val="bottom"/>
            <w:vMerge w:val="continue"/>
            <w:shd w:val="clear" w:color="auto" w:fill="E4E4E4"/>
          </w:tcPr>
          <w:p>
            <w:pPr>
              <w:spacing w:after="0"/>
              <w:rPr>
                <w:sz w:val="20"/>
                <w:szCs w:val="20"/>
                <w:color w:val="auto"/>
              </w:rPr>
            </w:pPr>
          </w:p>
        </w:tc>
        <w:tc>
          <w:tcPr>
            <w:tcW w:w="2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320" w:type="dxa"/>
            <w:vAlign w:val="bottom"/>
            <w:vMerge w:val="continue"/>
            <w:shd w:val="clear" w:color="auto" w:fill="E4E4E4"/>
          </w:tcPr>
          <w:p>
            <w:pPr>
              <w:spacing w:after="0"/>
              <w:rPr>
                <w:sz w:val="20"/>
                <w:szCs w:val="20"/>
                <w:color w:val="auto"/>
              </w:rPr>
            </w:pPr>
          </w:p>
        </w:tc>
        <w:tc>
          <w:tcPr>
            <w:tcW w:w="220" w:type="dxa"/>
            <w:vAlign w:val="bottom"/>
            <w:shd w:val="clear" w:color="auto" w:fill="E4E4E4"/>
          </w:tcPr>
          <w:p>
            <w:pPr>
              <w:spacing w:after="0"/>
              <w:rPr>
                <w:sz w:val="20"/>
                <w:szCs w:val="20"/>
                <w:color w:val="auto"/>
              </w:rPr>
            </w:pPr>
          </w:p>
        </w:tc>
        <w:tc>
          <w:tcPr>
            <w:tcW w:w="1640" w:type="dxa"/>
            <w:vAlign w:val="bottom"/>
            <w:shd w:val="clear" w:color="auto" w:fill="E4E4E4"/>
          </w:tcPr>
          <w:p>
            <w:pPr>
              <w:jc w:val="center"/>
              <w:spacing w:after="0"/>
              <w:rPr>
                <w:sz w:val="20"/>
                <w:szCs w:val="20"/>
                <w:color w:val="auto"/>
              </w:rPr>
            </w:pPr>
            <w:r>
              <w:rPr>
                <w:rFonts w:ascii="Arial" w:cs="Arial" w:eastAsia="Arial" w:hAnsi="Arial"/>
                <w:sz w:val="20"/>
                <w:szCs w:val="20"/>
                <w:color w:val="1E1E1E"/>
                <w:w w:val="85"/>
              </w:rPr>
              <w:t>shares purchased as</w:t>
            </w:r>
          </w:p>
        </w:tc>
        <w:tc>
          <w:tcPr>
            <w:tcW w:w="2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800" w:type="dxa"/>
            <w:vAlign w:val="bottom"/>
            <w:gridSpan w:val="2"/>
            <w:shd w:val="clear" w:color="auto" w:fill="E4E4E4"/>
          </w:tcPr>
          <w:p>
            <w:pPr>
              <w:jc w:val="center"/>
              <w:ind w:right="220"/>
              <w:spacing w:after="0"/>
              <w:rPr>
                <w:sz w:val="20"/>
                <w:szCs w:val="20"/>
                <w:color w:val="auto"/>
              </w:rPr>
            </w:pPr>
            <w:r>
              <w:rPr>
                <w:rFonts w:ascii="Arial" w:cs="Arial" w:eastAsia="Arial" w:hAnsi="Arial"/>
                <w:sz w:val="20"/>
                <w:szCs w:val="20"/>
                <w:color w:val="1E1E1E"/>
                <w:w w:val="88"/>
              </w:rPr>
              <w:t>value of shares that</w:t>
            </w:r>
          </w:p>
        </w:tc>
        <w:tc>
          <w:tcPr>
            <w:tcW w:w="0" w:type="dxa"/>
            <w:vAlign w:val="bottom"/>
          </w:tcPr>
          <w:p>
            <w:pPr>
              <w:spacing w:after="0"/>
              <w:rPr>
                <w:sz w:val="1"/>
                <w:szCs w:val="1"/>
                <w:color w:val="auto"/>
              </w:rPr>
            </w:pPr>
          </w:p>
        </w:tc>
      </w:tr>
      <w:tr>
        <w:trPr>
          <w:trHeight w:val="228"/>
        </w:trPr>
        <w:tc>
          <w:tcPr>
            <w:tcW w:w="36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440" w:type="dxa"/>
            <w:vAlign w:val="bottom"/>
            <w:shd w:val="clear" w:color="auto" w:fill="E4E4E4"/>
          </w:tcPr>
          <w:p>
            <w:pPr>
              <w:jc w:val="center"/>
              <w:spacing w:after="0" w:line="228" w:lineRule="exact"/>
              <w:rPr>
                <w:sz w:val="20"/>
                <w:szCs w:val="20"/>
                <w:color w:val="auto"/>
              </w:rPr>
            </w:pPr>
            <w:r>
              <w:rPr>
                <w:rFonts w:ascii="Arial" w:cs="Arial" w:eastAsia="Arial" w:hAnsi="Arial"/>
                <w:sz w:val="20"/>
                <w:szCs w:val="20"/>
                <w:color w:val="1E1E1E"/>
                <w:w w:val="92"/>
              </w:rPr>
              <w:t>Total number of</w:t>
            </w:r>
          </w:p>
        </w:tc>
        <w:tc>
          <w:tcPr>
            <w:tcW w:w="2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320" w:type="dxa"/>
            <w:vAlign w:val="bottom"/>
            <w:shd w:val="clear" w:color="auto" w:fill="E4E4E4"/>
          </w:tcPr>
          <w:p>
            <w:pPr>
              <w:jc w:val="center"/>
              <w:ind w:right="20"/>
              <w:spacing w:after="0" w:line="228" w:lineRule="exact"/>
              <w:rPr>
                <w:sz w:val="20"/>
                <w:szCs w:val="20"/>
                <w:color w:val="auto"/>
              </w:rPr>
            </w:pPr>
            <w:r>
              <w:rPr>
                <w:rFonts w:ascii="Arial" w:cs="Arial" w:eastAsia="Arial" w:hAnsi="Arial"/>
                <w:sz w:val="20"/>
                <w:szCs w:val="20"/>
                <w:color w:val="1E1E1E"/>
                <w:w w:val="90"/>
              </w:rPr>
              <w:t>Average price</w:t>
            </w:r>
          </w:p>
        </w:tc>
        <w:tc>
          <w:tcPr>
            <w:tcW w:w="220" w:type="dxa"/>
            <w:vAlign w:val="bottom"/>
            <w:shd w:val="clear" w:color="auto" w:fill="E4E4E4"/>
          </w:tcPr>
          <w:p>
            <w:pPr>
              <w:spacing w:after="0"/>
              <w:rPr>
                <w:sz w:val="19"/>
                <w:szCs w:val="19"/>
                <w:color w:val="auto"/>
              </w:rPr>
            </w:pPr>
          </w:p>
        </w:tc>
        <w:tc>
          <w:tcPr>
            <w:tcW w:w="1640" w:type="dxa"/>
            <w:vAlign w:val="bottom"/>
            <w:shd w:val="clear" w:color="auto" w:fill="E4E4E4"/>
          </w:tcPr>
          <w:p>
            <w:pPr>
              <w:jc w:val="center"/>
              <w:spacing w:after="0" w:line="228" w:lineRule="exact"/>
              <w:rPr>
                <w:sz w:val="20"/>
                <w:szCs w:val="20"/>
                <w:color w:val="auto"/>
              </w:rPr>
            </w:pPr>
            <w:r>
              <w:rPr>
                <w:rFonts w:ascii="Arial" w:cs="Arial" w:eastAsia="Arial" w:hAnsi="Arial"/>
                <w:sz w:val="20"/>
                <w:szCs w:val="20"/>
                <w:color w:val="1E1E1E"/>
                <w:w w:val="96"/>
              </w:rPr>
              <w:t>part of publicly</w:t>
            </w:r>
          </w:p>
        </w:tc>
        <w:tc>
          <w:tcPr>
            <w:tcW w:w="220" w:type="dxa"/>
            <w:vAlign w:val="bottom"/>
            <w:shd w:val="clear" w:color="auto" w:fill="E4E4E4"/>
          </w:tcPr>
          <w:p>
            <w:pPr>
              <w:spacing w:after="0"/>
              <w:rPr>
                <w:sz w:val="19"/>
                <w:szCs w:val="19"/>
                <w:color w:val="auto"/>
              </w:rPr>
            </w:pPr>
          </w:p>
        </w:tc>
        <w:tc>
          <w:tcPr>
            <w:tcW w:w="1900" w:type="dxa"/>
            <w:vAlign w:val="bottom"/>
            <w:gridSpan w:val="3"/>
            <w:shd w:val="clear" w:color="auto" w:fill="E4E4E4"/>
          </w:tcPr>
          <w:p>
            <w:pPr>
              <w:jc w:val="center"/>
              <w:ind w:right="120"/>
              <w:spacing w:after="0" w:line="228" w:lineRule="exact"/>
              <w:rPr>
                <w:sz w:val="20"/>
                <w:szCs w:val="20"/>
                <w:color w:val="auto"/>
              </w:rPr>
            </w:pPr>
            <w:r>
              <w:rPr>
                <w:rFonts w:ascii="Arial" w:cs="Arial" w:eastAsia="Arial" w:hAnsi="Arial"/>
                <w:sz w:val="20"/>
                <w:szCs w:val="20"/>
                <w:color w:val="1E1E1E"/>
                <w:w w:val="88"/>
              </w:rPr>
              <w:t>may yet be purchased</w:t>
            </w:r>
          </w:p>
        </w:tc>
        <w:tc>
          <w:tcPr>
            <w:tcW w:w="0" w:type="dxa"/>
            <w:vAlign w:val="bottom"/>
          </w:tcPr>
          <w:p>
            <w:pPr>
              <w:spacing w:after="0"/>
              <w:rPr>
                <w:sz w:val="1"/>
                <w:szCs w:val="1"/>
                <w:color w:val="auto"/>
              </w:rPr>
            </w:pPr>
          </w:p>
        </w:tc>
      </w:tr>
      <w:tr>
        <w:trPr>
          <w:trHeight w:val="251"/>
        </w:trPr>
        <w:tc>
          <w:tcPr>
            <w:tcW w:w="3620" w:type="dxa"/>
            <w:vAlign w:val="bottom"/>
            <w:shd w:val="clear" w:color="auto" w:fill="E4E4E4"/>
          </w:tcPr>
          <w:p>
            <w:pPr>
              <w:ind w:left="1540"/>
              <w:spacing w:after="0"/>
              <w:rPr>
                <w:sz w:val="20"/>
                <w:szCs w:val="20"/>
                <w:color w:val="auto"/>
              </w:rPr>
            </w:pPr>
            <w:r>
              <w:rPr>
                <w:rFonts w:ascii="Arial" w:cs="Arial" w:eastAsia="Arial" w:hAnsi="Arial"/>
                <w:sz w:val="20"/>
                <w:szCs w:val="20"/>
                <w:color w:val="1E1E1E"/>
              </w:rPr>
              <w:t>Period</w:t>
            </w: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440" w:type="dxa"/>
            <w:vAlign w:val="bottom"/>
            <w:shd w:val="clear" w:color="auto" w:fill="E4E4E4"/>
          </w:tcPr>
          <w:p>
            <w:pPr>
              <w:jc w:val="center"/>
              <w:spacing w:after="0"/>
              <w:rPr>
                <w:sz w:val="20"/>
                <w:szCs w:val="20"/>
                <w:color w:val="auto"/>
              </w:rPr>
            </w:pPr>
            <w:r>
              <w:rPr>
                <w:rFonts w:ascii="Arial" w:cs="Arial" w:eastAsia="Arial" w:hAnsi="Arial"/>
                <w:sz w:val="20"/>
                <w:szCs w:val="20"/>
                <w:color w:val="1E1E1E"/>
                <w:w w:val="85"/>
              </w:rPr>
              <w:t>shares purchased</w:t>
            </w:r>
          </w:p>
        </w:tc>
        <w:tc>
          <w:tcPr>
            <w:tcW w:w="220" w:type="dxa"/>
            <w:vAlign w:val="bottom"/>
            <w:shd w:val="clear" w:color="auto" w:fill="E4E4E4"/>
          </w:tcPr>
          <w:p>
            <w:pPr>
              <w:spacing w:after="0"/>
              <w:rPr>
                <w:sz w:val="21"/>
                <w:szCs w:val="21"/>
                <w:color w:val="auto"/>
              </w:rPr>
            </w:pPr>
          </w:p>
        </w:tc>
        <w:tc>
          <w:tcPr>
            <w:tcW w:w="1440" w:type="dxa"/>
            <w:vAlign w:val="bottom"/>
            <w:gridSpan w:val="2"/>
            <w:shd w:val="clear" w:color="auto" w:fill="E4E4E4"/>
          </w:tcPr>
          <w:p>
            <w:pPr>
              <w:jc w:val="center"/>
              <w:spacing w:after="0"/>
              <w:rPr>
                <w:sz w:val="20"/>
                <w:szCs w:val="20"/>
                <w:color w:val="auto"/>
              </w:rPr>
            </w:pPr>
            <w:r>
              <w:rPr>
                <w:rFonts w:ascii="Arial" w:cs="Arial" w:eastAsia="Arial" w:hAnsi="Arial"/>
                <w:sz w:val="20"/>
                <w:szCs w:val="20"/>
                <w:color w:val="1E1E1E"/>
                <w:w w:val="89"/>
              </w:rPr>
              <w:t xml:space="preserve">paid per share </w:t>
            </w:r>
            <w:r>
              <w:rPr>
                <w:rFonts w:ascii="Arial" w:cs="Arial" w:eastAsia="Arial" w:hAnsi="Arial"/>
                <w:sz w:val="12"/>
                <w:szCs w:val="12"/>
                <w:color w:val="1E1E1E"/>
                <w:w w:val="89"/>
              </w:rPr>
              <w:t>(1)</w:t>
            </w:r>
          </w:p>
        </w:tc>
        <w:tc>
          <w:tcPr>
            <w:tcW w:w="220" w:type="dxa"/>
            <w:vAlign w:val="bottom"/>
            <w:shd w:val="clear" w:color="auto" w:fill="E4E4E4"/>
          </w:tcPr>
          <w:p>
            <w:pPr>
              <w:spacing w:after="0"/>
              <w:rPr>
                <w:sz w:val="21"/>
                <w:szCs w:val="21"/>
                <w:color w:val="auto"/>
              </w:rPr>
            </w:pPr>
          </w:p>
        </w:tc>
        <w:tc>
          <w:tcPr>
            <w:tcW w:w="1640" w:type="dxa"/>
            <w:vAlign w:val="bottom"/>
            <w:shd w:val="clear" w:color="auto" w:fill="E4E4E4"/>
          </w:tcPr>
          <w:p>
            <w:pPr>
              <w:jc w:val="center"/>
              <w:spacing w:after="0"/>
              <w:rPr>
                <w:sz w:val="20"/>
                <w:szCs w:val="20"/>
                <w:color w:val="auto"/>
              </w:rPr>
            </w:pPr>
            <w:r>
              <w:rPr>
                <w:rFonts w:ascii="Arial" w:cs="Arial" w:eastAsia="Arial" w:hAnsi="Arial"/>
                <w:sz w:val="20"/>
                <w:szCs w:val="20"/>
                <w:color w:val="1E1E1E"/>
                <w:w w:val="88"/>
              </w:rPr>
              <w:t>announced plan</w:t>
            </w:r>
          </w:p>
        </w:tc>
        <w:tc>
          <w:tcPr>
            <w:tcW w:w="2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800" w:type="dxa"/>
            <w:vAlign w:val="bottom"/>
            <w:gridSpan w:val="2"/>
            <w:shd w:val="clear" w:color="auto" w:fill="E4E4E4"/>
          </w:tcPr>
          <w:p>
            <w:pPr>
              <w:jc w:val="center"/>
              <w:ind w:right="220"/>
              <w:spacing w:after="0"/>
              <w:rPr>
                <w:sz w:val="20"/>
                <w:szCs w:val="20"/>
                <w:color w:val="auto"/>
              </w:rPr>
            </w:pPr>
            <w:r>
              <w:rPr>
                <w:rFonts w:ascii="Arial" w:cs="Arial" w:eastAsia="Arial" w:hAnsi="Arial"/>
                <w:sz w:val="20"/>
                <w:szCs w:val="20"/>
                <w:color w:val="1E1E1E"/>
                <w:w w:val="90"/>
              </w:rPr>
              <w:t xml:space="preserve">under the plan </w:t>
            </w:r>
            <w:r>
              <w:rPr>
                <w:rFonts w:ascii="Arial" w:cs="Arial" w:eastAsia="Arial" w:hAnsi="Arial"/>
                <w:sz w:val="12"/>
                <w:szCs w:val="12"/>
                <w:color w:val="1E1E1E"/>
                <w:w w:val="90"/>
              </w:rPr>
              <w:t>(1)</w:t>
            </w:r>
          </w:p>
        </w:tc>
        <w:tc>
          <w:tcPr>
            <w:tcW w:w="0" w:type="dxa"/>
            <w:vAlign w:val="bottom"/>
          </w:tcPr>
          <w:p>
            <w:pPr>
              <w:spacing w:after="0"/>
              <w:rPr>
                <w:sz w:val="1"/>
                <w:szCs w:val="1"/>
                <w:color w:val="auto"/>
              </w:rPr>
            </w:pPr>
          </w:p>
        </w:tc>
      </w:tr>
      <w:tr>
        <w:trPr>
          <w:trHeight w:val="219"/>
        </w:trPr>
        <w:tc>
          <w:tcPr>
            <w:tcW w:w="3620" w:type="dxa"/>
            <w:vAlign w:val="bottom"/>
            <w:tcBorders>
              <w:top w:val="single" w:sz="8" w:color="1E1E1E"/>
            </w:tcBorders>
          </w:tcPr>
          <w:p>
            <w:pPr>
              <w:spacing w:after="0"/>
              <w:rPr>
                <w:sz w:val="19"/>
                <w:szCs w:val="19"/>
                <w:color w:val="auto"/>
              </w:rPr>
            </w:pPr>
          </w:p>
        </w:tc>
        <w:tc>
          <w:tcPr>
            <w:tcW w:w="20" w:type="dxa"/>
            <w:vAlign w:val="bottom"/>
            <w:tcBorders>
              <w:top w:val="single" w:sz="8" w:color="1E1E1E"/>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top w:val="single" w:sz="8" w:color="1E1E1E"/>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1E1E1E"/>
            </w:tcBorders>
          </w:tcPr>
          <w:p>
            <w:pPr>
              <w:spacing w:after="0"/>
              <w:rPr>
                <w:sz w:val="19"/>
                <w:szCs w:val="19"/>
                <w:color w:val="auto"/>
              </w:rPr>
            </w:pPr>
          </w:p>
        </w:tc>
        <w:tc>
          <w:tcPr>
            <w:tcW w:w="1320" w:type="dxa"/>
            <w:vAlign w:val="bottom"/>
            <w:tcBorders>
              <w:top w:val="single" w:sz="8" w:color="1E1E1E"/>
            </w:tcBorders>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Borders>
              <w:top w:val="single" w:sz="8" w:color="1E1E1E"/>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1E1E1E"/>
            </w:tcBorders>
          </w:tcPr>
          <w:p>
            <w:pPr>
              <w:spacing w:after="0"/>
              <w:rPr>
                <w:sz w:val="19"/>
                <w:szCs w:val="19"/>
                <w:color w:val="auto"/>
              </w:rPr>
            </w:pPr>
          </w:p>
        </w:tc>
        <w:tc>
          <w:tcPr>
            <w:tcW w:w="1700" w:type="dxa"/>
            <w:vAlign w:val="bottom"/>
            <w:tcBorders>
              <w:top w:val="single" w:sz="8" w:color="1E1E1E"/>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E4E4E4"/>
          </w:tcPr>
          <w:p>
            <w:pPr>
              <w:spacing w:after="0"/>
              <w:rPr>
                <w:sz w:val="20"/>
                <w:szCs w:val="20"/>
                <w:color w:val="auto"/>
              </w:rPr>
            </w:pPr>
            <w:r>
              <w:rPr>
                <w:rFonts w:ascii="Arial" w:cs="Arial" w:eastAsia="Arial" w:hAnsi="Arial"/>
                <w:sz w:val="20"/>
                <w:szCs w:val="20"/>
                <w:color w:val="1E1E1E"/>
              </w:rPr>
              <w:t>October 29, 2023 to November 25,2023</w:t>
            </w:r>
          </w:p>
        </w:tc>
        <w:tc>
          <w:tcPr>
            <w:tcW w:w="2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44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w:t>
            </w:r>
          </w:p>
        </w:tc>
        <w:tc>
          <w:tcPr>
            <w:tcW w:w="220" w:type="dxa"/>
            <w:vAlign w:val="bottom"/>
            <w:shd w:val="clear" w:color="auto" w:fill="E4E4E4"/>
          </w:tcPr>
          <w:p>
            <w:pPr>
              <w:spacing w:after="0"/>
              <w:rPr>
                <w:sz w:val="20"/>
                <w:szCs w:val="20"/>
                <w:color w:val="auto"/>
              </w:rPr>
            </w:pPr>
          </w:p>
        </w:tc>
        <w:tc>
          <w:tcPr>
            <w:tcW w:w="120" w:type="dxa"/>
            <w:vAlign w:val="bottom"/>
            <w:shd w:val="clear" w:color="auto" w:fill="E4E4E4"/>
          </w:tcPr>
          <w:p>
            <w:pPr>
              <w:jc w:val="right"/>
              <w:spacing w:after="0"/>
              <w:rPr>
                <w:sz w:val="20"/>
                <w:szCs w:val="20"/>
                <w:color w:val="auto"/>
              </w:rPr>
            </w:pPr>
            <w:r>
              <w:rPr>
                <w:rFonts w:ascii="Arial" w:cs="Arial" w:eastAsia="Arial" w:hAnsi="Arial"/>
                <w:sz w:val="20"/>
                <w:szCs w:val="20"/>
                <w:color w:val="1E1E1E"/>
                <w:w w:val="71"/>
              </w:rPr>
              <w:t>$</w:t>
            </w:r>
          </w:p>
        </w:tc>
        <w:tc>
          <w:tcPr>
            <w:tcW w:w="132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w:t>
            </w:r>
          </w:p>
        </w:tc>
        <w:tc>
          <w:tcPr>
            <w:tcW w:w="220" w:type="dxa"/>
            <w:vAlign w:val="bottom"/>
            <w:shd w:val="clear" w:color="auto" w:fill="E4E4E4"/>
          </w:tcPr>
          <w:p>
            <w:pPr>
              <w:spacing w:after="0"/>
              <w:rPr>
                <w:sz w:val="20"/>
                <w:szCs w:val="20"/>
                <w:color w:val="auto"/>
              </w:rPr>
            </w:pPr>
          </w:p>
        </w:tc>
        <w:tc>
          <w:tcPr>
            <w:tcW w:w="164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w:t>
            </w:r>
          </w:p>
        </w:tc>
        <w:tc>
          <w:tcPr>
            <w:tcW w:w="220" w:type="dxa"/>
            <w:vAlign w:val="bottom"/>
            <w:shd w:val="clear" w:color="auto" w:fill="E4E4E4"/>
          </w:tcPr>
          <w:p>
            <w:pPr>
              <w:spacing w:after="0"/>
              <w:rPr>
                <w:sz w:val="20"/>
                <w:szCs w:val="20"/>
                <w:color w:val="auto"/>
              </w:rPr>
            </w:pPr>
          </w:p>
        </w:tc>
        <w:tc>
          <w:tcPr>
            <w:tcW w:w="100" w:type="dxa"/>
            <w:vAlign w:val="bottom"/>
            <w:shd w:val="clear" w:color="auto" w:fill="E4E4E4"/>
          </w:tcPr>
          <w:p>
            <w:pPr>
              <w:jc w:val="right"/>
              <w:spacing w:after="0"/>
              <w:rPr>
                <w:sz w:val="20"/>
                <w:szCs w:val="20"/>
                <w:color w:val="auto"/>
              </w:rPr>
            </w:pPr>
            <w:r>
              <w:rPr>
                <w:rFonts w:ascii="Arial" w:cs="Arial" w:eastAsia="Arial" w:hAnsi="Arial"/>
                <w:sz w:val="20"/>
                <w:szCs w:val="20"/>
                <w:color w:val="1E1E1E"/>
                <w:w w:val="71"/>
              </w:rPr>
              <w:t>$</w:t>
            </w:r>
          </w:p>
        </w:tc>
        <w:tc>
          <w:tcPr>
            <w:tcW w:w="170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10,150,003</w:t>
            </w: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20"/>
                <w:szCs w:val="20"/>
                <w:color w:val="1E1E1E"/>
                <w:w w:val="94"/>
              </w:rPr>
              <w:t>November 26, 2023 to December 30, 2023</w:t>
            </w:r>
          </w:p>
        </w:tc>
        <w:tc>
          <w:tcPr>
            <w:tcW w:w="1540" w:type="dxa"/>
            <w:vAlign w:val="bottom"/>
            <w:gridSpan w:val="3"/>
          </w:tcPr>
          <w:p>
            <w:pPr>
              <w:jc w:val="right"/>
              <w:spacing w:after="0"/>
              <w:rPr>
                <w:sz w:val="20"/>
                <w:szCs w:val="20"/>
                <w:color w:val="auto"/>
              </w:rPr>
            </w:pPr>
            <w:r>
              <w:rPr>
                <w:rFonts w:ascii="Arial" w:cs="Arial" w:eastAsia="Arial" w:hAnsi="Arial"/>
                <w:sz w:val="20"/>
                <w:szCs w:val="20"/>
                <w:color w:val="1E1E1E"/>
              </w:rPr>
              <w:t>1,207,271</w:t>
            </w:r>
          </w:p>
        </w:tc>
        <w:tc>
          <w:tcPr>
            <w:tcW w:w="340" w:type="dxa"/>
            <w:vAlign w:val="bottom"/>
            <w:gridSpan w:val="2"/>
          </w:tcPr>
          <w:p>
            <w:pPr>
              <w:jc w:val="right"/>
              <w:spacing w:after="0"/>
              <w:rPr>
                <w:sz w:val="20"/>
                <w:szCs w:val="20"/>
                <w:color w:val="auto"/>
              </w:rPr>
            </w:pPr>
            <w:r>
              <w:rPr>
                <w:rFonts w:ascii="Arial" w:cs="Arial" w:eastAsia="Arial" w:hAnsi="Arial"/>
                <w:sz w:val="20"/>
                <w:szCs w:val="20"/>
                <w:color w:val="1E1E1E"/>
              </w:rPr>
              <w:t>$</w:t>
            </w:r>
          </w:p>
        </w:tc>
        <w:tc>
          <w:tcPr>
            <w:tcW w:w="1320" w:type="dxa"/>
            <w:vAlign w:val="bottom"/>
          </w:tcPr>
          <w:p>
            <w:pPr>
              <w:jc w:val="right"/>
              <w:spacing w:after="0"/>
              <w:rPr>
                <w:sz w:val="20"/>
                <w:szCs w:val="20"/>
                <w:color w:val="auto"/>
              </w:rPr>
            </w:pPr>
            <w:r>
              <w:rPr>
                <w:rFonts w:ascii="Arial" w:cs="Arial" w:eastAsia="Arial" w:hAnsi="Arial"/>
                <w:sz w:val="20"/>
                <w:szCs w:val="20"/>
                <w:color w:val="1E1E1E"/>
              </w:rPr>
              <w:t>4.12</w:t>
            </w:r>
          </w:p>
        </w:tc>
        <w:tc>
          <w:tcPr>
            <w:tcW w:w="1860" w:type="dxa"/>
            <w:vAlign w:val="bottom"/>
            <w:gridSpan w:val="2"/>
          </w:tcPr>
          <w:p>
            <w:pPr>
              <w:jc w:val="right"/>
              <w:spacing w:after="0"/>
              <w:rPr>
                <w:sz w:val="20"/>
                <w:szCs w:val="20"/>
                <w:color w:val="auto"/>
              </w:rPr>
            </w:pPr>
            <w:r>
              <w:rPr>
                <w:rFonts w:ascii="Arial" w:cs="Arial" w:eastAsia="Arial" w:hAnsi="Arial"/>
                <w:sz w:val="20"/>
                <w:szCs w:val="20"/>
                <w:color w:val="1E1E1E"/>
              </w:rPr>
              <w:t>1,207,271</w:t>
            </w:r>
          </w:p>
        </w:tc>
        <w:tc>
          <w:tcPr>
            <w:tcW w:w="320" w:type="dxa"/>
            <w:vAlign w:val="bottom"/>
            <w:gridSpan w:val="2"/>
          </w:tcPr>
          <w:p>
            <w:pPr>
              <w:jc w:val="right"/>
              <w:spacing w:after="0"/>
              <w:rPr>
                <w:sz w:val="20"/>
                <w:szCs w:val="20"/>
                <w:color w:val="auto"/>
              </w:rPr>
            </w:pPr>
            <w:r>
              <w:rPr>
                <w:rFonts w:ascii="Arial" w:cs="Arial" w:eastAsia="Arial" w:hAnsi="Arial"/>
                <w:sz w:val="20"/>
                <w:szCs w:val="20"/>
                <w:color w:val="1E1E1E"/>
              </w:rPr>
              <w:t>$</w:t>
            </w:r>
          </w:p>
        </w:tc>
        <w:tc>
          <w:tcPr>
            <w:tcW w:w="1800" w:type="dxa"/>
            <w:vAlign w:val="bottom"/>
            <w:gridSpan w:val="2"/>
          </w:tcPr>
          <w:p>
            <w:pPr>
              <w:jc w:val="right"/>
              <w:ind w:right="100"/>
              <w:spacing w:after="0"/>
              <w:rPr>
                <w:sz w:val="20"/>
                <w:szCs w:val="20"/>
                <w:color w:val="auto"/>
              </w:rPr>
            </w:pPr>
            <w:r>
              <w:rPr>
                <w:rFonts w:ascii="Arial" w:cs="Arial" w:eastAsia="Arial" w:hAnsi="Arial"/>
                <w:sz w:val="20"/>
                <w:szCs w:val="20"/>
                <w:color w:val="1E1E1E"/>
              </w:rPr>
              <w:t>5,172,641</w:t>
            </w:r>
          </w:p>
        </w:tc>
        <w:tc>
          <w:tcPr>
            <w:tcW w:w="0" w:type="dxa"/>
            <w:vAlign w:val="bottom"/>
          </w:tcPr>
          <w:p>
            <w:pPr>
              <w:spacing w:after="0"/>
              <w:rPr>
                <w:sz w:val="1"/>
                <w:szCs w:val="1"/>
                <w:color w:val="auto"/>
              </w:rPr>
            </w:pPr>
          </w:p>
        </w:tc>
      </w:tr>
      <w:tr>
        <w:trPr>
          <w:trHeight w:val="228"/>
        </w:trPr>
        <w:tc>
          <w:tcPr>
            <w:tcW w:w="3620" w:type="dxa"/>
            <w:vAlign w:val="bottom"/>
            <w:shd w:val="clear" w:color="auto" w:fill="E4E4E4"/>
          </w:tcPr>
          <w:p>
            <w:pPr>
              <w:spacing w:after="0" w:line="228" w:lineRule="exact"/>
              <w:rPr>
                <w:sz w:val="20"/>
                <w:szCs w:val="20"/>
                <w:color w:val="auto"/>
              </w:rPr>
            </w:pPr>
            <w:r>
              <w:rPr>
                <w:rFonts w:ascii="Arial" w:cs="Arial" w:eastAsia="Arial" w:hAnsi="Arial"/>
                <w:sz w:val="20"/>
                <w:szCs w:val="20"/>
                <w:color w:val="1E1E1E"/>
              </w:rPr>
              <w:t>December 31, 2023 to February 3, 2024</w:t>
            </w:r>
          </w:p>
        </w:tc>
        <w:tc>
          <w:tcPr>
            <w:tcW w:w="1540" w:type="dxa"/>
            <w:vAlign w:val="bottom"/>
            <w:gridSpan w:val="3"/>
            <w:shd w:val="clear" w:color="auto" w:fill="E4E4E4"/>
          </w:tcPr>
          <w:p>
            <w:pPr>
              <w:jc w:val="right"/>
              <w:spacing w:after="0" w:line="228" w:lineRule="exact"/>
              <w:rPr>
                <w:sz w:val="20"/>
                <w:szCs w:val="20"/>
                <w:color w:val="auto"/>
              </w:rPr>
            </w:pPr>
            <w:r>
              <w:rPr>
                <w:rFonts w:ascii="Arial" w:cs="Arial" w:eastAsia="Arial" w:hAnsi="Arial"/>
                <w:sz w:val="20"/>
                <w:szCs w:val="20"/>
                <w:color w:val="1E1E1E"/>
              </w:rPr>
              <w:t>1,121,923</w:t>
            </w:r>
          </w:p>
        </w:tc>
        <w:tc>
          <w:tcPr>
            <w:tcW w:w="340" w:type="dxa"/>
            <w:vAlign w:val="bottom"/>
            <w:gridSpan w:val="2"/>
            <w:shd w:val="clear" w:color="auto" w:fill="E4E4E4"/>
          </w:tcPr>
          <w:p>
            <w:pPr>
              <w:jc w:val="right"/>
              <w:spacing w:after="0" w:line="228" w:lineRule="exact"/>
              <w:rPr>
                <w:sz w:val="20"/>
                <w:szCs w:val="20"/>
                <w:color w:val="auto"/>
              </w:rPr>
            </w:pPr>
            <w:r>
              <w:rPr>
                <w:rFonts w:ascii="Arial" w:cs="Arial" w:eastAsia="Arial" w:hAnsi="Arial"/>
                <w:sz w:val="20"/>
                <w:szCs w:val="20"/>
                <w:color w:val="1E1E1E"/>
              </w:rPr>
              <w:t>$</w:t>
            </w:r>
          </w:p>
        </w:tc>
        <w:tc>
          <w:tcPr>
            <w:tcW w:w="1320" w:type="dxa"/>
            <w:vAlign w:val="bottom"/>
            <w:shd w:val="clear" w:color="auto" w:fill="E4E4E4"/>
          </w:tcPr>
          <w:p>
            <w:pPr>
              <w:jc w:val="right"/>
              <w:spacing w:after="0" w:line="228" w:lineRule="exact"/>
              <w:rPr>
                <w:sz w:val="20"/>
                <w:szCs w:val="20"/>
                <w:color w:val="auto"/>
              </w:rPr>
            </w:pPr>
            <w:r>
              <w:rPr>
                <w:rFonts w:ascii="Arial" w:cs="Arial" w:eastAsia="Arial" w:hAnsi="Arial"/>
                <w:sz w:val="20"/>
                <w:szCs w:val="20"/>
                <w:color w:val="1E1E1E"/>
              </w:rPr>
              <w:t>4.20</w:t>
            </w:r>
          </w:p>
        </w:tc>
        <w:tc>
          <w:tcPr>
            <w:tcW w:w="1860" w:type="dxa"/>
            <w:vAlign w:val="bottom"/>
            <w:gridSpan w:val="2"/>
            <w:shd w:val="clear" w:color="auto" w:fill="E4E4E4"/>
          </w:tcPr>
          <w:p>
            <w:pPr>
              <w:jc w:val="right"/>
              <w:spacing w:after="0" w:line="228" w:lineRule="exact"/>
              <w:rPr>
                <w:sz w:val="20"/>
                <w:szCs w:val="20"/>
                <w:color w:val="auto"/>
              </w:rPr>
            </w:pPr>
            <w:r>
              <w:rPr>
                <w:rFonts w:ascii="Arial" w:cs="Arial" w:eastAsia="Arial" w:hAnsi="Arial"/>
                <w:sz w:val="20"/>
                <w:szCs w:val="20"/>
                <w:color w:val="1E1E1E"/>
              </w:rPr>
              <w:t>1,121,923</w:t>
            </w:r>
          </w:p>
        </w:tc>
        <w:tc>
          <w:tcPr>
            <w:tcW w:w="320" w:type="dxa"/>
            <w:vAlign w:val="bottom"/>
            <w:gridSpan w:val="2"/>
            <w:shd w:val="clear" w:color="auto" w:fill="E4E4E4"/>
          </w:tcPr>
          <w:p>
            <w:pPr>
              <w:jc w:val="right"/>
              <w:spacing w:after="0" w:line="228" w:lineRule="exact"/>
              <w:rPr>
                <w:sz w:val="20"/>
                <w:szCs w:val="20"/>
                <w:color w:val="auto"/>
              </w:rPr>
            </w:pPr>
            <w:r>
              <w:rPr>
                <w:rFonts w:ascii="Arial" w:cs="Arial" w:eastAsia="Arial" w:hAnsi="Arial"/>
                <w:sz w:val="20"/>
                <w:szCs w:val="20"/>
                <w:color w:val="1E1E1E"/>
              </w:rPr>
              <w:t>$</w:t>
            </w:r>
          </w:p>
        </w:tc>
        <w:tc>
          <w:tcPr>
            <w:tcW w:w="1700" w:type="dxa"/>
            <w:vAlign w:val="bottom"/>
            <w:shd w:val="clear" w:color="auto" w:fill="E4E4E4"/>
          </w:tcPr>
          <w:p>
            <w:pPr>
              <w:jc w:val="right"/>
              <w:spacing w:after="0" w:line="228" w:lineRule="exact"/>
              <w:rPr>
                <w:sz w:val="20"/>
                <w:szCs w:val="20"/>
                <w:color w:val="auto"/>
              </w:rPr>
            </w:pPr>
            <w:r>
              <w:rPr>
                <w:rFonts w:ascii="Arial" w:cs="Arial" w:eastAsia="Arial" w:hAnsi="Arial"/>
                <w:sz w:val="20"/>
                <w:szCs w:val="20"/>
                <w:color w:val="1E1E1E"/>
              </w:rPr>
              <w:t>461,187</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20" w:type="dxa"/>
            <w:vAlign w:val="bottom"/>
          </w:tcPr>
          <w:p>
            <w:pPr>
              <w:spacing w:after="0" w:line="223" w:lineRule="exact"/>
              <w:rPr>
                <w:sz w:val="20"/>
                <w:szCs w:val="20"/>
                <w:color w:val="auto"/>
              </w:rPr>
            </w:pPr>
            <w:r>
              <w:rPr>
                <w:rFonts w:ascii="Arial" w:cs="Arial" w:eastAsia="Arial" w:hAnsi="Arial"/>
                <w:sz w:val="20"/>
                <w:szCs w:val="20"/>
                <w:color w:val="1E1E1E"/>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top w:val="single" w:sz="8" w:color="1E1E1E"/>
            </w:tcBorders>
          </w:tcPr>
          <w:p>
            <w:pPr>
              <w:jc w:val="right"/>
              <w:spacing w:after="0" w:line="223" w:lineRule="exact"/>
              <w:rPr>
                <w:sz w:val="20"/>
                <w:szCs w:val="20"/>
                <w:color w:val="auto"/>
              </w:rPr>
            </w:pPr>
            <w:r>
              <w:rPr>
                <w:rFonts w:ascii="Arial" w:cs="Arial" w:eastAsia="Arial" w:hAnsi="Arial"/>
                <w:sz w:val="20"/>
                <w:szCs w:val="20"/>
                <w:color w:val="1E1E1E"/>
              </w:rPr>
              <w:t>2,329,194</w:t>
            </w:r>
          </w:p>
        </w:tc>
        <w:tc>
          <w:tcPr>
            <w:tcW w:w="220" w:type="dxa"/>
            <w:vAlign w:val="bottom"/>
          </w:tcPr>
          <w:p>
            <w:pPr>
              <w:spacing w:after="0"/>
              <w:rPr>
                <w:sz w:val="19"/>
                <w:szCs w:val="19"/>
                <w:color w:val="auto"/>
              </w:rPr>
            </w:pPr>
          </w:p>
        </w:tc>
        <w:tc>
          <w:tcPr>
            <w:tcW w:w="120" w:type="dxa"/>
            <w:vAlign w:val="bottom"/>
            <w:tcBorders>
              <w:top w:val="single" w:sz="8" w:color="1E1E1E"/>
            </w:tcBorders>
          </w:tcPr>
          <w:p>
            <w:pPr>
              <w:jc w:val="right"/>
              <w:spacing w:after="0" w:line="223" w:lineRule="exact"/>
              <w:rPr>
                <w:sz w:val="20"/>
                <w:szCs w:val="20"/>
                <w:color w:val="auto"/>
              </w:rPr>
            </w:pPr>
            <w:r>
              <w:rPr>
                <w:rFonts w:ascii="Arial" w:cs="Arial" w:eastAsia="Arial" w:hAnsi="Arial"/>
                <w:sz w:val="20"/>
                <w:szCs w:val="20"/>
                <w:color w:val="1E1E1E"/>
                <w:w w:val="71"/>
              </w:rPr>
              <w:t>$</w:t>
            </w:r>
          </w:p>
        </w:tc>
        <w:tc>
          <w:tcPr>
            <w:tcW w:w="1320" w:type="dxa"/>
            <w:vAlign w:val="bottom"/>
            <w:tcBorders>
              <w:top w:val="single" w:sz="8" w:color="1E1E1E"/>
            </w:tcBorders>
          </w:tcPr>
          <w:p>
            <w:pPr>
              <w:jc w:val="right"/>
              <w:spacing w:after="0" w:line="223" w:lineRule="exact"/>
              <w:rPr>
                <w:sz w:val="20"/>
                <w:szCs w:val="20"/>
                <w:color w:val="auto"/>
              </w:rPr>
            </w:pPr>
            <w:r>
              <w:rPr>
                <w:rFonts w:ascii="Arial" w:cs="Arial" w:eastAsia="Arial" w:hAnsi="Arial"/>
                <w:sz w:val="20"/>
                <w:szCs w:val="20"/>
                <w:color w:val="1E1E1E"/>
              </w:rPr>
              <w:t>4.16</w:t>
            </w:r>
          </w:p>
        </w:tc>
        <w:tc>
          <w:tcPr>
            <w:tcW w:w="220" w:type="dxa"/>
            <w:vAlign w:val="bottom"/>
          </w:tcPr>
          <w:p>
            <w:pPr>
              <w:spacing w:after="0"/>
              <w:rPr>
                <w:sz w:val="19"/>
                <w:szCs w:val="19"/>
                <w:color w:val="auto"/>
              </w:rPr>
            </w:pPr>
          </w:p>
        </w:tc>
        <w:tc>
          <w:tcPr>
            <w:tcW w:w="1640" w:type="dxa"/>
            <w:vAlign w:val="bottom"/>
            <w:tcBorders>
              <w:top w:val="single" w:sz="8" w:color="1E1E1E"/>
            </w:tcBorders>
          </w:tcPr>
          <w:p>
            <w:pPr>
              <w:jc w:val="right"/>
              <w:spacing w:after="0" w:line="223" w:lineRule="exact"/>
              <w:rPr>
                <w:sz w:val="20"/>
                <w:szCs w:val="20"/>
                <w:color w:val="auto"/>
              </w:rPr>
            </w:pPr>
            <w:r>
              <w:rPr>
                <w:rFonts w:ascii="Arial" w:cs="Arial" w:eastAsia="Arial" w:hAnsi="Arial"/>
                <w:sz w:val="20"/>
                <w:szCs w:val="20"/>
                <w:color w:val="1E1E1E"/>
              </w:rPr>
              <w:t>2,329,194</w:t>
            </w:r>
          </w:p>
        </w:tc>
        <w:tc>
          <w:tcPr>
            <w:tcW w:w="220" w:type="dxa"/>
            <w:vAlign w:val="bottom"/>
          </w:tcPr>
          <w:p>
            <w:pPr>
              <w:spacing w:after="0"/>
              <w:rPr>
                <w:sz w:val="19"/>
                <w:szCs w:val="19"/>
                <w:color w:val="auto"/>
              </w:rPr>
            </w:pPr>
          </w:p>
        </w:tc>
        <w:tc>
          <w:tcPr>
            <w:tcW w:w="100" w:type="dxa"/>
            <w:vAlign w:val="bottom"/>
            <w:tcBorders>
              <w:top w:val="single" w:sz="8" w:color="1E1E1E"/>
            </w:tcBorders>
          </w:tcPr>
          <w:p>
            <w:pPr>
              <w:jc w:val="right"/>
              <w:spacing w:after="0" w:line="223" w:lineRule="exact"/>
              <w:rPr>
                <w:sz w:val="20"/>
                <w:szCs w:val="20"/>
                <w:color w:val="auto"/>
              </w:rPr>
            </w:pPr>
            <w:r>
              <w:rPr>
                <w:rFonts w:ascii="Arial" w:cs="Arial" w:eastAsia="Arial" w:hAnsi="Arial"/>
                <w:sz w:val="20"/>
                <w:szCs w:val="20"/>
                <w:color w:val="1E1E1E"/>
                <w:w w:val="71"/>
              </w:rPr>
              <w:t>$</w:t>
            </w:r>
          </w:p>
        </w:tc>
        <w:tc>
          <w:tcPr>
            <w:tcW w:w="1700" w:type="dxa"/>
            <w:vAlign w:val="bottom"/>
            <w:tcBorders>
              <w:top w:val="single" w:sz="8" w:color="1E1E1E"/>
            </w:tcBorders>
          </w:tcPr>
          <w:p>
            <w:pPr>
              <w:jc w:val="right"/>
              <w:spacing w:after="0" w:line="223" w:lineRule="exact"/>
              <w:rPr>
                <w:sz w:val="20"/>
                <w:szCs w:val="20"/>
                <w:color w:val="auto"/>
              </w:rPr>
            </w:pPr>
            <w:r>
              <w:rPr>
                <w:rFonts w:ascii="Arial" w:cs="Arial" w:eastAsia="Arial" w:hAnsi="Arial"/>
                <w:sz w:val="20"/>
                <w:szCs w:val="20"/>
                <w:color w:val="1E1E1E"/>
              </w:rPr>
              <w:t>461,187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-15875</wp:posOffset>
            </wp:positionV>
            <wp:extent cx="4457700" cy="609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457700" cy="60960"/>
                    </a:xfrm>
                    <a:prstGeom prst="rect">
                      <a:avLst/>
                    </a:prstGeom>
                    <a:noFill/>
                  </pic:spPr>
                </pic:pic>
              </a:graphicData>
            </a:graphic>
          </wp:anchor>
        </w:drawing>
      </w:r>
    </w:p>
    <w:p>
      <w:pPr>
        <w:spacing w:after="0" w:line="123" w:lineRule="exact"/>
        <w:rPr>
          <w:sz w:val="20"/>
          <w:szCs w:val="20"/>
          <w:color w:val="auto"/>
        </w:rPr>
      </w:pPr>
    </w:p>
    <w:p>
      <w:pPr>
        <w:ind w:left="280" w:right="120" w:hanging="6"/>
        <w:spacing w:after="0" w:line="279" w:lineRule="auto"/>
        <w:tabs>
          <w:tab w:leader="none" w:pos="563" w:val="left"/>
        </w:tabs>
        <w:numPr>
          <w:ilvl w:val="0"/>
          <w:numId w:val="1"/>
        </w:numPr>
        <w:rPr>
          <w:rFonts w:ascii="Arial" w:cs="Arial" w:eastAsia="Arial" w:hAnsi="Arial"/>
          <w:sz w:val="20"/>
          <w:szCs w:val="20"/>
          <w:color w:val="1E1E1E"/>
        </w:rPr>
      </w:pPr>
      <w:r>
        <w:rPr>
          <w:rFonts w:ascii="Arial" w:cs="Arial" w:eastAsia="Arial" w:hAnsi="Arial"/>
          <w:sz w:val="20"/>
          <w:szCs w:val="20"/>
          <w:color w:val="1E1E1E"/>
        </w:rPr>
        <w:t>Average price paid per share and the approximate dollar value of shares that may yet be purchased under the plan excludes the accrual of excise tax of $0.2 million as of February 3, 2024.</w:t>
      </w:r>
    </w:p>
    <w:p>
      <w:pPr>
        <w:sectPr>
          <w:pgSz w:w="11880" w:h="15480" w:orient="portrait"/>
          <w:cols w:equalWidth="0" w:num="1">
            <w:col w:w="10800"/>
          </w:cols>
          <w:pgMar w:left="540" w:top="884"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23</w:t>
      </w:r>
    </w:p>
    <w:p>
      <w:pPr>
        <w:sectPr>
          <w:pgSz w:w="11880" w:h="15480" w:orient="portrait"/>
          <w:cols w:equalWidth="0" w:num="1">
            <w:col w:w="10800"/>
          </w:cols>
          <w:pgMar w:left="540" w:top="884" w:right="540" w:bottom="31" w:gutter="0" w:footer="0" w:header="0"/>
          <w:type w:val="continuous"/>
        </w:sectPr>
      </w:pPr>
    </w:p>
    <w:bookmarkStart w:id="25" w:name="page26"/>
    <w:bookmarkEnd w:id="25"/>
    <w:p>
      <w:pPr>
        <w:ind w:left="300"/>
        <w:spacing w:after="0"/>
        <w:rPr>
          <w:sz w:val="20"/>
          <w:szCs w:val="20"/>
          <w:color w:val="auto"/>
        </w:rPr>
      </w:pPr>
      <w:r>
        <w:rPr>
          <w:rFonts w:ascii="Arial" w:cs="Arial" w:eastAsia="Arial" w:hAnsi="Arial"/>
          <w:sz w:val="20"/>
          <w:szCs w:val="20"/>
          <w:color w:val="1E1E1E"/>
        </w:rPr>
        <w:t>Stock Performance Graph</w:t>
      </w:r>
    </w:p>
    <w:p>
      <w:pPr>
        <w:spacing w:after="0" w:line="229" w:lineRule="exact"/>
        <w:rPr>
          <w:sz w:val="20"/>
          <w:szCs w:val="20"/>
          <w:color w:val="auto"/>
        </w:rPr>
      </w:pPr>
    </w:p>
    <w:p>
      <w:pPr>
        <w:spacing w:after="0" w:line="246" w:lineRule="auto"/>
        <w:rPr>
          <w:sz w:val="20"/>
          <w:szCs w:val="20"/>
          <w:color w:val="auto"/>
        </w:rPr>
      </w:pPr>
      <w:r>
        <w:rPr>
          <w:rFonts w:ascii="Arial" w:cs="Arial" w:eastAsia="Arial" w:hAnsi="Arial"/>
          <w:sz w:val="20"/>
          <w:szCs w:val="20"/>
          <w:color w:val="1E1E1E"/>
        </w:rPr>
        <w:t>The following Performance Graph compares our cumulative stockholder return with a broad market index (Standard &amp; Poor’s 500) and one published industry index (Dow Jones U.S. Apparel Retailers) for each of the most recent five years ended January 31. The cumulative stockholder return for shares of our common stock (“DXLG”) and each of the indices is calculated assuming that $100 was invested on January 31, 2019. We paid no cash dividends during the periods shown. The performance of the indices is shown on a total return (dividends reinvested) basis. The graph lines merely connect January 31 of each year and do not reflect fluctuations between those dates. In addition, we have included a chart of the annual percentage return of our common stock, the S&amp;P 500 and the Dow Jones U.S. Apparel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278765</wp:posOffset>
            </wp:positionV>
            <wp:extent cx="6861175" cy="32505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61175" cy="3250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color w:val="1E1E1E"/>
        </w:rPr>
        <w:t>Annual Return Percentage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60" w:type="dxa"/>
            <w:vAlign w:val="bottom"/>
            <w:gridSpan w:val="2"/>
            <w:vMerge w:val="restart"/>
          </w:tcPr>
          <w:p>
            <w:pPr>
              <w:spacing w:after="0"/>
              <w:rPr>
                <w:sz w:val="20"/>
                <w:szCs w:val="20"/>
                <w:color w:val="auto"/>
              </w:rPr>
            </w:pPr>
            <w:r>
              <w:rPr>
                <w:rFonts w:ascii="Arial" w:cs="Arial" w:eastAsia="Arial" w:hAnsi="Arial"/>
                <w:sz w:val="20"/>
                <w:szCs w:val="20"/>
                <w:color w:val="1E1E1E"/>
              </w:rPr>
              <w:t>Company/Index</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500" w:type="dxa"/>
            <w:vAlign w:val="bottom"/>
            <w:tcBorders>
              <w:bottom w:val="single" w:sz="8" w:color="1E1E1E"/>
            </w:tcBorders>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80" w:type="dxa"/>
            <w:vAlign w:val="bottom"/>
            <w:tcBorders>
              <w:bottom w:val="single" w:sz="8" w:color="1E1E1E"/>
            </w:tcBorders>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500" w:type="dxa"/>
            <w:vAlign w:val="bottom"/>
            <w:tcBorders>
              <w:bottom w:val="single" w:sz="8" w:color="1E1E1E"/>
            </w:tcBorders>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1000" w:type="dxa"/>
            <w:vAlign w:val="bottom"/>
            <w:tcBorders>
              <w:bottom w:val="single" w:sz="8" w:color="1E1E1E"/>
            </w:tcBorders>
            <w:gridSpan w:val="4"/>
          </w:tcPr>
          <w:p>
            <w:pPr>
              <w:spacing w:after="0"/>
              <w:rPr>
                <w:sz w:val="20"/>
                <w:szCs w:val="20"/>
                <w:color w:val="auto"/>
              </w:rPr>
            </w:pPr>
            <w:r>
              <w:rPr>
                <w:rFonts w:ascii="Arial" w:cs="Arial" w:eastAsia="Arial" w:hAnsi="Arial"/>
                <w:sz w:val="16"/>
                <w:szCs w:val="16"/>
                <w:color w:val="1E1E1E"/>
              </w:rPr>
              <w:t>Year ended</w:t>
            </w:r>
          </w:p>
        </w:tc>
        <w:tc>
          <w:tcPr>
            <w:tcW w:w="80" w:type="dxa"/>
            <w:vAlign w:val="bottom"/>
            <w:tcBorders>
              <w:bottom w:val="single" w:sz="8" w:color="1E1E1E"/>
            </w:tcBorders>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500" w:type="dxa"/>
            <w:vAlign w:val="bottom"/>
            <w:tcBorders>
              <w:bottom w:val="single" w:sz="8" w:color="1E1E1E"/>
            </w:tcBorders>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80" w:type="dxa"/>
            <w:vAlign w:val="bottom"/>
            <w:tcBorders>
              <w:bottom w:val="single" w:sz="8" w:color="1E1E1E"/>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620" w:type="dxa"/>
            <w:vAlign w:val="bottom"/>
            <w:tcBorders>
              <w:bottom w:val="single" w:sz="8" w:color="1E1E1E"/>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60" w:type="dxa"/>
            <w:vAlign w:val="bottom"/>
            <w:tcBorders>
              <w:bottom w:val="single" w:sz="8" w:color="1E1E1E"/>
            </w:tcBorders>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4"/>
          </w:tcPr>
          <w:p>
            <w:pPr>
              <w:ind w:left="140"/>
              <w:spacing w:after="0"/>
              <w:rPr>
                <w:sz w:val="20"/>
                <w:szCs w:val="20"/>
                <w:color w:val="auto"/>
              </w:rPr>
            </w:pPr>
            <w:r>
              <w:rPr>
                <w:rFonts w:ascii="Arial" w:cs="Arial" w:eastAsia="Arial" w:hAnsi="Arial"/>
                <w:sz w:val="16"/>
                <w:szCs w:val="16"/>
                <w:color w:val="1E1E1E"/>
              </w:rPr>
              <w:t>Jan 20</w:t>
            </w:r>
          </w:p>
        </w:tc>
        <w:tc>
          <w:tcPr>
            <w:tcW w:w="80" w:type="dxa"/>
            <w:vAlign w:val="bottom"/>
          </w:tcPr>
          <w:p>
            <w:pPr>
              <w:spacing w:after="0"/>
              <w:rPr>
                <w:sz w:val="19"/>
                <w:szCs w:val="19"/>
                <w:color w:val="auto"/>
              </w:rPr>
            </w:pPr>
          </w:p>
        </w:tc>
        <w:tc>
          <w:tcPr>
            <w:tcW w:w="1060" w:type="dxa"/>
            <w:vAlign w:val="bottom"/>
            <w:gridSpan w:val="4"/>
          </w:tcPr>
          <w:p>
            <w:pPr>
              <w:jc w:val="right"/>
              <w:ind w:right="560"/>
              <w:spacing w:after="0"/>
              <w:rPr>
                <w:sz w:val="20"/>
                <w:szCs w:val="20"/>
                <w:color w:val="auto"/>
              </w:rPr>
            </w:pPr>
            <w:r>
              <w:rPr>
                <w:rFonts w:ascii="Arial" w:cs="Arial" w:eastAsia="Arial" w:hAnsi="Arial"/>
                <w:sz w:val="16"/>
                <w:szCs w:val="16"/>
                <w:color w:val="1E1E1E"/>
                <w:w w:val="99"/>
              </w:rPr>
              <w:t>Jan 21</w:t>
            </w:r>
          </w:p>
        </w:tc>
        <w:tc>
          <w:tcPr>
            <w:tcW w:w="1000" w:type="dxa"/>
            <w:vAlign w:val="bottom"/>
            <w:gridSpan w:val="4"/>
          </w:tcPr>
          <w:p>
            <w:pPr>
              <w:ind w:left="100"/>
              <w:spacing w:after="0"/>
              <w:rPr>
                <w:sz w:val="20"/>
                <w:szCs w:val="20"/>
                <w:color w:val="auto"/>
              </w:rPr>
            </w:pPr>
            <w:r>
              <w:rPr>
                <w:rFonts w:ascii="Arial" w:cs="Arial" w:eastAsia="Arial" w:hAnsi="Arial"/>
                <w:sz w:val="16"/>
                <w:szCs w:val="16"/>
                <w:color w:val="1E1E1E"/>
              </w:rPr>
              <w:t>Jan 22</w:t>
            </w:r>
          </w:p>
        </w:tc>
        <w:tc>
          <w:tcPr>
            <w:tcW w:w="80" w:type="dxa"/>
            <w:vAlign w:val="bottom"/>
          </w:tcPr>
          <w:p>
            <w:pPr>
              <w:spacing w:after="0"/>
              <w:rPr>
                <w:sz w:val="19"/>
                <w:szCs w:val="19"/>
                <w:color w:val="auto"/>
              </w:rPr>
            </w:pPr>
          </w:p>
        </w:tc>
        <w:tc>
          <w:tcPr>
            <w:tcW w:w="1000" w:type="dxa"/>
            <w:vAlign w:val="bottom"/>
            <w:gridSpan w:val="4"/>
          </w:tcPr>
          <w:p>
            <w:pPr>
              <w:jc w:val="right"/>
              <w:ind w:right="520"/>
              <w:spacing w:after="0"/>
              <w:rPr>
                <w:sz w:val="20"/>
                <w:szCs w:val="20"/>
                <w:color w:val="auto"/>
              </w:rPr>
            </w:pPr>
            <w:r>
              <w:rPr>
                <w:rFonts w:ascii="Arial" w:cs="Arial" w:eastAsia="Arial" w:hAnsi="Arial"/>
                <w:sz w:val="16"/>
                <w:szCs w:val="16"/>
                <w:color w:val="1E1E1E"/>
                <w:w w:val="95"/>
              </w:rPr>
              <w:t>Jan 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6"/>
                <w:szCs w:val="16"/>
                <w:color w:val="1E1E1E"/>
                <w:w w:val="83"/>
              </w:rPr>
              <w:t>Jan 24</w:t>
            </w:r>
          </w:p>
        </w:tc>
        <w:tc>
          <w:tcPr>
            <w:tcW w:w="0" w:type="dxa"/>
            <w:vAlign w:val="bottom"/>
          </w:tcPr>
          <w:p>
            <w:pPr>
              <w:spacing w:after="0"/>
              <w:rPr>
                <w:sz w:val="1"/>
                <w:szCs w:val="1"/>
                <w:color w:val="auto"/>
              </w:rPr>
            </w:pPr>
          </w:p>
        </w:tc>
      </w:tr>
      <w:tr>
        <w:trPr>
          <w:trHeight w:val="20"/>
        </w:trPr>
        <w:tc>
          <w:tcPr>
            <w:tcW w:w="4460" w:type="dxa"/>
            <w:vAlign w:val="bottom"/>
            <w:tcBorders>
              <w:top w:val="single" w:sz="8" w:color="E4E4E4"/>
            </w:tcBorders>
            <w:gridSpan w:val="2"/>
            <w:vMerge w:val="restart"/>
            <w:shd w:val="clear" w:color="auto" w:fill="E4E4E4"/>
          </w:tcPr>
          <w:p>
            <w:pPr>
              <w:spacing w:after="0" w:line="220" w:lineRule="exact"/>
              <w:rPr>
                <w:sz w:val="20"/>
                <w:szCs w:val="20"/>
                <w:color w:val="auto"/>
              </w:rPr>
            </w:pPr>
            <w:r>
              <w:rPr>
                <w:rFonts w:ascii="Arial" w:cs="Arial" w:eastAsia="Arial" w:hAnsi="Arial"/>
                <w:sz w:val="20"/>
                <w:szCs w:val="20"/>
                <w:color w:val="1E1E1E"/>
              </w:rPr>
              <w:t>DXLG</w:t>
            </w:r>
          </w:p>
        </w:tc>
        <w:tc>
          <w:tcPr>
            <w:tcW w:w="160" w:type="dxa"/>
            <w:vAlign w:val="bottom"/>
            <w:tcBorders>
              <w:top w:val="single" w:sz="8" w:color="E4E4E4"/>
            </w:tcBorders>
            <w:shd w:val="clear" w:color="auto" w:fill="E4E4E4"/>
          </w:tcPr>
          <w:p>
            <w:pPr>
              <w:spacing w:after="0" w:line="20" w:lineRule="exact"/>
              <w:rPr>
                <w:sz w:val="1"/>
                <w:szCs w:val="1"/>
                <w:color w:val="auto"/>
              </w:rPr>
            </w:pPr>
          </w:p>
        </w:tc>
        <w:tc>
          <w:tcPr>
            <w:tcW w:w="700" w:type="dxa"/>
            <w:vAlign w:val="bottom"/>
            <w:tcBorders>
              <w:top w:val="single" w:sz="8" w:color="E4E4E4"/>
            </w:tcBorders>
            <w:shd w:val="clear" w:color="auto" w:fill="E4E4E4"/>
          </w:tcPr>
          <w:p>
            <w:pPr>
              <w:spacing w:after="0" w:line="20" w:lineRule="exact"/>
              <w:rPr>
                <w:sz w:val="1"/>
                <w:szCs w:val="1"/>
                <w:color w:val="auto"/>
              </w:rPr>
            </w:pPr>
          </w:p>
        </w:tc>
        <w:tc>
          <w:tcPr>
            <w:tcW w:w="160" w:type="dxa"/>
            <w:vAlign w:val="bottom"/>
            <w:tcBorders>
              <w:top w:val="single" w:sz="8" w:color="E4E4E4"/>
              <w:right w:val="single" w:sz="8" w:color="1E1E1E"/>
            </w:tcBorders>
            <w:shd w:val="clear" w:color="auto" w:fill="E4E4E4"/>
          </w:tcPr>
          <w:p>
            <w:pPr>
              <w:spacing w:after="0" w:line="20" w:lineRule="exact"/>
              <w:rPr>
                <w:sz w:val="1"/>
                <w:szCs w:val="1"/>
                <w:color w:val="auto"/>
              </w:rPr>
            </w:pPr>
          </w:p>
        </w:tc>
        <w:tc>
          <w:tcPr>
            <w:tcW w:w="220" w:type="dxa"/>
            <w:vAlign w:val="bottom"/>
            <w:tcBorders>
              <w:left w:val="single" w:sz="8" w:color="1E1E1E"/>
            </w:tcBorders>
            <w:shd w:val="clear" w:color="auto" w:fill="1E1E1E"/>
          </w:tcPr>
          <w:p>
            <w:pPr>
              <w:spacing w:after="0" w:line="20" w:lineRule="exact"/>
              <w:rPr>
                <w:sz w:val="1"/>
                <w:szCs w:val="1"/>
                <w:color w:val="auto"/>
              </w:rPr>
            </w:pPr>
          </w:p>
        </w:tc>
        <w:tc>
          <w:tcPr>
            <w:tcW w:w="500" w:type="dxa"/>
            <w:vAlign w:val="bottom"/>
            <w:shd w:val="clear" w:color="auto" w:fill="1E1E1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1E1E1E"/>
          </w:tcPr>
          <w:p>
            <w:pPr>
              <w:spacing w:after="0" w:line="20" w:lineRule="exact"/>
              <w:rPr>
                <w:sz w:val="1"/>
                <w:szCs w:val="1"/>
                <w:color w:val="auto"/>
              </w:rPr>
            </w:pPr>
          </w:p>
        </w:tc>
        <w:tc>
          <w:tcPr>
            <w:tcW w:w="160" w:type="dxa"/>
            <w:vAlign w:val="bottom"/>
            <w:shd w:val="clear" w:color="auto" w:fill="1E1E1E"/>
          </w:tcPr>
          <w:p>
            <w:pPr>
              <w:spacing w:after="0" w:line="20" w:lineRule="exact"/>
              <w:rPr>
                <w:sz w:val="1"/>
                <w:szCs w:val="1"/>
                <w:color w:val="auto"/>
              </w:rPr>
            </w:pPr>
          </w:p>
        </w:tc>
        <w:tc>
          <w:tcPr>
            <w:tcW w:w="500" w:type="dxa"/>
            <w:vAlign w:val="bottom"/>
            <w:shd w:val="clear" w:color="auto" w:fill="1E1E1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1E1E1E"/>
            </w:tcBorders>
          </w:tcPr>
          <w:p>
            <w:pPr>
              <w:spacing w:after="0" w:line="20" w:lineRule="exact"/>
              <w:rPr>
                <w:sz w:val="1"/>
                <w:szCs w:val="1"/>
                <w:color w:val="auto"/>
              </w:rPr>
            </w:pPr>
          </w:p>
        </w:tc>
        <w:tc>
          <w:tcPr>
            <w:tcW w:w="160" w:type="dxa"/>
            <w:vAlign w:val="bottom"/>
            <w:shd w:val="clear" w:color="auto" w:fill="1E1E1E"/>
          </w:tcPr>
          <w:p>
            <w:pPr>
              <w:spacing w:after="0" w:line="20" w:lineRule="exact"/>
              <w:rPr>
                <w:sz w:val="1"/>
                <w:szCs w:val="1"/>
                <w:color w:val="auto"/>
              </w:rPr>
            </w:pPr>
          </w:p>
        </w:tc>
        <w:tc>
          <w:tcPr>
            <w:tcW w:w="520" w:type="dxa"/>
            <w:vAlign w:val="bottom"/>
            <w:shd w:val="clear" w:color="auto" w:fill="1E1E1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1E1E1E"/>
            </w:tcBorders>
          </w:tcPr>
          <w:p>
            <w:pPr>
              <w:spacing w:after="0" w:line="20" w:lineRule="exact"/>
              <w:rPr>
                <w:sz w:val="1"/>
                <w:szCs w:val="1"/>
                <w:color w:val="auto"/>
              </w:rPr>
            </w:pPr>
          </w:p>
        </w:tc>
        <w:tc>
          <w:tcPr>
            <w:tcW w:w="80" w:type="dxa"/>
            <w:vAlign w:val="bottom"/>
            <w:shd w:val="clear" w:color="auto" w:fill="1E1E1E"/>
          </w:tcPr>
          <w:p>
            <w:pPr>
              <w:spacing w:after="0" w:line="20" w:lineRule="exact"/>
              <w:rPr>
                <w:sz w:val="1"/>
                <w:szCs w:val="1"/>
                <w:color w:val="auto"/>
              </w:rPr>
            </w:pPr>
          </w:p>
        </w:tc>
        <w:tc>
          <w:tcPr>
            <w:tcW w:w="160" w:type="dxa"/>
            <w:vAlign w:val="bottom"/>
            <w:shd w:val="clear" w:color="auto" w:fill="1E1E1E"/>
          </w:tcPr>
          <w:p>
            <w:pPr>
              <w:spacing w:after="0" w:line="20" w:lineRule="exact"/>
              <w:rPr>
                <w:sz w:val="1"/>
                <w:szCs w:val="1"/>
                <w:color w:val="auto"/>
              </w:rPr>
            </w:pPr>
          </w:p>
        </w:tc>
        <w:tc>
          <w:tcPr>
            <w:tcW w:w="500" w:type="dxa"/>
            <w:vAlign w:val="bottom"/>
            <w:shd w:val="clear" w:color="auto" w:fill="1E1E1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1E1E1E"/>
            </w:tcBorders>
          </w:tcPr>
          <w:p>
            <w:pPr>
              <w:spacing w:after="0" w:line="20" w:lineRule="exact"/>
              <w:rPr>
                <w:sz w:val="1"/>
                <w:szCs w:val="1"/>
                <w:color w:val="auto"/>
              </w:rPr>
            </w:pPr>
          </w:p>
        </w:tc>
        <w:tc>
          <w:tcPr>
            <w:tcW w:w="80" w:type="dxa"/>
            <w:vAlign w:val="bottom"/>
            <w:shd w:val="clear" w:color="auto" w:fill="1E1E1E"/>
          </w:tcPr>
          <w:p>
            <w:pPr>
              <w:spacing w:after="0" w:line="20" w:lineRule="exact"/>
              <w:rPr>
                <w:sz w:val="1"/>
                <w:szCs w:val="1"/>
                <w:color w:val="auto"/>
              </w:rPr>
            </w:pPr>
          </w:p>
        </w:tc>
        <w:tc>
          <w:tcPr>
            <w:tcW w:w="100" w:type="dxa"/>
            <w:vAlign w:val="bottom"/>
            <w:shd w:val="clear" w:color="auto" w:fill="1E1E1E"/>
          </w:tcPr>
          <w:p>
            <w:pPr>
              <w:spacing w:after="0" w:line="20" w:lineRule="exact"/>
              <w:rPr>
                <w:sz w:val="1"/>
                <w:szCs w:val="1"/>
                <w:color w:val="auto"/>
              </w:rPr>
            </w:pPr>
          </w:p>
        </w:tc>
        <w:tc>
          <w:tcPr>
            <w:tcW w:w="620" w:type="dxa"/>
            <w:vAlign w:val="bottom"/>
            <w:shd w:val="clear" w:color="auto" w:fill="1E1E1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460" w:type="dxa"/>
            <w:vAlign w:val="bottom"/>
            <w:gridSpan w:val="2"/>
            <w:vMerge w:val="continue"/>
            <w:shd w:val="clear" w:color="auto" w:fill="E4E4E4"/>
          </w:tcPr>
          <w:p>
            <w:pPr>
              <w:spacing w:after="0"/>
              <w:rPr>
                <w:sz w:val="17"/>
                <w:szCs w:val="17"/>
                <w:color w:val="auto"/>
              </w:rPr>
            </w:pPr>
          </w:p>
        </w:tc>
        <w:tc>
          <w:tcPr>
            <w:tcW w:w="160" w:type="dxa"/>
            <w:vAlign w:val="bottom"/>
            <w:shd w:val="clear" w:color="auto" w:fill="E4E4E4"/>
          </w:tcPr>
          <w:p>
            <w:pPr>
              <w:spacing w:after="0"/>
              <w:rPr>
                <w:sz w:val="17"/>
                <w:szCs w:val="17"/>
                <w:color w:val="auto"/>
              </w:rPr>
            </w:pPr>
          </w:p>
        </w:tc>
        <w:tc>
          <w:tcPr>
            <w:tcW w:w="700" w:type="dxa"/>
            <w:vAlign w:val="bottom"/>
            <w:shd w:val="clear" w:color="auto" w:fill="E4E4E4"/>
          </w:tcPr>
          <w:p>
            <w:pPr>
              <w:spacing w:after="0"/>
              <w:rPr>
                <w:sz w:val="17"/>
                <w:szCs w:val="17"/>
                <w:color w:val="auto"/>
              </w:rPr>
            </w:pPr>
          </w:p>
        </w:tc>
        <w:tc>
          <w:tcPr>
            <w:tcW w:w="160" w:type="dxa"/>
            <w:vAlign w:val="bottom"/>
            <w:tcBorders>
              <w:right w:val="single" w:sz="8" w:color="E4E4E4"/>
            </w:tcBorders>
            <w:shd w:val="clear" w:color="auto" w:fill="E4E4E4"/>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3"/>
          </w:tcPr>
          <w:p>
            <w:pPr>
              <w:ind w:left="80"/>
              <w:spacing w:after="0" w:line="200" w:lineRule="exact"/>
              <w:rPr>
                <w:sz w:val="20"/>
                <w:szCs w:val="20"/>
                <w:color w:val="auto"/>
              </w:rPr>
            </w:pPr>
            <w:r>
              <w:rPr>
                <w:rFonts w:ascii="Arial" w:cs="Arial" w:eastAsia="Arial" w:hAnsi="Arial"/>
                <w:sz w:val="20"/>
                <w:szCs w:val="20"/>
                <w:color w:val="1E1E1E"/>
              </w:rPr>
              <w:t>(56.0%)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3"/>
          </w:tcPr>
          <w:p>
            <w:pPr>
              <w:jc w:val="right"/>
              <w:ind w:right="160"/>
              <w:spacing w:after="0" w:line="200" w:lineRule="exact"/>
              <w:rPr>
                <w:sz w:val="20"/>
                <w:szCs w:val="20"/>
                <w:color w:val="auto"/>
              </w:rPr>
            </w:pPr>
            <w:r>
              <w:rPr>
                <w:rFonts w:ascii="Arial" w:cs="Arial" w:eastAsia="Arial" w:hAnsi="Arial"/>
                <w:sz w:val="20"/>
                <w:szCs w:val="20"/>
                <w:color w:val="1E1E1E"/>
              </w:rPr>
              <w:t>(27.9%)</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line="200" w:lineRule="exact"/>
              <w:rPr>
                <w:sz w:val="20"/>
                <w:szCs w:val="20"/>
                <w:color w:val="auto"/>
              </w:rPr>
            </w:pPr>
            <w:r>
              <w:rPr>
                <w:rFonts w:ascii="Arial" w:cs="Arial" w:eastAsia="Arial" w:hAnsi="Arial"/>
                <w:sz w:val="20"/>
                <w:szCs w:val="20"/>
                <w:color w:val="1E1E1E"/>
                <w:w w:val="97"/>
              </w:rPr>
              <w:t>441.3%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ind w:left="140"/>
              <w:spacing w:after="0" w:line="200" w:lineRule="exact"/>
              <w:rPr>
                <w:sz w:val="20"/>
                <w:szCs w:val="20"/>
                <w:color w:val="auto"/>
              </w:rPr>
            </w:pPr>
            <w:r>
              <w:rPr>
                <w:rFonts w:ascii="Arial" w:cs="Arial" w:eastAsia="Arial" w:hAnsi="Arial"/>
                <w:sz w:val="20"/>
                <w:szCs w:val="20"/>
                <w:color w:val="1E1E1E"/>
                <w:w w:val="95"/>
              </w:rPr>
              <w:t>70.0%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line="200" w:lineRule="exact"/>
              <w:rPr>
                <w:sz w:val="20"/>
                <w:szCs w:val="20"/>
                <w:color w:val="auto"/>
              </w:rPr>
            </w:pPr>
            <w:r>
              <w:rPr>
                <w:rFonts w:ascii="Arial" w:cs="Arial" w:eastAsia="Arial" w:hAnsi="Arial"/>
                <w:sz w:val="20"/>
                <w:szCs w:val="20"/>
                <w:color w:val="1E1E1E"/>
              </w:rPr>
              <w:t>(43.5%)</w:t>
            </w: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20"/>
                <w:szCs w:val="20"/>
                <w:color w:val="1E1E1E"/>
              </w:rPr>
              <w:t>S&amp;P 500</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ind w:left="160"/>
              <w:spacing w:after="0"/>
              <w:rPr>
                <w:sz w:val="20"/>
                <w:szCs w:val="20"/>
                <w:color w:val="auto"/>
              </w:rPr>
            </w:pPr>
            <w:r>
              <w:rPr>
                <w:rFonts w:ascii="Arial" w:cs="Arial" w:eastAsia="Arial" w:hAnsi="Arial"/>
                <w:sz w:val="20"/>
                <w:szCs w:val="20"/>
                <w:color w:val="1E1E1E"/>
                <w:w w:val="91"/>
              </w:rPr>
              <w:t>19.2%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20"/>
                <w:szCs w:val="20"/>
                <w:color w:val="1E1E1E"/>
              </w:rPr>
              <w:t>15.2%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center"/>
              <w:ind w:left="43"/>
              <w:spacing w:after="0"/>
              <w:rPr>
                <w:sz w:val="20"/>
                <w:szCs w:val="20"/>
                <w:color w:val="auto"/>
              </w:rPr>
            </w:pPr>
            <w:r>
              <w:rPr>
                <w:rFonts w:ascii="Arial" w:cs="Arial" w:eastAsia="Arial" w:hAnsi="Arial"/>
                <w:sz w:val="20"/>
                <w:szCs w:val="20"/>
                <w:color w:val="1E1E1E"/>
                <w:w w:val="91"/>
              </w:rPr>
              <w:t>19.3%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20"/>
                <w:szCs w:val="20"/>
                <w:color w:val="1E1E1E"/>
              </w:rPr>
              <w:t>(8.2%)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20"/>
                <w:szCs w:val="20"/>
                <w:color w:val="1E1E1E"/>
              </w:rPr>
              <w:t>21.8%</w:t>
            </w:r>
          </w:p>
        </w:tc>
        <w:tc>
          <w:tcPr>
            <w:tcW w:w="0" w:type="dxa"/>
            <w:vAlign w:val="bottom"/>
          </w:tcPr>
          <w:p>
            <w:pPr>
              <w:spacing w:after="0"/>
              <w:rPr>
                <w:sz w:val="1"/>
                <w:szCs w:val="1"/>
                <w:color w:val="auto"/>
              </w:rPr>
            </w:pPr>
          </w:p>
        </w:tc>
      </w:tr>
      <w:tr>
        <w:trPr>
          <w:trHeight w:val="233"/>
        </w:trPr>
        <w:tc>
          <w:tcPr>
            <w:tcW w:w="4460" w:type="dxa"/>
            <w:vAlign w:val="bottom"/>
            <w:gridSpan w:val="2"/>
            <w:shd w:val="clear" w:color="auto" w:fill="E4E4E4"/>
          </w:tcPr>
          <w:p>
            <w:pPr>
              <w:spacing w:after="0"/>
              <w:rPr>
                <w:sz w:val="20"/>
                <w:szCs w:val="20"/>
                <w:color w:val="auto"/>
              </w:rPr>
            </w:pPr>
            <w:r>
              <w:rPr>
                <w:rFonts w:ascii="Arial" w:cs="Arial" w:eastAsia="Arial" w:hAnsi="Arial"/>
                <w:sz w:val="20"/>
                <w:szCs w:val="20"/>
                <w:color w:val="1E1E1E"/>
              </w:rPr>
              <w:t>Dow Jones U.S. Apparel Retailers</w:t>
            </w:r>
          </w:p>
        </w:tc>
        <w:tc>
          <w:tcPr>
            <w:tcW w:w="160" w:type="dxa"/>
            <w:vAlign w:val="bottom"/>
            <w:shd w:val="clear" w:color="auto" w:fill="E4E4E4"/>
          </w:tcPr>
          <w:p>
            <w:pPr>
              <w:spacing w:after="0"/>
              <w:rPr>
                <w:sz w:val="20"/>
                <w:szCs w:val="20"/>
                <w:color w:val="auto"/>
              </w:rPr>
            </w:pPr>
          </w:p>
        </w:tc>
        <w:tc>
          <w:tcPr>
            <w:tcW w:w="700" w:type="dxa"/>
            <w:vAlign w:val="bottom"/>
            <w:shd w:val="clear" w:color="auto" w:fill="E4E4E4"/>
          </w:tcPr>
          <w:p>
            <w:pPr>
              <w:spacing w:after="0"/>
              <w:rPr>
                <w:sz w:val="20"/>
                <w:szCs w:val="20"/>
                <w:color w:val="auto"/>
              </w:rPr>
            </w:pPr>
          </w:p>
        </w:tc>
        <w:tc>
          <w:tcPr>
            <w:tcW w:w="160" w:type="dxa"/>
            <w:vAlign w:val="bottom"/>
            <w:tcBorders>
              <w:right w:val="single" w:sz="8" w:color="E4E4E4"/>
            </w:tcBorders>
            <w:shd w:val="clear" w:color="auto" w:fill="E4E4E4"/>
          </w:tcPr>
          <w:p>
            <w:pPr>
              <w:spacing w:after="0"/>
              <w:rPr>
                <w:sz w:val="20"/>
                <w:szCs w:val="20"/>
                <w:color w:val="auto"/>
              </w:rPr>
            </w:pPr>
          </w:p>
        </w:tc>
        <w:tc>
          <w:tcPr>
            <w:tcW w:w="220" w:type="dxa"/>
            <w:vAlign w:val="bottom"/>
            <w:tcBorders>
              <w:left w:val="single" w:sz="8" w:color="E4E4E4"/>
            </w:tcBorders>
            <w:shd w:val="clear" w:color="auto" w:fill="E4E4E4"/>
          </w:tcPr>
          <w:p>
            <w:pPr>
              <w:spacing w:after="0"/>
              <w:rPr>
                <w:sz w:val="20"/>
                <w:szCs w:val="20"/>
                <w:color w:val="auto"/>
              </w:rPr>
            </w:pPr>
          </w:p>
        </w:tc>
        <w:tc>
          <w:tcPr>
            <w:tcW w:w="700" w:type="dxa"/>
            <w:vAlign w:val="bottom"/>
            <w:gridSpan w:val="2"/>
            <w:shd w:val="clear" w:color="auto" w:fill="E4E4E4"/>
          </w:tcPr>
          <w:p>
            <w:pPr>
              <w:ind w:left="160"/>
              <w:spacing w:after="0"/>
              <w:rPr>
                <w:sz w:val="20"/>
                <w:szCs w:val="20"/>
                <w:color w:val="auto"/>
              </w:rPr>
            </w:pPr>
            <w:r>
              <w:rPr>
                <w:rFonts w:ascii="Arial" w:cs="Arial" w:eastAsia="Arial" w:hAnsi="Arial"/>
                <w:sz w:val="20"/>
                <w:szCs w:val="20"/>
                <w:color w:val="1E1E1E"/>
                <w:w w:val="91"/>
              </w:rPr>
              <w:t>10.8%</w:t>
            </w:r>
          </w:p>
        </w:tc>
        <w:tc>
          <w:tcPr>
            <w:tcW w:w="14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700" w:type="dxa"/>
            <w:vAlign w:val="bottom"/>
            <w:gridSpan w:val="2"/>
            <w:shd w:val="clear" w:color="auto" w:fill="E4E4E4"/>
          </w:tcPr>
          <w:p>
            <w:pPr>
              <w:jc w:val="right"/>
              <w:ind w:right="40"/>
              <w:spacing w:after="0"/>
              <w:rPr>
                <w:sz w:val="20"/>
                <w:szCs w:val="20"/>
                <w:color w:val="auto"/>
              </w:rPr>
            </w:pPr>
            <w:r>
              <w:rPr>
                <w:rFonts w:ascii="Arial" w:cs="Arial" w:eastAsia="Arial" w:hAnsi="Arial"/>
                <w:sz w:val="20"/>
                <w:szCs w:val="20"/>
                <w:color w:val="1E1E1E"/>
              </w:rPr>
              <w:t>6.2%</w:t>
            </w:r>
          </w:p>
        </w:tc>
        <w:tc>
          <w:tcPr>
            <w:tcW w:w="200" w:type="dxa"/>
            <w:vAlign w:val="bottom"/>
            <w:tcBorders>
              <w:right w:val="single" w:sz="8" w:color="E4E4E4"/>
            </w:tcBorders>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700" w:type="dxa"/>
            <w:vAlign w:val="bottom"/>
            <w:gridSpan w:val="2"/>
            <w:shd w:val="clear" w:color="auto" w:fill="E4E4E4"/>
          </w:tcPr>
          <w:p>
            <w:pPr>
              <w:jc w:val="right"/>
              <w:ind w:right="20"/>
              <w:spacing w:after="0"/>
              <w:rPr>
                <w:sz w:val="20"/>
                <w:szCs w:val="20"/>
                <w:color w:val="auto"/>
              </w:rPr>
            </w:pPr>
            <w:r>
              <w:rPr>
                <w:rFonts w:ascii="Arial" w:cs="Arial" w:eastAsia="Arial" w:hAnsi="Arial"/>
                <w:sz w:val="20"/>
                <w:szCs w:val="20"/>
                <w:color w:val="1E1E1E"/>
              </w:rPr>
              <w:t>8.1%</w:t>
            </w:r>
          </w:p>
        </w:tc>
        <w:tc>
          <w:tcPr>
            <w:tcW w:w="140" w:type="dxa"/>
            <w:vAlign w:val="bottom"/>
            <w:tcBorders>
              <w:right w:val="single" w:sz="8" w:color="E4E4E4"/>
            </w:tcBorders>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700" w:type="dxa"/>
            <w:vAlign w:val="bottom"/>
            <w:gridSpan w:val="2"/>
            <w:shd w:val="clear" w:color="auto" w:fill="E4E4E4"/>
          </w:tcPr>
          <w:p>
            <w:pPr>
              <w:jc w:val="right"/>
              <w:ind w:right="40"/>
              <w:spacing w:after="0"/>
              <w:rPr>
                <w:sz w:val="20"/>
                <w:szCs w:val="20"/>
                <w:color w:val="auto"/>
              </w:rPr>
            </w:pPr>
            <w:r>
              <w:rPr>
                <w:rFonts w:ascii="Arial" w:cs="Arial" w:eastAsia="Arial" w:hAnsi="Arial"/>
                <w:sz w:val="20"/>
                <w:szCs w:val="20"/>
                <w:color w:val="1E1E1E"/>
              </w:rPr>
              <w:t>8.6%</w:t>
            </w:r>
          </w:p>
        </w:tc>
        <w:tc>
          <w:tcPr>
            <w:tcW w:w="140" w:type="dxa"/>
            <w:vAlign w:val="bottom"/>
            <w:tcBorders>
              <w:right w:val="single" w:sz="8" w:color="E4E4E4"/>
            </w:tcBorders>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860" w:type="dxa"/>
            <w:vAlign w:val="bottom"/>
            <w:gridSpan w:val="3"/>
            <w:shd w:val="clear" w:color="auto" w:fill="E4E4E4"/>
          </w:tcPr>
          <w:p>
            <w:pPr>
              <w:jc w:val="right"/>
              <w:ind w:right="60"/>
              <w:spacing w:after="0"/>
              <w:rPr>
                <w:sz w:val="20"/>
                <w:szCs w:val="20"/>
                <w:color w:val="auto"/>
              </w:rPr>
            </w:pPr>
            <w:r>
              <w:rPr>
                <w:rFonts w:ascii="Arial" w:cs="Arial" w:eastAsia="Arial" w:hAnsi="Arial"/>
                <w:sz w:val="20"/>
                <w:szCs w:val="20"/>
                <w:color w:val="1E1E1E"/>
              </w:rPr>
              <w:t>13.4%</w:t>
            </w:r>
          </w:p>
        </w:tc>
        <w:tc>
          <w:tcPr>
            <w:tcW w:w="0" w:type="dxa"/>
            <w:vAlign w:val="bottom"/>
          </w:tcPr>
          <w:p>
            <w:pPr>
              <w:spacing w:after="0"/>
              <w:rPr>
                <w:sz w:val="1"/>
                <w:szCs w:val="1"/>
                <w:color w:val="auto"/>
              </w:rPr>
            </w:pPr>
          </w:p>
        </w:tc>
      </w:tr>
      <w:tr>
        <w:trPr>
          <w:trHeight w:val="479"/>
        </w:trPr>
        <w:tc>
          <w:tcPr>
            <w:tcW w:w="4460" w:type="dxa"/>
            <w:vAlign w:val="bottom"/>
            <w:gridSpan w:val="2"/>
          </w:tcPr>
          <w:p>
            <w:pPr>
              <w:spacing w:after="0"/>
              <w:rPr>
                <w:sz w:val="20"/>
                <w:szCs w:val="20"/>
                <w:color w:val="auto"/>
              </w:rPr>
            </w:pPr>
            <w:r>
              <w:rPr>
                <w:rFonts w:ascii="Arial" w:cs="Arial" w:eastAsia="Arial" w:hAnsi="Arial"/>
                <w:sz w:val="20"/>
                <w:szCs w:val="20"/>
                <w:color w:val="1E1E1E"/>
              </w:rPr>
              <w:t>Indexed Returns</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6"/>
                <w:szCs w:val="16"/>
                <w:color w:val="1E1E1E"/>
                <w:w w:val="89"/>
              </w:rPr>
              <w:t>Base Period</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6"/>
                <w:szCs w:val="16"/>
                <w:color w:val="1E1E1E"/>
                <w:w w:val="87"/>
              </w:rPr>
              <w:t>Jan 19</w:t>
            </w:r>
          </w:p>
        </w:tc>
        <w:tc>
          <w:tcPr>
            <w:tcW w:w="220" w:type="dxa"/>
            <w:vAlign w:val="bottom"/>
          </w:tcPr>
          <w:p>
            <w:pPr>
              <w:spacing w:after="0"/>
              <w:rPr>
                <w:sz w:val="18"/>
                <w:szCs w:val="18"/>
                <w:color w:val="auto"/>
              </w:rPr>
            </w:pPr>
          </w:p>
        </w:tc>
        <w:tc>
          <w:tcPr>
            <w:tcW w:w="840" w:type="dxa"/>
            <w:vAlign w:val="bottom"/>
            <w:gridSpan w:val="3"/>
          </w:tcPr>
          <w:p>
            <w:pPr>
              <w:ind w:left="60"/>
              <w:spacing w:after="0"/>
              <w:rPr>
                <w:sz w:val="20"/>
                <w:szCs w:val="20"/>
                <w:color w:val="auto"/>
              </w:rPr>
            </w:pPr>
            <w:r>
              <w:rPr>
                <w:rFonts w:ascii="Arial" w:cs="Arial" w:eastAsia="Arial" w:hAnsi="Arial"/>
                <w:sz w:val="16"/>
                <w:szCs w:val="16"/>
                <w:color w:val="1E1E1E"/>
              </w:rPr>
              <w:t>Jan 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6"/>
                <w:szCs w:val="16"/>
                <w:color w:val="1E1E1E"/>
                <w:w w:val="91"/>
              </w:rPr>
              <w:t>Jan 21</w:t>
            </w:r>
          </w:p>
        </w:tc>
        <w:tc>
          <w:tcPr>
            <w:tcW w:w="160" w:type="dxa"/>
            <w:vAlign w:val="bottom"/>
          </w:tcPr>
          <w:p>
            <w:pPr>
              <w:spacing w:after="0"/>
              <w:rPr>
                <w:sz w:val="18"/>
                <w:szCs w:val="18"/>
                <w:color w:val="auto"/>
              </w:rPr>
            </w:pPr>
          </w:p>
        </w:tc>
        <w:tc>
          <w:tcPr>
            <w:tcW w:w="840" w:type="dxa"/>
            <w:vAlign w:val="bottom"/>
            <w:gridSpan w:val="3"/>
          </w:tcPr>
          <w:p>
            <w:pPr>
              <w:ind w:left="60"/>
              <w:spacing w:after="0"/>
              <w:rPr>
                <w:sz w:val="20"/>
                <w:szCs w:val="20"/>
                <w:color w:val="auto"/>
              </w:rPr>
            </w:pPr>
            <w:r>
              <w:rPr>
                <w:rFonts w:ascii="Arial" w:cs="Arial" w:eastAsia="Arial" w:hAnsi="Arial"/>
                <w:sz w:val="16"/>
                <w:szCs w:val="16"/>
                <w:color w:val="1E1E1E"/>
              </w:rPr>
              <w:t>Jan 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ind w:left="60"/>
              <w:spacing w:after="0"/>
              <w:rPr>
                <w:sz w:val="20"/>
                <w:szCs w:val="20"/>
                <w:color w:val="auto"/>
              </w:rPr>
            </w:pPr>
            <w:r>
              <w:rPr>
                <w:rFonts w:ascii="Arial" w:cs="Arial" w:eastAsia="Arial" w:hAnsi="Arial"/>
                <w:sz w:val="16"/>
                <w:szCs w:val="16"/>
                <w:color w:val="1E1E1E"/>
              </w:rPr>
              <w:t>Jan 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6"/>
                <w:szCs w:val="16"/>
                <w:color w:val="1E1E1E"/>
              </w:rPr>
              <w:t>Jan 24</w:t>
            </w:r>
          </w:p>
        </w:tc>
        <w:tc>
          <w:tcPr>
            <w:tcW w:w="0" w:type="dxa"/>
            <w:vAlign w:val="bottom"/>
          </w:tcPr>
          <w:p>
            <w:pPr>
              <w:spacing w:after="0"/>
              <w:rPr>
                <w:sz w:val="1"/>
                <w:szCs w:val="1"/>
                <w:color w:val="auto"/>
              </w:rPr>
            </w:pPr>
          </w:p>
        </w:tc>
      </w:tr>
      <w:tr>
        <w:trPr>
          <w:trHeight w:val="200"/>
        </w:trPr>
        <w:tc>
          <w:tcPr>
            <w:tcW w:w="4460" w:type="dxa"/>
            <w:vAlign w:val="bottom"/>
            <w:tcBorders>
              <w:top w:val="single" w:sz="8" w:color="E4E4E4"/>
            </w:tcBorders>
            <w:gridSpan w:val="2"/>
            <w:shd w:val="clear" w:color="auto" w:fill="E4E4E4"/>
          </w:tcPr>
          <w:p>
            <w:pPr>
              <w:spacing w:after="0" w:line="200" w:lineRule="exact"/>
              <w:rPr>
                <w:sz w:val="20"/>
                <w:szCs w:val="20"/>
                <w:color w:val="auto"/>
              </w:rPr>
            </w:pPr>
            <w:r>
              <w:rPr>
                <w:rFonts w:ascii="Arial" w:cs="Arial" w:eastAsia="Arial" w:hAnsi="Arial"/>
                <w:sz w:val="20"/>
                <w:szCs w:val="20"/>
                <w:color w:val="1E1E1E"/>
              </w:rPr>
              <w:t>Company/Index</w:t>
            </w:r>
          </w:p>
        </w:tc>
        <w:tc>
          <w:tcPr>
            <w:tcW w:w="160" w:type="dxa"/>
            <w:vAlign w:val="bottom"/>
            <w:tcBorders>
              <w:top w:val="single" w:sz="8" w:color="1E1E1E"/>
            </w:tcBorders>
            <w:shd w:val="clear" w:color="auto" w:fill="E4E4E4"/>
          </w:tcPr>
          <w:p>
            <w:pPr>
              <w:spacing w:after="0"/>
              <w:rPr>
                <w:sz w:val="17"/>
                <w:szCs w:val="17"/>
                <w:color w:val="auto"/>
              </w:rPr>
            </w:pPr>
          </w:p>
        </w:tc>
        <w:tc>
          <w:tcPr>
            <w:tcW w:w="700" w:type="dxa"/>
            <w:vAlign w:val="bottom"/>
            <w:tcBorders>
              <w:top w:val="single" w:sz="8" w:color="1E1E1E"/>
            </w:tcBorders>
            <w:shd w:val="clear" w:color="auto" w:fill="E4E4E4"/>
          </w:tcPr>
          <w:p>
            <w:pPr>
              <w:spacing w:after="0"/>
              <w:rPr>
                <w:sz w:val="17"/>
                <w:szCs w:val="17"/>
                <w:color w:val="auto"/>
              </w:rPr>
            </w:pPr>
          </w:p>
        </w:tc>
        <w:tc>
          <w:tcPr>
            <w:tcW w:w="160" w:type="dxa"/>
            <w:vAlign w:val="bottom"/>
            <w:tcBorders>
              <w:top w:val="single" w:sz="8" w:color="E4E4E4"/>
              <w:right w:val="single" w:sz="8" w:color="E4E4E4"/>
            </w:tcBorders>
            <w:shd w:val="clear" w:color="auto" w:fill="E4E4E4"/>
          </w:tcPr>
          <w:p>
            <w:pPr>
              <w:spacing w:after="0"/>
              <w:rPr>
                <w:sz w:val="17"/>
                <w:szCs w:val="17"/>
                <w:color w:val="auto"/>
              </w:rPr>
            </w:pPr>
          </w:p>
        </w:tc>
        <w:tc>
          <w:tcPr>
            <w:tcW w:w="220" w:type="dxa"/>
            <w:vAlign w:val="bottom"/>
            <w:tcBorders>
              <w:top w:val="single" w:sz="8" w:color="1E1E1E"/>
              <w:left w:val="single" w:sz="8" w:color="E4E4E4"/>
            </w:tcBorders>
            <w:shd w:val="clear" w:color="auto" w:fill="E4E4E4"/>
          </w:tcPr>
          <w:p>
            <w:pPr>
              <w:spacing w:after="0"/>
              <w:rPr>
                <w:sz w:val="17"/>
                <w:szCs w:val="17"/>
                <w:color w:val="auto"/>
              </w:rPr>
            </w:pPr>
          </w:p>
        </w:tc>
        <w:tc>
          <w:tcPr>
            <w:tcW w:w="500" w:type="dxa"/>
            <w:vAlign w:val="bottom"/>
            <w:tcBorders>
              <w:top w:val="single" w:sz="8" w:color="1E1E1E"/>
            </w:tcBorders>
            <w:shd w:val="clear" w:color="auto" w:fill="E4E4E4"/>
          </w:tcPr>
          <w:p>
            <w:pPr>
              <w:spacing w:after="0"/>
              <w:rPr>
                <w:sz w:val="17"/>
                <w:szCs w:val="17"/>
                <w:color w:val="auto"/>
              </w:rPr>
            </w:pPr>
          </w:p>
        </w:tc>
        <w:tc>
          <w:tcPr>
            <w:tcW w:w="200" w:type="dxa"/>
            <w:vAlign w:val="bottom"/>
            <w:tcBorders>
              <w:top w:val="single" w:sz="8" w:color="1E1E1E"/>
            </w:tcBorders>
            <w:shd w:val="clear" w:color="auto" w:fill="E4E4E4"/>
          </w:tcPr>
          <w:p>
            <w:pPr>
              <w:spacing w:after="0"/>
              <w:rPr>
                <w:sz w:val="17"/>
                <w:szCs w:val="17"/>
                <w:color w:val="auto"/>
              </w:rPr>
            </w:pPr>
          </w:p>
        </w:tc>
        <w:tc>
          <w:tcPr>
            <w:tcW w:w="140" w:type="dxa"/>
            <w:vAlign w:val="bottom"/>
            <w:tcBorders>
              <w:top w:val="single" w:sz="8" w:color="E4E4E4"/>
            </w:tcBorders>
            <w:shd w:val="clear" w:color="auto" w:fill="E4E4E4"/>
          </w:tcPr>
          <w:p>
            <w:pPr>
              <w:spacing w:after="0"/>
              <w:rPr>
                <w:sz w:val="17"/>
                <w:szCs w:val="17"/>
                <w:color w:val="auto"/>
              </w:rPr>
            </w:pPr>
          </w:p>
        </w:tc>
        <w:tc>
          <w:tcPr>
            <w:tcW w:w="80" w:type="dxa"/>
            <w:vAlign w:val="bottom"/>
            <w:tcBorders>
              <w:top w:val="single" w:sz="8" w:color="E4E4E4"/>
            </w:tcBorders>
            <w:shd w:val="clear" w:color="auto" w:fill="E4E4E4"/>
          </w:tcPr>
          <w:p>
            <w:pPr>
              <w:spacing w:after="0"/>
              <w:rPr>
                <w:sz w:val="17"/>
                <w:szCs w:val="17"/>
                <w:color w:val="auto"/>
              </w:rPr>
            </w:pPr>
          </w:p>
        </w:tc>
        <w:tc>
          <w:tcPr>
            <w:tcW w:w="160" w:type="dxa"/>
            <w:vAlign w:val="bottom"/>
            <w:tcBorders>
              <w:top w:val="single" w:sz="8" w:color="1E1E1E"/>
            </w:tcBorders>
            <w:shd w:val="clear" w:color="auto" w:fill="E4E4E4"/>
          </w:tcPr>
          <w:p>
            <w:pPr>
              <w:spacing w:after="0"/>
              <w:rPr>
                <w:sz w:val="17"/>
                <w:szCs w:val="17"/>
                <w:color w:val="auto"/>
              </w:rPr>
            </w:pPr>
          </w:p>
        </w:tc>
        <w:tc>
          <w:tcPr>
            <w:tcW w:w="500" w:type="dxa"/>
            <w:vAlign w:val="bottom"/>
            <w:tcBorders>
              <w:top w:val="single" w:sz="8" w:color="1E1E1E"/>
            </w:tcBorders>
            <w:shd w:val="clear" w:color="auto" w:fill="E4E4E4"/>
          </w:tcPr>
          <w:p>
            <w:pPr>
              <w:spacing w:after="0"/>
              <w:rPr>
                <w:sz w:val="17"/>
                <w:szCs w:val="17"/>
                <w:color w:val="auto"/>
              </w:rPr>
            </w:pPr>
          </w:p>
        </w:tc>
        <w:tc>
          <w:tcPr>
            <w:tcW w:w="200" w:type="dxa"/>
            <w:vAlign w:val="bottom"/>
            <w:tcBorders>
              <w:top w:val="single" w:sz="8" w:color="1E1E1E"/>
            </w:tcBorders>
            <w:shd w:val="clear" w:color="auto" w:fill="E4E4E4"/>
          </w:tcPr>
          <w:p>
            <w:pPr>
              <w:spacing w:after="0"/>
              <w:rPr>
                <w:sz w:val="17"/>
                <w:szCs w:val="17"/>
                <w:color w:val="auto"/>
              </w:rPr>
            </w:pPr>
          </w:p>
        </w:tc>
        <w:tc>
          <w:tcPr>
            <w:tcW w:w="200" w:type="dxa"/>
            <w:vAlign w:val="bottom"/>
            <w:tcBorders>
              <w:top w:val="single" w:sz="8" w:color="E4E4E4"/>
              <w:right w:val="single" w:sz="8" w:color="E4E4E4"/>
            </w:tcBorders>
            <w:shd w:val="clear" w:color="auto" w:fill="E4E4E4"/>
          </w:tcPr>
          <w:p>
            <w:pPr>
              <w:spacing w:after="0"/>
              <w:rPr>
                <w:sz w:val="17"/>
                <w:szCs w:val="17"/>
                <w:color w:val="auto"/>
              </w:rPr>
            </w:pPr>
          </w:p>
        </w:tc>
        <w:tc>
          <w:tcPr>
            <w:tcW w:w="160" w:type="dxa"/>
            <w:vAlign w:val="bottom"/>
            <w:tcBorders>
              <w:top w:val="single" w:sz="8" w:color="1E1E1E"/>
            </w:tcBorders>
            <w:shd w:val="clear" w:color="auto" w:fill="E4E4E4"/>
          </w:tcPr>
          <w:p>
            <w:pPr>
              <w:spacing w:after="0"/>
              <w:rPr>
                <w:sz w:val="17"/>
                <w:szCs w:val="17"/>
                <w:color w:val="auto"/>
              </w:rPr>
            </w:pPr>
          </w:p>
        </w:tc>
        <w:tc>
          <w:tcPr>
            <w:tcW w:w="520" w:type="dxa"/>
            <w:vAlign w:val="bottom"/>
            <w:tcBorders>
              <w:top w:val="single" w:sz="8" w:color="1E1E1E"/>
            </w:tcBorders>
            <w:shd w:val="clear" w:color="auto" w:fill="E4E4E4"/>
          </w:tcPr>
          <w:p>
            <w:pPr>
              <w:spacing w:after="0"/>
              <w:rPr>
                <w:sz w:val="17"/>
                <w:szCs w:val="17"/>
                <w:color w:val="auto"/>
              </w:rPr>
            </w:pPr>
          </w:p>
        </w:tc>
        <w:tc>
          <w:tcPr>
            <w:tcW w:w="180" w:type="dxa"/>
            <w:vAlign w:val="bottom"/>
            <w:tcBorders>
              <w:top w:val="single" w:sz="8" w:color="1E1E1E"/>
            </w:tcBorders>
            <w:shd w:val="clear" w:color="auto" w:fill="E4E4E4"/>
          </w:tcPr>
          <w:p>
            <w:pPr>
              <w:spacing w:after="0"/>
              <w:rPr>
                <w:sz w:val="17"/>
                <w:szCs w:val="17"/>
                <w:color w:val="auto"/>
              </w:rPr>
            </w:pPr>
          </w:p>
        </w:tc>
        <w:tc>
          <w:tcPr>
            <w:tcW w:w="140" w:type="dxa"/>
            <w:vAlign w:val="bottom"/>
            <w:tcBorders>
              <w:top w:val="single" w:sz="8" w:color="E4E4E4"/>
              <w:right w:val="single" w:sz="8" w:color="E4E4E4"/>
            </w:tcBorders>
            <w:shd w:val="clear" w:color="auto" w:fill="E4E4E4"/>
          </w:tcPr>
          <w:p>
            <w:pPr>
              <w:spacing w:after="0"/>
              <w:rPr>
                <w:sz w:val="17"/>
                <w:szCs w:val="17"/>
                <w:color w:val="auto"/>
              </w:rPr>
            </w:pPr>
          </w:p>
        </w:tc>
        <w:tc>
          <w:tcPr>
            <w:tcW w:w="80" w:type="dxa"/>
            <w:vAlign w:val="bottom"/>
            <w:tcBorders>
              <w:top w:val="single" w:sz="8" w:color="E4E4E4"/>
            </w:tcBorders>
            <w:shd w:val="clear" w:color="auto" w:fill="E4E4E4"/>
          </w:tcPr>
          <w:p>
            <w:pPr>
              <w:spacing w:after="0"/>
              <w:rPr>
                <w:sz w:val="17"/>
                <w:szCs w:val="17"/>
                <w:color w:val="auto"/>
              </w:rPr>
            </w:pPr>
          </w:p>
        </w:tc>
        <w:tc>
          <w:tcPr>
            <w:tcW w:w="160" w:type="dxa"/>
            <w:vAlign w:val="bottom"/>
            <w:tcBorders>
              <w:top w:val="single" w:sz="8" w:color="1E1E1E"/>
            </w:tcBorders>
            <w:shd w:val="clear" w:color="auto" w:fill="E4E4E4"/>
          </w:tcPr>
          <w:p>
            <w:pPr>
              <w:spacing w:after="0"/>
              <w:rPr>
                <w:sz w:val="17"/>
                <w:szCs w:val="17"/>
                <w:color w:val="auto"/>
              </w:rPr>
            </w:pPr>
          </w:p>
        </w:tc>
        <w:tc>
          <w:tcPr>
            <w:tcW w:w="500" w:type="dxa"/>
            <w:vAlign w:val="bottom"/>
            <w:tcBorders>
              <w:top w:val="single" w:sz="8" w:color="1E1E1E"/>
            </w:tcBorders>
            <w:shd w:val="clear" w:color="auto" w:fill="E4E4E4"/>
          </w:tcPr>
          <w:p>
            <w:pPr>
              <w:spacing w:after="0"/>
              <w:rPr>
                <w:sz w:val="17"/>
                <w:szCs w:val="17"/>
                <w:color w:val="auto"/>
              </w:rPr>
            </w:pPr>
          </w:p>
        </w:tc>
        <w:tc>
          <w:tcPr>
            <w:tcW w:w="200" w:type="dxa"/>
            <w:vAlign w:val="bottom"/>
            <w:tcBorders>
              <w:top w:val="single" w:sz="8" w:color="1E1E1E"/>
            </w:tcBorders>
            <w:shd w:val="clear" w:color="auto" w:fill="E4E4E4"/>
          </w:tcPr>
          <w:p>
            <w:pPr>
              <w:spacing w:after="0"/>
              <w:rPr>
                <w:sz w:val="17"/>
                <w:szCs w:val="17"/>
                <w:color w:val="auto"/>
              </w:rPr>
            </w:pPr>
          </w:p>
        </w:tc>
        <w:tc>
          <w:tcPr>
            <w:tcW w:w="140" w:type="dxa"/>
            <w:vAlign w:val="bottom"/>
            <w:tcBorders>
              <w:top w:val="single" w:sz="8" w:color="E4E4E4"/>
              <w:right w:val="single" w:sz="8" w:color="E4E4E4"/>
            </w:tcBorders>
            <w:shd w:val="clear" w:color="auto" w:fill="E4E4E4"/>
          </w:tcPr>
          <w:p>
            <w:pPr>
              <w:spacing w:after="0"/>
              <w:rPr>
                <w:sz w:val="17"/>
                <w:szCs w:val="17"/>
                <w:color w:val="auto"/>
              </w:rPr>
            </w:pPr>
          </w:p>
        </w:tc>
        <w:tc>
          <w:tcPr>
            <w:tcW w:w="80" w:type="dxa"/>
            <w:vAlign w:val="bottom"/>
            <w:tcBorders>
              <w:top w:val="single" w:sz="8" w:color="E4E4E4"/>
            </w:tcBorders>
            <w:shd w:val="clear" w:color="auto" w:fill="E4E4E4"/>
          </w:tcPr>
          <w:p>
            <w:pPr>
              <w:spacing w:after="0"/>
              <w:rPr>
                <w:sz w:val="17"/>
                <w:szCs w:val="17"/>
                <w:color w:val="auto"/>
              </w:rPr>
            </w:pPr>
          </w:p>
        </w:tc>
        <w:tc>
          <w:tcPr>
            <w:tcW w:w="100" w:type="dxa"/>
            <w:vAlign w:val="bottom"/>
            <w:tcBorders>
              <w:top w:val="single" w:sz="8" w:color="1E1E1E"/>
            </w:tcBorders>
            <w:shd w:val="clear" w:color="auto" w:fill="E4E4E4"/>
          </w:tcPr>
          <w:p>
            <w:pPr>
              <w:spacing w:after="0"/>
              <w:rPr>
                <w:sz w:val="17"/>
                <w:szCs w:val="17"/>
                <w:color w:val="auto"/>
              </w:rPr>
            </w:pPr>
          </w:p>
        </w:tc>
        <w:tc>
          <w:tcPr>
            <w:tcW w:w="620" w:type="dxa"/>
            <w:vAlign w:val="bottom"/>
            <w:tcBorders>
              <w:top w:val="single" w:sz="8" w:color="1E1E1E"/>
            </w:tcBorders>
            <w:shd w:val="clear" w:color="auto" w:fill="E4E4E4"/>
          </w:tcPr>
          <w:p>
            <w:pPr>
              <w:spacing w:after="0"/>
              <w:rPr>
                <w:sz w:val="17"/>
                <w:szCs w:val="17"/>
                <w:color w:val="auto"/>
              </w:rPr>
            </w:pPr>
          </w:p>
        </w:tc>
        <w:tc>
          <w:tcPr>
            <w:tcW w:w="140" w:type="dxa"/>
            <w:vAlign w:val="bottom"/>
            <w:tcBorders>
              <w:top w:val="single" w:sz="8" w:color="1E1E1E"/>
            </w:tcBorders>
            <w:shd w:val="clear" w:color="auto" w:fill="E4E4E4"/>
          </w:tcPr>
          <w:p>
            <w:pPr>
              <w:spacing w:after="0"/>
              <w:rPr>
                <w:sz w:val="17"/>
                <w:szCs w:val="17"/>
                <w:color w:val="auto"/>
              </w:rPr>
            </w:pPr>
          </w:p>
        </w:tc>
        <w:tc>
          <w:tcPr>
            <w:tcW w:w="100" w:type="dxa"/>
            <w:vAlign w:val="bottom"/>
            <w:tcBorders>
              <w:top w:val="single" w:sz="8" w:color="E4E4E4"/>
            </w:tcBorders>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tcBorders>
              <w:top w:val="single" w:sz="8" w:color="1E1E1E"/>
            </w:tcBorders>
          </w:tcPr>
          <w:p>
            <w:pPr>
              <w:spacing w:after="0"/>
              <w:rPr>
                <w:sz w:val="20"/>
                <w:szCs w:val="20"/>
                <w:color w:val="auto"/>
              </w:rPr>
            </w:pPr>
            <w:r>
              <w:rPr>
                <w:rFonts w:ascii="Arial" w:cs="Arial" w:eastAsia="Arial" w:hAnsi="Arial"/>
                <w:sz w:val="20"/>
                <w:szCs w:val="20"/>
                <w:color w:val="1E1E1E"/>
              </w:rPr>
              <w:t>DXLG</w:t>
            </w:r>
          </w:p>
        </w:tc>
        <w:tc>
          <w:tcPr>
            <w:tcW w:w="3180" w:type="dxa"/>
            <w:vAlign w:val="bottom"/>
            <w:tcBorders>
              <w:top w:val="single" w:sz="8" w:color="E4E4E4"/>
            </w:tcBorders>
          </w:tcPr>
          <w:p>
            <w:pPr>
              <w:spacing w:after="0"/>
              <w:rPr>
                <w:sz w:val="20"/>
                <w:szCs w:val="20"/>
                <w:color w:val="auto"/>
              </w:rPr>
            </w:pPr>
          </w:p>
        </w:tc>
        <w:tc>
          <w:tcPr>
            <w:tcW w:w="160" w:type="dxa"/>
            <w:vAlign w:val="bottom"/>
            <w:tcBorders>
              <w:top w:val="single" w:sz="8" w:color="E4E4E4"/>
            </w:tcBorders>
          </w:tcPr>
          <w:p>
            <w:pPr>
              <w:jc w:val="right"/>
              <w:spacing w:after="0"/>
              <w:rPr>
                <w:sz w:val="20"/>
                <w:szCs w:val="20"/>
                <w:color w:val="auto"/>
              </w:rPr>
            </w:pPr>
            <w:r>
              <w:rPr>
                <w:rFonts w:ascii="Arial" w:cs="Arial" w:eastAsia="Arial" w:hAnsi="Arial"/>
                <w:sz w:val="20"/>
                <w:szCs w:val="20"/>
                <w:color w:val="1E1E1E"/>
                <w:w w:val="71"/>
              </w:rPr>
              <w:t>$</w:t>
            </w:r>
          </w:p>
        </w:tc>
        <w:tc>
          <w:tcPr>
            <w:tcW w:w="700" w:type="dxa"/>
            <w:vAlign w:val="bottom"/>
            <w:tcBorders>
              <w:top w:val="single" w:sz="8" w:color="E4E4E4"/>
            </w:tcBorders>
          </w:tcPr>
          <w:p>
            <w:pPr>
              <w:jc w:val="right"/>
              <w:spacing w:after="0"/>
              <w:rPr>
                <w:sz w:val="20"/>
                <w:szCs w:val="20"/>
                <w:color w:val="auto"/>
              </w:rPr>
            </w:pPr>
            <w:r>
              <w:rPr>
                <w:rFonts w:ascii="Arial" w:cs="Arial" w:eastAsia="Arial" w:hAnsi="Arial"/>
                <w:sz w:val="20"/>
                <w:szCs w:val="20"/>
                <w:color w:val="1E1E1E"/>
              </w:rPr>
              <w:t>100</w:t>
            </w:r>
          </w:p>
        </w:tc>
        <w:tc>
          <w:tcPr>
            <w:tcW w:w="160" w:type="dxa"/>
            <w:vAlign w:val="bottom"/>
            <w:tcBorders>
              <w:top w:val="single" w:sz="8" w:color="E4E4E4"/>
            </w:tcBorders>
          </w:tcPr>
          <w:p>
            <w:pPr>
              <w:spacing w:after="0"/>
              <w:rPr>
                <w:sz w:val="20"/>
                <w:szCs w:val="20"/>
                <w:color w:val="auto"/>
              </w:rPr>
            </w:pPr>
          </w:p>
        </w:tc>
        <w:tc>
          <w:tcPr>
            <w:tcW w:w="220" w:type="dxa"/>
            <w:vAlign w:val="bottom"/>
            <w:tcBorders>
              <w:top w:val="single" w:sz="8" w:color="E4E4E4"/>
            </w:tcBorders>
          </w:tcPr>
          <w:p>
            <w:pPr>
              <w:jc w:val="right"/>
              <w:spacing w:after="0"/>
              <w:rPr>
                <w:sz w:val="20"/>
                <w:szCs w:val="20"/>
                <w:color w:val="auto"/>
              </w:rPr>
            </w:pPr>
            <w:r>
              <w:rPr>
                <w:rFonts w:ascii="Arial" w:cs="Arial" w:eastAsia="Arial" w:hAnsi="Arial"/>
                <w:sz w:val="20"/>
                <w:szCs w:val="20"/>
                <w:color w:val="1E1E1E"/>
              </w:rPr>
              <w:t>$</w:t>
            </w:r>
          </w:p>
        </w:tc>
        <w:tc>
          <w:tcPr>
            <w:tcW w:w="700" w:type="dxa"/>
            <w:vAlign w:val="bottom"/>
            <w:tcBorders>
              <w:top w:val="single" w:sz="8" w:color="E4E4E4"/>
            </w:tcBorders>
            <w:gridSpan w:val="2"/>
          </w:tcPr>
          <w:p>
            <w:pPr>
              <w:ind w:left="240"/>
              <w:spacing w:after="0"/>
              <w:rPr>
                <w:sz w:val="20"/>
                <w:szCs w:val="20"/>
                <w:color w:val="auto"/>
              </w:rPr>
            </w:pPr>
            <w:r>
              <w:rPr>
                <w:rFonts w:ascii="Arial" w:cs="Arial" w:eastAsia="Arial" w:hAnsi="Arial"/>
                <w:sz w:val="20"/>
                <w:szCs w:val="20"/>
                <w:color w:val="1E1E1E"/>
                <w:w w:val="87"/>
              </w:rPr>
              <w:t>44.05</w:t>
            </w:r>
          </w:p>
        </w:tc>
        <w:tc>
          <w:tcPr>
            <w:tcW w:w="140" w:type="dxa"/>
            <w:vAlign w:val="bottom"/>
            <w:tcBorders>
              <w:top w:val="single" w:sz="8" w:color="E4E4E4"/>
            </w:tcBorders>
          </w:tcPr>
          <w:p>
            <w:pPr>
              <w:spacing w:after="0"/>
              <w:rPr>
                <w:sz w:val="20"/>
                <w:szCs w:val="20"/>
                <w:color w:val="auto"/>
              </w:rPr>
            </w:pPr>
          </w:p>
        </w:tc>
        <w:tc>
          <w:tcPr>
            <w:tcW w:w="80" w:type="dxa"/>
            <w:vAlign w:val="bottom"/>
            <w:tcBorders>
              <w:top w:val="single" w:sz="8" w:color="E4E4E4"/>
            </w:tcBorders>
          </w:tcPr>
          <w:p>
            <w:pPr>
              <w:spacing w:after="0"/>
              <w:rPr>
                <w:sz w:val="20"/>
                <w:szCs w:val="20"/>
                <w:color w:val="auto"/>
              </w:rPr>
            </w:pPr>
          </w:p>
        </w:tc>
        <w:tc>
          <w:tcPr>
            <w:tcW w:w="160" w:type="dxa"/>
            <w:vAlign w:val="bottom"/>
            <w:tcBorders>
              <w:top w:val="single" w:sz="8" w:color="E4E4E4"/>
            </w:tcBorders>
          </w:tcPr>
          <w:p>
            <w:pPr>
              <w:jc w:val="right"/>
              <w:spacing w:after="0"/>
              <w:rPr>
                <w:sz w:val="20"/>
                <w:szCs w:val="20"/>
                <w:color w:val="auto"/>
              </w:rPr>
            </w:pPr>
            <w:r>
              <w:rPr>
                <w:rFonts w:ascii="Arial" w:cs="Arial" w:eastAsia="Arial" w:hAnsi="Arial"/>
                <w:sz w:val="20"/>
                <w:szCs w:val="20"/>
                <w:color w:val="1E1E1E"/>
                <w:w w:val="71"/>
              </w:rPr>
              <w:t>$</w:t>
            </w:r>
          </w:p>
        </w:tc>
        <w:tc>
          <w:tcPr>
            <w:tcW w:w="700" w:type="dxa"/>
            <w:vAlign w:val="bottom"/>
            <w:tcBorders>
              <w:top w:val="single" w:sz="8" w:color="E4E4E4"/>
            </w:tcBorders>
            <w:gridSpan w:val="2"/>
          </w:tcPr>
          <w:p>
            <w:pPr>
              <w:jc w:val="right"/>
              <w:spacing w:after="0"/>
              <w:rPr>
                <w:sz w:val="20"/>
                <w:szCs w:val="20"/>
                <w:color w:val="auto"/>
              </w:rPr>
            </w:pPr>
            <w:r>
              <w:rPr>
                <w:rFonts w:ascii="Arial" w:cs="Arial" w:eastAsia="Arial" w:hAnsi="Arial"/>
                <w:sz w:val="20"/>
                <w:szCs w:val="20"/>
                <w:color w:val="1E1E1E"/>
              </w:rPr>
              <w:t>31.75</w:t>
            </w:r>
          </w:p>
        </w:tc>
        <w:tc>
          <w:tcPr>
            <w:tcW w:w="200" w:type="dxa"/>
            <w:vAlign w:val="bottom"/>
            <w:tcBorders>
              <w:top w:val="single" w:sz="8" w:color="E4E4E4"/>
            </w:tcBorders>
          </w:tcPr>
          <w:p>
            <w:pPr>
              <w:spacing w:after="0"/>
              <w:rPr>
                <w:sz w:val="20"/>
                <w:szCs w:val="20"/>
                <w:color w:val="auto"/>
              </w:rPr>
            </w:pPr>
          </w:p>
        </w:tc>
        <w:tc>
          <w:tcPr>
            <w:tcW w:w="160" w:type="dxa"/>
            <w:vAlign w:val="bottom"/>
            <w:tcBorders>
              <w:top w:val="single" w:sz="8" w:color="E4E4E4"/>
            </w:tcBorders>
          </w:tcPr>
          <w:p>
            <w:pPr>
              <w:jc w:val="right"/>
              <w:spacing w:after="0"/>
              <w:rPr>
                <w:sz w:val="20"/>
                <w:szCs w:val="20"/>
                <w:color w:val="auto"/>
              </w:rPr>
            </w:pPr>
            <w:r>
              <w:rPr>
                <w:rFonts w:ascii="Arial" w:cs="Arial" w:eastAsia="Arial" w:hAnsi="Arial"/>
                <w:sz w:val="20"/>
                <w:szCs w:val="20"/>
                <w:color w:val="1E1E1E"/>
                <w:w w:val="71"/>
              </w:rPr>
              <w:t>$</w:t>
            </w:r>
          </w:p>
        </w:tc>
        <w:tc>
          <w:tcPr>
            <w:tcW w:w="700" w:type="dxa"/>
            <w:vAlign w:val="bottom"/>
            <w:tcBorders>
              <w:top w:val="single" w:sz="8" w:color="E4E4E4"/>
            </w:tcBorders>
            <w:gridSpan w:val="2"/>
          </w:tcPr>
          <w:p>
            <w:pPr>
              <w:jc w:val="center"/>
              <w:ind w:left="63"/>
              <w:spacing w:after="0"/>
              <w:rPr>
                <w:sz w:val="20"/>
                <w:szCs w:val="20"/>
                <w:color w:val="auto"/>
              </w:rPr>
            </w:pPr>
            <w:r>
              <w:rPr>
                <w:rFonts w:ascii="Arial" w:cs="Arial" w:eastAsia="Arial" w:hAnsi="Arial"/>
                <w:sz w:val="20"/>
                <w:szCs w:val="20"/>
                <w:color w:val="1E1E1E"/>
                <w:w w:val="88"/>
              </w:rPr>
              <w:t>171.83</w:t>
            </w:r>
          </w:p>
        </w:tc>
        <w:tc>
          <w:tcPr>
            <w:tcW w:w="140" w:type="dxa"/>
            <w:vAlign w:val="bottom"/>
            <w:tcBorders>
              <w:top w:val="single" w:sz="8" w:color="E4E4E4"/>
            </w:tcBorders>
          </w:tcPr>
          <w:p>
            <w:pPr>
              <w:spacing w:after="0"/>
              <w:rPr>
                <w:sz w:val="20"/>
                <w:szCs w:val="20"/>
                <w:color w:val="auto"/>
              </w:rPr>
            </w:pPr>
          </w:p>
        </w:tc>
        <w:tc>
          <w:tcPr>
            <w:tcW w:w="80" w:type="dxa"/>
            <w:vAlign w:val="bottom"/>
            <w:tcBorders>
              <w:top w:val="single" w:sz="8" w:color="E4E4E4"/>
            </w:tcBorders>
          </w:tcPr>
          <w:p>
            <w:pPr>
              <w:spacing w:after="0"/>
              <w:rPr>
                <w:sz w:val="20"/>
                <w:szCs w:val="20"/>
                <w:color w:val="auto"/>
              </w:rPr>
            </w:pPr>
          </w:p>
        </w:tc>
        <w:tc>
          <w:tcPr>
            <w:tcW w:w="160" w:type="dxa"/>
            <w:vAlign w:val="bottom"/>
            <w:tcBorders>
              <w:top w:val="single" w:sz="8" w:color="E4E4E4"/>
            </w:tcBorders>
          </w:tcPr>
          <w:p>
            <w:pPr>
              <w:jc w:val="right"/>
              <w:spacing w:after="0"/>
              <w:rPr>
                <w:sz w:val="20"/>
                <w:szCs w:val="20"/>
                <w:color w:val="auto"/>
              </w:rPr>
            </w:pPr>
            <w:r>
              <w:rPr>
                <w:rFonts w:ascii="Arial" w:cs="Arial" w:eastAsia="Arial" w:hAnsi="Arial"/>
                <w:sz w:val="20"/>
                <w:szCs w:val="20"/>
                <w:color w:val="1E1E1E"/>
                <w:w w:val="71"/>
              </w:rPr>
              <w:t>$</w:t>
            </w:r>
          </w:p>
        </w:tc>
        <w:tc>
          <w:tcPr>
            <w:tcW w:w="700" w:type="dxa"/>
            <w:vAlign w:val="bottom"/>
            <w:tcBorders>
              <w:top w:val="single" w:sz="8" w:color="E4E4E4"/>
            </w:tcBorders>
            <w:gridSpan w:val="2"/>
          </w:tcPr>
          <w:p>
            <w:pPr>
              <w:ind w:left="140"/>
              <w:spacing w:after="0"/>
              <w:rPr>
                <w:sz w:val="20"/>
                <w:szCs w:val="20"/>
                <w:color w:val="auto"/>
              </w:rPr>
            </w:pPr>
            <w:r>
              <w:rPr>
                <w:rFonts w:ascii="Arial" w:cs="Arial" w:eastAsia="Arial" w:hAnsi="Arial"/>
                <w:sz w:val="20"/>
                <w:szCs w:val="20"/>
                <w:color w:val="1E1E1E"/>
                <w:w w:val="88"/>
              </w:rPr>
              <w:t>292.06</w:t>
            </w:r>
          </w:p>
        </w:tc>
        <w:tc>
          <w:tcPr>
            <w:tcW w:w="140" w:type="dxa"/>
            <w:vAlign w:val="bottom"/>
            <w:tcBorders>
              <w:top w:val="single" w:sz="8" w:color="E4E4E4"/>
            </w:tcBorders>
          </w:tcPr>
          <w:p>
            <w:pPr>
              <w:spacing w:after="0"/>
              <w:rPr>
                <w:sz w:val="20"/>
                <w:szCs w:val="20"/>
                <w:color w:val="auto"/>
              </w:rPr>
            </w:pPr>
          </w:p>
        </w:tc>
        <w:tc>
          <w:tcPr>
            <w:tcW w:w="80" w:type="dxa"/>
            <w:vAlign w:val="bottom"/>
            <w:tcBorders>
              <w:top w:val="single" w:sz="8" w:color="E4E4E4"/>
            </w:tcBorders>
          </w:tcPr>
          <w:p>
            <w:pPr>
              <w:spacing w:after="0"/>
              <w:rPr>
                <w:sz w:val="20"/>
                <w:szCs w:val="20"/>
                <w:color w:val="auto"/>
              </w:rPr>
            </w:pPr>
          </w:p>
        </w:tc>
        <w:tc>
          <w:tcPr>
            <w:tcW w:w="100" w:type="dxa"/>
            <w:vAlign w:val="bottom"/>
            <w:tcBorders>
              <w:top w:val="single" w:sz="8" w:color="E4E4E4"/>
            </w:tcBorders>
          </w:tcPr>
          <w:p>
            <w:pPr>
              <w:jc w:val="right"/>
              <w:spacing w:after="0"/>
              <w:rPr>
                <w:sz w:val="20"/>
                <w:szCs w:val="20"/>
                <w:color w:val="auto"/>
              </w:rPr>
            </w:pPr>
            <w:r>
              <w:rPr>
                <w:rFonts w:ascii="Arial" w:cs="Arial" w:eastAsia="Arial" w:hAnsi="Arial"/>
                <w:sz w:val="20"/>
                <w:szCs w:val="20"/>
                <w:color w:val="1E1E1E"/>
                <w:w w:val="71"/>
              </w:rPr>
              <w:t>$</w:t>
            </w:r>
          </w:p>
        </w:tc>
        <w:tc>
          <w:tcPr>
            <w:tcW w:w="760" w:type="dxa"/>
            <w:vAlign w:val="bottom"/>
            <w:tcBorders>
              <w:top w:val="single" w:sz="8" w:color="E4E4E4"/>
            </w:tcBorders>
            <w:gridSpan w:val="2"/>
          </w:tcPr>
          <w:p>
            <w:pPr>
              <w:jc w:val="right"/>
              <w:spacing w:after="0"/>
              <w:rPr>
                <w:sz w:val="20"/>
                <w:szCs w:val="20"/>
                <w:color w:val="auto"/>
              </w:rPr>
            </w:pPr>
            <w:r>
              <w:rPr>
                <w:rFonts w:ascii="Arial" w:cs="Arial" w:eastAsia="Arial" w:hAnsi="Arial"/>
                <w:sz w:val="20"/>
                <w:szCs w:val="20"/>
                <w:color w:val="1E1E1E"/>
              </w:rPr>
              <w:t>165.08</w:t>
            </w:r>
          </w:p>
        </w:tc>
        <w:tc>
          <w:tcPr>
            <w:tcW w:w="100" w:type="dxa"/>
            <w:vAlign w:val="bottom"/>
            <w:tcBorders>
              <w:top w:val="single" w:sz="8" w:color="E4E4E4"/>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E4E4E4"/>
          </w:tcPr>
          <w:p>
            <w:pPr>
              <w:spacing w:after="0"/>
              <w:rPr>
                <w:sz w:val="20"/>
                <w:szCs w:val="20"/>
                <w:color w:val="auto"/>
              </w:rPr>
            </w:pPr>
            <w:r>
              <w:rPr>
                <w:rFonts w:ascii="Arial" w:cs="Arial" w:eastAsia="Arial" w:hAnsi="Arial"/>
                <w:sz w:val="20"/>
                <w:szCs w:val="20"/>
                <w:color w:val="1E1E1E"/>
              </w:rPr>
              <w:t>S&amp;P 500</w:t>
            </w:r>
          </w:p>
        </w:tc>
        <w:tc>
          <w:tcPr>
            <w:tcW w:w="160" w:type="dxa"/>
            <w:vAlign w:val="bottom"/>
            <w:shd w:val="clear" w:color="auto" w:fill="E4E4E4"/>
          </w:tcPr>
          <w:p>
            <w:pPr>
              <w:jc w:val="right"/>
              <w:spacing w:after="0"/>
              <w:rPr>
                <w:sz w:val="20"/>
                <w:szCs w:val="20"/>
                <w:color w:val="auto"/>
              </w:rPr>
            </w:pPr>
            <w:r>
              <w:rPr>
                <w:rFonts w:ascii="Arial" w:cs="Arial" w:eastAsia="Arial" w:hAnsi="Arial"/>
                <w:sz w:val="20"/>
                <w:szCs w:val="20"/>
                <w:color w:val="1E1E1E"/>
                <w:w w:val="71"/>
              </w:rPr>
              <w:t>$</w:t>
            </w:r>
          </w:p>
        </w:tc>
        <w:tc>
          <w:tcPr>
            <w:tcW w:w="70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100</w:t>
            </w:r>
          </w:p>
        </w:tc>
        <w:tc>
          <w:tcPr>
            <w:tcW w:w="160" w:type="dxa"/>
            <w:vAlign w:val="bottom"/>
            <w:tcBorders>
              <w:right w:val="single" w:sz="8" w:color="E4E4E4"/>
            </w:tcBorders>
            <w:shd w:val="clear" w:color="auto" w:fill="E4E4E4"/>
          </w:tcPr>
          <w:p>
            <w:pPr>
              <w:spacing w:after="0"/>
              <w:rPr>
                <w:sz w:val="20"/>
                <w:szCs w:val="20"/>
                <w:color w:val="auto"/>
              </w:rPr>
            </w:pPr>
          </w:p>
        </w:tc>
        <w:tc>
          <w:tcPr>
            <w:tcW w:w="220" w:type="dxa"/>
            <w:vAlign w:val="bottom"/>
            <w:tcBorders>
              <w:left w:val="single" w:sz="8" w:color="E4E4E4"/>
            </w:tcBorders>
            <w:shd w:val="clear" w:color="auto" w:fill="E4E4E4"/>
          </w:tcPr>
          <w:p>
            <w:pPr>
              <w:jc w:val="right"/>
              <w:spacing w:after="0"/>
              <w:rPr>
                <w:sz w:val="20"/>
                <w:szCs w:val="20"/>
                <w:color w:val="auto"/>
              </w:rPr>
            </w:pPr>
            <w:r>
              <w:rPr>
                <w:rFonts w:ascii="Arial" w:cs="Arial" w:eastAsia="Arial" w:hAnsi="Arial"/>
                <w:sz w:val="20"/>
                <w:szCs w:val="20"/>
                <w:color w:val="1E1E1E"/>
              </w:rPr>
              <w:t>$</w:t>
            </w:r>
          </w:p>
        </w:tc>
        <w:tc>
          <w:tcPr>
            <w:tcW w:w="840" w:type="dxa"/>
            <w:vAlign w:val="bottom"/>
            <w:gridSpan w:val="3"/>
            <w:shd w:val="clear" w:color="auto" w:fill="E4E4E4"/>
          </w:tcPr>
          <w:p>
            <w:pPr>
              <w:ind w:left="140"/>
              <w:spacing w:after="0"/>
              <w:rPr>
                <w:sz w:val="20"/>
                <w:szCs w:val="20"/>
                <w:color w:val="auto"/>
              </w:rPr>
            </w:pPr>
            <w:r>
              <w:rPr>
                <w:rFonts w:ascii="Arial" w:cs="Arial" w:eastAsia="Arial" w:hAnsi="Arial"/>
                <w:sz w:val="20"/>
                <w:szCs w:val="20"/>
                <w:color w:val="1E1E1E"/>
              </w:rPr>
              <w:t>119.18</w:t>
            </w:r>
          </w:p>
        </w:tc>
        <w:tc>
          <w:tcPr>
            <w:tcW w:w="24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w:t>
            </w:r>
          </w:p>
        </w:tc>
        <w:tc>
          <w:tcPr>
            <w:tcW w:w="900" w:type="dxa"/>
            <w:vAlign w:val="bottom"/>
            <w:tcBorders>
              <w:right w:val="single" w:sz="8" w:color="E4E4E4"/>
            </w:tcBorders>
            <w:gridSpan w:val="3"/>
            <w:shd w:val="clear" w:color="auto" w:fill="E4E4E4"/>
          </w:tcPr>
          <w:p>
            <w:pPr>
              <w:jc w:val="right"/>
              <w:ind w:right="200"/>
              <w:spacing w:after="0"/>
              <w:rPr>
                <w:sz w:val="20"/>
                <w:szCs w:val="20"/>
                <w:color w:val="auto"/>
              </w:rPr>
            </w:pPr>
            <w:r>
              <w:rPr>
                <w:rFonts w:ascii="Arial" w:cs="Arial" w:eastAsia="Arial" w:hAnsi="Arial"/>
                <w:sz w:val="20"/>
                <w:szCs w:val="20"/>
                <w:color w:val="1E1E1E"/>
              </w:rPr>
              <w:t>137.23</w:t>
            </w:r>
          </w:p>
        </w:tc>
        <w:tc>
          <w:tcPr>
            <w:tcW w:w="160" w:type="dxa"/>
            <w:vAlign w:val="bottom"/>
            <w:shd w:val="clear" w:color="auto" w:fill="E4E4E4"/>
          </w:tcPr>
          <w:p>
            <w:pPr>
              <w:jc w:val="right"/>
              <w:spacing w:after="0"/>
              <w:rPr>
                <w:sz w:val="20"/>
                <w:szCs w:val="20"/>
                <w:color w:val="auto"/>
              </w:rPr>
            </w:pPr>
            <w:r>
              <w:rPr>
                <w:rFonts w:ascii="Arial" w:cs="Arial" w:eastAsia="Arial" w:hAnsi="Arial"/>
                <w:sz w:val="20"/>
                <w:szCs w:val="20"/>
                <w:color w:val="1E1E1E"/>
                <w:w w:val="71"/>
              </w:rPr>
              <w:t>$</w:t>
            </w:r>
          </w:p>
        </w:tc>
        <w:tc>
          <w:tcPr>
            <w:tcW w:w="840" w:type="dxa"/>
            <w:vAlign w:val="bottom"/>
            <w:tcBorders>
              <w:right w:val="single" w:sz="8" w:color="E4E4E4"/>
            </w:tcBorders>
            <w:gridSpan w:val="3"/>
            <w:shd w:val="clear" w:color="auto" w:fill="E4E4E4"/>
          </w:tcPr>
          <w:p>
            <w:pPr>
              <w:jc w:val="center"/>
              <w:spacing w:after="0"/>
              <w:rPr>
                <w:sz w:val="20"/>
                <w:szCs w:val="20"/>
                <w:color w:val="auto"/>
              </w:rPr>
            </w:pPr>
            <w:r>
              <w:rPr>
                <w:rFonts w:ascii="Arial" w:cs="Arial" w:eastAsia="Arial" w:hAnsi="Arial"/>
                <w:sz w:val="20"/>
                <w:szCs w:val="20"/>
                <w:color w:val="1E1E1E"/>
                <w:w w:val="88"/>
              </w:rPr>
              <w:t>163.75</w:t>
            </w:r>
          </w:p>
        </w:tc>
        <w:tc>
          <w:tcPr>
            <w:tcW w:w="24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w:t>
            </w:r>
          </w:p>
        </w:tc>
        <w:tc>
          <w:tcPr>
            <w:tcW w:w="700" w:type="dxa"/>
            <w:vAlign w:val="bottom"/>
            <w:gridSpan w:val="2"/>
            <w:shd w:val="clear" w:color="auto" w:fill="E4E4E4"/>
          </w:tcPr>
          <w:p>
            <w:pPr>
              <w:ind w:left="140"/>
              <w:spacing w:after="0"/>
              <w:rPr>
                <w:sz w:val="20"/>
                <w:szCs w:val="20"/>
                <w:color w:val="auto"/>
              </w:rPr>
            </w:pPr>
            <w:r>
              <w:rPr>
                <w:rFonts w:ascii="Arial" w:cs="Arial" w:eastAsia="Arial" w:hAnsi="Arial"/>
                <w:sz w:val="20"/>
                <w:szCs w:val="20"/>
                <w:color w:val="1E1E1E"/>
                <w:w w:val="88"/>
              </w:rPr>
              <w:t>150.40</w:t>
            </w:r>
          </w:p>
        </w:tc>
        <w:tc>
          <w:tcPr>
            <w:tcW w:w="140" w:type="dxa"/>
            <w:vAlign w:val="bottom"/>
            <w:tcBorders>
              <w:right w:val="single" w:sz="8" w:color="E4E4E4"/>
            </w:tcBorders>
            <w:shd w:val="clear" w:color="auto" w:fill="E4E4E4"/>
          </w:tcPr>
          <w:p>
            <w:pPr>
              <w:spacing w:after="0"/>
              <w:rPr>
                <w:sz w:val="20"/>
                <w:szCs w:val="20"/>
                <w:color w:val="auto"/>
              </w:rPr>
            </w:pPr>
          </w:p>
        </w:tc>
        <w:tc>
          <w:tcPr>
            <w:tcW w:w="18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w:t>
            </w:r>
          </w:p>
        </w:tc>
        <w:tc>
          <w:tcPr>
            <w:tcW w:w="860" w:type="dxa"/>
            <w:vAlign w:val="bottom"/>
            <w:gridSpan w:val="3"/>
            <w:shd w:val="clear" w:color="auto" w:fill="E4E4E4"/>
          </w:tcPr>
          <w:p>
            <w:pPr>
              <w:jc w:val="right"/>
              <w:ind w:right="100"/>
              <w:spacing w:after="0"/>
              <w:rPr>
                <w:sz w:val="20"/>
                <w:szCs w:val="20"/>
                <w:color w:val="auto"/>
              </w:rPr>
            </w:pPr>
            <w:r>
              <w:rPr>
                <w:rFonts w:ascii="Arial" w:cs="Arial" w:eastAsia="Arial" w:hAnsi="Arial"/>
                <w:sz w:val="20"/>
                <w:szCs w:val="20"/>
                <w:color w:val="1E1E1E"/>
              </w:rPr>
              <w:t>183.21</w:t>
            </w:r>
          </w:p>
        </w:tc>
        <w:tc>
          <w:tcPr>
            <w:tcW w:w="0" w:type="dxa"/>
            <w:vAlign w:val="bottom"/>
          </w:tcPr>
          <w:p>
            <w:pPr>
              <w:spacing w:after="0"/>
              <w:rPr>
                <w:sz w:val="1"/>
                <w:szCs w:val="1"/>
                <w:color w:val="auto"/>
              </w:rPr>
            </w:pPr>
          </w:p>
        </w:tc>
      </w:tr>
      <w:tr>
        <w:trPr>
          <w:trHeight w:val="233"/>
        </w:trPr>
        <w:tc>
          <w:tcPr>
            <w:tcW w:w="4460" w:type="dxa"/>
            <w:vAlign w:val="bottom"/>
            <w:gridSpan w:val="2"/>
          </w:tcPr>
          <w:p>
            <w:pPr>
              <w:spacing w:after="0"/>
              <w:rPr>
                <w:sz w:val="20"/>
                <w:szCs w:val="20"/>
                <w:color w:val="auto"/>
              </w:rPr>
            </w:pPr>
            <w:r>
              <w:rPr>
                <w:rFonts w:ascii="Arial" w:cs="Arial" w:eastAsia="Arial" w:hAnsi="Arial"/>
                <w:sz w:val="20"/>
                <w:szCs w:val="20"/>
                <w:color w:val="1E1E1E"/>
              </w:rPr>
              <w:t>Dow Jones U.S. Apparel Retailers</w:t>
            </w:r>
          </w:p>
        </w:tc>
        <w:tc>
          <w:tcPr>
            <w:tcW w:w="160" w:type="dxa"/>
            <w:vAlign w:val="bottom"/>
          </w:tcPr>
          <w:p>
            <w:pPr>
              <w:jc w:val="right"/>
              <w:spacing w:after="0"/>
              <w:rPr>
                <w:sz w:val="20"/>
                <w:szCs w:val="20"/>
                <w:color w:val="auto"/>
              </w:rPr>
            </w:pPr>
            <w:r>
              <w:rPr>
                <w:rFonts w:ascii="Arial" w:cs="Arial" w:eastAsia="Arial" w:hAnsi="Arial"/>
                <w:sz w:val="20"/>
                <w:szCs w:val="20"/>
                <w:color w:val="1E1E1E"/>
                <w:w w:val="71"/>
              </w:rPr>
              <w:t>$</w:t>
            </w:r>
          </w:p>
        </w:tc>
        <w:tc>
          <w:tcPr>
            <w:tcW w:w="700" w:type="dxa"/>
            <w:vAlign w:val="bottom"/>
          </w:tcPr>
          <w:p>
            <w:pPr>
              <w:jc w:val="right"/>
              <w:spacing w:after="0"/>
              <w:rPr>
                <w:sz w:val="20"/>
                <w:szCs w:val="20"/>
                <w:color w:val="auto"/>
              </w:rPr>
            </w:pPr>
            <w:r>
              <w:rPr>
                <w:rFonts w:ascii="Arial" w:cs="Arial" w:eastAsia="Arial" w:hAnsi="Arial"/>
                <w:sz w:val="20"/>
                <w:szCs w:val="20"/>
                <w:color w:val="1E1E1E"/>
              </w:rPr>
              <w:t>100</w:t>
            </w:r>
          </w:p>
        </w:tc>
        <w:tc>
          <w:tcPr>
            <w:tcW w:w="1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1E1E1E"/>
              </w:rPr>
              <w:t>$</w:t>
            </w:r>
          </w:p>
        </w:tc>
        <w:tc>
          <w:tcPr>
            <w:tcW w:w="840" w:type="dxa"/>
            <w:vAlign w:val="bottom"/>
            <w:gridSpan w:val="3"/>
          </w:tcPr>
          <w:p>
            <w:pPr>
              <w:ind w:left="140"/>
              <w:spacing w:after="0"/>
              <w:rPr>
                <w:sz w:val="20"/>
                <w:szCs w:val="20"/>
                <w:color w:val="auto"/>
              </w:rPr>
            </w:pPr>
            <w:r>
              <w:rPr>
                <w:rFonts w:ascii="Arial" w:cs="Arial" w:eastAsia="Arial" w:hAnsi="Arial"/>
                <w:sz w:val="20"/>
                <w:szCs w:val="20"/>
                <w:color w:val="1E1E1E"/>
              </w:rPr>
              <w:t>110.85</w:t>
            </w:r>
          </w:p>
        </w:tc>
        <w:tc>
          <w:tcPr>
            <w:tcW w:w="240" w:type="dxa"/>
            <w:vAlign w:val="bottom"/>
            <w:gridSpan w:val="2"/>
          </w:tcPr>
          <w:p>
            <w:pPr>
              <w:jc w:val="right"/>
              <w:spacing w:after="0"/>
              <w:rPr>
                <w:sz w:val="20"/>
                <w:szCs w:val="20"/>
                <w:color w:val="auto"/>
              </w:rPr>
            </w:pPr>
            <w:r>
              <w:rPr>
                <w:rFonts w:ascii="Arial" w:cs="Arial" w:eastAsia="Arial" w:hAnsi="Arial"/>
                <w:sz w:val="20"/>
                <w:szCs w:val="20"/>
                <w:color w:val="1E1E1E"/>
              </w:rPr>
              <w:t>$</w:t>
            </w:r>
          </w:p>
        </w:tc>
        <w:tc>
          <w:tcPr>
            <w:tcW w:w="900" w:type="dxa"/>
            <w:vAlign w:val="bottom"/>
            <w:gridSpan w:val="3"/>
          </w:tcPr>
          <w:p>
            <w:pPr>
              <w:jc w:val="right"/>
              <w:ind w:right="200"/>
              <w:spacing w:after="0"/>
              <w:rPr>
                <w:sz w:val="20"/>
                <w:szCs w:val="20"/>
                <w:color w:val="auto"/>
              </w:rPr>
            </w:pPr>
            <w:r>
              <w:rPr>
                <w:rFonts w:ascii="Arial" w:cs="Arial" w:eastAsia="Arial" w:hAnsi="Arial"/>
                <w:sz w:val="20"/>
                <w:szCs w:val="20"/>
                <w:color w:val="1E1E1E"/>
              </w:rPr>
              <w:t>117.75</w:t>
            </w:r>
          </w:p>
        </w:tc>
        <w:tc>
          <w:tcPr>
            <w:tcW w:w="160" w:type="dxa"/>
            <w:vAlign w:val="bottom"/>
          </w:tcPr>
          <w:p>
            <w:pPr>
              <w:jc w:val="right"/>
              <w:spacing w:after="0"/>
              <w:rPr>
                <w:sz w:val="20"/>
                <w:szCs w:val="20"/>
                <w:color w:val="auto"/>
              </w:rPr>
            </w:pPr>
            <w:r>
              <w:rPr>
                <w:rFonts w:ascii="Arial" w:cs="Arial" w:eastAsia="Arial" w:hAnsi="Arial"/>
                <w:sz w:val="20"/>
                <w:szCs w:val="20"/>
                <w:color w:val="1E1E1E"/>
                <w:w w:val="71"/>
              </w:rPr>
              <w:t>$</w:t>
            </w:r>
          </w:p>
        </w:tc>
        <w:tc>
          <w:tcPr>
            <w:tcW w:w="840" w:type="dxa"/>
            <w:vAlign w:val="bottom"/>
            <w:gridSpan w:val="3"/>
          </w:tcPr>
          <w:p>
            <w:pPr>
              <w:jc w:val="center"/>
              <w:spacing w:after="0"/>
              <w:rPr>
                <w:sz w:val="20"/>
                <w:szCs w:val="20"/>
                <w:color w:val="auto"/>
              </w:rPr>
            </w:pPr>
            <w:r>
              <w:rPr>
                <w:rFonts w:ascii="Arial" w:cs="Arial" w:eastAsia="Arial" w:hAnsi="Arial"/>
                <w:sz w:val="20"/>
                <w:szCs w:val="20"/>
                <w:color w:val="1E1E1E"/>
                <w:w w:val="88"/>
              </w:rPr>
              <w:t>127.23</w:t>
            </w:r>
          </w:p>
        </w:tc>
        <w:tc>
          <w:tcPr>
            <w:tcW w:w="240" w:type="dxa"/>
            <w:vAlign w:val="bottom"/>
            <w:gridSpan w:val="2"/>
          </w:tcPr>
          <w:p>
            <w:pPr>
              <w:jc w:val="right"/>
              <w:spacing w:after="0"/>
              <w:rPr>
                <w:sz w:val="20"/>
                <w:szCs w:val="20"/>
                <w:color w:val="auto"/>
              </w:rPr>
            </w:pPr>
            <w:r>
              <w:rPr>
                <w:rFonts w:ascii="Arial" w:cs="Arial" w:eastAsia="Arial" w:hAnsi="Arial"/>
                <w:sz w:val="20"/>
                <w:szCs w:val="20"/>
                <w:color w:val="1E1E1E"/>
              </w:rPr>
              <w:t>$</w:t>
            </w:r>
          </w:p>
        </w:tc>
        <w:tc>
          <w:tcPr>
            <w:tcW w:w="700" w:type="dxa"/>
            <w:vAlign w:val="bottom"/>
            <w:gridSpan w:val="2"/>
          </w:tcPr>
          <w:p>
            <w:pPr>
              <w:ind w:left="140"/>
              <w:spacing w:after="0"/>
              <w:rPr>
                <w:sz w:val="20"/>
                <w:szCs w:val="20"/>
                <w:color w:val="auto"/>
              </w:rPr>
            </w:pPr>
            <w:r>
              <w:rPr>
                <w:rFonts w:ascii="Arial" w:cs="Arial" w:eastAsia="Arial" w:hAnsi="Arial"/>
                <w:sz w:val="20"/>
                <w:szCs w:val="20"/>
                <w:color w:val="1E1E1E"/>
                <w:w w:val="88"/>
              </w:rPr>
              <w:t>138.11</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20"/>
                <w:szCs w:val="20"/>
                <w:color w:val="1E1E1E"/>
              </w:rPr>
              <w:t>$</w:t>
            </w:r>
          </w:p>
        </w:tc>
        <w:tc>
          <w:tcPr>
            <w:tcW w:w="860" w:type="dxa"/>
            <w:vAlign w:val="bottom"/>
            <w:gridSpan w:val="3"/>
          </w:tcPr>
          <w:p>
            <w:pPr>
              <w:jc w:val="right"/>
              <w:ind w:right="100"/>
              <w:spacing w:after="0"/>
              <w:rPr>
                <w:sz w:val="20"/>
                <w:szCs w:val="20"/>
                <w:color w:val="auto"/>
              </w:rPr>
            </w:pPr>
            <w:r>
              <w:rPr>
                <w:rFonts w:ascii="Arial" w:cs="Arial" w:eastAsia="Arial" w:hAnsi="Arial"/>
                <w:sz w:val="20"/>
                <w:szCs w:val="20"/>
                <w:color w:val="1E1E1E"/>
              </w:rPr>
              <w:t>156.55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-1621155</wp:posOffset>
            </wp:positionV>
            <wp:extent cx="3241675" cy="1536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41675" cy="153670"/>
                    </a:xfrm>
                    <a:prstGeom prst="rect">
                      <a:avLst/>
                    </a:prstGeom>
                    <a:noFill/>
                  </pic:spPr>
                </pic:pic>
              </a:graphicData>
            </a:graphic>
          </wp:anchor>
        </w:drawing>
      </w:r>
    </w:p>
    <w:p>
      <w:pPr>
        <w:spacing w:after="0" w:line="77" w:lineRule="exact"/>
        <w:rPr>
          <w:sz w:val="20"/>
          <w:szCs w:val="20"/>
          <w:color w:val="auto"/>
        </w:rPr>
      </w:pPr>
    </w:p>
    <w:p>
      <w:pPr>
        <w:ind w:right="360"/>
        <w:spacing w:after="0" w:line="253" w:lineRule="auto"/>
        <w:rPr>
          <w:sz w:val="20"/>
          <w:szCs w:val="20"/>
          <w:color w:val="auto"/>
        </w:rPr>
      </w:pPr>
      <w:r>
        <w:rPr>
          <w:rFonts w:ascii="Arial" w:cs="Arial" w:eastAsia="Arial" w:hAnsi="Arial"/>
          <w:sz w:val="20"/>
          <w:szCs w:val="20"/>
          <w:color w:val="1E1E1E"/>
        </w:rPr>
        <w:t>The performance graph above shall not be deemed “filed” for purposes of Section 18 of the Securities Exchange Act of 1934, as amended (the “Exchange Act”), or otherwise subject to the liability of that section. This graph will not be deemed incorporated by reference into any filing under the Securities Act of 1933, as amended, or the Exchange Act, whether made before or after the date hereof, regardless of any general incorporation language in such filing.</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1E1E1E"/>
        </w:rPr>
        <w:t>Item 6. Reserved.</w:t>
      </w:r>
    </w:p>
    <w:p>
      <w:pPr>
        <w:sectPr>
          <w:pgSz w:w="11880" w:h="15480" w:orient="portrait"/>
          <w:cols w:equalWidth="0" w:num="1">
            <w:col w:w="10800"/>
          </w:cols>
          <w:pgMar w:left="540" w:top="658"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24</w:t>
      </w:r>
    </w:p>
    <w:p>
      <w:pPr>
        <w:sectPr>
          <w:pgSz w:w="11880" w:h="15480" w:orient="portrait"/>
          <w:cols w:equalWidth="0" w:num="1">
            <w:col w:w="10800"/>
          </w:cols>
          <w:pgMar w:left="540" w:top="658" w:right="540" w:bottom="31" w:gutter="0" w:footer="0" w:header="0"/>
          <w:type w:val="continuous"/>
        </w:sectPr>
      </w:pPr>
    </w:p>
    <w:bookmarkStart w:id="26" w:name="page27"/>
    <w:bookmarkEnd w:id="26"/>
    <w:p>
      <w:pPr>
        <w:spacing w:after="0"/>
        <w:rPr>
          <w:sz w:val="20"/>
          <w:szCs w:val="20"/>
          <w:color w:val="auto"/>
        </w:rPr>
      </w:pPr>
      <w:r>
        <w:rPr>
          <w:rFonts w:ascii="Arial" w:cs="Arial" w:eastAsia="Arial" w:hAnsi="Arial"/>
          <w:sz w:val="20"/>
          <w:szCs w:val="20"/>
          <w:color w:val="1E1E1E"/>
        </w:rPr>
        <w:t>Item 7. Management’s Discussion and Analysis of Financial Condition and Results of Operations</w:t>
      </w:r>
    </w:p>
    <w:p>
      <w:pPr>
        <w:spacing w:after="0" w:line="200" w:lineRule="exact"/>
        <w:rPr>
          <w:sz w:val="20"/>
          <w:szCs w:val="20"/>
          <w:color w:val="auto"/>
        </w:rPr>
      </w:pPr>
    </w:p>
    <w:p>
      <w:pPr>
        <w:spacing w:after="0" w:line="277"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1E1E1E"/>
        </w:rPr>
        <w:t>The following is a discussion and analysis of our financial condition and results of operations for fiscal 2023 as compared to fiscal 2022. Our Annual Report on Form 10-K for the year ended January 28, 2023 (fiscal 2022) includes a discussion and analysis of our financial condition and results of operations comparing fiscal 2022 to fiscal 2021 in Item 7 of Part II, “Management’s Discussion and Analysis of Financial Condition and Results of Operations.”</w:t>
      </w:r>
    </w:p>
    <w:p>
      <w:pPr>
        <w:spacing w:after="0" w:line="74"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1E1E1E"/>
        </w:rPr>
        <w:t>As noted above in Part 1, this section also contains forward-looking statements that reflect the Company’s plans, estimates and beliefs. The Company's actual results could materially differ from those discussed in these forward-looking statements. Factors that could cause or contribute to those differences include, but are not limited to, those discussed below and elsewhere in this report, particularly in “Risk Factors” and “Forward-Looking Statements.” The following discussion and analysis of our financial condition and results of operations should be read in light of those risks and uncertainties and in conjunction with our accompanying Consolidated Financial Statements and Notes thereto.</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color w:val="1E1E1E"/>
        </w:rPr>
        <w:t>Certain figures discussed below may not foot due to rounding.</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1E1E1E"/>
        </w:rPr>
        <w:t>Segment Reporting</w:t>
      </w:r>
    </w:p>
    <w:p>
      <w:pPr>
        <w:spacing w:after="0" w:line="119"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color w:val="1E1E1E"/>
        </w:rPr>
        <w:t>We have two principal operating segments: our stores and direct business. We consider our stores and direct business segments to be similar in terms of economic characteristics, production processes and operations, and have therefore aggregated them into one reportable segment, retail segment, consistent with our integrated commerce approach. The Company’s wholesale business was a third operating segment until the first quarter of fiscal 2022, when the Company ended its relationship with its primary wholesale customer. Due to the immateriality of the wholesale segment’s revenues, profits and assets, its operating results were aggregated with the retail segment in fiscal 2022.</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1E1E1E"/>
        </w:rPr>
        <w:t>Comparable Sales and E-Commerce (Direct) Sales Definition</w:t>
      </w:r>
    </w:p>
    <w:p>
      <w:pPr>
        <w:spacing w:after="0" w:line="119" w:lineRule="exact"/>
        <w:rPr>
          <w:sz w:val="20"/>
          <w:szCs w:val="20"/>
          <w:color w:val="auto"/>
        </w:rPr>
      </w:pPr>
    </w:p>
    <w:p>
      <w:pPr>
        <w:ind w:right="320"/>
        <w:spacing w:after="0" w:line="252" w:lineRule="auto"/>
        <w:rPr>
          <w:sz w:val="20"/>
          <w:szCs w:val="20"/>
          <w:color w:val="auto"/>
        </w:rPr>
      </w:pPr>
      <w:r>
        <w:rPr>
          <w:rFonts w:ascii="Arial" w:cs="Arial" w:eastAsia="Arial" w:hAnsi="Arial"/>
          <w:sz w:val="20"/>
          <w:szCs w:val="20"/>
          <w:color w:val="1E1E1E"/>
        </w:rPr>
        <w:t>Our 2023 fiscal year included 53 weeks compared with 52 weeks in fiscal 2022. Accordingly, year-over-year comparisons of total sales for the fourth quarter and full year are affected by an extra week of sales in fiscal 2023. However, for comparable sales, the Company is reporting on a comparable weeks basis (i.e. the 14 and 53 weeks ended February 3, 2024 compared with the 14 and 53 weeks ended February 4, 2023, respectively).</w:t>
      </w:r>
    </w:p>
    <w:p>
      <w:pPr>
        <w:spacing w:after="0" w:line="73"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color w:val="1E1E1E"/>
        </w:rPr>
        <w:t>Our customer’s shopping experience continues to evolve across multiple channels and we are continually adapting to meet the customer's needs. The majority of our stores have the capability of fulfilling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pick-up in a store or at curbside. We define store sales as sales that originate and are fulfilled directly at the store level. E-commerce sales, which we also refer to as direct sales, are defined as sales that originate online, whether through our website, at the store level, our Guest Engagement Center, or through a third-party marketplace.</w:t>
      </w:r>
    </w:p>
    <w:p>
      <w:pPr>
        <w:spacing w:after="0" w:line="52" w:lineRule="exact"/>
        <w:rPr>
          <w:sz w:val="20"/>
          <w:szCs w:val="20"/>
          <w:color w:val="auto"/>
        </w:rPr>
      </w:pPr>
    </w:p>
    <w:p>
      <w:pPr>
        <w:ind w:right="200"/>
        <w:spacing w:after="0" w:line="289" w:lineRule="auto"/>
        <w:rPr>
          <w:sz w:val="20"/>
          <w:szCs w:val="20"/>
          <w:color w:val="auto"/>
        </w:rPr>
      </w:pPr>
      <w:r>
        <w:rPr>
          <w:rFonts w:ascii="Arial" w:cs="Arial" w:eastAsia="Arial" w:hAnsi="Arial"/>
          <w:sz w:val="18"/>
          <w:szCs w:val="18"/>
          <w:color w:val="1E1E1E"/>
        </w:rPr>
        <w:t>Stores that have been open for 13 months are included in comparable sales. Stores that have been remodeled or re-located during the period are also included in our determination of comparable stores sales. Stores that have been expanded by more than 25% are considered non-comparable for the first 13 months. The method of calculating comparable sales varies across the retail industry and, as a result, our calculation of comparable sales is not necessarily comparable to similarly titled measures reported by other retailers.</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1E1E1E"/>
        </w:rPr>
        <w:t>Non-GAAP Measures</w:t>
      </w:r>
    </w:p>
    <w:p>
      <w:pPr>
        <w:spacing w:after="0" w:line="119" w:lineRule="exact"/>
        <w:rPr>
          <w:sz w:val="20"/>
          <w:szCs w:val="20"/>
          <w:color w:val="auto"/>
        </w:rPr>
      </w:pPr>
    </w:p>
    <w:p>
      <w:pPr>
        <w:spacing w:after="0" w:line="245" w:lineRule="auto"/>
        <w:rPr>
          <w:sz w:val="20"/>
          <w:szCs w:val="20"/>
          <w:color w:val="auto"/>
        </w:rPr>
      </w:pPr>
      <w:r>
        <w:rPr>
          <w:rFonts w:ascii="Arial" w:cs="Arial" w:eastAsia="Arial" w:hAnsi="Arial"/>
          <w:sz w:val="20"/>
          <w:szCs w:val="20"/>
          <w:color w:val="1E1E1E"/>
        </w:rPr>
        <w:t>We monitor certain non-GAAP financial measures on a regular basis in order to track the progress of our business. These measures include free cash flow, adjusted net income, adjusted net income per share, adjusted EBITDA and adjusted EBITDA margin. We believe these measures provide helpful information with respect to the Company’s operating performance and that the inclusion of these non-GAAP measures is important to assist investors in comparing our performance in fiscal 2023 to fiscal 2022. However, these measures may not be comparable to similar measures used by other companies and should not be considered superior to or as a substitute for net income, net income per diluted share or cash flow from operating activities in accordance with GAAP. See “Non-GAAP Reconciliations” below for additional information on these non-GAAP financial measures and reconciliations to comparable GAAP measures.</w:t>
      </w:r>
    </w:p>
    <w:p>
      <w:pPr>
        <w:sectPr>
          <w:pgSz w:w="11880" w:h="15480" w:orient="portrait"/>
          <w:cols w:equalWidth="0" w:num="1">
            <w:col w:w="10800"/>
          </w:cols>
          <w:pgMar w:left="540" w:top="653"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25</w:t>
      </w:r>
    </w:p>
    <w:p>
      <w:pPr>
        <w:sectPr>
          <w:pgSz w:w="11880" w:h="15480" w:orient="portrait"/>
          <w:cols w:equalWidth="0" w:num="1">
            <w:col w:w="10800"/>
          </w:cols>
          <w:pgMar w:left="540" w:top="653" w:right="540" w:bottom="31" w:gutter="0" w:footer="0" w:header="0"/>
          <w:type w:val="continuous"/>
        </w:sectPr>
      </w:pPr>
    </w:p>
    <w:bookmarkStart w:id="27" w:name="page28"/>
    <w:bookmarkEnd w:id="27"/>
    <w:p>
      <w:pPr>
        <w:spacing w:after="0"/>
        <w:rPr>
          <w:sz w:val="20"/>
          <w:szCs w:val="20"/>
          <w:color w:val="auto"/>
        </w:rPr>
      </w:pPr>
      <w:r>
        <w:rPr>
          <w:rFonts w:ascii="Arial" w:cs="Arial" w:eastAsia="Arial" w:hAnsi="Arial"/>
          <w:sz w:val="20"/>
          <w:szCs w:val="20"/>
          <w:color w:val="1E1E1E"/>
        </w:rPr>
        <w:t>RESULTS OF OPERATIONS</w:t>
      </w:r>
    </w:p>
    <w:p>
      <w:pPr>
        <w:spacing w:after="0" w:line="119" w:lineRule="exact"/>
        <w:rPr>
          <w:sz w:val="20"/>
          <w:szCs w:val="20"/>
          <w:color w:val="auto"/>
        </w:rPr>
      </w:pPr>
    </w:p>
    <w:p>
      <w:pPr>
        <w:ind w:right="160"/>
        <w:spacing w:after="0" w:line="279" w:lineRule="auto"/>
        <w:rPr>
          <w:sz w:val="20"/>
          <w:szCs w:val="20"/>
          <w:color w:val="auto"/>
        </w:rPr>
      </w:pPr>
      <w:r>
        <w:rPr>
          <w:rFonts w:ascii="Arial" w:cs="Arial" w:eastAsia="Arial" w:hAnsi="Arial"/>
          <w:sz w:val="20"/>
          <w:szCs w:val="20"/>
          <w:color w:val="1E1E1E"/>
        </w:rPr>
        <w:t>Our fiscal year is a 52- or 53-week period ending on the Saturday closest to January 31. Fiscal 2023 was a 53-week period and fiscal 2022 was a 52-week period.</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1E1E1E"/>
        </w:rPr>
        <w:t>EXECUTIVE OVERVIEW</w:t>
      </w:r>
    </w:p>
    <w:p>
      <w:pPr>
        <w:spacing w:after="0" w:line="240" w:lineRule="exact"/>
        <w:rPr>
          <w:sz w:val="20"/>
          <w:szCs w:val="20"/>
          <w:color w:val="auto"/>
        </w:rPr>
      </w:pPr>
    </w:p>
    <w:tbl>
      <w:tblPr>
        <w:tblLayout w:type="fixed"/>
        <w:tblInd w:w="1080" w:type="dxa"/>
        <w:tblCellMar>
          <w:top w:w="0" w:type="dxa"/>
          <w:left w:w="0" w:type="dxa"/>
          <w:bottom w:w="0" w:type="dxa"/>
          <w:right w:w="0" w:type="dxa"/>
        </w:tblCellMar>
      </w:tblPr>
      <w:tr>
        <w:trPr>
          <w:trHeight w:val="202"/>
        </w:trPr>
        <w:tc>
          <w:tcPr>
            <w:tcW w:w="5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6"/>
                <w:szCs w:val="16"/>
                <w:color w:val="1E1E1E"/>
                <w:w w:val="95"/>
              </w:rPr>
              <w:t>Fiscal 2023</w:t>
            </w:r>
          </w:p>
        </w:tc>
        <w:tc>
          <w:tcPr>
            <w:tcW w:w="180" w:type="dxa"/>
            <w:vAlign w:val="bottom"/>
          </w:tcPr>
          <w:p>
            <w:pPr>
              <w:spacing w:after="0"/>
              <w:rPr>
                <w:sz w:val="17"/>
                <w:szCs w:val="17"/>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1E1E1E"/>
              </w:rPr>
              <w:t>Fiscal 2022</w:t>
            </w:r>
          </w:p>
        </w:tc>
      </w:tr>
      <w:tr>
        <w:trPr>
          <w:trHeight w:val="160"/>
        </w:trPr>
        <w:tc>
          <w:tcPr>
            <w:tcW w:w="5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Borders>
              <w:top w:val="single" w:sz="8" w:color="1E1E1E"/>
            </w:tcBorders>
            <w:gridSpan w:val="2"/>
          </w:tcPr>
          <w:p>
            <w:pPr>
              <w:jc w:val="right"/>
              <w:spacing w:after="0" w:line="160" w:lineRule="exact"/>
              <w:rPr>
                <w:sz w:val="20"/>
                <w:szCs w:val="20"/>
                <w:color w:val="auto"/>
              </w:rPr>
            </w:pPr>
            <w:r>
              <w:rPr>
                <w:rFonts w:ascii="Arial" w:cs="Arial" w:eastAsia="Arial" w:hAnsi="Arial"/>
                <w:sz w:val="16"/>
                <w:szCs w:val="16"/>
                <w:color w:val="1E1E1E"/>
                <w:w w:val="88"/>
              </w:rPr>
              <w:t>(in millions, except</w:t>
            </w:r>
          </w:p>
        </w:tc>
        <w:tc>
          <w:tcPr>
            <w:tcW w:w="340" w:type="dxa"/>
            <w:vAlign w:val="bottom"/>
          </w:tcPr>
          <w:p>
            <w:pPr>
              <w:jc w:val="right"/>
              <w:spacing w:after="0" w:line="160" w:lineRule="exact"/>
              <w:rPr>
                <w:sz w:val="20"/>
                <w:szCs w:val="20"/>
                <w:color w:val="auto"/>
              </w:rPr>
            </w:pPr>
            <w:r>
              <w:rPr>
                <w:rFonts w:ascii="Arial" w:cs="Arial" w:eastAsia="Arial" w:hAnsi="Arial"/>
                <w:sz w:val="16"/>
                <w:szCs w:val="16"/>
                <w:color w:val="1E1E1E"/>
              </w:rPr>
              <w:t>for</w:t>
            </w:r>
          </w:p>
        </w:tc>
        <w:tc>
          <w:tcPr>
            <w:tcW w:w="1300" w:type="dxa"/>
            <w:vAlign w:val="bottom"/>
            <w:tcBorders>
              <w:top w:val="single" w:sz="8" w:color="1E1E1E"/>
            </w:tcBorders>
            <w:gridSpan w:val="2"/>
          </w:tcPr>
          <w:p>
            <w:pPr>
              <w:ind w:left="20"/>
              <w:spacing w:after="0" w:line="160" w:lineRule="exact"/>
              <w:rPr>
                <w:sz w:val="20"/>
                <w:szCs w:val="20"/>
                <w:color w:val="auto"/>
              </w:rPr>
            </w:pPr>
            <w:r>
              <w:rPr>
                <w:rFonts w:ascii="Arial" w:cs="Arial" w:eastAsia="Arial" w:hAnsi="Arial"/>
                <w:sz w:val="16"/>
                <w:szCs w:val="16"/>
                <w:color w:val="1E1E1E"/>
                <w:w w:val="90"/>
              </w:rPr>
              <w:t>percentage of sales</w:t>
            </w:r>
          </w:p>
        </w:tc>
        <w:tc>
          <w:tcPr>
            <w:tcW w:w="300" w:type="dxa"/>
            <w:vAlign w:val="bottom"/>
          </w:tcPr>
          <w:p>
            <w:pPr>
              <w:jc w:val="right"/>
              <w:spacing w:after="0" w:line="160" w:lineRule="exact"/>
              <w:rPr>
                <w:sz w:val="20"/>
                <w:szCs w:val="20"/>
                <w:color w:val="auto"/>
              </w:rPr>
            </w:pPr>
            <w:r>
              <w:rPr>
                <w:rFonts w:ascii="Arial" w:cs="Arial" w:eastAsia="Arial" w:hAnsi="Arial"/>
                <w:sz w:val="16"/>
                <w:szCs w:val="16"/>
                <w:color w:val="1E1E1E"/>
                <w:w w:val="82"/>
              </w:rPr>
              <w:t>and</w:t>
            </w:r>
          </w:p>
        </w:tc>
      </w:tr>
      <w:tr>
        <w:trPr>
          <w:trHeight w:val="196"/>
        </w:trPr>
        <w:tc>
          <w:tcPr>
            <w:tcW w:w="5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60" w:type="dxa"/>
            <w:vAlign w:val="bottom"/>
            <w:gridSpan w:val="5"/>
          </w:tcPr>
          <w:p>
            <w:pPr>
              <w:jc w:val="right"/>
              <w:ind w:right="1000"/>
              <w:spacing w:after="0"/>
              <w:rPr>
                <w:sz w:val="20"/>
                <w:szCs w:val="20"/>
                <w:color w:val="auto"/>
              </w:rPr>
            </w:pPr>
            <w:r>
              <w:rPr>
                <w:rFonts w:ascii="Arial" w:cs="Arial" w:eastAsia="Arial" w:hAnsi="Arial"/>
                <w:sz w:val="16"/>
                <w:szCs w:val="16"/>
                <w:color w:val="1E1E1E"/>
              </w:rPr>
              <w:t>per share data)</w:t>
            </w:r>
          </w:p>
        </w:tc>
      </w:tr>
      <w:tr>
        <w:trPr>
          <w:trHeight w:val="230"/>
        </w:trPr>
        <w:tc>
          <w:tcPr>
            <w:tcW w:w="5380" w:type="dxa"/>
            <w:vAlign w:val="bottom"/>
            <w:shd w:val="clear" w:color="auto" w:fill="E4E4E4"/>
          </w:tcPr>
          <w:p>
            <w:pPr>
              <w:spacing w:after="0"/>
              <w:rPr>
                <w:sz w:val="20"/>
                <w:szCs w:val="20"/>
                <w:color w:val="auto"/>
              </w:rPr>
            </w:pPr>
            <w:r>
              <w:rPr>
                <w:rFonts w:ascii="Arial" w:cs="Arial" w:eastAsia="Arial" w:hAnsi="Arial"/>
                <w:sz w:val="20"/>
                <w:szCs w:val="20"/>
                <w:color w:val="1E1E1E"/>
              </w:rPr>
              <w:t>Sales</w:t>
            </w:r>
          </w:p>
        </w:tc>
        <w:tc>
          <w:tcPr>
            <w:tcW w:w="30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w:t>
            </w:r>
          </w:p>
        </w:tc>
        <w:tc>
          <w:tcPr>
            <w:tcW w:w="1360" w:type="dxa"/>
            <w:vAlign w:val="bottom"/>
            <w:gridSpan w:val="2"/>
            <w:shd w:val="clear" w:color="auto" w:fill="E4E4E4"/>
          </w:tcPr>
          <w:p>
            <w:pPr>
              <w:jc w:val="right"/>
              <w:ind w:right="260"/>
              <w:spacing w:after="0"/>
              <w:rPr>
                <w:sz w:val="20"/>
                <w:szCs w:val="20"/>
                <w:color w:val="auto"/>
              </w:rPr>
            </w:pPr>
            <w:r>
              <w:rPr>
                <w:rFonts w:ascii="Arial" w:cs="Arial" w:eastAsia="Arial" w:hAnsi="Arial"/>
                <w:sz w:val="20"/>
                <w:szCs w:val="20"/>
                <w:color w:val="1E1E1E"/>
              </w:rPr>
              <w:t>521.8</w:t>
            </w:r>
          </w:p>
        </w:tc>
        <w:tc>
          <w:tcPr>
            <w:tcW w:w="180" w:type="dxa"/>
            <w:vAlign w:val="bottom"/>
            <w:shd w:val="clear" w:color="auto" w:fill="E4E4E4"/>
          </w:tcPr>
          <w:p>
            <w:pPr>
              <w:spacing w:after="0"/>
              <w:rPr>
                <w:sz w:val="20"/>
                <w:szCs w:val="20"/>
                <w:color w:val="auto"/>
              </w:rPr>
            </w:pPr>
            <w:r>
              <w:rPr>
                <w:rFonts w:ascii="Arial" w:cs="Arial" w:eastAsia="Arial" w:hAnsi="Arial"/>
                <w:sz w:val="20"/>
                <w:szCs w:val="20"/>
                <w:color w:val="1E1E1E"/>
              </w:rPr>
              <w:t>$</w:t>
            </w:r>
          </w:p>
        </w:tc>
        <w:tc>
          <w:tcPr>
            <w:tcW w:w="112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545.8</w:t>
            </w:r>
          </w:p>
        </w:tc>
        <w:tc>
          <w:tcPr>
            <w:tcW w:w="300" w:type="dxa"/>
            <w:vAlign w:val="bottom"/>
            <w:shd w:val="clear" w:color="auto" w:fill="E4E4E4"/>
          </w:tcPr>
          <w:p>
            <w:pPr>
              <w:spacing w:after="0"/>
              <w:rPr>
                <w:sz w:val="20"/>
                <w:szCs w:val="20"/>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20"/>
                <w:szCs w:val="20"/>
                <w:color w:val="1E1E1E"/>
              </w:rPr>
              <w:t>Net income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1E1E1E"/>
              </w:rPr>
              <w:t>27.9</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1E1E1E"/>
              </w:rPr>
              <w:t>89.1</w:t>
            </w:r>
          </w:p>
        </w:tc>
        <w:tc>
          <w:tcPr>
            <w:tcW w:w="300" w:type="dxa"/>
            <w:vAlign w:val="bottom"/>
          </w:tcPr>
          <w:p>
            <w:pPr>
              <w:spacing w:after="0"/>
              <w:rPr>
                <w:sz w:val="20"/>
                <w:szCs w:val="20"/>
                <w:color w:val="auto"/>
              </w:rPr>
            </w:pPr>
          </w:p>
        </w:tc>
      </w:tr>
      <w:tr>
        <w:trPr>
          <w:trHeight w:val="230"/>
        </w:trPr>
        <w:tc>
          <w:tcPr>
            <w:tcW w:w="5380" w:type="dxa"/>
            <w:vAlign w:val="bottom"/>
            <w:shd w:val="clear" w:color="auto" w:fill="E4E4E4"/>
          </w:tcPr>
          <w:p>
            <w:pPr>
              <w:spacing w:after="0"/>
              <w:rPr>
                <w:sz w:val="20"/>
                <w:szCs w:val="20"/>
                <w:color w:val="auto"/>
              </w:rPr>
            </w:pPr>
            <w:r>
              <w:rPr>
                <w:rFonts w:ascii="Arial" w:cs="Arial" w:eastAsia="Arial" w:hAnsi="Arial"/>
                <w:sz w:val="20"/>
                <w:szCs w:val="20"/>
                <w:color w:val="1E1E1E"/>
              </w:rPr>
              <w:t>Adjusted net income (Non-GAAP)</w:t>
            </w:r>
          </w:p>
        </w:tc>
        <w:tc>
          <w:tcPr>
            <w:tcW w:w="14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02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32.3</w:t>
            </w:r>
          </w:p>
        </w:tc>
        <w:tc>
          <w:tcPr>
            <w:tcW w:w="340" w:type="dxa"/>
            <w:vAlign w:val="bottom"/>
            <w:shd w:val="clear" w:color="auto" w:fill="E4E4E4"/>
          </w:tcPr>
          <w:p>
            <w:pPr>
              <w:spacing w:after="0"/>
              <w:rPr>
                <w:sz w:val="20"/>
                <w:szCs w:val="20"/>
                <w:color w:val="auto"/>
              </w:rPr>
            </w:pPr>
          </w:p>
        </w:tc>
        <w:tc>
          <w:tcPr>
            <w:tcW w:w="180" w:type="dxa"/>
            <w:vAlign w:val="bottom"/>
            <w:shd w:val="clear" w:color="auto" w:fill="E4E4E4"/>
          </w:tcPr>
          <w:p>
            <w:pPr>
              <w:spacing w:after="0"/>
              <w:rPr>
                <w:sz w:val="20"/>
                <w:szCs w:val="20"/>
                <w:color w:val="auto"/>
              </w:rPr>
            </w:pPr>
          </w:p>
        </w:tc>
        <w:tc>
          <w:tcPr>
            <w:tcW w:w="112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42.5</w:t>
            </w:r>
          </w:p>
        </w:tc>
        <w:tc>
          <w:tcPr>
            <w:tcW w:w="300" w:type="dxa"/>
            <w:vAlign w:val="bottom"/>
            <w:shd w:val="clear" w:color="auto" w:fill="E4E4E4"/>
          </w:tcPr>
          <w:p>
            <w:pPr>
              <w:spacing w:after="0"/>
              <w:rPr>
                <w:sz w:val="20"/>
                <w:szCs w:val="20"/>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20"/>
                <w:szCs w:val="20"/>
                <w:color w:val="1E1E1E"/>
              </w:rPr>
              <w:t>Adjusted EBITDA (Non-GAAP)</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1E1E1E"/>
              </w:rPr>
              <w:t>55.9</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1E1E1E"/>
              </w:rPr>
              <w:t>73.8</w:t>
            </w:r>
          </w:p>
        </w:tc>
        <w:tc>
          <w:tcPr>
            <w:tcW w:w="300" w:type="dxa"/>
            <w:vAlign w:val="bottom"/>
          </w:tcPr>
          <w:p>
            <w:pPr>
              <w:spacing w:after="0"/>
              <w:rPr>
                <w:sz w:val="20"/>
                <w:szCs w:val="20"/>
                <w:color w:val="auto"/>
              </w:rPr>
            </w:pPr>
          </w:p>
        </w:tc>
      </w:tr>
      <w:tr>
        <w:trPr>
          <w:trHeight w:val="230"/>
        </w:trPr>
        <w:tc>
          <w:tcPr>
            <w:tcW w:w="538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020" w:type="dxa"/>
            <w:vAlign w:val="bottom"/>
            <w:shd w:val="clear" w:color="auto" w:fill="E4E4E4"/>
          </w:tcPr>
          <w:p>
            <w:pPr>
              <w:spacing w:after="0"/>
              <w:rPr>
                <w:sz w:val="20"/>
                <w:szCs w:val="20"/>
                <w:color w:val="auto"/>
              </w:rPr>
            </w:pPr>
          </w:p>
        </w:tc>
        <w:tc>
          <w:tcPr>
            <w:tcW w:w="340" w:type="dxa"/>
            <w:vAlign w:val="bottom"/>
            <w:shd w:val="clear" w:color="auto" w:fill="E4E4E4"/>
          </w:tcPr>
          <w:p>
            <w:pPr>
              <w:spacing w:after="0"/>
              <w:rPr>
                <w:sz w:val="20"/>
                <w:szCs w:val="20"/>
                <w:color w:val="auto"/>
              </w:rPr>
            </w:pPr>
          </w:p>
        </w:tc>
        <w:tc>
          <w:tcPr>
            <w:tcW w:w="180" w:type="dxa"/>
            <w:vAlign w:val="bottom"/>
            <w:shd w:val="clear" w:color="auto" w:fill="E4E4E4"/>
          </w:tcPr>
          <w:p>
            <w:pPr>
              <w:spacing w:after="0"/>
              <w:rPr>
                <w:sz w:val="20"/>
                <w:szCs w:val="20"/>
                <w:color w:val="auto"/>
              </w:rPr>
            </w:pPr>
          </w:p>
        </w:tc>
        <w:tc>
          <w:tcPr>
            <w:tcW w:w="1120" w:type="dxa"/>
            <w:vAlign w:val="bottom"/>
            <w:shd w:val="clear" w:color="auto" w:fill="E4E4E4"/>
          </w:tcPr>
          <w:p>
            <w:pPr>
              <w:spacing w:after="0"/>
              <w:rPr>
                <w:sz w:val="20"/>
                <w:szCs w:val="20"/>
                <w:color w:val="auto"/>
              </w:rPr>
            </w:pPr>
          </w:p>
        </w:tc>
        <w:tc>
          <w:tcPr>
            <w:tcW w:w="300" w:type="dxa"/>
            <w:vAlign w:val="bottom"/>
            <w:shd w:val="clear" w:color="auto" w:fill="E4E4E4"/>
          </w:tcPr>
          <w:p>
            <w:pPr>
              <w:spacing w:after="0"/>
              <w:rPr>
                <w:sz w:val="20"/>
                <w:szCs w:val="20"/>
                <w:color w:val="auto"/>
              </w:rPr>
            </w:pPr>
          </w:p>
        </w:tc>
      </w:tr>
      <w:tr>
        <w:trPr>
          <w:trHeight w:val="228"/>
        </w:trPr>
        <w:tc>
          <w:tcPr>
            <w:tcW w:w="5380" w:type="dxa"/>
            <w:vAlign w:val="bottom"/>
          </w:tcPr>
          <w:p>
            <w:pPr>
              <w:spacing w:after="0" w:line="228" w:lineRule="exact"/>
              <w:rPr>
                <w:sz w:val="20"/>
                <w:szCs w:val="20"/>
                <w:color w:val="auto"/>
              </w:rPr>
            </w:pPr>
            <w:r>
              <w:rPr>
                <w:rFonts w:ascii="Arial" w:cs="Arial" w:eastAsia="Arial" w:hAnsi="Arial"/>
                <w:sz w:val="20"/>
                <w:szCs w:val="20"/>
                <w:color w:val="1E1E1E"/>
              </w:rPr>
              <w:t>Per diluted share: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5380" w:type="dxa"/>
            <w:vAlign w:val="bottom"/>
            <w:shd w:val="clear" w:color="auto" w:fill="E4E4E4"/>
          </w:tcPr>
          <w:p>
            <w:pPr>
              <w:spacing w:after="0"/>
              <w:rPr>
                <w:sz w:val="20"/>
                <w:szCs w:val="20"/>
                <w:color w:val="auto"/>
              </w:rPr>
            </w:pPr>
            <w:r>
              <w:rPr>
                <w:rFonts w:ascii="Arial" w:cs="Arial" w:eastAsia="Arial" w:hAnsi="Arial"/>
                <w:sz w:val="20"/>
                <w:szCs w:val="20"/>
                <w:color w:val="1E1E1E"/>
              </w:rPr>
              <w:t>Net income</w:t>
            </w:r>
          </w:p>
        </w:tc>
        <w:tc>
          <w:tcPr>
            <w:tcW w:w="30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0.43</w:t>
            </w:r>
          </w:p>
        </w:tc>
        <w:tc>
          <w:tcPr>
            <w:tcW w:w="340" w:type="dxa"/>
            <w:vAlign w:val="bottom"/>
            <w:shd w:val="clear" w:color="auto" w:fill="E4E4E4"/>
          </w:tcPr>
          <w:p>
            <w:pPr>
              <w:spacing w:after="0"/>
              <w:rPr>
                <w:sz w:val="20"/>
                <w:szCs w:val="20"/>
                <w:color w:val="auto"/>
              </w:rPr>
            </w:pPr>
          </w:p>
        </w:tc>
        <w:tc>
          <w:tcPr>
            <w:tcW w:w="180" w:type="dxa"/>
            <w:vAlign w:val="bottom"/>
            <w:shd w:val="clear" w:color="auto" w:fill="E4E4E4"/>
          </w:tcPr>
          <w:p>
            <w:pPr>
              <w:spacing w:after="0"/>
              <w:rPr>
                <w:sz w:val="20"/>
                <w:szCs w:val="20"/>
                <w:color w:val="auto"/>
              </w:rPr>
            </w:pPr>
            <w:r>
              <w:rPr>
                <w:rFonts w:ascii="Arial" w:cs="Arial" w:eastAsia="Arial" w:hAnsi="Arial"/>
                <w:sz w:val="20"/>
                <w:szCs w:val="20"/>
                <w:color w:val="1E1E1E"/>
              </w:rPr>
              <w:t>$</w:t>
            </w:r>
          </w:p>
        </w:tc>
        <w:tc>
          <w:tcPr>
            <w:tcW w:w="112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1.33</w:t>
            </w:r>
          </w:p>
        </w:tc>
        <w:tc>
          <w:tcPr>
            <w:tcW w:w="300" w:type="dxa"/>
            <w:vAlign w:val="bottom"/>
            <w:shd w:val="clear" w:color="auto" w:fill="E4E4E4"/>
          </w:tcPr>
          <w:p>
            <w:pPr>
              <w:spacing w:after="0"/>
              <w:rPr>
                <w:sz w:val="20"/>
                <w:szCs w:val="20"/>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20"/>
                <w:szCs w:val="20"/>
                <w:color w:val="1E1E1E"/>
              </w:rPr>
              <w:t>Adjusted net income (Non-GAAP)</w:t>
            </w:r>
          </w:p>
        </w:tc>
        <w:tc>
          <w:tcPr>
            <w:tcW w:w="300" w:type="dxa"/>
            <w:vAlign w:val="bottom"/>
            <w:gridSpan w:val="2"/>
          </w:tcPr>
          <w:p>
            <w:pPr>
              <w:jc w:val="right"/>
              <w:spacing w:after="0"/>
              <w:rPr>
                <w:sz w:val="20"/>
                <w:szCs w:val="20"/>
                <w:color w:val="auto"/>
              </w:rPr>
            </w:pPr>
            <w:r>
              <w:rPr>
                <w:rFonts w:ascii="Arial" w:cs="Arial" w:eastAsia="Arial" w:hAnsi="Arial"/>
                <w:sz w:val="20"/>
                <w:szCs w:val="20"/>
                <w:color w:val="1E1E1E"/>
              </w:rPr>
              <w:t>$</w:t>
            </w:r>
          </w:p>
        </w:tc>
        <w:tc>
          <w:tcPr>
            <w:tcW w:w="1020" w:type="dxa"/>
            <w:vAlign w:val="bottom"/>
          </w:tcPr>
          <w:p>
            <w:pPr>
              <w:jc w:val="right"/>
              <w:spacing w:after="0"/>
              <w:rPr>
                <w:sz w:val="20"/>
                <w:szCs w:val="20"/>
                <w:color w:val="auto"/>
              </w:rPr>
            </w:pPr>
            <w:r>
              <w:rPr>
                <w:rFonts w:ascii="Arial" w:cs="Arial" w:eastAsia="Arial" w:hAnsi="Arial"/>
                <w:sz w:val="20"/>
                <w:szCs w:val="20"/>
                <w:color w:val="1E1E1E"/>
              </w:rPr>
              <w:t>0.50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20"/>
                <w:szCs w:val="20"/>
                <w:color w:val="1E1E1E"/>
              </w:rPr>
              <w:t>$</w:t>
            </w:r>
          </w:p>
        </w:tc>
        <w:tc>
          <w:tcPr>
            <w:tcW w:w="1120" w:type="dxa"/>
            <w:vAlign w:val="bottom"/>
          </w:tcPr>
          <w:p>
            <w:pPr>
              <w:jc w:val="right"/>
              <w:spacing w:after="0"/>
              <w:rPr>
                <w:sz w:val="20"/>
                <w:szCs w:val="20"/>
                <w:color w:val="auto"/>
              </w:rPr>
            </w:pPr>
            <w:r>
              <w:rPr>
                <w:rFonts w:ascii="Arial" w:cs="Arial" w:eastAsia="Arial" w:hAnsi="Arial"/>
                <w:sz w:val="20"/>
                <w:szCs w:val="20"/>
                <w:color w:val="1E1E1E"/>
              </w:rPr>
              <w:t>0.63</w:t>
            </w:r>
          </w:p>
        </w:tc>
        <w:tc>
          <w:tcPr>
            <w:tcW w:w="300" w:type="dxa"/>
            <w:vAlign w:val="bottom"/>
          </w:tcPr>
          <w:p>
            <w:pPr>
              <w:spacing w:after="0"/>
              <w:rPr>
                <w:sz w:val="20"/>
                <w:szCs w:val="20"/>
                <w:color w:val="auto"/>
              </w:rPr>
            </w:pPr>
          </w:p>
        </w:tc>
      </w:tr>
      <w:tr>
        <w:trPr>
          <w:trHeight w:val="230"/>
        </w:trPr>
        <w:tc>
          <w:tcPr>
            <w:tcW w:w="538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020" w:type="dxa"/>
            <w:vAlign w:val="bottom"/>
            <w:shd w:val="clear" w:color="auto" w:fill="E4E4E4"/>
          </w:tcPr>
          <w:p>
            <w:pPr>
              <w:spacing w:after="0"/>
              <w:rPr>
                <w:sz w:val="20"/>
                <w:szCs w:val="20"/>
                <w:color w:val="auto"/>
              </w:rPr>
            </w:pPr>
          </w:p>
        </w:tc>
        <w:tc>
          <w:tcPr>
            <w:tcW w:w="340" w:type="dxa"/>
            <w:vAlign w:val="bottom"/>
            <w:shd w:val="clear" w:color="auto" w:fill="E4E4E4"/>
          </w:tcPr>
          <w:p>
            <w:pPr>
              <w:spacing w:after="0"/>
              <w:rPr>
                <w:sz w:val="20"/>
                <w:szCs w:val="20"/>
                <w:color w:val="auto"/>
              </w:rPr>
            </w:pPr>
          </w:p>
        </w:tc>
        <w:tc>
          <w:tcPr>
            <w:tcW w:w="180" w:type="dxa"/>
            <w:vAlign w:val="bottom"/>
            <w:shd w:val="clear" w:color="auto" w:fill="E4E4E4"/>
          </w:tcPr>
          <w:p>
            <w:pPr>
              <w:spacing w:after="0"/>
              <w:rPr>
                <w:sz w:val="20"/>
                <w:szCs w:val="20"/>
                <w:color w:val="auto"/>
              </w:rPr>
            </w:pPr>
          </w:p>
        </w:tc>
        <w:tc>
          <w:tcPr>
            <w:tcW w:w="1120" w:type="dxa"/>
            <w:vAlign w:val="bottom"/>
            <w:shd w:val="clear" w:color="auto" w:fill="E4E4E4"/>
          </w:tcPr>
          <w:p>
            <w:pPr>
              <w:spacing w:after="0"/>
              <w:rPr>
                <w:sz w:val="20"/>
                <w:szCs w:val="20"/>
                <w:color w:val="auto"/>
              </w:rPr>
            </w:pPr>
          </w:p>
        </w:tc>
        <w:tc>
          <w:tcPr>
            <w:tcW w:w="300" w:type="dxa"/>
            <w:vAlign w:val="bottom"/>
            <w:shd w:val="clear" w:color="auto" w:fill="E4E4E4"/>
          </w:tcPr>
          <w:p>
            <w:pPr>
              <w:spacing w:after="0"/>
              <w:rPr>
                <w:sz w:val="20"/>
                <w:szCs w:val="20"/>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20"/>
                <w:szCs w:val="20"/>
                <w:color w:val="1E1E1E"/>
              </w:rPr>
              <w:t>As a percentage of sales: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30"/>
        </w:trPr>
        <w:tc>
          <w:tcPr>
            <w:tcW w:w="5380" w:type="dxa"/>
            <w:vAlign w:val="bottom"/>
            <w:shd w:val="clear" w:color="auto" w:fill="E4E4E4"/>
          </w:tcPr>
          <w:p>
            <w:pPr>
              <w:spacing w:after="0"/>
              <w:rPr>
                <w:sz w:val="20"/>
                <w:szCs w:val="20"/>
                <w:color w:val="auto"/>
              </w:rPr>
            </w:pPr>
            <w:r>
              <w:rPr>
                <w:rFonts w:ascii="Arial" w:cs="Arial" w:eastAsia="Arial" w:hAnsi="Arial"/>
                <w:sz w:val="20"/>
                <w:szCs w:val="20"/>
                <w:color w:val="1E1E1E"/>
              </w:rPr>
              <w:t>Gross margin</w:t>
            </w:r>
          </w:p>
        </w:tc>
        <w:tc>
          <w:tcPr>
            <w:tcW w:w="14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360" w:type="dxa"/>
            <w:vAlign w:val="bottom"/>
            <w:gridSpan w:val="2"/>
            <w:shd w:val="clear" w:color="auto" w:fill="E4E4E4"/>
          </w:tcPr>
          <w:p>
            <w:pPr>
              <w:jc w:val="right"/>
              <w:ind w:right="100"/>
              <w:spacing w:after="0"/>
              <w:rPr>
                <w:sz w:val="20"/>
                <w:szCs w:val="20"/>
                <w:color w:val="auto"/>
              </w:rPr>
            </w:pPr>
            <w:r>
              <w:rPr>
                <w:rFonts w:ascii="Arial" w:cs="Arial" w:eastAsia="Arial" w:hAnsi="Arial"/>
                <w:sz w:val="20"/>
                <w:szCs w:val="20"/>
                <w:color w:val="1E1E1E"/>
              </w:rPr>
              <w:t>48.4%</w:t>
            </w:r>
          </w:p>
        </w:tc>
        <w:tc>
          <w:tcPr>
            <w:tcW w:w="180" w:type="dxa"/>
            <w:vAlign w:val="bottom"/>
            <w:shd w:val="clear" w:color="auto" w:fill="E4E4E4"/>
          </w:tcPr>
          <w:p>
            <w:pPr>
              <w:spacing w:after="0"/>
              <w:rPr>
                <w:sz w:val="20"/>
                <w:szCs w:val="20"/>
                <w:color w:val="auto"/>
              </w:rPr>
            </w:pPr>
          </w:p>
        </w:tc>
        <w:tc>
          <w:tcPr>
            <w:tcW w:w="1420" w:type="dxa"/>
            <w:vAlign w:val="bottom"/>
            <w:gridSpan w:val="2"/>
            <w:shd w:val="clear" w:color="auto" w:fill="E4E4E4"/>
          </w:tcPr>
          <w:p>
            <w:pPr>
              <w:jc w:val="right"/>
              <w:ind w:right="60"/>
              <w:spacing w:after="0"/>
              <w:rPr>
                <w:sz w:val="20"/>
                <w:szCs w:val="20"/>
                <w:color w:val="auto"/>
              </w:rPr>
            </w:pPr>
            <w:r>
              <w:rPr>
                <w:rFonts w:ascii="Arial" w:cs="Arial" w:eastAsia="Arial" w:hAnsi="Arial"/>
                <w:sz w:val="20"/>
                <w:szCs w:val="20"/>
                <w:color w:val="1E1E1E"/>
              </w:rPr>
              <w:t>49.9%</w:t>
            </w:r>
          </w:p>
        </w:tc>
      </w:tr>
      <w:tr>
        <w:trPr>
          <w:trHeight w:val="228"/>
        </w:trPr>
        <w:tc>
          <w:tcPr>
            <w:tcW w:w="5380" w:type="dxa"/>
            <w:vAlign w:val="bottom"/>
          </w:tcPr>
          <w:p>
            <w:pPr>
              <w:spacing w:after="0" w:line="228" w:lineRule="exact"/>
              <w:rPr>
                <w:sz w:val="20"/>
                <w:szCs w:val="20"/>
                <w:color w:val="auto"/>
              </w:rPr>
            </w:pPr>
            <w:r>
              <w:rPr>
                <w:rFonts w:ascii="Arial" w:cs="Arial" w:eastAsia="Arial" w:hAnsi="Arial"/>
                <w:sz w:val="20"/>
                <w:szCs w:val="20"/>
                <w:color w:val="1E1E1E"/>
              </w:rPr>
              <w:t>SG&amp;A expenses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1E1E1E"/>
              </w:rPr>
              <w:t>37.7%</w:t>
            </w:r>
          </w:p>
        </w:tc>
        <w:tc>
          <w:tcPr>
            <w:tcW w:w="180" w:type="dxa"/>
            <w:vAlign w:val="bottom"/>
          </w:tcPr>
          <w:p>
            <w:pPr>
              <w:spacing w:after="0"/>
              <w:rPr>
                <w:sz w:val="19"/>
                <w:szCs w:val="19"/>
                <w:color w:val="auto"/>
              </w:rPr>
            </w:pPr>
          </w:p>
        </w:tc>
        <w:tc>
          <w:tcPr>
            <w:tcW w:w="1420" w:type="dxa"/>
            <w:vAlign w:val="bottom"/>
            <w:gridSpan w:val="2"/>
          </w:tcPr>
          <w:p>
            <w:pPr>
              <w:jc w:val="right"/>
              <w:ind w:right="60"/>
              <w:spacing w:after="0" w:line="228" w:lineRule="exact"/>
              <w:rPr>
                <w:sz w:val="20"/>
                <w:szCs w:val="20"/>
                <w:color w:val="auto"/>
              </w:rPr>
            </w:pPr>
            <w:r>
              <w:rPr>
                <w:rFonts w:ascii="Arial" w:cs="Arial" w:eastAsia="Arial" w:hAnsi="Arial"/>
                <w:sz w:val="20"/>
                <w:szCs w:val="20"/>
                <w:color w:val="1E1E1E"/>
              </w:rPr>
              <w:t>36.4%</w:t>
            </w:r>
          </w:p>
        </w:tc>
      </w:tr>
      <w:tr>
        <w:trPr>
          <w:trHeight w:val="230"/>
        </w:trPr>
        <w:tc>
          <w:tcPr>
            <w:tcW w:w="5380" w:type="dxa"/>
            <w:vAlign w:val="bottom"/>
            <w:shd w:val="clear" w:color="auto" w:fill="E4E4E4"/>
          </w:tcPr>
          <w:p>
            <w:pPr>
              <w:spacing w:after="0"/>
              <w:rPr>
                <w:sz w:val="20"/>
                <w:szCs w:val="20"/>
                <w:color w:val="auto"/>
              </w:rPr>
            </w:pPr>
            <w:r>
              <w:rPr>
                <w:rFonts w:ascii="Arial" w:cs="Arial" w:eastAsia="Arial" w:hAnsi="Arial"/>
                <w:sz w:val="20"/>
                <w:szCs w:val="20"/>
                <w:color w:val="1E1E1E"/>
              </w:rPr>
              <w:t>Operating margin</w:t>
            </w:r>
          </w:p>
        </w:tc>
        <w:tc>
          <w:tcPr>
            <w:tcW w:w="14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360" w:type="dxa"/>
            <w:vAlign w:val="bottom"/>
            <w:gridSpan w:val="2"/>
            <w:shd w:val="clear" w:color="auto" w:fill="E4E4E4"/>
          </w:tcPr>
          <w:p>
            <w:pPr>
              <w:jc w:val="right"/>
              <w:ind w:right="100"/>
              <w:spacing w:after="0"/>
              <w:rPr>
                <w:sz w:val="20"/>
                <w:szCs w:val="20"/>
                <w:color w:val="auto"/>
              </w:rPr>
            </w:pPr>
            <w:r>
              <w:rPr>
                <w:rFonts w:ascii="Arial" w:cs="Arial" w:eastAsia="Arial" w:hAnsi="Arial"/>
                <w:sz w:val="20"/>
                <w:szCs w:val="20"/>
                <w:color w:val="1E1E1E"/>
              </w:rPr>
              <w:t>8.0%</w:t>
            </w:r>
          </w:p>
        </w:tc>
        <w:tc>
          <w:tcPr>
            <w:tcW w:w="180" w:type="dxa"/>
            <w:vAlign w:val="bottom"/>
            <w:shd w:val="clear" w:color="auto" w:fill="E4E4E4"/>
          </w:tcPr>
          <w:p>
            <w:pPr>
              <w:spacing w:after="0"/>
              <w:rPr>
                <w:sz w:val="20"/>
                <w:szCs w:val="20"/>
                <w:color w:val="auto"/>
              </w:rPr>
            </w:pPr>
          </w:p>
        </w:tc>
        <w:tc>
          <w:tcPr>
            <w:tcW w:w="1420" w:type="dxa"/>
            <w:vAlign w:val="bottom"/>
            <w:gridSpan w:val="2"/>
            <w:shd w:val="clear" w:color="auto" w:fill="E4E4E4"/>
          </w:tcPr>
          <w:p>
            <w:pPr>
              <w:jc w:val="right"/>
              <w:ind w:right="60"/>
              <w:spacing w:after="0"/>
              <w:rPr>
                <w:sz w:val="20"/>
                <w:szCs w:val="20"/>
                <w:color w:val="auto"/>
              </w:rPr>
            </w:pPr>
            <w:r>
              <w:rPr>
                <w:rFonts w:ascii="Arial" w:cs="Arial" w:eastAsia="Arial" w:hAnsi="Arial"/>
                <w:sz w:val="20"/>
                <w:szCs w:val="20"/>
                <w:color w:val="1E1E1E"/>
              </w:rPr>
              <w:t>10.7%</w:t>
            </w:r>
          </w:p>
        </w:tc>
      </w:tr>
      <w:tr>
        <w:trPr>
          <w:trHeight w:val="230"/>
        </w:trPr>
        <w:tc>
          <w:tcPr>
            <w:tcW w:w="5380" w:type="dxa"/>
            <w:vAlign w:val="bottom"/>
          </w:tcPr>
          <w:p>
            <w:pPr>
              <w:spacing w:after="0"/>
              <w:rPr>
                <w:sz w:val="20"/>
                <w:szCs w:val="20"/>
                <w:color w:val="auto"/>
              </w:rPr>
            </w:pPr>
            <w:r>
              <w:rPr>
                <w:rFonts w:ascii="Arial" w:cs="Arial" w:eastAsia="Arial" w:hAnsi="Arial"/>
                <w:sz w:val="20"/>
                <w:szCs w:val="20"/>
                <w:color w:val="1E1E1E"/>
              </w:rPr>
              <w:t>Adjusted EBITDA margin (Non-GAAP)</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20"/>
                <w:szCs w:val="20"/>
                <w:color w:val="1E1E1E"/>
              </w:rPr>
              <w:t>10.7%</w:t>
            </w:r>
          </w:p>
        </w:tc>
        <w:tc>
          <w:tcPr>
            <w:tcW w:w="18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20"/>
                <w:szCs w:val="20"/>
                <w:color w:val="1E1E1E"/>
              </w:rPr>
              <w:t>13.5%</w:t>
            </w:r>
          </w:p>
        </w:tc>
      </w:tr>
      <w:tr>
        <w:trPr>
          <w:trHeight w:val="230"/>
        </w:trPr>
        <w:tc>
          <w:tcPr>
            <w:tcW w:w="538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020" w:type="dxa"/>
            <w:vAlign w:val="bottom"/>
            <w:shd w:val="clear" w:color="auto" w:fill="E4E4E4"/>
          </w:tcPr>
          <w:p>
            <w:pPr>
              <w:spacing w:after="0"/>
              <w:rPr>
                <w:sz w:val="20"/>
                <w:szCs w:val="20"/>
                <w:color w:val="auto"/>
              </w:rPr>
            </w:pPr>
          </w:p>
        </w:tc>
        <w:tc>
          <w:tcPr>
            <w:tcW w:w="340" w:type="dxa"/>
            <w:vAlign w:val="bottom"/>
            <w:shd w:val="clear" w:color="auto" w:fill="E4E4E4"/>
          </w:tcPr>
          <w:p>
            <w:pPr>
              <w:spacing w:after="0"/>
              <w:rPr>
                <w:sz w:val="20"/>
                <w:szCs w:val="20"/>
                <w:color w:val="auto"/>
              </w:rPr>
            </w:pPr>
          </w:p>
        </w:tc>
        <w:tc>
          <w:tcPr>
            <w:tcW w:w="180" w:type="dxa"/>
            <w:vAlign w:val="bottom"/>
            <w:shd w:val="clear" w:color="auto" w:fill="E4E4E4"/>
          </w:tcPr>
          <w:p>
            <w:pPr>
              <w:spacing w:after="0"/>
              <w:rPr>
                <w:sz w:val="20"/>
                <w:szCs w:val="20"/>
                <w:color w:val="auto"/>
              </w:rPr>
            </w:pPr>
          </w:p>
        </w:tc>
        <w:tc>
          <w:tcPr>
            <w:tcW w:w="1120" w:type="dxa"/>
            <w:vAlign w:val="bottom"/>
            <w:shd w:val="clear" w:color="auto" w:fill="E4E4E4"/>
          </w:tcPr>
          <w:p>
            <w:pPr>
              <w:spacing w:after="0"/>
              <w:rPr>
                <w:sz w:val="20"/>
                <w:szCs w:val="20"/>
                <w:color w:val="auto"/>
              </w:rPr>
            </w:pPr>
          </w:p>
        </w:tc>
        <w:tc>
          <w:tcPr>
            <w:tcW w:w="300" w:type="dxa"/>
            <w:vAlign w:val="bottom"/>
            <w:shd w:val="clear" w:color="auto" w:fill="E4E4E4"/>
          </w:tcPr>
          <w:p>
            <w:pPr>
              <w:spacing w:after="0"/>
              <w:rPr>
                <w:sz w:val="20"/>
                <w:szCs w:val="20"/>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20"/>
                <w:szCs w:val="20"/>
                <w:color w:val="1E1E1E"/>
              </w:rPr>
              <w:t>Liquidity:</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28"/>
        </w:trPr>
        <w:tc>
          <w:tcPr>
            <w:tcW w:w="5380" w:type="dxa"/>
            <w:vAlign w:val="bottom"/>
            <w:shd w:val="clear" w:color="auto" w:fill="E4E4E4"/>
          </w:tcPr>
          <w:p>
            <w:pPr>
              <w:spacing w:after="0" w:line="228" w:lineRule="exact"/>
              <w:rPr>
                <w:sz w:val="20"/>
                <w:szCs w:val="20"/>
                <w:color w:val="auto"/>
              </w:rPr>
            </w:pPr>
            <w:r>
              <w:rPr>
                <w:rFonts w:ascii="Arial" w:cs="Arial" w:eastAsia="Arial" w:hAnsi="Arial"/>
                <w:sz w:val="20"/>
                <w:szCs w:val="20"/>
                <w:color w:val="1E1E1E"/>
              </w:rPr>
              <w:t>Cash flow from operating activities</w:t>
            </w:r>
          </w:p>
        </w:tc>
        <w:tc>
          <w:tcPr>
            <w:tcW w:w="300" w:type="dxa"/>
            <w:vAlign w:val="bottom"/>
            <w:gridSpan w:val="2"/>
            <w:shd w:val="clear" w:color="auto" w:fill="E4E4E4"/>
          </w:tcPr>
          <w:p>
            <w:pPr>
              <w:jc w:val="right"/>
              <w:spacing w:after="0" w:line="228" w:lineRule="exact"/>
              <w:rPr>
                <w:sz w:val="20"/>
                <w:szCs w:val="20"/>
                <w:color w:val="auto"/>
              </w:rPr>
            </w:pPr>
            <w:r>
              <w:rPr>
                <w:rFonts w:ascii="Arial" w:cs="Arial" w:eastAsia="Arial" w:hAnsi="Arial"/>
                <w:sz w:val="20"/>
                <w:szCs w:val="20"/>
                <w:color w:val="1E1E1E"/>
              </w:rPr>
              <w:t>$</w:t>
            </w:r>
          </w:p>
        </w:tc>
        <w:tc>
          <w:tcPr>
            <w:tcW w:w="1020" w:type="dxa"/>
            <w:vAlign w:val="bottom"/>
            <w:shd w:val="clear" w:color="auto" w:fill="E4E4E4"/>
          </w:tcPr>
          <w:p>
            <w:pPr>
              <w:jc w:val="right"/>
              <w:spacing w:after="0" w:line="228" w:lineRule="exact"/>
              <w:rPr>
                <w:sz w:val="20"/>
                <w:szCs w:val="20"/>
                <w:color w:val="auto"/>
              </w:rPr>
            </w:pPr>
            <w:r>
              <w:rPr>
                <w:rFonts w:ascii="Arial" w:cs="Arial" w:eastAsia="Arial" w:hAnsi="Arial"/>
                <w:sz w:val="20"/>
                <w:szCs w:val="20"/>
                <w:color w:val="1E1E1E"/>
              </w:rPr>
              <w:t>49.6</w:t>
            </w:r>
          </w:p>
        </w:tc>
        <w:tc>
          <w:tcPr>
            <w:tcW w:w="34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line="228" w:lineRule="exact"/>
              <w:rPr>
                <w:sz w:val="20"/>
                <w:szCs w:val="20"/>
                <w:color w:val="auto"/>
              </w:rPr>
            </w:pPr>
            <w:r>
              <w:rPr>
                <w:rFonts w:ascii="Arial" w:cs="Arial" w:eastAsia="Arial" w:hAnsi="Arial"/>
                <w:sz w:val="20"/>
                <w:szCs w:val="20"/>
                <w:color w:val="1E1E1E"/>
              </w:rPr>
              <w:t>$</w:t>
            </w:r>
          </w:p>
        </w:tc>
        <w:tc>
          <w:tcPr>
            <w:tcW w:w="1120" w:type="dxa"/>
            <w:vAlign w:val="bottom"/>
            <w:shd w:val="clear" w:color="auto" w:fill="E4E4E4"/>
          </w:tcPr>
          <w:p>
            <w:pPr>
              <w:jc w:val="right"/>
              <w:spacing w:after="0" w:line="228" w:lineRule="exact"/>
              <w:rPr>
                <w:sz w:val="20"/>
                <w:szCs w:val="20"/>
                <w:color w:val="auto"/>
              </w:rPr>
            </w:pPr>
            <w:r>
              <w:rPr>
                <w:rFonts w:ascii="Arial" w:cs="Arial" w:eastAsia="Arial" w:hAnsi="Arial"/>
                <w:sz w:val="20"/>
                <w:szCs w:val="20"/>
                <w:color w:val="1E1E1E"/>
              </w:rPr>
              <w:t>59.9</w:t>
            </w:r>
          </w:p>
        </w:tc>
        <w:tc>
          <w:tcPr>
            <w:tcW w:w="300" w:type="dxa"/>
            <w:vAlign w:val="bottom"/>
            <w:shd w:val="clear" w:color="auto" w:fill="E4E4E4"/>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20"/>
                <w:szCs w:val="20"/>
                <w:color w:val="1E1E1E"/>
              </w:rPr>
              <w:t>Free cash flow (Non-GAAP)</w:t>
            </w:r>
          </w:p>
        </w:tc>
        <w:tc>
          <w:tcPr>
            <w:tcW w:w="300" w:type="dxa"/>
            <w:vAlign w:val="bottom"/>
            <w:gridSpan w:val="2"/>
          </w:tcPr>
          <w:p>
            <w:pPr>
              <w:jc w:val="right"/>
              <w:spacing w:after="0"/>
              <w:rPr>
                <w:sz w:val="20"/>
                <w:szCs w:val="20"/>
                <w:color w:val="auto"/>
              </w:rPr>
            </w:pPr>
            <w:r>
              <w:rPr>
                <w:rFonts w:ascii="Arial" w:cs="Arial" w:eastAsia="Arial" w:hAnsi="Arial"/>
                <w:sz w:val="20"/>
                <w:szCs w:val="20"/>
                <w:color w:val="1E1E1E"/>
              </w:rPr>
              <w:t>$</w:t>
            </w:r>
          </w:p>
        </w:tc>
        <w:tc>
          <w:tcPr>
            <w:tcW w:w="1020" w:type="dxa"/>
            <w:vAlign w:val="bottom"/>
          </w:tcPr>
          <w:p>
            <w:pPr>
              <w:jc w:val="right"/>
              <w:spacing w:after="0"/>
              <w:rPr>
                <w:sz w:val="20"/>
                <w:szCs w:val="20"/>
                <w:color w:val="auto"/>
              </w:rPr>
            </w:pPr>
            <w:r>
              <w:rPr>
                <w:rFonts w:ascii="Arial" w:cs="Arial" w:eastAsia="Arial" w:hAnsi="Arial"/>
                <w:sz w:val="20"/>
                <w:szCs w:val="20"/>
                <w:color w:val="1E1E1E"/>
              </w:rPr>
              <w:t>32.2</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20"/>
                <w:szCs w:val="20"/>
                <w:color w:val="1E1E1E"/>
              </w:rPr>
              <w:t>$</w:t>
            </w:r>
          </w:p>
        </w:tc>
        <w:tc>
          <w:tcPr>
            <w:tcW w:w="1120" w:type="dxa"/>
            <w:vAlign w:val="bottom"/>
          </w:tcPr>
          <w:p>
            <w:pPr>
              <w:jc w:val="right"/>
              <w:spacing w:after="0"/>
              <w:rPr>
                <w:sz w:val="20"/>
                <w:szCs w:val="20"/>
                <w:color w:val="auto"/>
              </w:rPr>
            </w:pPr>
            <w:r>
              <w:rPr>
                <w:rFonts w:ascii="Arial" w:cs="Arial" w:eastAsia="Arial" w:hAnsi="Arial"/>
                <w:sz w:val="20"/>
                <w:szCs w:val="20"/>
                <w:color w:val="1E1E1E"/>
              </w:rPr>
              <w:t>50.3</w:t>
            </w:r>
          </w:p>
        </w:tc>
        <w:tc>
          <w:tcPr>
            <w:tcW w:w="300" w:type="dxa"/>
            <w:vAlign w:val="bottom"/>
          </w:tcPr>
          <w:p>
            <w:pPr>
              <w:spacing w:after="0"/>
              <w:rPr>
                <w:sz w:val="20"/>
                <w:szCs w:val="20"/>
                <w:color w:val="auto"/>
              </w:rPr>
            </w:pPr>
          </w:p>
        </w:tc>
      </w:tr>
      <w:tr>
        <w:trPr>
          <w:trHeight w:val="233"/>
        </w:trPr>
        <w:tc>
          <w:tcPr>
            <w:tcW w:w="538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020" w:type="dxa"/>
            <w:vAlign w:val="bottom"/>
            <w:shd w:val="clear" w:color="auto" w:fill="E4E4E4"/>
          </w:tcPr>
          <w:p>
            <w:pPr>
              <w:spacing w:after="0"/>
              <w:rPr>
                <w:sz w:val="20"/>
                <w:szCs w:val="20"/>
                <w:color w:val="auto"/>
              </w:rPr>
            </w:pPr>
          </w:p>
        </w:tc>
        <w:tc>
          <w:tcPr>
            <w:tcW w:w="340" w:type="dxa"/>
            <w:vAlign w:val="bottom"/>
            <w:shd w:val="clear" w:color="auto" w:fill="E4E4E4"/>
          </w:tcPr>
          <w:p>
            <w:pPr>
              <w:spacing w:after="0"/>
              <w:rPr>
                <w:sz w:val="20"/>
                <w:szCs w:val="20"/>
                <w:color w:val="auto"/>
              </w:rPr>
            </w:pPr>
          </w:p>
        </w:tc>
        <w:tc>
          <w:tcPr>
            <w:tcW w:w="180" w:type="dxa"/>
            <w:vAlign w:val="bottom"/>
            <w:shd w:val="clear" w:color="auto" w:fill="E4E4E4"/>
          </w:tcPr>
          <w:p>
            <w:pPr>
              <w:spacing w:after="0"/>
              <w:rPr>
                <w:sz w:val="20"/>
                <w:szCs w:val="20"/>
                <w:color w:val="auto"/>
              </w:rPr>
            </w:pPr>
          </w:p>
        </w:tc>
        <w:tc>
          <w:tcPr>
            <w:tcW w:w="1120" w:type="dxa"/>
            <w:vAlign w:val="bottom"/>
            <w:shd w:val="clear" w:color="auto" w:fill="E4E4E4"/>
          </w:tcPr>
          <w:p>
            <w:pPr>
              <w:spacing w:after="0"/>
              <w:rPr>
                <w:sz w:val="20"/>
                <w:szCs w:val="20"/>
                <w:color w:val="auto"/>
              </w:rPr>
            </w:pPr>
          </w:p>
        </w:tc>
        <w:tc>
          <w:tcPr>
            <w:tcW w:w="300" w:type="dxa"/>
            <w:vAlign w:val="bottom"/>
            <w:shd w:val="clear" w:color="auto" w:fill="E4E4E4"/>
          </w:tcPr>
          <w:p>
            <w:pPr>
              <w:spacing w:after="0"/>
              <w:rPr>
                <w:sz w:val="20"/>
                <w:szCs w:val="20"/>
                <w:color w:val="auto"/>
              </w:rPr>
            </w:pPr>
          </w:p>
        </w:tc>
      </w:tr>
    </w:tbl>
    <w:p>
      <w:pPr>
        <w:spacing w:after="0" w:line="218"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color w:val="1E1E1E"/>
        </w:rPr>
        <w:t>Fiscal 2023 proved to be a challenging year and our results fell short of our expectations. Our comparable sales for fiscal year 2023 decreased 4.6%, with comparable sales from our stores down 4.5% and our direct business down 4.8%. Despite the year-over-year decline in sales, fiscal 2023 proved to be the second highest year of sales in the history of our Company, only behind fiscal 2022. We were pleased with our operational discipline which allowed us to maintain a solid gross margin, manage our operating expenses, and generate net income of $0.43 per diluted share and an adjusted EBITDA margin (a non-GAAP measure) of 10.7%.</w:t>
      </w:r>
    </w:p>
    <w:p>
      <w:pPr>
        <w:spacing w:after="0" w:line="167" w:lineRule="exact"/>
        <w:rPr>
          <w:sz w:val="20"/>
          <w:szCs w:val="20"/>
          <w:color w:val="auto"/>
        </w:rPr>
      </w:pPr>
    </w:p>
    <w:p>
      <w:pPr>
        <w:ind w:right="80"/>
        <w:spacing w:after="0" w:line="261" w:lineRule="auto"/>
        <w:rPr>
          <w:sz w:val="20"/>
          <w:szCs w:val="20"/>
          <w:color w:val="auto"/>
        </w:rPr>
      </w:pPr>
      <w:r>
        <w:rPr>
          <w:rFonts w:ascii="Arial" w:cs="Arial" w:eastAsia="Arial" w:hAnsi="Arial"/>
          <w:sz w:val="19"/>
          <w:szCs w:val="19"/>
          <w:color w:val="1E1E1E"/>
        </w:rPr>
        <w:t>Net income for fiscal 2023 of $0.43 per diluted share included a non-recurring pretax charge of $5.7 million recognized in connection with our decision to terminate our frozen retirement plans during fiscal 2023. Given the high interest rates, we saw this as an opportunistic use of excess cash to eliminate these variable liabilities. Net income for fiscal 2022 included a tax benefit of $31.6 million, or $0.47 per diluted shares, attributable to the release of substantially all of the valuation allowance against our deferred tax assets. Assuming a normalized tax rate of 27% for both fiscal years and adjusting for the loss from the retirement plan terminations, asset impairments (gains) and tax benefits or gains, if any, adjusted net income for fiscal 2023, was $0.50 per diluted share as compared to adjusted net income of $0.63 per diluted share for fiscal 2022.</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8"/>
          <w:szCs w:val="18"/>
          <w:color w:val="1E1E1E"/>
        </w:rPr>
        <w:t>We continued to strengthen our financial position in fiscal 2023, as we generated cash flow from operations of $49.6 million and free cash flow of $32.2 million. We used $24.5 million of that free cash flow to repurchase 5.4 million shares of our common stock. We successfully managed our inventory levels, which were down 12.9% as compared to the end of fiscal 2022. We ended fiscal 2023 with cash and investments totaling $ 60.0 million as compared to $52.1 million at January 28, 2023. We had no borrowings under our credit facility during fiscal 2023 and at February 3, 2024 our availability under our credit facility was $69.8 million. As we transition into fiscal 2024, we are focused on our long-term growth initiatives that we announced earlier in the year and are discussed above in Part I, Item 1, Business Strategy. Fiscal 2024 will be a year of investment and learning, but we feel strongly that the investments we are making in marketing, store expansion and digital are necessary to change the growth trajectory of our company and gain greater market share. We have selected creative and media agencies to help us curate and execute our vision and are planning a multi-channel campaign, with a multi-market test launch expected in early summer of 2024. We have also identified lease locations for another 8 DXL stores in addition to the three new stores we opened this year. Building stronger brand awareness is our overarching goal and we believe we need to invest in these initiatives to achieve that goal.</w:t>
      </w:r>
    </w:p>
    <w:p>
      <w:pPr>
        <w:sectPr>
          <w:pgSz w:w="11880" w:h="15480" w:orient="portrait"/>
          <w:cols w:equalWidth="0" w:num="1">
            <w:col w:w="10780"/>
          </w:cols>
          <w:pgMar w:left="540" w:top="658" w:right="56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26</w:t>
      </w:r>
    </w:p>
    <w:p>
      <w:pPr>
        <w:sectPr>
          <w:pgSz w:w="11880" w:h="15480" w:orient="portrait"/>
          <w:cols w:equalWidth="0" w:num="1">
            <w:col w:w="10780"/>
          </w:cols>
          <w:pgMar w:left="540" w:top="658" w:right="560" w:bottom="31"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64"/>
        </w:trPr>
        <w:tc>
          <w:tcPr>
            <w:tcW w:w="3280" w:type="dxa"/>
            <w:vAlign w:val="bottom"/>
          </w:tcPr>
          <w:p>
            <w:pPr>
              <w:spacing w:after="0"/>
              <w:rPr>
                <w:sz w:val="20"/>
                <w:szCs w:val="20"/>
                <w:color w:val="auto"/>
              </w:rPr>
            </w:pPr>
            <w:r>
              <w:rPr>
                <w:rFonts w:ascii="Arial" w:cs="Arial" w:eastAsia="Arial" w:hAnsi="Arial"/>
                <w:sz w:val="20"/>
                <w:szCs w:val="20"/>
                <w:color w:val="1E1E1E"/>
              </w:rPr>
              <w:t>SALES</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452"/>
        </w:trPr>
        <w:tc>
          <w:tcPr>
            <w:tcW w:w="3280" w:type="dxa"/>
            <w:vAlign w:val="bottom"/>
            <w:tcBorders>
              <w:bottom w:val="single" w:sz="8" w:color="1E1E1E"/>
            </w:tcBorders>
          </w:tcPr>
          <w:p>
            <w:pPr>
              <w:spacing w:after="0"/>
              <w:rPr>
                <w:sz w:val="20"/>
                <w:szCs w:val="20"/>
                <w:color w:val="auto"/>
              </w:rPr>
            </w:pPr>
            <w:r>
              <w:rPr>
                <w:rFonts w:ascii="Arial" w:cs="Arial" w:eastAsia="Arial" w:hAnsi="Arial"/>
                <w:sz w:val="16"/>
                <w:szCs w:val="16"/>
                <w:color w:val="1E1E1E"/>
              </w:rPr>
              <w:t>(in thousands)</w:t>
            </w:r>
          </w:p>
        </w:tc>
        <w:tc>
          <w:tcPr>
            <w:tcW w:w="280" w:type="dxa"/>
            <w:vAlign w:val="bottom"/>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1840" w:type="dxa"/>
            <w:vAlign w:val="bottom"/>
            <w:tcBorders>
              <w:bottom w:val="single" w:sz="8" w:color="1E1E1E"/>
            </w:tcBorders>
          </w:tcPr>
          <w:p>
            <w:pPr>
              <w:jc w:val="right"/>
              <w:ind w:right="540"/>
              <w:spacing w:after="0"/>
              <w:rPr>
                <w:sz w:val="20"/>
                <w:szCs w:val="20"/>
                <w:color w:val="auto"/>
              </w:rPr>
            </w:pPr>
            <w:r>
              <w:rPr>
                <w:rFonts w:ascii="Arial" w:cs="Arial" w:eastAsia="Arial" w:hAnsi="Arial"/>
                <w:sz w:val="20"/>
                <w:szCs w:val="20"/>
                <w:color w:val="1E1E1E"/>
              </w:rPr>
              <w:t>Fiscal 2023</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1840" w:type="dxa"/>
            <w:vAlign w:val="bottom"/>
            <w:tcBorders>
              <w:bottom w:val="single" w:sz="8" w:color="1E1E1E"/>
            </w:tcBorders>
          </w:tcPr>
          <w:p>
            <w:pPr>
              <w:jc w:val="right"/>
              <w:ind w:right="540"/>
              <w:spacing w:after="0"/>
              <w:rPr>
                <w:sz w:val="20"/>
                <w:szCs w:val="20"/>
                <w:color w:val="auto"/>
              </w:rPr>
            </w:pPr>
            <w:r>
              <w:rPr>
                <w:rFonts w:ascii="Arial" w:cs="Arial" w:eastAsia="Arial" w:hAnsi="Arial"/>
                <w:sz w:val="20"/>
                <w:szCs w:val="20"/>
                <w:color w:val="1E1E1E"/>
              </w:rPr>
              <w:t>Fiscal 2022</w:t>
            </w:r>
          </w:p>
        </w:tc>
        <w:tc>
          <w:tcPr>
            <w:tcW w:w="1340" w:type="dxa"/>
            <w:vAlign w:val="bottom"/>
          </w:tcPr>
          <w:p>
            <w:pPr>
              <w:spacing w:after="0"/>
              <w:rPr>
                <w:sz w:val="24"/>
                <w:szCs w:val="24"/>
                <w:color w:val="auto"/>
              </w:rPr>
            </w:pPr>
          </w:p>
        </w:tc>
      </w:tr>
      <w:tr>
        <w:trPr>
          <w:trHeight w:val="221"/>
        </w:trPr>
        <w:tc>
          <w:tcPr>
            <w:tcW w:w="3280" w:type="dxa"/>
            <w:vAlign w:val="bottom"/>
          </w:tcPr>
          <w:p>
            <w:pPr>
              <w:ind w:left="100"/>
              <w:spacing w:after="0" w:line="221" w:lineRule="exact"/>
              <w:rPr>
                <w:sz w:val="20"/>
                <w:szCs w:val="20"/>
                <w:color w:val="auto"/>
              </w:rPr>
            </w:pPr>
            <w:r>
              <w:rPr>
                <w:rFonts w:ascii="Arial" w:cs="Arial" w:eastAsia="Arial" w:hAnsi="Arial"/>
                <w:sz w:val="20"/>
                <w:szCs w:val="20"/>
                <w:color w:val="1E1E1E"/>
              </w:rPr>
              <w:t>Store sales</w:t>
            </w:r>
          </w:p>
        </w:tc>
        <w:tc>
          <w:tcPr>
            <w:tcW w:w="280" w:type="dxa"/>
            <w:vAlign w:val="bottom"/>
          </w:tcPr>
          <w:p>
            <w:pPr>
              <w:spacing w:after="0"/>
              <w:rPr>
                <w:sz w:val="19"/>
                <w:szCs w:val="19"/>
                <w:color w:val="auto"/>
              </w:rPr>
            </w:pPr>
          </w:p>
        </w:tc>
        <w:tc>
          <w:tcPr>
            <w:tcW w:w="360" w:type="dxa"/>
            <w:vAlign w:val="bottom"/>
          </w:tcPr>
          <w:p>
            <w:pPr>
              <w:jc w:val="right"/>
              <w:ind w:right="160"/>
              <w:spacing w:after="0" w:line="221" w:lineRule="exact"/>
              <w:rPr>
                <w:sz w:val="20"/>
                <w:szCs w:val="20"/>
                <w:color w:val="auto"/>
              </w:rPr>
            </w:pPr>
            <w:r>
              <w:rPr>
                <w:rFonts w:ascii="Arial" w:cs="Arial" w:eastAsia="Arial" w:hAnsi="Arial"/>
                <w:sz w:val="20"/>
                <w:szCs w:val="20"/>
                <w:color w:val="1E1E1E"/>
                <w:w w:val="71"/>
              </w:rPr>
              <w:t>$</w:t>
            </w:r>
          </w:p>
        </w:tc>
        <w:tc>
          <w:tcPr>
            <w:tcW w:w="1840" w:type="dxa"/>
            <w:vAlign w:val="bottom"/>
          </w:tcPr>
          <w:p>
            <w:pPr>
              <w:jc w:val="right"/>
              <w:spacing w:after="0" w:line="221" w:lineRule="exact"/>
              <w:rPr>
                <w:sz w:val="20"/>
                <w:szCs w:val="20"/>
                <w:color w:val="auto"/>
              </w:rPr>
            </w:pPr>
            <w:r>
              <w:rPr>
                <w:rFonts w:ascii="Arial" w:cs="Arial" w:eastAsia="Arial" w:hAnsi="Arial"/>
                <w:sz w:val="20"/>
                <w:szCs w:val="20"/>
                <w:color w:val="1E1E1E"/>
              </w:rPr>
              <w:t>358,710</w:t>
            </w:r>
          </w:p>
        </w:tc>
        <w:tc>
          <w:tcPr>
            <w:tcW w:w="1300" w:type="dxa"/>
            <w:vAlign w:val="bottom"/>
          </w:tcPr>
          <w:p>
            <w:pPr>
              <w:ind w:left="100"/>
              <w:spacing w:after="0"/>
              <w:rPr>
                <w:sz w:val="20"/>
                <w:szCs w:val="20"/>
                <w:color w:val="auto"/>
              </w:rPr>
            </w:pPr>
            <w:r>
              <w:rPr>
                <w:rFonts w:ascii="Arial" w:cs="Arial" w:eastAsia="Arial" w:hAnsi="Arial"/>
                <w:sz w:val="16"/>
                <w:szCs w:val="16"/>
                <w:color w:val="1E1E1E"/>
              </w:rPr>
              <w:t>68.7%</w:t>
            </w:r>
          </w:p>
        </w:tc>
        <w:tc>
          <w:tcPr>
            <w:tcW w:w="200" w:type="dxa"/>
            <w:vAlign w:val="bottom"/>
          </w:tcPr>
          <w:p>
            <w:pPr>
              <w:spacing w:after="0"/>
              <w:rPr>
                <w:sz w:val="19"/>
                <w:szCs w:val="19"/>
                <w:color w:val="auto"/>
              </w:rPr>
            </w:pPr>
          </w:p>
        </w:tc>
        <w:tc>
          <w:tcPr>
            <w:tcW w:w="360" w:type="dxa"/>
            <w:vAlign w:val="bottom"/>
          </w:tcPr>
          <w:p>
            <w:pPr>
              <w:jc w:val="right"/>
              <w:ind w:right="160"/>
              <w:spacing w:after="0" w:line="221" w:lineRule="exact"/>
              <w:rPr>
                <w:sz w:val="20"/>
                <w:szCs w:val="20"/>
                <w:color w:val="auto"/>
              </w:rPr>
            </w:pPr>
            <w:r>
              <w:rPr>
                <w:rFonts w:ascii="Arial" w:cs="Arial" w:eastAsia="Arial" w:hAnsi="Arial"/>
                <w:sz w:val="20"/>
                <w:szCs w:val="20"/>
                <w:color w:val="1E1E1E"/>
                <w:w w:val="71"/>
              </w:rPr>
              <w:t>$</w:t>
            </w:r>
          </w:p>
        </w:tc>
        <w:tc>
          <w:tcPr>
            <w:tcW w:w="1840" w:type="dxa"/>
            <w:vAlign w:val="bottom"/>
          </w:tcPr>
          <w:p>
            <w:pPr>
              <w:jc w:val="right"/>
              <w:spacing w:after="0" w:line="221" w:lineRule="exact"/>
              <w:rPr>
                <w:sz w:val="20"/>
                <w:szCs w:val="20"/>
                <w:color w:val="auto"/>
              </w:rPr>
            </w:pPr>
            <w:r>
              <w:rPr>
                <w:rFonts w:ascii="Arial" w:cs="Arial" w:eastAsia="Arial" w:hAnsi="Arial"/>
                <w:sz w:val="20"/>
                <w:szCs w:val="20"/>
                <w:color w:val="1E1E1E"/>
              </w:rPr>
              <w:t>375,618</w:t>
            </w:r>
          </w:p>
        </w:tc>
        <w:tc>
          <w:tcPr>
            <w:tcW w:w="1340" w:type="dxa"/>
            <w:vAlign w:val="bottom"/>
          </w:tcPr>
          <w:p>
            <w:pPr>
              <w:ind w:left="100"/>
              <w:spacing w:after="0"/>
              <w:rPr>
                <w:sz w:val="20"/>
                <w:szCs w:val="20"/>
                <w:color w:val="auto"/>
              </w:rPr>
            </w:pPr>
            <w:r>
              <w:rPr>
                <w:rFonts w:ascii="Arial" w:cs="Arial" w:eastAsia="Arial" w:hAnsi="Arial"/>
                <w:sz w:val="16"/>
                <w:szCs w:val="16"/>
                <w:color w:val="1E1E1E"/>
              </w:rPr>
              <w:t>68.9%</w:t>
            </w:r>
          </w:p>
        </w:tc>
      </w:tr>
      <w:tr>
        <w:trPr>
          <w:trHeight w:val="228"/>
        </w:trPr>
        <w:tc>
          <w:tcPr>
            <w:tcW w:w="3280" w:type="dxa"/>
            <w:vAlign w:val="bottom"/>
            <w:shd w:val="clear" w:color="auto" w:fill="E4E4E4"/>
          </w:tcPr>
          <w:p>
            <w:pPr>
              <w:ind w:left="100"/>
              <w:spacing w:after="0" w:line="228" w:lineRule="exact"/>
              <w:rPr>
                <w:sz w:val="20"/>
                <w:szCs w:val="20"/>
                <w:color w:val="auto"/>
              </w:rPr>
            </w:pPr>
            <w:r>
              <w:rPr>
                <w:rFonts w:ascii="Arial" w:cs="Arial" w:eastAsia="Arial" w:hAnsi="Arial"/>
                <w:sz w:val="20"/>
                <w:szCs w:val="20"/>
                <w:color w:val="1E1E1E"/>
              </w:rPr>
              <w:t>Direct sales</w:t>
            </w:r>
          </w:p>
        </w:tc>
        <w:tc>
          <w:tcPr>
            <w:tcW w:w="280" w:type="dxa"/>
            <w:vAlign w:val="bottom"/>
            <w:shd w:val="clear" w:color="auto" w:fill="E4E4E4"/>
          </w:tcPr>
          <w:p>
            <w:pPr>
              <w:spacing w:after="0"/>
              <w:rPr>
                <w:sz w:val="19"/>
                <w:szCs w:val="19"/>
                <w:color w:val="auto"/>
              </w:rPr>
            </w:pPr>
          </w:p>
        </w:tc>
        <w:tc>
          <w:tcPr>
            <w:tcW w:w="360" w:type="dxa"/>
            <w:vAlign w:val="bottom"/>
            <w:tcBorders>
              <w:bottom w:val="single" w:sz="8" w:color="1E1E1E"/>
            </w:tcBorders>
            <w:shd w:val="clear" w:color="auto" w:fill="E4E4E4"/>
          </w:tcPr>
          <w:p>
            <w:pPr>
              <w:spacing w:after="0"/>
              <w:rPr>
                <w:sz w:val="19"/>
                <w:szCs w:val="19"/>
                <w:color w:val="auto"/>
              </w:rPr>
            </w:pPr>
          </w:p>
        </w:tc>
        <w:tc>
          <w:tcPr>
            <w:tcW w:w="1840" w:type="dxa"/>
            <w:vAlign w:val="bottom"/>
            <w:tcBorders>
              <w:bottom w:val="single" w:sz="8" w:color="1E1E1E"/>
            </w:tcBorders>
            <w:shd w:val="clear" w:color="auto" w:fill="E4E4E4"/>
          </w:tcPr>
          <w:p>
            <w:pPr>
              <w:jc w:val="right"/>
              <w:spacing w:after="0" w:line="228" w:lineRule="exact"/>
              <w:rPr>
                <w:sz w:val="20"/>
                <w:szCs w:val="20"/>
                <w:color w:val="auto"/>
              </w:rPr>
            </w:pPr>
            <w:r>
              <w:rPr>
                <w:rFonts w:ascii="Arial" w:cs="Arial" w:eastAsia="Arial" w:hAnsi="Arial"/>
                <w:sz w:val="20"/>
                <w:szCs w:val="20"/>
                <w:color w:val="1E1E1E"/>
              </w:rPr>
              <w:t>163,105</w:t>
            </w:r>
          </w:p>
        </w:tc>
        <w:tc>
          <w:tcPr>
            <w:tcW w:w="1300" w:type="dxa"/>
            <w:vAlign w:val="bottom"/>
            <w:shd w:val="clear" w:color="auto" w:fill="E4E4E4"/>
          </w:tcPr>
          <w:p>
            <w:pPr>
              <w:ind w:left="100"/>
              <w:spacing w:after="0"/>
              <w:rPr>
                <w:sz w:val="20"/>
                <w:szCs w:val="20"/>
                <w:color w:val="auto"/>
              </w:rPr>
            </w:pPr>
            <w:r>
              <w:rPr>
                <w:rFonts w:ascii="Arial" w:cs="Arial" w:eastAsia="Arial" w:hAnsi="Arial"/>
                <w:sz w:val="16"/>
                <w:szCs w:val="16"/>
                <w:color w:val="1E1E1E"/>
              </w:rPr>
              <w:t>31.3%</w:t>
            </w:r>
          </w:p>
        </w:tc>
        <w:tc>
          <w:tcPr>
            <w:tcW w:w="200" w:type="dxa"/>
            <w:vAlign w:val="bottom"/>
            <w:shd w:val="clear" w:color="auto" w:fill="E4E4E4"/>
          </w:tcPr>
          <w:p>
            <w:pPr>
              <w:spacing w:after="0"/>
              <w:rPr>
                <w:sz w:val="19"/>
                <w:szCs w:val="19"/>
                <w:color w:val="auto"/>
              </w:rPr>
            </w:pPr>
          </w:p>
        </w:tc>
        <w:tc>
          <w:tcPr>
            <w:tcW w:w="360" w:type="dxa"/>
            <w:vAlign w:val="bottom"/>
            <w:tcBorders>
              <w:bottom w:val="single" w:sz="8" w:color="1E1E1E"/>
            </w:tcBorders>
            <w:shd w:val="clear" w:color="auto" w:fill="E4E4E4"/>
          </w:tcPr>
          <w:p>
            <w:pPr>
              <w:spacing w:after="0"/>
              <w:rPr>
                <w:sz w:val="19"/>
                <w:szCs w:val="19"/>
                <w:color w:val="auto"/>
              </w:rPr>
            </w:pPr>
          </w:p>
        </w:tc>
        <w:tc>
          <w:tcPr>
            <w:tcW w:w="1840" w:type="dxa"/>
            <w:vAlign w:val="bottom"/>
            <w:tcBorders>
              <w:bottom w:val="single" w:sz="8" w:color="1E1E1E"/>
            </w:tcBorders>
            <w:shd w:val="clear" w:color="auto" w:fill="E4E4E4"/>
          </w:tcPr>
          <w:p>
            <w:pPr>
              <w:jc w:val="right"/>
              <w:spacing w:after="0" w:line="228" w:lineRule="exact"/>
              <w:rPr>
                <w:sz w:val="20"/>
                <w:szCs w:val="20"/>
                <w:color w:val="auto"/>
              </w:rPr>
            </w:pPr>
            <w:r>
              <w:rPr>
                <w:rFonts w:ascii="Arial" w:cs="Arial" w:eastAsia="Arial" w:hAnsi="Arial"/>
                <w:sz w:val="20"/>
                <w:szCs w:val="20"/>
                <w:color w:val="1E1E1E"/>
              </w:rPr>
              <w:t>169,821</w:t>
            </w:r>
          </w:p>
        </w:tc>
        <w:tc>
          <w:tcPr>
            <w:tcW w:w="1340" w:type="dxa"/>
            <w:vAlign w:val="bottom"/>
            <w:shd w:val="clear" w:color="auto" w:fill="E4E4E4"/>
          </w:tcPr>
          <w:p>
            <w:pPr>
              <w:ind w:left="100"/>
              <w:spacing w:after="0"/>
              <w:rPr>
                <w:sz w:val="20"/>
                <w:szCs w:val="20"/>
                <w:color w:val="auto"/>
              </w:rPr>
            </w:pPr>
            <w:r>
              <w:rPr>
                <w:rFonts w:ascii="Arial" w:cs="Arial" w:eastAsia="Arial" w:hAnsi="Arial"/>
                <w:sz w:val="16"/>
                <w:szCs w:val="16"/>
                <w:color w:val="1E1E1E"/>
              </w:rPr>
              <w:t>31.1%</w:t>
            </w:r>
          </w:p>
        </w:tc>
      </w:tr>
      <w:tr>
        <w:trPr>
          <w:trHeight w:val="220"/>
        </w:trPr>
        <w:tc>
          <w:tcPr>
            <w:tcW w:w="3280" w:type="dxa"/>
            <w:vAlign w:val="bottom"/>
          </w:tcPr>
          <w:p>
            <w:pPr>
              <w:spacing w:after="0" w:line="220" w:lineRule="exact"/>
              <w:rPr>
                <w:sz w:val="20"/>
                <w:szCs w:val="20"/>
                <w:color w:val="auto"/>
              </w:rPr>
            </w:pPr>
            <w:r>
              <w:rPr>
                <w:rFonts w:ascii="Arial" w:cs="Arial" w:eastAsia="Arial" w:hAnsi="Arial"/>
                <w:sz w:val="20"/>
                <w:szCs w:val="20"/>
                <w:color w:val="1E1E1E"/>
              </w:rPr>
              <w:t>Retail segment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jc w:val="right"/>
              <w:spacing w:after="0" w:line="220" w:lineRule="exact"/>
              <w:rPr>
                <w:sz w:val="20"/>
                <w:szCs w:val="20"/>
                <w:color w:val="auto"/>
              </w:rPr>
            </w:pPr>
            <w:r>
              <w:rPr>
                <w:rFonts w:ascii="Arial" w:cs="Arial" w:eastAsia="Arial" w:hAnsi="Arial"/>
                <w:sz w:val="20"/>
                <w:szCs w:val="20"/>
                <w:color w:val="1E1E1E"/>
              </w:rPr>
              <w:t>521,815</w:t>
            </w:r>
          </w:p>
        </w:tc>
        <w:tc>
          <w:tcPr>
            <w:tcW w:w="1300" w:type="dxa"/>
            <w:vAlign w:val="bottom"/>
          </w:tcPr>
          <w:p>
            <w:pPr>
              <w:ind w:left="100"/>
              <w:spacing w:after="0"/>
              <w:rPr>
                <w:sz w:val="20"/>
                <w:szCs w:val="20"/>
                <w:color w:val="auto"/>
              </w:rPr>
            </w:pPr>
            <w:r>
              <w:rPr>
                <w:rFonts w:ascii="Arial" w:cs="Arial" w:eastAsia="Arial" w:hAnsi="Arial"/>
                <w:sz w:val="16"/>
                <w:szCs w:val="16"/>
                <w:color w:val="1E1E1E"/>
              </w:rPr>
              <w:t>100.0%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jc w:val="right"/>
              <w:spacing w:after="0" w:line="220" w:lineRule="exact"/>
              <w:rPr>
                <w:sz w:val="20"/>
                <w:szCs w:val="20"/>
                <w:color w:val="auto"/>
              </w:rPr>
            </w:pPr>
            <w:r>
              <w:rPr>
                <w:rFonts w:ascii="Arial" w:cs="Arial" w:eastAsia="Arial" w:hAnsi="Arial"/>
                <w:sz w:val="20"/>
                <w:szCs w:val="20"/>
                <w:color w:val="1E1E1E"/>
              </w:rPr>
              <w:t>545,439</w:t>
            </w:r>
          </w:p>
        </w:tc>
        <w:tc>
          <w:tcPr>
            <w:tcW w:w="1340" w:type="dxa"/>
            <w:vAlign w:val="bottom"/>
          </w:tcPr>
          <w:p>
            <w:pPr>
              <w:ind w:left="100"/>
              <w:spacing w:after="0"/>
              <w:rPr>
                <w:sz w:val="20"/>
                <w:szCs w:val="20"/>
                <w:color w:val="auto"/>
              </w:rPr>
            </w:pPr>
            <w:r>
              <w:rPr>
                <w:rFonts w:ascii="Arial" w:cs="Arial" w:eastAsia="Arial" w:hAnsi="Arial"/>
                <w:sz w:val="16"/>
                <w:szCs w:val="16"/>
                <w:color w:val="1E1E1E"/>
              </w:rPr>
              <w:t>100.0%</w:t>
            </w:r>
          </w:p>
        </w:tc>
      </w:tr>
      <w:tr>
        <w:trPr>
          <w:trHeight w:val="230"/>
        </w:trPr>
        <w:tc>
          <w:tcPr>
            <w:tcW w:w="3280" w:type="dxa"/>
            <w:vAlign w:val="bottom"/>
            <w:shd w:val="clear" w:color="auto" w:fill="E4E4E4"/>
          </w:tcPr>
          <w:p>
            <w:pPr>
              <w:spacing w:after="0"/>
              <w:rPr>
                <w:sz w:val="20"/>
                <w:szCs w:val="20"/>
                <w:color w:val="auto"/>
              </w:rPr>
            </w:pPr>
            <w:r>
              <w:rPr>
                <w:rFonts w:ascii="Arial" w:cs="Arial" w:eastAsia="Arial" w:hAnsi="Arial"/>
                <w:sz w:val="20"/>
                <w:szCs w:val="20"/>
                <w:color w:val="1E1E1E"/>
              </w:rPr>
              <w:t>Wholesale segment</w:t>
            </w:r>
          </w:p>
        </w:tc>
        <w:tc>
          <w:tcPr>
            <w:tcW w:w="280" w:type="dxa"/>
            <w:vAlign w:val="bottom"/>
            <w:shd w:val="clear" w:color="auto" w:fill="E4E4E4"/>
          </w:tcPr>
          <w:p>
            <w:pPr>
              <w:spacing w:after="0"/>
              <w:rPr>
                <w:sz w:val="20"/>
                <w:szCs w:val="20"/>
                <w:color w:val="auto"/>
              </w:rPr>
            </w:pPr>
          </w:p>
        </w:tc>
        <w:tc>
          <w:tcPr>
            <w:tcW w:w="360" w:type="dxa"/>
            <w:vAlign w:val="bottom"/>
            <w:tcBorders>
              <w:bottom w:val="single" w:sz="8" w:color="1E1E1E"/>
            </w:tcBorders>
            <w:shd w:val="clear" w:color="auto" w:fill="E4E4E4"/>
          </w:tcPr>
          <w:p>
            <w:pPr>
              <w:spacing w:after="0"/>
              <w:rPr>
                <w:sz w:val="20"/>
                <w:szCs w:val="20"/>
                <w:color w:val="auto"/>
              </w:rPr>
            </w:pPr>
          </w:p>
        </w:tc>
        <w:tc>
          <w:tcPr>
            <w:tcW w:w="1840" w:type="dxa"/>
            <w:vAlign w:val="bottom"/>
            <w:tcBorders>
              <w:bottom w:val="single" w:sz="8" w:color="1E1E1E"/>
            </w:tcBorders>
            <w:shd w:val="clear" w:color="auto" w:fill="E4E4E4"/>
          </w:tcPr>
          <w:p>
            <w:pPr>
              <w:jc w:val="right"/>
              <w:spacing w:after="0"/>
              <w:rPr>
                <w:sz w:val="20"/>
                <w:szCs w:val="20"/>
                <w:color w:val="auto"/>
              </w:rPr>
            </w:pPr>
            <w:r>
              <w:rPr>
                <w:rFonts w:ascii="Arial" w:cs="Arial" w:eastAsia="Arial" w:hAnsi="Arial"/>
                <w:sz w:val="20"/>
                <w:szCs w:val="20"/>
                <w:color w:val="1E1E1E"/>
              </w:rPr>
              <w:t>—</w:t>
            </w:r>
          </w:p>
        </w:tc>
        <w:tc>
          <w:tcPr>
            <w:tcW w:w="1300" w:type="dxa"/>
            <w:vAlign w:val="bottom"/>
            <w:shd w:val="clear" w:color="auto" w:fill="E4E4E4"/>
          </w:tcPr>
          <w:p>
            <w:pPr>
              <w:spacing w:after="0"/>
              <w:rPr>
                <w:sz w:val="20"/>
                <w:szCs w:val="20"/>
                <w:color w:val="auto"/>
              </w:rPr>
            </w:pPr>
          </w:p>
        </w:tc>
        <w:tc>
          <w:tcPr>
            <w:tcW w:w="200" w:type="dxa"/>
            <w:vAlign w:val="bottom"/>
            <w:shd w:val="clear" w:color="auto" w:fill="E4E4E4"/>
          </w:tcPr>
          <w:p>
            <w:pPr>
              <w:spacing w:after="0"/>
              <w:rPr>
                <w:sz w:val="20"/>
                <w:szCs w:val="20"/>
                <w:color w:val="auto"/>
              </w:rPr>
            </w:pPr>
          </w:p>
        </w:tc>
        <w:tc>
          <w:tcPr>
            <w:tcW w:w="360" w:type="dxa"/>
            <w:vAlign w:val="bottom"/>
            <w:tcBorders>
              <w:bottom w:val="single" w:sz="8" w:color="1E1E1E"/>
            </w:tcBorders>
            <w:shd w:val="clear" w:color="auto" w:fill="E4E4E4"/>
          </w:tcPr>
          <w:p>
            <w:pPr>
              <w:spacing w:after="0"/>
              <w:rPr>
                <w:sz w:val="20"/>
                <w:szCs w:val="20"/>
                <w:color w:val="auto"/>
              </w:rPr>
            </w:pPr>
          </w:p>
        </w:tc>
        <w:tc>
          <w:tcPr>
            <w:tcW w:w="1840" w:type="dxa"/>
            <w:vAlign w:val="bottom"/>
            <w:tcBorders>
              <w:bottom w:val="single" w:sz="8" w:color="1E1E1E"/>
            </w:tcBorders>
            <w:shd w:val="clear" w:color="auto" w:fill="E4E4E4"/>
          </w:tcPr>
          <w:p>
            <w:pPr>
              <w:jc w:val="right"/>
              <w:spacing w:after="0"/>
              <w:rPr>
                <w:sz w:val="20"/>
                <w:szCs w:val="20"/>
                <w:color w:val="auto"/>
              </w:rPr>
            </w:pPr>
            <w:r>
              <w:rPr>
                <w:rFonts w:ascii="Arial" w:cs="Arial" w:eastAsia="Arial" w:hAnsi="Arial"/>
                <w:sz w:val="20"/>
                <w:szCs w:val="20"/>
                <w:color w:val="1E1E1E"/>
              </w:rPr>
              <w:t>399</w:t>
            </w:r>
          </w:p>
        </w:tc>
        <w:tc>
          <w:tcPr>
            <w:tcW w:w="1340" w:type="dxa"/>
            <w:vAlign w:val="bottom"/>
            <w:shd w:val="clear" w:color="auto" w:fill="E4E4E4"/>
          </w:tcPr>
          <w:p>
            <w:pPr>
              <w:spacing w:after="0"/>
              <w:rPr>
                <w:sz w:val="20"/>
                <w:szCs w:val="20"/>
                <w:color w:val="auto"/>
              </w:rPr>
            </w:pPr>
          </w:p>
        </w:tc>
      </w:tr>
      <w:tr>
        <w:trPr>
          <w:trHeight w:val="222"/>
        </w:trPr>
        <w:tc>
          <w:tcPr>
            <w:tcW w:w="3280" w:type="dxa"/>
            <w:vAlign w:val="bottom"/>
          </w:tcPr>
          <w:p>
            <w:pPr>
              <w:spacing w:after="0" w:line="223" w:lineRule="exact"/>
              <w:rPr>
                <w:sz w:val="20"/>
                <w:szCs w:val="20"/>
                <w:color w:val="auto"/>
              </w:rPr>
            </w:pPr>
            <w:r>
              <w:rPr>
                <w:rFonts w:ascii="Arial" w:cs="Arial" w:eastAsia="Arial" w:hAnsi="Arial"/>
                <w:sz w:val="20"/>
                <w:szCs w:val="20"/>
                <w:color w:val="1E1E1E"/>
              </w:rPr>
              <w:t>Total sales</w:t>
            </w:r>
          </w:p>
        </w:tc>
        <w:tc>
          <w:tcPr>
            <w:tcW w:w="280" w:type="dxa"/>
            <w:vAlign w:val="bottom"/>
          </w:tcPr>
          <w:p>
            <w:pPr>
              <w:spacing w:after="0"/>
              <w:rPr>
                <w:sz w:val="19"/>
                <w:szCs w:val="19"/>
                <w:color w:val="auto"/>
              </w:rPr>
            </w:pPr>
          </w:p>
        </w:tc>
        <w:tc>
          <w:tcPr>
            <w:tcW w:w="360" w:type="dxa"/>
            <w:vAlign w:val="bottom"/>
          </w:tcPr>
          <w:p>
            <w:pPr>
              <w:jc w:val="right"/>
              <w:ind w:right="160"/>
              <w:spacing w:after="0" w:line="223" w:lineRule="exact"/>
              <w:rPr>
                <w:sz w:val="20"/>
                <w:szCs w:val="20"/>
                <w:color w:val="auto"/>
              </w:rPr>
            </w:pPr>
            <w:r>
              <w:rPr>
                <w:rFonts w:ascii="Arial" w:cs="Arial" w:eastAsia="Arial" w:hAnsi="Arial"/>
                <w:sz w:val="20"/>
                <w:szCs w:val="20"/>
                <w:color w:val="1E1E1E"/>
                <w:w w:val="71"/>
              </w:rPr>
              <w:t>$</w:t>
            </w:r>
          </w:p>
        </w:tc>
        <w:tc>
          <w:tcPr>
            <w:tcW w:w="1840" w:type="dxa"/>
            <w:vAlign w:val="bottom"/>
          </w:tcPr>
          <w:p>
            <w:pPr>
              <w:jc w:val="right"/>
              <w:spacing w:after="0" w:line="223" w:lineRule="exact"/>
              <w:rPr>
                <w:sz w:val="20"/>
                <w:szCs w:val="20"/>
                <w:color w:val="auto"/>
              </w:rPr>
            </w:pPr>
            <w:r>
              <w:rPr>
                <w:rFonts w:ascii="Arial" w:cs="Arial" w:eastAsia="Arial" w:hAnsi="Arial"/>
                <w:sz w:val="20"/>
                <w:szCs w:val="20"/>
                <w:color w:val="1E1E1E"/>
              </w:rPr>
              <w:t>521,815</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ind w:right="160"/>
              <w:spacing w:after="0" w:line="223" w:lineRule="exact"/>
              <w:rPr>
                <w:sz w:val="20"/>
                <w:szCs w:val="20"/>
                <w:color w:val="auto"/>
              </w:rPr>
            </w:pPr>
            <w:r>
              <w:rPr>
                <w:rFonts w:ascii="Arial" w:cs="Arial" w:eastAsia="Arial" w:hAnsi="Arial"/>
                <w:sz w:val="20"/>
                <w:szCs w:val="20"/>
                <w:color w:val="1E1E1E"/>
                <w:w w:val="71"/>
              </w:rPr>
              <w:t>$</w:t>
            </w:r>
          </w:p>
        </w:tc>
        <w:tc>
          <w:tcPr>
            <w:tcW w:w="1840" w:type="dxa"/>
            <w:vAlign w:val="bottom"/>
          </w:tcPr>
          <w:p>
            <w:pPr>
              <w:jc w:val="right"/>
              <w:spacing w:after="0" w:line="223" w:lineRule="exact"/>
              <w:rPr>
                <w:sz w:val="20"/>
                <w:szCs w:val="20"/>
                <w:color w:val="auto"/>
              </w:rPr>
            </w:pPr>
            <w:r>
              <w:rPr>
                <w:rFonts w:ascii="Arial" w:cs="Arial" w:eastAsia="Arial" w:hAnsi="Arial"/>
                <w:sz w:val="20"/>
                <w:szCs w:val="20"/>
                <w:color w:val="1E1E1E"/>
              </w:rPr>
              <w:t>545,838</w:t>
            </w:r>
          </w:p>
        </w:tc>
        <w:tc>
          <w:tcPr>
            <w:tcW w:w="13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-15875</wp:posOffset>
            </wp:positionV>
            <wp:extent cx="3771900" cy="609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71900" cy="60960"/>
                    </a:xfrm>
                    <a:prstGeom prst="rect">
                      <a:avLst/>
                    </a:prstGeom>
                    <a:noFill/>
                  </pic:spPr>
                </pic:pic>
              </a:graphicData>
            </a:graphic>
          </wp:anchor>
        </w:drawing>
      </w:r>
    </w:p>
    <w:p>
      <w:pPr>
        <w:spacing w:after="0" w:line="243" w:lineRule="exact"/>
        <w:rPr>
          <w:sz w:val="20"/>
          <w:szCs w:val="20"/>
          <w:color w:val="auto"/>
        </w:rPr>
      </w:pPr>
    </w:p>
    <w:p>
      <w:pPr>
        <w:ind w:right="200"/>
        <w:spacing w:after="0" w:line="290" w:lineRule="auto"/>
        <w:rPr>
          <w:sz w:val="20"/>
          <w:szCs w:val="20"/>
          <w:color w:val="auto"/>
        </w:rPr>
      </w:pPr>
      <w:r>
        <w:rPr>
          <w:rFonts w:ascii="Arial" w:cs="Arial" w:eastAsia="Arial" w:hAnsi="Arial"/>
          <w:sz w:val="18"/>
          <w:szCs w:val="18"/>
          <w:color w:val="1E1E1E"/>
        </w:rPr>
        <w:t>For fiscal 2023, total sales decreased 4.4% to $521.8 million from $545.8 million for fiscal 2022. Comparable sales decreased 4.6%, with stores down 4.5% and the direct business down 4.8%. During fiscal 2023, we saw a gradual slowdown in store traffic across all regions of the country as consumer spending continued to be negatively impacted by the economic uncertainty and inflationary pressures. The decrease in comparable sales was partially offset by sales for the 53rd week of $7.1 million.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1E1E1E"/>
        </w:rPr>
        <w:t>GROSS MARGIN</w:t>
      </w:r>
    </w:p>
    <w:p>
      <w:pPr>
        <w:spacing w:after="0" w:line="235"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1E1E1E"/>
        </w:rPr>
        <w:t>For fiscal 2023, gross margin, inclusive of occupancy costs, was 48.4% compared to 49.9% for fiscal 2022. The decrease of 150 basis points was due to a decrease in merchandise margins of 70 basis points and an 80 basis point increase in occupancy costs. The decrease in merchandise margin was due to cost pressures on certain private-label merchandise, increased direct-to-consumer shipping costs and costs related to our loyalty program. The 80 basis point increase in occupancy costs was due to a combination of the deleveraging of sales and increased rents as a result of lease extensions. For 2024, we expect our gross margin rate to experience some occupancy deleverage in the first half due to lower sales expectations and for the year we expect gross margin rates to be approximately 30 to 40-basis points lower than fiscal 2023.</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1E1E1E"/>
        </w:rPr>
        <w:t>SELLING, 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color w:val="1E1E1E"/>
        </w:rPr>
        <w:t>SG&amp;A expenses as a percentage of sales were 37.7% for fiscal 2023, as compared to 36.4% in fiscal 2022.</w:t>
      </w:r>
    </w:p>
    <w:p>
      <w:pPr>
        <w:spacing w:after="0" w:line="240" w:lineRule="exact"/>
        <w:rPr>
          <w:sz w:val="20"/>
          <w:szCs w:val="20"/>
          <w:color w:val="auto"/>
        </w:rPr>
      </w:pPr>
    </w:p>
    <w:p>
      <w:pPr>
        <w:ind w:right="60"/>
        <w:spacing w:after="0" w:line="252" w:lineRule="auto"/>
        <w:rPr>
          <w:sz w:val="20"/>
          <w:szCs w:val="20"/>
          <w:color w:val="auto"/>
        </w:rPr>
      </w:pPr>
      <w:r>
        <w:rPr>
          <w:rFonts w:ascii="Arial" w:cs="Arial" w:eastAsia="Arial" w:hAnsi="Arial"/>
          <w:sz w:val="20"/>
          <w:szCs w:val="20"/>
          <w:color w:val="1E1E1E"/>
        </w:rPr>
        <w:t>On a dollar basis, SG&amp;A expenses decreased by $2.3 million for fiscal 2023 as compared to fiscal 2022. The decrease was primarily due to a decrease in marketing costs and a decrease in performance-based incentive accruals, partially offset by an increase in payroll-related costs from new positions added in the past year to support our long-range growth initiatives and costs for the 53rd week of approximately $2.7 million.</w:t>
      </w:r>
    </w:p>
    <w:p>
      <w:pPr>
        <w:spacing w:after="0" w:line="193" w:lineRule="exact"/>
        <w:rPr>
          <w:sz w:val="20"/>
          <w:szCs w:val="20"/>
          <w:color w:val="auto"/>
        </w:rPr>
      </w:pPr>
    </w:p>
    <w:p>
      <w:pPr>
        <w:ind w:right="240"/>
        <w:spacing w:after="0" w:line="249" w:lineRule="auto"/>
        <w:rPr>
          <w:sz w:val="20"/>
          <w:szCs w:val="20"/>
          <w:color w:val="auto"/>
        </w:rPr>
      </w:pPr>
      <w:r>
        <w:rPr>
          <w:rFonts w:ascii="Arial" w:cs="Arial" w:eastAsia="Arial" w:hAnsi="Arial"/>
          <w:sz w:val="20"/>
          <w:szCs w:val="20"/>
          <w:color w:val="1E1E1E"/>
        </w:rPr>
        <w:t>Management views SG&amp;A expenses through two primary cost centers: Customer Facing Costs and Corporate Support Costs. Customer Facing Costs, which include store payroll, marketing and other store operating costs, represented 21.3% of sales for fiscal 2023 as compared to 20.8% of sales for fiscal 2022. Corporate Support Costs, which include the distribution center and corporate overhead costs, represented 16.4% of sales for fiscal 2023 as compared to 15.6% of sales for fiscal 2022. Marketing costs for fiscal 2023 were 5.9% of sales.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1E1E1E"/>
        </w:rPr>
        <w:t>IMPAIRMENT (GAIN) OF ASSETS</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9"/>
          <w:szCs w:val="19"/>
          <w:color w:val="1E1E1E"/>
        </w:rPr>
        <w:t>Asset impairment charges primarily represent the write-down of operating lease right-of-use assets and the write-down of store property and equipment, where the carrying value exceeds fair value. In addition, any subsequent gains recognized in connection with a store closure related to a previously recorded operating lease right-of-use asset impairment will be included as an offset to impairment charges, with the remainder of the gain included as a reduction in store occupancy costs.</w:t>
      </w:r>
    </w:p>
    <w:p>
      <w:pPr>
        <w:spacing w:after="0" w:line="56" w:lineRule="exact"/>
        <w:rPr>
          <w:sz w:val="20"/>
          <w:szCs w:val="20"/>
          <w:color w:val="auto"/>
        </w:rPr>
      </w:pPr>
    </w:p>
    <w:p>
      <w:pPr>
        <w:ind w:right="140"/>
        <w:spacing w:after="0" w:line="279" w:lineRule="auto"/>
        <w:rPr>
          <w:sz w:val="20"/>
          <w:szCs w:val="20"/>
          <w:color w:val="auto"/>
        </w:rPr>
      </w:pPr>
      <w:r>
        <w:rPr>
          <w:rFonts w:ascii="Arial" w:cs="Arial" w:eastAsia="Arial" w:hAnsi="Arial"/>
          <w:sz w:val="20"/>
          <w:szCs w:val="20"/>
          <w:color w:val="1E1E1E"/>
        </w:rPr>
        <w:t>For fiscal 2023, the Company recorded a total asset impairment charge of $0.1 million, which included a write-down for certain store property and equipment and operating lease right-of-use assets.</w:t>
      </w:r>
    </w:p>
    <w:p>
      <w:pPr>
        <w:spacing w:after="0" w:line="46" w:lineRule="exact"/>
        <w:rPr>
          <w:sz w:val="20"/>
          <w:szCs w:val="20"/>
          <w:color w:val="auto"/>
        </w:rPr>
      </w:pPr>
    </w:p>
    <w:p>
      <w:pPr>
        <w:ind w:right="220"/>
        <w:spacing w:after="0" w:line="290" w:lineRule="auto"/>
        <w:rPr>
          <w:sz w:val="20"/>
          <w:szCs w:val="20"/>
          <w:color w:val="auto"/>
        </w:rPr>
      </w:pPr>
      <w:r>
        <w:rPr>
          <w:rFonts w:ascii="Arial" w:cs="Arial" w:eastAsia="Arial" w:hAnsi="Arial"/>
          <w:sz w:val="18"/>
          <w:szCs w:val="18"/>
          <w:color w:val="1E1E1E"/>
        </w:rPr>
        <w:t>For fiscal 2022, the Company recorded a non-cash gain of $0.6 million on the reduction of its operating lease liability in connection with its decision to close certain retail stores, which resulted in a revaluation of the lease liability. Of the total non-cash gain of $0.6 million, $0.4 million related to leases where the right-of-use assets had previously been impaired, and therefore was recorded as a reduction of the previously recorded impairment charge with the remaining $0.2 million recorded as a reduction to occupancy costs.</w:t>
      </w:r>
    </w:p>
    <w:p>
      <w:pPr>
        <w:spacing w:after="0" w:line="39" w:lineRule="exact"/>
        <w:rPr>
          <w:sz w:val="20"/>
          <w:szCs w:val="20"/>
          <w:color w:val="auto"/>
        </w:rPr>
      </w:pPr>
    </w:p>
    <w:p>
      <w:pPr>
        <w:ind w:right="180"/>
        <w:spacing w:after="0" w:line="259" w:lineRule="auto"/>
        <w:rPr>
          <w:sz w:val="20"/>
          <w:szCs w:val="20"/>
          <w:color w:val="auto"/>
        </w:rPr>
      </w:pPr>
      <w:r>
        <w:rPr>
          <w:rFonts w:ascii="Arial" w:cs="Arial" w:eastAsia="Arial" w:hAnsi="Arial"/>
          <w:sz w:val="20"/>
          <w:szCs w:val="20"/>
          <w:color w:val="1E1E1E"/>
        </w:rPr>
        <w:t>The fiscal 2022 impairment gain of $0.4 million was partially offset by a $0.2 million impairment charge for the write-down of store property and equipment. The net gain of $0.2 million is included as Impairment (Gain) of Assets on the Consolidated Statement of Operations for fiscal 2022.</w:t>
      </w:r>
    </w:p>
    <w:p>
      <w:pPr>
        <w:sectPr>
          <w:pgSz w:w="11880" w:h="15480" w:orient="portrait"/>
          <w:cols w:equalWidth="0" w:num="1">
            <w:col w:w="10800"/>
          </w:cols>
          <w:pgMar w:left="540" w:top="660"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27</w:t>
      </w:r>
    </w:p>
    <w:p>
      <w:pPr>
        <w:sectPr>
          <w:pgSz w:w="11880" w:h="15480" w:orient="portrait"/>
          <w:cols w:equalWidth="0" w:num="1">
            <w:col w:w="10800"/>
          </w:cols>
          <w:pgMar w:left="540" w:top="660" w:right="540" w:bottom="31" w:gutter="0" w:footer="0" w:header="0"/>
          <w:type w:val="continuous"/>
        </w:sectPr>
      </w:pPr>
    </w:p>
    <w:bookmarkStart w:id="29" w:name="page30"/>
    <w:bookmarkEnd w:id="29"/>
    <w:p>
      <w:pPr>
        <w:spacing w:after="0"/>
        <w:rPr>
          <w:sz w:val="20"/>
          <w:szCs w:val="20"/>
          <w:color w:val="auto"/>
        </w:rPr>
      </w:pPr>
      <w:r>
        <w:rPr>
          <w:rFonts w:ascii="Arial" w:cs="Arial" w:eastAsia="Arial" w:hAnsi="Arial"/>
          <w:sz w:val="20"/>
          <w:szCs w:val="20"/>
          <w:color w:val="1E1E1E"/>
        </w:rPr>
        <w:t>DEPRECIATION AND AMORTIZATION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1E1E1E"/>
        </w:rPr>
        <w:t>Depreciation and amortization expense for fiscal 2023 was $13.8 million, as compared to $15.4 million in fiscal 2022. Our depreciation expense decreased over the past few years, as many of our assets have become fully depreciated and we have had modest capital spending over the past several years.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1E1E1E"/>
        </w:rPr>
        <w:t>LOSS FROM TERMINATION OF RETIREMENT PLANS</w:t>
      </w:r>
    </w:p>
    <w:p>
      <w:pPr>
        <w:spacing w:after="0" w:line="115" w:lineRule="exact"/>
        <w:rPr>
          <w:sz w:val="20"/>
          <w:szCs w:val="20"/>
          <w:color w:val="auto"/>
        </w:rPr>
      </w:pPr>
    </w:p>
    <w:p>
      <w:pPr>
        <w:ind w:right="240"/>
        <w:spacing w:after="0" w:line="279" w:lineRule="auto"/>
        <w:rPr>
          <w:sz w:val="20"/>
          <w:szCs w:val="20"/>
          <w:color w:val="auto"/>
        </w:rPr>
      </w:pPr>
      <w:r>
        <w:rPr>
          <w:rFonts w:ascii="Arial" w:cs="Arial" w:eastAsia="Arial" w:hAnsi="Arial"/>
          <w:sz w:val="19"/>
          <w:szCs w:val="19"/>
          <w:color w:val="1E1E1E"/>
        </w:rPr>
        <w:t>During fiscal 2023, we identified an opportunity to eliminate a variable liability by taking advantage of the high-interest rate environment and terminate the frozen pension plan and SERP. Through the purchase of nonparticipating annuities, we completed a final settlement of the SERP in the third quarter and a final settlement of the pension plan in the fourth quarter.</w:t>
      </w:r>
    </w:p>
    <w:p>
      <w:pPr>
        <w:spacing w:after="0" w:line="49" w:lineRule="exact"/>
        <w:rPr>
          <w:sz w:val="20"/>
          <w:szCs w:val="20"/>
          <w:color w:val="auto"/>
        </w:rPr>
      </w:pPr>
    </w:p>
    <w:p>
      <w:pPr>
        <w:ind w:right="1000"/>
        <w:spacing w:after="0" w:line="279" w:lineRule="auto"/>
        <w:rPr>
          <w:sz w:val="20"/>
          <w:szCs w:val="20"/>
          <w:color w:val="auto"/>
        </w:rPr>
      </w:pPr>
      <w:r>
        <w:rPr>
          <w:rFonts w:ascii="Arial" w:cs="Arial" w:eastAsia="Arial" w:hAnsi="Arial"/>
          <w:sz w:val="20"/>
          <w:szCs w:val="20"/>
          <w:color w:val="1E1E1E"/>
        </w:rPr>
        <w:t>For fiscal 2023, we recognized a charge of $ 5.7 million representing the recognition of the unrealized loss that was part of Accumulated Other Comprehensive Loss on the Consolidated Balance Sheet.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1E1E1E"/>
        </w:rPr>
        <w:t>INTEREST INCOME/EXPENSE, NET</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20"/>
          <w:szCs w:val="20"/>
          <w:color w:val="1E1E1E"/>
        </w:rPr>
        <w:t>Net interest income for fiscal 2023 was $2.1 million, as compared to net interest expense of $ 0.3 million for fiscal 2022. We started investing excess cash in short-term, US government-backed investments in the fourth quarter of fiscal 2022, which generated a net interest income position in fiscal 2023. Interest costs for both fiscal years were immaterial because we had no outstanding debt and no borrowings under our credit facility during any period.</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1E1E1E"/>
        </w:rPr>
        <w:t>INCOME TAXES</w:t>
      </w:r>
    </w:p>
    <w:p>
      <w:pPr>
        <w:spacing w:after="0" w:line="115" w:lineRule="exact"/>
        <w:rPr>
          <w:sz w:val="20"/>
          <w:szCs w:val="20"/>
          <w:color w:val="auto"/>
        </w:rPr>
      </w:pPr>
    </w:p>
    <w:p>
      <w:pPr>
        <w:ind w:right="20"/>
        <w:spacing w:after="0" w:line="279" w:lineRule="auto"/>
        <w:rPr>
          <w:sz w:val="20"/>
          <w:szCs w:val="20"/>
          <w:color w:val="auto"/>
        </w:rPr>
      </w:pPr>
      <w:r>
        <w:rPr>
          <w:rFonts w:ascii="Arial" w:cs="Arial" w:eastAsia="Arial" w:hAnsi="Arial"/>
          <w:sz w:val="20"/>
          <w:szCs w:val="20"/>
          <w:color w:val="1E1E1E"/>
        </w:rPr>
        <w:t>As a result of releasing substantially all of the valuation allowance against our deferred tax assets during fiscal 2022, we have returned to a normal tax provision for fiscal 2023.</w:t>
      </w:r>
    </w:p>
    <w:p>
      <w:pPr>
        <w:spacing w:after="0" w:line="46" w:lineRule="exact"/>
        <w:rPr>
          <w:sz w:val="20"/>
          <w:szCs w:val="20"/>
          <w:color w:val="auto"/>
        </w:rPr>
      </w:pPr>
    </w:p>
    <w:p>
      <w:pPr>
        <w:ind w:right="180"/>
        <w:spacing w:after="0" w:line="261" w:lineRule="auto"/>
        <w:rPr>
          <w:sz w:val="20"/>
          <w:szCs w:val="20"/>
          <w:color w:val="auto"/>
        </w:rPr>
      </w:pPr>
      <w:r>
        <w:rPr>
          <w:rFonts w:ascii="Arial" w:cs="Arial" w:eastAsia="Arial" w:hAnsi="Arial"/>
          <w:sz w:val="19"/>
          <w:szCs w:val="19"/>
          <w:color w:val="1E1E1E"/>
        </w:rPr>
        <w:t>Since the end of fiscal 2013, we had maintained a full valuation allowance against our deferred tax assets. During the second quarter of fiscal 2022, we determined that it was more likely than not that we would be able to realize the benefit of substantially all of our deferred tax assets in the United States. In reaching this determination, we considered the cumulative three years of profitability, our expectations regarding the generation of future taxable income as well as the overall improvement in our business and our current market position. As a result, in fiscal 2022, the valuation allowance against the Company's deferred tax assets decreased by $47.6 million, of which $31.6 million was recorded as a non-recurring tax benefit related to the release of the valuation allowance on deferred tax assets expected to be realized in future periods.</w:t>
      </w:r>
    </w:p>
    <w:p>
      <w:pPr>
        <w:spacing w:after="0" w:line="67" w:lineRule="exact"/>
        <w:rPr>
          <w:sz w:val="20"/>
          <w:szCs w:val="20"/>
          <w:color w:val="auto"/>
        </w:rPr>
      </w:pPr>
    </w:p>
    <w:p>
      <w:pPr>
        <w:ind w:right="360"/>
        <w:spacing w:after="0" w:line="279" w:lineRule="auto"/>
        <w:rPr>
          <w:sz w:val="20"/>
          <w:szCs w:val="20"/>
          <w:color w:val="auto"/>
        </w:rPr>
      </w:pPr>
      <w:r>
        <w:rPr>
          <w:rFonts w:ascii="Arial" w:cs="Arial" w:eastAsia="Arial" w:hAnsi="Arial"/>
          <w:sz w:val="20"/>
          <w:szCs w:val="20"/>
          <w:color w:val="1E1E1E"/>
        </w:rPr>
        <w:t>At February 3, 2024, we continued to provide a valuation allowance of $2.2 million, primarily against certain state and foreign net operating losses ("NOLs").</w:t>
      </w:r>
    </w:p>
    <w:p>
      <w:pPr>
        <w:spacing w:after="0" w:line="46" w:lineRule="exact"/>
        <w:rPr>
          <w:sz w:val="20"/>
          <w:szCs w:val="20"/>
          <w:color w:val="auto"/>
        </w:rPr>
      </w:pPr>
    </w:p>
    <w:p>
      <w:pPr>
        <w:ind w:right="260"/>
        <w:spacing w:after="0" w:line="283" w:lineRule="auto"/>
        <w:rPr>
          <w:sz w:val="20"/>
          <w:szCs w:val="20"/>
          <w:color w:val="auto"/>
        </w:rPr>
      </w:pPr>
      <w:r>
        <w:rPr>
          <w:rFonts w:ascii="Arial" w:cs="Arial" w:eastAsia="Arial" w:hAnsi="Arial"/>
          <w:sz w:val="18"/>
          <w:szCs w:val="18"/>
          <w:color w:val="1E1E1E"/>
        </w:rPr>
        <w:t>Realization of our deferred tax assets, which relate principally to federal net operating loss carryforwards, of which approximately $3.6 million will expire in fiscal 2037, is dependent on generating sufficient taxable income. In addition, there are $39.9 million of federal net operating loss carryforwards that do not expire. For state income tax purposes, we have $51.8 million of net operating losses that are available to offset future taxable income, the majority of which will expire from fiscal 2024 through fiscal 2045. The utilization of our NOLs reduces our taxable income and, as a result, we have minimal cash taxes.</w:t>
      </w:r>
    </w:p>
    <w:p>
      <w:pPr>
        <w:spacing w:after="0" w:line="49" w:lineRule="exact"/>
        <w:rPr>
          <w:sz w:val="20"/>
          <w:szCs w:val="20"/>
          <w:color w:val="auto"/>
        </w:rPr>
      </w:pPr>
    </w:p>
    <w:p>
      <w:pPr>
        <w:ind w:right="340"/>
        <w:spacing w:after="0" w:line="252" w:lineRule="auto"/>
        <w:rPr>
          <w:sz w:val="20"/>
          <w:szCs w:val="20"/>
          <w:color w:val="auto"/>
        </w:rPr>
      </w:pPr>
      <w:r>
        <w:rPr>
          <w:rFonts w:ascii="Arial" w:cs="Arial" w:eastAsia="Arial" w:hAnsi="Arial"/>
          <w:sz w:val="20"/>
          <w:szCs w:val="20"/>
          <w:color w:val="1E1E1E"/>
        </w:rPr>
        <w:t>For fiscal year 2023, the Company’s effective tax rate was 27.4%. For fiscal 2022, we recorded an income tax benefit of $30.8 million, which included a current income tax provision of $0.8 million, primarily related to income tax in states with statutory limitations on the usage of NOLs, and a non-recurring tax benefit of $31.6 million related to the release of the valuation allowance against the deferred tax assets. See Note F to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1E1E1E"/>
        </w:rPr>
        <w:t>NET INCOME</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20"/>
          <w:szCs w:val="20"/>
          <w:color w:val="1E1E1E"/>
        </w:rPr>
        <w:t>Net income for fiscal 2023 was $27.9 million, or $0.43 per diluted share, as compared to a net income for fiscal 2022 of $89.1 million, or $1.33 per diluted share.</w:t>
      </w:r>
    </w:p>
    <w:p>
      <w:pPr>
        <w:spacing w:after="0" w:line="44" w:lineRule="exact"/>
        <w:rPr>
          <w:sz w:val="20"/>
          <w:szCs w:val="20"/>
          <w:color w:val="auto"/>
        </w:rPr>
      </w:pPr>
    </w:p>
    <w:p>
      <w:pPr>
        <w:ind w:right="280"/>
        <w:spacing w:after="0" w:line="279" w:lineRule="auto"/>
        <w:rPr>
          <w:sz w:val="20"/>
          <w:szCs w:val="20"/>
          <w:color w:val="auto"/>
        </w:rPr>
      </w:pPr>
      <w:r>
        <w:rPr>
          <w:rFonts w:ascii="Arial" w:cs="Arial" w:eastAsia="Arial" w:hAnsi="Arial"/>
          <w:sz w:val="20"/>
          <w:szCs w:val="20"/>
          <w:color w:val="1E1E1E"/>
        </w:rPr>
        <w:t>Net income for fiscal year 2023 included net income for the 53rd week, which was approximately $1.2 million, and also included a loss from the termination of retirement plans of $5.7 million.</w:t>
      </w:r>
    </w:p>
    <w:p>
      <w:pPr>
        <w:spacing w:after="0" w:line="46" w:lineRule="exact"/>
        <w:rPr>
          <w:sz w:val="20"/>
          <w:szCs w:val="20"/>
          <w:color w:val="auto"/>
        </w:rPr>
      </w:pPr>
    </w:p>
    <w:p>
      <w:pPr>
        <w:ind w:right="600"/>
        <w:spacing w:after="0" w:line="279" w:lineRule="auto"/>
        <w:rPr>
          <w:sz w:val="20"/>
          <w:szCs w:val="20"/>
          <w:color w:val="auto"/>
        </w:rPr>
      </w:pPr>
      <w:r>
        <w:rPr>
          <w:rFonts w:ascii="Arial" w:cs="Arial" w:eastAsia="Arial" w:hAnsi="Arial"/>
          <w:sz w:val="20"/>
          <w:szCs w:val="20"/>
          <w:color w:val="1E1E1E"/>
        </w:rPr>
        <w:t>Net income for fiscal 2022 included the reversal of $31.6 million, or $0.47 per diluted share, of our deferred tax asset valuation allowance.</w:t>
      </w:r>
    </w:p>
    <w:p>
      <w:pPr>
        <w:spacing w:after="0" w:line="46" w:lineRule="exact"/>
        <w:rPr>
          <w:sz w:val="20"/>
          <w:szCs w:val="20"/>
          <w:color w:val="auto"/>
        </w:rPr>
      </w:pPr>
    </w:p>
    <w:p>
      <w:pPr>
        <w:jc w:val="both"/>
        <w:ind w:right="100"/>
        <w:spacing w:after="0" w:line="300" w:lineRule="auto"/>
        <w:rPr>
          <w:sz w:val="20"/>
          <w:szCs w:val="20"/>
          <w:color w:val="auto"/>
        </w:rPr>
      </w:pPr>
      <w:r>
        <w:rPr>
          <w:rFonts w:ascii="Arial" w:cs="Arial" w:eastAsia="Arial" w:hAnsi="Arial"/>
          <w:sz w:val="18"/>
          <w:szCs w:val="18"/>
          <w:color w:val="1E1E1E"/>
        </w:rPr>
        <w:t>On a non-GAAP basis, assuming a normalized tax rate of 27% and adjusting for the loss from the termination of the retirement plans, actual income tax provision (benefit) and asset impairment (gain), if any, adjusted net income for fiscal year 2023 was $32.3 million, or $0.50 per diluted share, as compared to adjusted net income of $42.5 million, or $0.63 per diluted share for fiscal 2022.</w:t>
      </w:r>
    </w:p>
    <w:p>
      <w:pPr>
        <w:sectPr>
          <w:pgSz w:w="11880" w:h="15480" w:orient="portrait"/>
          <w:cols w:equalWidth="0" w:num="1">
            <w:col w:w="10780"/>
          </w:cols>
          <w:pgMar w:left="540" w:top="660" w:right="56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28</w:t>
      </w:r>
    </w:p>
    <w:p>
      <w:pPr>
        <w:sectPr>
          <w:pgSz w:w="11880" w:h="15480" w:orient="portrait"/>
          <w:cols w:equalWidth="0" w:num="1">
            <w:col w:w="10780"/>
          </w:cols>
          <w:pgMar w:left="540" w:top="660" w:right="560" w:bottom="31" w:gutter="0" w:footer="0" w:header="0"/>
          <w:type w:val="continuous"/>
        </w:sectPr>
      </w:pPr>
    </w:p>
    <w:bookmarkStart w:id="30" w:name="page31"/>
    <w:bookmarkEnd w:id="30"/>
    <w:p>
      <w:pPr>
        <w:spacing w:after="0"/>
        <w:rPr>
          <w:sz w:val="20"/>
          <w:szCs w:val="20"/>
          <w:color w:val="auto"/>
        </w:rPr>
      </w:pPr>
      <w:r>
        <w:rPr>
          <w:rFonts w:ascii="Arial" w:cs="Arial" w:eastAsia="Arial" w:hAnsi="Arial"/>
          <w:sz w:val="20"/>
          <w:szCs w:val="20"/>
          <w:color w:val="1E1E1E"/>
        </w:rPr>
        <w:t>SEASONALITY</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1E1E1E"/>
        </w:rPr>
        <w:t>A comparison of sales in each quarter of the past two fiscal years is presented below. The amounts shown are also not necessarily indicative of actual trends, because such amounts also reflect the addition of new stores and the remodeling and closing of other stores during these periods. Consistent with the retail apparel industry, our business is seasonal. (Certain columns may not foot due to rounding.)</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gridSpan w:val="2"/>
          </w:tcPr>
          <w:p>
            <w:pPr>
              <w:spacing w:after="0"/>
              <w:rPr>
                <w:sz w:val="20"/>
                <w:szCs w:val="20"/>
                <w:color w:val="auto"/>
              </w:rPr>
            </w:pPr>
            <w:r>
              <w:rPr>
                <w:rFonts w:ascii="Arial" w:cs="Arial" w:eastAsia="Arial" w:hAnsi="Arial"/>
                <w:sz w:val="16"/>
                <w:szCs w:val="16"/>
                <w:color w:val="1E1E1E"/>
              </w:rPr>
              <w:t>(in millions, except percentages)</w:t>
            </w:r>
          </w:p>
        </w:tc>
        <w:tc>
          <w:tcPr>
            <w:tcW w:w="360" w:type="dxa"/>
            <w:vAlign w:val="bottom"/>
          </w:tcPr>
          <w:p>
            <w:pPr>
              <w:spacing w:after="0"/>
              <w:rPr>
                <w:sz w:val="16"/>
                <w:szCs w:val="16"/>
                <w:color w:val="auto"/>
              </w:rPr>
            </w:pPr>
          </w:p>
        </w:tc>
        <w:tc>
          <w:tcPr>
            <w:tcW w:w="1360" w:type="dxa"/>
            <w:vAlign w:val="bottom"/>
            <w:gridSpan w:val="4"/>
          </w:tcPr>
          <w:p>
            <w:pPr>
              <w:ind w:left="440"/>
              <w:spacing w:after="0"/>
              <w:rPr>
                <w:sz w:val="20"/>
                <w:szCs w:val="20"/>
                <w:color w:val="auto"/>
              </w:rPr>
            </w:pPr>
            <w:r>
              <w:rPr>
                <w:rFonts w:ascii="Arial" w:cs="Arial" w:eastAsia="Arial" w:hAnsi="Arial"/>
                <w:sz w:val="16"/>
                <w:szCs w:val="16"/>
                <w:color w:val="1E1E1E"/>
              </w:rPr>
              <w:t>Fiscal 2023</w:t>
            </w: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gridSpan w:val="4"/>
          </w:tcPr>
          <w:p>
            <w:pPr>
              <w:ind w:left="440"/>
              <w:spacing w:after="0"/>
              <w:rPr>
                <w:sz w:val="20"/>
                <w:szCs w:val="20"/>
                <w:color w:val="auto"/>
              </w:rPr>
            </w:pPr>
            <w:r>
              <w:rPr>
                <w:rFonts w:ascii="Arial" w:cs="Arial" w:eastAsia="Arial" w:hAnsi="Arial"/>
                <w:sz w:val="16"/>
                <w:szCs w:val="16"/>
                <w:color w:val="1E1E1E"/>
              </w:rPr>
              <w:t>Fiscal 2022</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1E1E1E"/>
            </w:tcBorders>
            <w:vMerge w:val="restart"/>
            <w:shd w:val="clear" w:color="auto" w:fill="E4E4E4"/>
          </w:tcPr>
          <w:p>
            <w:pPr>
              <w:spacing w:after="0"/>
              <w:rPr>
                <w:sz w:val="20"/>
                <w:szCs w:val="20"/>
                <w:color w:val="auto"/>
              </w:rPr>
            </w:pPr>
            <w:r>
              <w:rPr>
                <w:rFonts w:ascii="Arial" w:cs="Arial" w:eastAsia="Arial" w:hAnsi="Arial"/>
                <w:sz w:val="20"/>
                <w:szCs w:val="20"/>
                <w:color w:val="1E1E1E"/>
              </w:rPr>
              <w:t>First quarter</w:t>
            </w:r>
          </w:p>
        </w:tc>
        <w:tc>
          <w:tcPr>
            <w:tcW w:w="3500" w:type="dxa"/>
            <w:vAlign w:val="bottom"/>
            <w:shd w:val="clear" w:color="auto" w:fill="E4E4E4"/>
          </w:tcPr>
          <w:p>
            <w:pPr>
              <w:spacing w:after="0" w:line="20" w:lineRule="exact"/>
              <w:rPr>
                <w:sz w:val="1"/>
                <w:szCs w:val="1"/>
                <w:color w:val="auto"/>
              </w:rPr>
            </w:pPr>
          </w:p>
        </w:tc>
        <w:tc>
          <w:tcPr>
            <w:tcW w:w="360" w:type="dxa"/>
            <w:vAlign w:val="bottom"/>
            <w:tcBorders>
              <w:top w:val="single" w:sz="8" w:color="1E1E1E"/>
            </w:tcBorders>
            <w:shd w:val="clear" w:color="auto" w:fill="1E1E1E"/>
          </w:tcPr>
          <w:p>
            <w:pPr>
              <w:spacing w:after="0" w:line="20" w:lineRule="exact"/>
              <w:rPr>
                <w:sz w:val="1"/>
                <w:szCs w:val="1"/>
                <w:color w:val="auto"/>
              </w:rPr>
            </w:pPr>
          </w:p>
        </w:tc>
        <w:tc>
          <w:tcPr>
            <w:tcW w:w="700" w:type="dxa"/>
            <w:vAlign w:val="bottom"/>
            <w:tcBorders>
              <w:top w:val="single" w:sz="8" w:color="1E1E1E"/>
            </w:tcBorders>
            <w:shd w:val="clear" w:color="auto" w:fill="1E1E1E"/>
          </w:tcPr>
          <w:p>
            <w:pPr>
              <w:spacing w:after="0" w:line="20" w:lineRule="exact"/>
              <w:rPr>
                <w:sz w:val="1"/>
                <w:szCs w:val="1"/>
                <w:color w:val="auto"/>
              </w:rPr>
            </w:pPr>
          </w:p>
        </w:tc>
        <w:tc>
          <w:tcPr>
            <w:tcW w:w="120" w:type="dxa"/>
            <w:vAlign w:val="bottom"/>
            <w:tcBorders>
              <w:top w:val="single" w:sz="8" w:color="1E1E1E"/>
            </w:tcBorders>
            <w:shd w:val="clear" w:color="auto" w:fill="1E1E1E"/>
          </w:tcPr>
          <w:p>
            <w:pPr>
              <w:spacing w:after="0" w:line="20" w:lineRule="exact"/>
              <w:rPr>
                <w:sz w:val="1"/>
                <w:szCs w:val="1"/>
                <w:color w:val="auto"/>
              </w:rPr>
            </w:pPr>
          </w:p>
        </w:tc>
        <w:tc>
          <w:tcPr>
            <w:tcW w:w="120" w:type="dxa"/>
            <w:vAlign w:val="bottom"/>
            <w:tcBorders>
              <w:top w:val="single" w:sz="8" w:color="1E1E1E"/>
              <w:right w:val="single" w:sz="8" w:color="1E1E1E"/>
            </w:tcBorders>
            <w:shd w:val="clear" w:color="auto" w:fill="1E1E1E"/>
          </w:tcPr>
          <w:p>
            <w:pPr>
              <w:spacing w:after="0" w:line="20" w:lineRule="exact"/>
              <w:rPr>
                <w:sz w:val="1"/>
                <w:szCs w:val="1"/>
                <w:color w:val="auto"/>
              </w:rPr>
            </w:pPr>
          </w:p>
        </w:tc>
        <w:tc>
          <w:tcPr>
            <w:tcW w:w="420" w:type="dxa"/>
            <w:vAlign w:val="bottom"/>
            <w:tcBorders>
              <w:top w:val="single" w:sz="8" w:color="1E1E1E"/>
            </w:tcBorders>
            <w:shd w:val="clear" w:color="auto" w:fill="1E1E1E"/>
          </w:tcPr>
          <w:p>
            <w:pPr>
              <w:spacing w:after="0" w:line="20" w:lineRule="exact"/>
              <w:rPr>
                <w:sz w:val="1"/>
                <w:szCs w:val="1"/>
                <w:color w:val="auto"/>
              </w:rPr>
            </w:pPr>
          </w:p>
        </w:tc>
        <w:tc>
          <w:tcPr>
            <w:tcW w:w="640" w:type="dxa"/>
            <w:vAlign w:val="bottom"/>
            <w:tcBorders>
              <w:top w:val="single" w:sz="8" w:color="1E1E1E"/>
            </w:tcBorders>
            <w:shd w:val="clear" w:color="auto" w:fill="1E1E1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1E1E1E"/>
            </w:tcBorders>
            <w:shd w:val="clear" w:color="auto" w:fill="1E1E1E"/>
          </w:tcPr>
          <w:p>
            <w:pPr>
              <w:spacing w:after="0" w:line="20" w:lineRule="exact"/>
              <w:rPr>
                <w:sz w:val="1"/>
                <w:szCs w:val="1"/>
                <w:color w:val="auto"/>
              </w:rPr>
            </w:pPr>
          </w:p>
        </w:tc>
        <w:tc>
          <w:tcPr>
            <w:tcW w:w="700" w:type="dxa"/>
            <w:vAlign w:val="bottom"/>
            <w:tcBorders>
              <w:top w:val="single" w:sz="8" w:color="1E1E1E"/>
            </w:tcBorders>
            <w:shd w:val="clear" w:color="auto" w:fill="1E1E1E"/>
          </w:tcPr>
          <w:p>
            <w:pPr>
              <w:spacing w:after="0" w:line="20" w:lineRule="exact"/>
              <w:rPr>
                <w:sz w:val="1"/>
                <w:szCs w:val="1"/>
                <w:color w:val="auto"/>
              </w:rPr>
            </w:pPr>
          </w:p>
        </w:tc>
        <w:tc>
          <w:tcPr>
            <w:tcW w:w="120" w:type="dxa"/>
            <w:vAlign w:val="bottom"/>
            <w:tcBorders>
              <w:top w:val="single" w:sz="8" w:color="1E1E1E"/>
            </w:tcBorders>
            <w:shd w:val="clear" w:color="auto" w:fill="1E1E1E"/>
          </w:tcPr>
          <w:p>
            <w:pPr>
              <w:spacing w:after="0" w:line="20" w:lineRule="exact"/>
              <w:rPr>
                <w:sz w:val="1"/>
                <w:szCs w:val="1"/>
                <w:color w:val="auto"/>
              </w:rPr>
            </w:pPr>
          </w:p>
        </w:tc>
        <w:tc>
          <w:tcPr>
            <w:tcW w:w="120" w:type="dxa"/>
            <w:vAlign w:val="bottom"/>
            <w:tcBorders>
              <w:top w:val="single" w:sz="8" w:color="1E1E1E"/>
              <w:right w:val="single" w:sz="8" w:color="1E1E1E"/>
            </w:tcBorders>
            <w:shd w:val="clear" w:color="auto" w:fill="1E1E1E"/>
          </w:tcPr>
          <w:p>
            <w:pPr>
              <w:spacing w:after="0" w:line="20" w:lineRule="exact"/>
              <w:rPr>
                <w:sz w:val="1"/>
                <w:szCs w:val="1"/>
                <w:color w:val="auto"/>
              </w:rPr>
            </w:pPr>
          </w:p>
        </w:tc>
        <w:tc>
          <w:tcPr>
            <w:tcW w:w="420" w:type="dxa"/>
            <w:vAlign w:val="bottom"/>
            <w:tcBorders>
              <w:top w:val="single" w:sz="8" w:color="1E1E1E"/>
            </w:tcBorders>
            <w:shd w:val="clear" w:color="auto" w:fill="1E1E1E"/>
          </w:tcPr>
          <w:p>
            <w:pPr>
              <w:spacing w:after="0" w:line="20" w:lineRule="exact"/>
              <w:rPr>
                <w:sz w:val="1"/>
                <w:szCs w:val="1"/>
                <w:color w:val="auto"/>
              </w:rPr>
            </w:pPr>
          </w:p>
        </w:tc>
        <w:tc>
          <w:tcPr>
            <w:tcW w:w="640" w:type="dxa"/>
            <w:vAlign w:val="bottom"/>
            <w:tcBorders>
              <w:top w:val="single" w:sz="8" w:color="1E1E1E"/>
            </w:tcBorders>
            <w:shd w:val="clear" w:color="auto" w:fill="1E1E1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80" w:type="dxa"/>
            <w:vAlign w:val="bottom"/>
            <w:vMerge w:val="continue"/>
            <w:shd w:val="clear" w:color="auto" w:fill="E4E4E4"/>
          </w:tcPr>
          <w:p>
            <w:pPr>
              <w:spacing w:after="0"/>
              <w:rPr>
                <w:sz w:val="18"/>
                <w:szCs w:val="18"/>
                <w:color w:val="auto"/>
              </w:rPr>
            </w:pPr>
          </w:p>
        </w:tc>
        <w:tc>
          <w:tcPr>
            <w:tcW w:w="3500" w:type="dxa"/>
            <w:vAlign w:val="bottom"/>
            <w:shd w:val="clear" w:color="auto" w:fill="E4E4E4"/>
          </w:tcPr>
          <w:p>
            <w:pPr>
              <w:spacing w:after="0"/>
              <w:rPr>
                <w:sz w:val="18"/>
                <w:szCs w:val="18"/>
                <w:color w:val="auto"/>
              </w:rPr>
            </w:pPr>
          </w:p>
        </w:tc>
        <w:tc>
          <w:tcPr>
            <w:tcW w:w="360" w:type="dxa"/>
            <w:vAlign w:val="bottom"/>
            <w:shd w:val="clear" w:color="auto" w:fill="E4E4E4"/>
          </w:tcPr>
          <w:p>
            <w:pPr>
              <w:jc w:val="right"/>
              <w:ind w:right="160"/>
              <w:spacing w:after="0" w:line="217" w:lineRule="exact"/>
              <w:rPr>
                <w:sz w:val="20"/>
                <w:szCs w:val="20"/>
                <w:color w:val="auto"/>
              </w:rPr>
            </w:pPr>
            <w:r>
              <w:rPr>
                <w:rFonts w:ascii="Arial" w:cs="Arial" w:eastAsia="Arial" w:hAnsi="Arial"/>
                <w:sz w:val="20"/>
                <w:szCs w:val="20"/>
                <w:color w:val="1E1E1E"/>
                <w:w w:val="71"/>
              </w:rPr>
              <w:t>$</w:t>
            </w:r>
          </w:p>
        </w:tc>
        <w:tc>
          <w:tcPr>
            <w:tcW w:w="700" w:type="dxa"/>
            <w:vAlign w:val="bottom"/>
            <w:shd w:val="clear" w:color="auto" w:fill="E4E4E4"/>
          </w:tcPr>
          <w:p>
            <w:pPr>
              <w:ind w:left="260"/>
              <w:spacing w:after="0" w:line="217" w:lineRule="exact"/>
              <w:rPr>
                <w:sz w:val="20"/>
                <w:szCs w:val="20"/>
                <w:color w:val="auto"/>
              </w:rPr>
            </w:pPr>
            <w:r>
              <w:rPr>
                <w:rFonts w:ascii="Arial" w:cs="Arial" w:eastAsia="Arial" w:hAnsi="Arial"/>
                <w:sz w:val="20"/>
                <w:szCs w:val="20"/>
                <w:color w:val="1E1E1E"/>
                <w:w w:val="83"/>
              </w:rPr>
              <w:t>125.4</w:t>
            </w:r>
          </w:p>
        </w:tc>
        <w:tc>
          <w:tcPr>
            <w:tcW w:w="120" w:type="dxa"/>
            <w:vAlign w:val="bottom"/>
            <w:shd w:val="clear" w:color="auto" w:fill="E4E4E4"/>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line="217" w:lineRule="exact"/>
              <w:rPr>
                <w:sz w:val="20"/>
                <w:szCs w:val="20"/>
                <w:color w:val="auto"/>
              </w:rPr>
            </w:pPr>
            <w:r>
              <w:rPr>
                <w:rFonts w:ascii="Arial" w:cs="Arial" w:eastAsia="Arial" w:hAnsi="Arial"/>
                <w:sz w:val="20"/>
                <w:szCs w:val="20"/>
                <w:color w:val="1E1E1E"/>
              </w:rPr>
              <w:t>24.0%</w:t>
            </w:r>
          </w:p>
        </w:tc>
        <w:tc>
          <w:tcPr>
            <w:tcW w:w="360" w:type="dxa"/>
            <w:vAlign w:val="bottom"/>
            <w:shd w:val="clear" w:color="auto" w:fill="E4E4E4"/>
          </w:tcPr>
          <w:p>
            <w:pPr>
              <w:jc w:val="right"/>
              <w:ind w:right="160"/>
              <w:spacing w:after="0" w:line="217" w:lineRule="exact"/>
              <w:rPr>
                <w:sz w:val="20"/>
                <w:szCs w:val="20"/>
                <w:color w:val="auto"/>
              </w:rPr>
            </w:pPr>
            <w:r>
              <w:rPr>
                <w:rFonts w:ascii="Arial" w:cs="Arial" w:eastAsia="Arial" w:hAnsi="Arial"/>
                <w:sz w:val="20"/>
                <w:szCs w:val="20"/>
                <w:color w:val="1E1E1E"/>
                <w:w w:val="71"/>
              </w:rPr>
              <w:t>$</w:t>
            </w:r>
          </w:p>
        </w:tc>
        <w:tc>
          <w:tcPr>
            <w:tcW w:w="700" w:type="dxa"/>
            <w:vAlign w:val="bottom"/>
            <w:shd w:val="clear" w:color="auto" w:fill="E4E4E4"/>
          </w:tcPr>
          <w:p>
            <w:pPr>
              <w:jc w:val="right"/>
              <w:spacing w:after="0" w:line="217" w:lineRule="exact"/>
              <w:rPr>
                <w:sz w:val="20"/>
                <w:szCs w:val="20"/>
                <w:color w:val="auto"/>
              </w:rPr>
            </w:pPr>
            <w:r>
              <w:rPr>
                <w:rFonts w:ascii="Arial" w:cs="Arial" w:eastAsia="Arial" w:hAnsi="Arial"/>
                <w:sz w:val="20"/>
                <w:szCs w:val="20"/>
                <w:color w:val="1E1E1E"/>
              </w:rPr>
              <w:t>127.7</w:t>
            </w:r>
          </w:p>
        </w:tc>
        <w:tc>
          <w:tcPr>
            <w:tcW w:w="120" w:type="dxa"/>
            <w:vAlign w:val="bottom"/>
            <w:shd w:val="clear" w:color="auto" w:fill="E4E4E4"/>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20"/>
              <w:spacing w:after="0" w:line="217" w:lineRule="exact"/>
              <w:rPr>
                <w:sz w:val="20"/>
                <w:szCs w:val="20"/>
                <w:color w:val="auto"/>
              </w:rPr>
            </w:pPr>
            <w:r>
              <w:rPr>
                <w:rFonts w:ascii="Arial" w:cs="Arial" w:eastAsia="Arial" w:hAnsi="Arial"/>
                <w:sz w:val="20"/>
                <w:szCs w:val="20"/>
                <w:color w:val="1E1E1E"/>
              </w:rPr>
              <w:t>23.4%</w:t>
            </w:r>
          </w:p>
        </w:tc>
        <w:tc>
          <w:tcPr>
            <w:tcW w:w="0" w:type="dxa"/>
            <w:vAlign w:val="bottom"/>
          </w:tcPr>
          <w:p>
            <w:pPr>
              <w:spacing w:after="0"/>
              <w:rPr>
                <w:sz w:val="1"/>
                <w:szCs w:val="1"/>
                <w:color w:val="auto"/>
              </w:rPr>
            </w:pPr>
          </w:p>
        </w:tc>
      </w:tr>
      <w:tr>
        <w:trPr>
          <w:trHeight w:val="228"/>
        </w:trPr>
        <w:tc>
          <w:tcPr>
            <w:tcW w:w="5580" w:type="dxa"/>
            <w:vAlign w:val="bottom"/>
            <w:gridSpan w:val="2"/>
          </w:tcPr>
          <w:p>
            <w:pPr>
              <w:spacing w:after="0" w:line="228" w:lineRule="exact"/>
              <w:rPr>
                <w:sz w:val="20"/>
                <w:szCs w:val="20"/>
                <w:color w:val="auto"/>
              </w:rPr>
            </w:pPr>
            <w:r>
              <w:rPr>
                <w:rFonts w:ascii="Arial" w:cs="Arial" w:eastAsia="Arial" w:hAnsi="Arial"/>
                <w:sz w:val="20"/>
                <w:szCs w:val="20"/>
                <w:color w:val="1E1E1E"/>
              </w:rPr>
              <w:t>Second quarter</w:t>
            </w:r>
          </w:p>
        </w:tc>
        <w:tc>
          <w:tcPr>
            <w:tcW w:w="360" w:type="dxa"/>
            <w:vAlign w:val="bottom"/>
          </w:tcPr>
          <w:p>
            <w:pPr>
              <w:jc w:val="right"/>
              <w:ind w:right="160"/>
              <w:spacing w:after="0" w:line="228" w:lineRule="exact"/>
              <w:rPr>
                <w:sz w:val="20"/>
                <w:szCs w:val="20"/>
                <w:color w:val="auto"/>
              </w:rPr>
            </w:pPr>
            <w:r>
              <w:rPr>
                <w:rFonts w:ascii="Arial" w:cs="Arial" w:eastAsia="Arial" w:hAnsi="Arial"/>
                <w:sz w:val="20"/>
                <w:szCs w:val="20"/>
                <w:color w:val="1E1E1E"/>
                <w:w w:val="71"/>
              </w:rPr>
              <w:t>$</w:t>
            </w:r>
          </w:p>
        </w:tc>
        <w:tc>
          <w:tcPr>
            <w:tcW w:w="820" w:type="dxa"/>
            <w:vAlign w:val="bottom"/>
            <w:gridSpan w:val="2"/>
          </w:tcPr>
          <w:p>
            <w:pPr>
              <w:ind w:left="260"/>
              <w:spacing w:after="0" w:line="228" w:lineRule="exact"/>
              <w:rPr>
                <w:sz w:val="20"/>
                <w:szCs w:val="20"/>
                <w:color w:val="auto"/>
              </w:rPr>
            </w:pPr>
            <w:r>
              <w:rPr>
                <w:rFonts w:ascii="Arial" w:cs="Arial" w:eastAsia="Arial" w:hAnsi="Arial"/>
                <w:sz w:val="20"/>
                <w:szCs w:val="20"/>
                <w:color w:val="1E1E1E"/>
              </w:rPr>
              <w:t>140.0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line="228" w:lineRule="exact"/>
              <w:rPr>
                <w:sz w:val="20"/>
                <w:szCs w:val="20"/>
                <w:color w:val="auto"/>
              </w:rPr>
            </w:pPr>
            <w:r>
              <w:rPr>
                <w:rFonts w:ascii="Arial" w:cs="Arial" w:eastAsia="Arial" w:hAnsi="Arial"/>
                <w:sz w:val="20"/>
                <w:szCs w:val="20"/>
                <w:color w:val="1E1E1E"/>
              </w:rPr>
              <w:t>26.8%</w:t>
            </w:r>
          </w:p>
        </w:tc>
        <w:tc>
          <w:tcPr>
            <w:tcW w:w="360" w:type="dxa"/>
            <w:vAlign w:val="bottom"/>
          </w:tcPr>
          <w:p>
            <w:pPr>
              <w:spacing w:after="0"/>
              <w:rPr>
                <w:sz w:val="19"/>
                <w:szCs w:val="19"/>
                <w:color w:val="auto"/>
              </w:rPr>
            </w:pPr>
          </w:p>
        </w:tc>
        <w:tc>
          <w:tcPr>
            <w:tcW w:w="700" w:type="dxa"/>
            <w:vAlign w:val="bottom"/>
          </w:tcPr>
          <w:p>
            <w:pPr>
              <w:jc w:val="right"/>
              <w:spacing w:after="0" w:line="228" w:lineRule="exact"/>
              <w:rPr>
                <w:sz w:val="20"/>
                <w:szCs w:val="20"/>
                <w:color w:val="auto"/>
              </w:rPr>
            </w:pPr>
            <w:r>
              <w:rPr>
                <w:rFonts w:ascii="Arial" w:cs="Arial" w:eastAsia="Arial" w:hAnsi="Arial"/>
                <w:sz w:val="20"/>
                <w:szCs w:val="20"/>
                <w:color w:val="1E1E1E"/>
              </w:rPr>
              <w:t>144.6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ind w:right="20"/>
              <w:spacing w:after="0" w:line="228" w:lineRule="exact"/>
              <w:rPr>
                <w:sz w:val="20"/>
                <w:szCs w:val="20"/>
                <w:color w:val="auto"/>
              </w:rPr>
            </w:pPr>
            <w:r>
              <w:rPr>
                <w:rFonts w:ascii="Arial" w:cs="Arial" w:eastAsia="Arial" w:hAnsi="Arial"/>
                <w:sz w:val="20"/>
                <w:szCs w:val="20"/>
                <w:color w:val="1E1E1E"/>
              </w:rPr>
              <w:t>26.5%</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E4E4E4"/>
          </w:tcPr>
          <w:p>
            <w:pPr>
              <w:spacing w:after="0"/>
              <w:rPr>
                <w:sz w:val="20"/>
                <w:szCs w:val="20"/>
                <w:color w:val="auto"/>
              </w:rPr>
            </w:pPr>
            <w:r>
              <w:rPr>
                <w:rFonts w:ascii="Arial" w:cs="Arial" w:eastAsia="Arial" w:hAnsi="Arial"/>
                <w:sz w:val="20"/>
                <w:szCs w:val="20"/>
                <w:color w:val="1E1E1E"/>
              </w:rPr>
              <w:t>Third quarter</w:t>
            </w:r>
          </w:p>
        </w:tc>
        <w:tc>
          <w:tcPr>
            <w:tcW w:w="360" w:type="dxa"/>
            <w:vAlign w:val="bottom"/>
            <w:shd w:val="clear" w:color="auto" w:fill="E4E4E4"/>
          </w:tcPr>
          <w:p>
            <w:pPr>
              <w:jc w:val="right"/>
              <w:ind w:right="160"/>
              <w:spacing w:after="0"/>
              <w:rPr>
                <w:sz w:val="20"/>
                <w:szCs w:val="20"/>
                <w:color w:val="auto"/>
              </w:rPr>
            </w:pPr>
            <w:r>
              <w:rPr>
                <w:rFonts w:ascii="Arial" w:cs="Arial" w:eastAsia="Arial" w:hAnsi="Arial"/>
                <w:sz w:val="20"/>
                <w:szCs w:val="20"/>
                <w:color w:val="1E1E1E"/>
                <w:w w:val="71"/>
              </w:rPr>
              <w:t>$</w:t>
            </w:r>
          </w:p>
        </w:tc>
        <w:tc>
          <w:tcPr>
            <w:tcW w:w="820" w:type="dxa"/>
            <w:vAlign w:val="bottom"/>
            <w:gridSpan w:val="2"/>
            <w:shd w:val="clear" w:color="auto" w:fill="E4E4E4"/>
          </w:tcPr>
          <w:p>
            <w:pPr>
              <w:ind w:left="260"/>
              <w:spacing w:after="0"/>
              <w:rPr>
                <w:sz w:val="20"/>
                <w:szCs w:val="20"/>
                <w:color w:val="auto"/>
              </w:rPr>
            </w:pPr>
            <w:r>
              <w:rPr>
                <w:rFonts w:ascii="Arial" w:cs="Arial" w:eastAsia="Arial" w:hAnsi="Arial"/>
                <w:sz w:val="20"/>
                <w:szCs w:val="20"/>
                <w:color w:val="1E1E1E"/>
              </w:rPr>
              <w:t>119.2</w:t>
            </w:r>
          </w:p>
        </w:tc>
        <w:tc>
          <w:tcPr>
            <w:tcW w:w="120" w:type="dxa"/>
            <w:vAlign w:val="bottom"/>
            <w:tcBorders>
              <w:right w:val="single" w:sz="8" w:color="E4E4E4"/>
            </w:tcBorders>
            <w:shd w:val="clear" w:color="auto" w:fill="E4E4E4"/>
          </w:tcPr>
          <w:p>
            <w:pPr>
              <w:spacing w:after="0"/>
              <w:rPr>
                <w:sz w:val="20"/>
                <w:szCs w:val="20"/>
                <w:color w:val="auto"/>
              </w:rPr>
            </w:pPr>
          </w:p>
        </w:tc>
        <w:tc>
          <w:tcPr>
            <w:tcW w:w="420" w:type="dxa"/>
            <w:vAlign w:val="bottom"/>
            <w:shd w:val="clear" w:color="auto" w:fill="E4E4E4"/>
          </w:tcPr>
          <w:p>
            <w:pPr>
              <w:spacing w:after="0"/>
              <w:rPr>
                <w:sz w:val="20"/>
                <w:szCs w:val="20"/>
                <w:color w:val="auto"/>
              </w:rPr>
            </w:pPr>
          </w:p>
        </w:tc>
        <w:tc>
          <w:tcPr>
            <w:tcW w:w="960" w:type="dxa"/>
            <w:vAlign w:val="bottom"/>
            <w:gridSpan w:val="2"/>
            <w:shd w:val="clear" w:color="auto" w:fill="E4E4E4"/>
          </w:tcPr>
          <w:p>
            <w:pPr>
              <w:jc w:val="right"/>
              <w:ind w:right="160"/>
              <w:spacing w:after="0"/>
              <w:rPr>
                <w:sz w:val="20"/>
                <w:szCs w:val="20"/>
                <w:color w:val="auto"/>
              </w:rPr>
            </w:pPr>
            <w:r>
              <w:rPr>
                <w:rFonts w:ascii="Arial" w:cs="Arial" w:eastAsia="Arial" w:hAnsi="Arial"/>
                <w:sz w:val="20"/>
                <w:szCs w:val="20"/>
                <w:color w:val="1E1E1E"/>
              </w:rPr>
              <w:t>22.8%</w:t>
            </w:r>
          </w:p>
        </w:tc>
        <w:tc>
          <w:tcPr>
            <w:tcW w:w="360" w:type="dxa"/>
            <w:vAlign w:val="bottom"/>
            <w:shd w:val="clear" w:color="auto" w:fill="E4E4E4"/>
          </w:tcPr>
          <w:p>
            <w:pPr>
              <w:spacing w:after="0"/>
              <w:rPr>
                <w:sz w:val="20"/>
                <w:szCs w:val="20"/>
                <w:color w:val="auto"/>
              </w:rPr>
            </w:pPr>
          </w:p>
        </w:tc>
        <w:tc>
          <w:tcPr>
            <w:tcW w:w="70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129.7</w:t>
            </w:r>
          </w:p>
        </w:tc>
        <w:tc>
          <w:tcPr>
            <w:tcW w:w="120" w:type="dxa"/>
            <w:vAlign w:val="bottom"/>
            <w:shd w:val="clear" w:color="auto" w:fill="E4E4E4"/>
          </w:tcPr>
          <w:p>
            <w:pPr>
              <w:spacing w:after="0"/>
              <w:rPr>
                <w:sz w:val="20"/>
                <w:szCs w:val="20"/>
                <w:color w:val="auto"/>
              </w:rPr>
            </w:pPr>
          </w:p>
        </w:tc>
        <w:tc>
          <w:tcPr>
            <w:tcW w:w="120" w:type="dxa"/>
            <w:vAlign w:val="bottom"/>
            <w:tcBorders>
              <w:right w:val="single" w:sz="8" w:color="E4E4E4"/>
            </w:tcBorders>
            <w:shd w:val="clear" w:color="auto" w:fill="E4E4E4"/>
          </w:tcPr>
          <w:p>
            <w:pPr>
              <w:spacing w:after="0"/>
              <w:rPr>
                <w:sz w:val="20"/>
                <w:szCs w:val="20"/>
                <w:color w:val="auto"/>
              </w:rPr>
            </w:pPr>
          </w:p>
        </w:tc>
        <w:tc>
          <w:tcPr>
            <w:tcW w:w="420" w:type="dxa"/>
            <w:vAlign w:val="bottom"/>
            <w:shd w:val="clear" w:color="auto" w:fill="E4E4E4"/>
          </w:tcPr>
          <w:p>
            <w:pPr>
              <w:spacing w:after="0"/>
              <w:rPr>
                <w:sz w:val="20"/>
                <w:szCs w:val="20"/>
                <w:color w:val="auto"/>
              </w:rPr>
            </w:pPr>
          </w:p>
        </w:tc>
        <w:tc>
          <w:tcPr>
            <w:tcW w:w="820" w:type="dxa"/>
            <w:vAlign w:val="bottom"/>
            <w:gridSpan w:val="2"/>
            <w:shd w:val="clear" w:color="auto" w:fill="E4E4E4"/>
          </w:tcPr>
          <w:p>
            <w:pPr>
              <w:jc w:val="right"/>
              <w:ind w:right="20"/>
              <w:spacing w:after="0"/>
              <w:rPr>
                <w:sz w:val="20"/>
                <w:szCs w:val="20"/>
                <w:color w:val="auto"/>
              </w:rPr>
            </w:pPr>
            <w:r>
              <w:rPr>
                <w:rFonts w:ascii="Arial" w:cs="Arial" w:eastAsia="Arial" w:hAnsi="Arial"/>
                <w:sz w:val="20"/>
                <w:szCs w:val="20"/>
                <w:color w:val="1E1E1E"/>
              </w:rPr>
              <w:t>23.8%</w:t>
            </w: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20"/>
                <w:szCs w:val="20"/>
                <w:color w:val="1E1E1E"/>
              </w:rPr>
              <w:t>Fourth quarter</w:t>
            </w:r>
          </w:p>
        </w:tc>
        <w:tc>
          <w:tcPr>
            <w:tcW w:w="360" w:type="dxa"/>
            <w:vAlign w:val="bottom"/>
          </w:tcPr>
          <w:p>
            <w:pPr>
              <w:jc w:val="right"/>
              <w:ind w:right="160"/>
              <w:spacing w:after="0"/>
              <w:rPr>
                <w:sz w:val="20"/>
                <w:szCs w:val="20"/>
                <w:color w:val="auto"/>
              </w:rPr>
            </w:pPr>
            <w:r>
              <w:rPr>
                <w:rFonts w:ascii="Arial" w:cs="Arial" w:eastAsia="Arial" w:hAnsi="Arial"/>
                <w:sz w:val="20"/>
                <w:szCs w:val="20"/>
                <w:color w:val="1E1E1E"/>
                <w:w w:val="71"/>
              </w:rPr>
              <w:t>$</w:t>
            </w:r>
          </w:p>
        </w:tc>
        <w:tc>
          <w:tcPr>
            <w:tcW w:w="820" w:type="dxa"/>
            <w:vAlign w:val="bottom"/>
            <w:gridSpan w:val="2"/>
          </w:tcPr>
          <w:p>
            <w:pPr>
              <w:ind w:left="260"/>
              <w:spacing w:after="0"/>
              <w:rPr>
                <w:sz w:val="20"/>
                <w:szCs w:val="20"/>
                <w:color w:val="auto"/>
              </w:rPr>
            </w:pPr>
            <w:r>
              <w:rPr>
                <w:rFonts w:ascii="Arial" w:cs="Arial" w:eastAsia="Arial" w:hAnsi="Arial"/>
                <w:sz w:val="20"/>
                <w:szCs w:val="20"/>
                <w:color w:val="1E1E1E"/>
              </w:rPr>
              <w:t>137.1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20"/>
                <w:szCs w:val="20"/>
                <w:color w:val="1E1E1E"/>
              </w:rPr>
              <w:t>26.3%</w:t>
            </w: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1E1E1E"/>
              </w:rPr>
              <w:t>143.9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20"/>
                <w:szCs w:val="20"/>
                <w:color w:val="1E1E1E"/>
              </w:rPr>
              <w:t>26.4%</w:t>
            </w:r>
          </w:p>
        </w:tc>
        <w:tc>
          <w:tcPr>
            <w:tcW w:w="0" w:type="dxa"/>
            <w:vAlign w:val="bottom"/>
          </w:tcPr>
          <w:p>
            <w:pPr>
              <w:spacing w:after="0"/>
              <w:rPr>
                <w:sz w:val="1"/>
                <w:szCs w:val="1"/>
                <w:color w:val="auto"/>
              </w:rPr>
            </w:pPr>
          </w:p>
        </w:tc>
      </w:tr>
      <w:tr>
        <w:trPr>
          <w:trHeight w:val="20"/>
        </w:trPr>
        <w:tc>
          <w:tcPr>
            <w:tcW w:w="2080" w:type="dxa"/>
            <w:vAlign w:val="bottom"/>
            <w:shd w:val="clear" w:color="auto" w:fill="E4E4E4"/>
          </w:tcPr>
          <w:p>
            <w:pPr>
              <w:spacing w:after="0" w:line="20" w:lineRule="exact"/>
              <w:rPr>
                <w:sz w:val="1"/>
                <w:szCs w:val="1"/>
                <w:color w:val="auto"/>
              </w:rPr>
            </w:pPr>
          </w:p>
        </w:tc>
        <w:tc>
          <w:tcPr>
            <w:tcW w:w="3500" w:type="dxa"/>
            <w:vAlign w:val="bottom"/>
            <w:shd w:val="clear" w:color="auto" w:fill="E4E4E4"/>
          </w:tcPr>
          <w:p>
            <w:pPr>
              <w:spacing w:after="0" w:line="20" w:lineRule="exact"/>
              <w:rPr>
                <w:sz w:val="1"/>
                <w:szCs w:val="1"/>
                <w:color w:val="auto"/>
              </w:rPr>
            </w:pPr>
          </w:p>
        </w:tc>
        <w:tc>
          <w:tcPr>
            <w:tcW w:w="360" w:type="dxa"/>
            <w:vAlign w:val="bottom"/>
            <w:shd w:val="clear" w:color="auto" w:fill="1E1E1E"/>
          </w:tcPr>
          <w:p>
            <w:pPr>
              <w:spacing w:after="0" w:line="20" w:lineRule="exact"/>
              <w:rPr>
                <w:sz w:val="1"/>
                <w:szCs w:val="1"/>
                <w:color w:val="auto"/>
              </w:rPr>
            </w:pPr>
          </w:p>
        </w:tc>
        <w:tc>
          <w:tcPr>
            <w:tcW w:w="700" w:type="dxa"/>
            <w:vAlign w:val="bottom"/>
            <w:shd w:val="clear" w:color="auto" w:fill="1E1E1E"/>
          </w:tcPr>
          <w:p>
            <w:pPr>
              <w:spacing w:after="0" w:line="20" w:lineRule="exact"/>
              <w:rPr>
                <w:sz w:val="1"/>
                <w:szCs w:val="1"/>
                <w:color w:val="auto"/>
              </w:rPr>
            </w:pPr>
          </w:p>
        </w:tc>
        <w:tc>
          <w:tcPr>
            <w:tcW w:w="120" w:type="dxa"/>
            <w:vAlign w:val="bottom"/>
            <w:shd w:val="clear" w:color="auto" w:fill="E4E4E4"/>
          </w:tcPr>
          <w:p>
            <w:pPr>
              <w:spacing w:after="0" w:line="20" w:lineRule="exact"/>
              <w:rPr>
                <w:sz w:val="1"/>
                <w:szCs w:val="1"/>
                <w:color w:val="auto"/>
              </w:rPr>
            </w:pPr>
          </w:p>
        </w:tc>
        <w:tc>
          <w:tcPr>
            <w:tcW w:w="120" w:type="dxa"/>
            <w:vAlign w:val="bottom"/>
            <w:tcBorders>
              <w:right w:val="single" w:sz="8" w:color="1E1E1E"/>
            </w:tcBorders>
            <w:shd w:val="clear" w:color="auto" w:fill="E4E4E4"/>
          </w:tcPr>
          <w:p>
            <w:pPr>
              <w:spacing w:after="0" w:line="20" w:lineRule="exact"/>
              <w:rPr>
                <w:sz w:val="1"/>
                <w:szCs w:val="1"/>
                <w:color w:val="auto"/>
              </w:rPr>
            </w:pPr>
          </w:p>
        </w:tc>
        <w:tc>
          <w:tcPr>
            <w:tcW w:w="420" w:type="dxa"/>
            <w:vAlign w:val="bottom"/>
            <w:shd w:val="clear" w:color="auto" w:fill="1E1E1E"/>
          </w:tcPr>
          <w:p>
            <w:pPr>
              <w:spacing w:after="0" w:line="20" w:lineRule="exact"/>
              <w:rPr>
                <w:sz w:val="1"/>
                <w:szCs w:val="1"/>
                <w:color w:val="auto"/>
              </w:rPr>
            </w:pPr>
          </w:p>
        </w:tc>
        <w:tc>
          <w:tcPr>
            <w:tcW w:w="640" w:type="dxa"/>
            <w:vAlign w:val="bottom"/>
            <w:shd w:val="clear" w:color="auto" w:fill="1E1E1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1E1E1E"/>
          </w:tcPr>
          <w:p>
            <w:pPr>
              <w:spacing w:after="0" w:line="20" w:lineRule="exact"/>
              <w:rPr>
                <w:sz w:val="1"/>
                <w:szCs w:val="1"/>
                <w:color w:val="auto"/>
              </w:rPr>
            </w:pPr>
          </w:p>
        </w:tc>
        <w:tc>
          <w:tcPr>
            <w:tcW w:w="700" w:type="dxa"/>
            <w:vAlign w:val="bottom"/>
            <w:shd w:val="clear" w:color="auto" w:fill="1E1E1E"/>
          </w:tcPr>
          <w:p>
            <w:pPr>
              <w:spacing w:after="0" w:line="20" w:lineRule="exact"/>
              <w:rPr>
                <w:sz w:val="1"/>
                <w:szCs w:val="1"/>
                <w:color w:val="auto"/>
              </w:rPr>
            </w:pPr>
          </w:p>
        </w:tc>
        <w:tc>
          <w:tcPr>
            <w:tcW w:w="120" w:type="dxa"/>
            <w:vAlign w:val="bottom"/>
            <w:shd w:val="clear" w:color="auto" w:fill="E4E4E4"/>
          </w:tcPr>
          <w:p>
            <w:pPr>
              <w:spacing w:after="0" w:line="20" w:lineRule="exact"/>
              <w:rPr>
                <w:sz w:val="1"/>
                <w:szCs w:val="1"/>
                <w:color w:val="auto"/>
              </w:rPr>
            </w:pPr>
          </w:p>
        </w:tc>
        <w:tc>
          <w:tcPr>
            <w:tcW w:w="120" w:type="dxa"/>
            <w:vAlign w:val="bottom"/>
            <w:tcBorders>
              <w:right w:val="single" w:sz="8" w:color="1E1E1E"/>
            </w:tcBorders>
            <w:shd w:val="clear" w:color="auto" w:fill="E4E4E4"/>
          </w:tcPr>
          <w:p>
            <w:pPr>
              <w:spacing w:after="0" w:line="20" w:lineRule="exact"/>
              <w:rPr>
                <w:sz w:val="1"/>
                <w:szCs w:val="1"/>
                <w:color w:val="auto"/>
              </w:rPr>
            </w:pPr>
          </w:p>
        </w:tc>
        <w:tc>
          <w:tcPr>
            <w:tcW w:w="420" w:type="dxa"/>
            <w:vAlign w:val="bottom"/>
            <w:shd w:val="clear" w:color="auto" w:fill="1E1E1E"/>
          </w:tcPr>
          <w:p>
            <w:pPr>
              <w:spacing w:after="0" w:line="20" w:lineRule="exact"/>
              <w:rPr>
                <w:sz w:val="1"/>
                <w:szCs w:val="1"/>
                <w:color w:val="auto"/>
              </w:rPr>
            </w:pPr>
          </w:p>
        </w:tc>
        <w:tc>
          <w:tcPr>
            <w:tcW w:w="640" w:type="dxa"/>
            <w:vAlign w:val="bottom"/>
            <w:shd w:val="clear" w:color="auto" w:fill="1E1E1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80" w:type="dxa"/>
            <w:vAlign w:val="bottom"/>
            <w:shd w:val="clear" w:color="auto" w:fill="E4E4E4"/>
          </w:tcPr>
          <w:p>
            <w:pPr>
              <w:spacing w:after="0"/>
              <w:rPr>
                <w:sz w:val="19"/>
                <w:szCs w:val="19"/>
                <w:color w:val="auto"/>
              </w:rPr>
            </w:pPr>
          </w:p>
        </w:tc>
        <w:tc>
          <w:tcPr>
            <w:tcW w:w="3500" w:type="dxa"/>
            <w:vAlign w:val="bottom"/>
            <w:shd w:val="clear" w:color="auto" w:fill="E4E4E4"/>
          </w:tcPr>
          <w:p>
            <w:pPr>
              <w:spacing w:after="0"/>
              <w:rPr>
                <w:sz w:val="19"/>
                <w:szCs w:val="19"/>
                <w:color w:val="auto"/>
              </w:rPr>
            </w:pPr>
          </w:p>
        </w:tc>
        <w:tc>
          <w:tcPr>
            <w:tcW w:w="360" w:type="dxa"/>
            <w:vAlign w:val="bottom"/>
            <w:shd w:val="clear" w:color="auto" w:fill="E4E4E4"/>
          </w:tcPr>
          <w:p>
            <w:pPr>
              <w:jc w:val="right"/>
              <w:ind w:right="160"/>
              <w:spacing w:after="0" w:line="223" w:lineRule="exact"/>
              <w:rPr>
                <w:sz w:val="20"/>
                <w:szCs w:val="20"/>
                <w:color w:val="auto"/>
              </w:rPr>
            </w:pPr>
            <w:r>
              <w:rPr>
                <w:rFonts w:ascii="Arial" w:cs="Arial" w:eastAsia="Arial" w:hAnsi="Arial"/>
                <w:sz w:val="20"/>
                <w:szCs w:val="20"/>
                <w:color w:val="1E1E1E"/>
                <w:w w:val="71"/>
              </w:rPr>
              <w:t>$</w:t>
            </w:r>
          </w:p>
        </w:tc>
        <w:tc>
          <w:tcPr>
            <w:tcW w:w="700" w:type="dxa"/>
            <w:vAlign w:val="bottom"/>
            <w:shd w:val="clear" w:color="auto" w:fill="E4E4E4"/>
          </w:tcPr>
          <w:p>
            <w:pPr>
              <w:ind w:left="260"/>
              <w:spacing w:after="0" w:line="223" w:lineRule="exact"/>
              <w:rPr>
                <w:sz w:val="20"/>
                <w:szCs w:val="20"/>
                <w:color w:val="auto"/>
              </w:rPr>
            </w:pPr>
            <w:r>
              <w:rPr>
                <w:rFonts w:ascii="Arial" w:cs="Arial" w:eastAsia="Arial" w:hAnsi="Arial"/>
                <w:sz w:val="20"/>
                <w:szCs w:val="20"/>
                <w:color w:val="1E1E1E"/>
                <w:w w:val="83"/>
              </w:rPr>
              <w:t>521.8</w:t>
            </w:r>
          </w:p>
        </w:tc>
        <w:tc>
          <w:tcPr>
            <w:tcW w:w="120" w:type="dxa"/>
            <w:vAlign w:val="bottom"/>
            <w:shd w:val="clear" w:color="auto" w:fill="E4E4E4"/>
          </w:tcPr>
          <w:p>
            <w:pPr>
              <w:spacing w:after="0"/>
              <w:rPr>
                <w:sz w:val="19"/>
                <w:szCs w:val="19"/>
                <w:color w:val="auto"/>
              </w:rPr>
            </w:pPr>
          </w:p>
        </w:tc>
        <w:tc>
          <w:tcPr>
            <w:tcW w:w="120" w:type="dxa"/>
            <w:vAlign w:val="bottom"/>
            <w:tcBorders>
              <w:right w:val="single" w:sz="8" w:color="E4E4E4"/>
            </w:tcBorders>
            <w:shd w:val="clear" w:color="auto" w:fill="E4E4E4"/>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line="223" w:lineRule="exact"/>
              <w:rPr>
                <w:sz w:val="20"/>
                <w:szCs w:val="20"/>
                <w:color w:val="auto"/>
              </w:rPr>
            </w:pPr>
            <w:r>
              <w:rPr>
                <w:rFonts w:ascii="Arial" w:cs="Arial" w:eastAsia="Arial" w:hAnsi="Arial"/>
                <w:sz w:val="20"/>
                <w:szCs w:val="20"/>
                <w:color w:val="1E1E1E"/>
              </w:rPr>
              <w:t>100.0%</w:t>
            </w:r>
          </w:p>
        </w:tc>
        <w:tc>
          <w:tcPr>
            <w:tcW w:w="360" w:type="dxa"/>
            <w:vAlign w:val="bottom"/>
            <w:shd w:val="clear" w:color="auto" w:fill="E4E4E4"/>
          </w:tcPr>
          <w:p>
            <w:pPr>
              <w:jc w:val="right"/>
              <w:ind w:right="160"/>
              <w:spacing w:after="0" w:line="223" w:lineRule="exact"/>
              <w:rPr>
                <w:sz w:val="20"/>
                <w:szCs w:val="20"/>
                <w:color w:val="auto"/>
              </w:rPr>
            </w:pPr>
            <w:r>
              <w:rPr>
                <w:rFonts w:ascii="Arial" w:cs="Arial" w:eastAsia="Arial" w:hAnsi="Arial"/>
                <w:sz w:val="20"/>
                <w:szCs w:val="20"/>
                <w:color w:val="1E1E1E"/>
                <w:w w:val="71"/>
              </w:rPr>
              <w:t>$</w:t>
            </w:r>
          </w:p>
        </w:tc>
        <w:tc>
          <w:tcPr>
            <w:tcW w:w="700" w:type="dxa"/>
            <w:vAlign w:val="bottom"/>
            <w:shd w:val="clear" w:color="auto" w:fill="E4E4E4"/>
          </w:tcPr>
          <w:p>
            <w:pPr>
              <w:jc w:val="right"/>
              <w:spacing w:after="0" w:line="223" w:lineRule="exact"/>
              <w:rPr>
                <w:sz w:val="20"/>
                <w:szCs w:val="20"/>
                <w:color w:val="auto"/>
              </w:rPr>
            </w:pPr>
            <w:r>
              <w:rPr>
                <w:rFonts w:ascii="Arial" w:cs="Arial" w:eastAsia="Arial" w:hAnsi="Arial"/>
                <w:sz w:val="20"/>
                <w:szCs w:val="20"/>
                <w:color w:val="1E1E1E"/>
              </w:rPr>
              <w:t>545.8</w:t>
            </w:r>
          </w:p>
        </w:tc>
        <w:tc>
          <w:tcPr>
            <w:tcW w:w="120" w:type="dxa"/>
            <w:vAlign w:val="bottom"/>
            <w:shd w:val="clear" w:color="auto" w:fill="E4E4E4"/>
          </w:tcPr>
          <w:p>
            <w:pPr>
              <w:spacing w:after="0"/>
              <w:rPr>
                <w:sz w:val="19"/>
                <w:szCs w:val="19"/>
                <w:color w:val="auto"/>
              </w:rPr>
            </w:pPr>
          </w:p>
        </w:tc>
        <w:tc>
          <w:tcPr>
            <w:tcW w:w="120" w:type="dxa"/>
            <w:vAlign w:val="bottom"/>
            <w:tcBorders>
              <w:right w:val="single" w:sz="8" w:color="E4E4E4"/>
            </w:tcBorders>
            <w:shd w:val="clear" w:color="auto" w:fill="E4E4E4"/>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ind w:right="20"/>
              <w:spacing w:after="0" w:line="223" w:lineRule="exact"/>
              <w:rPr>
                <w:sz w:val="20"/>
                <w:szCs w:val="20"/>
                <w:color w:val="auto"/>
              </w:rPr>
            </w:pPr>
            <w:r>
              <w:rPr>
                <w:rFonts w:ascii="Arial" w:cs="Arial" w:eastAsia="Arial" w:hAnsi="Arial"/>
                <w:sz w:val="20"/>
                <w:szCs w:val="20"/>
                <w:color w:val="1E1E1E"/>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-742950</wp:posOffset>
            </wp:positionV>
            <wp:extent cx="952500" cy="1536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52500" cy="153670"/>
                    </a:xfrm>
                    <a:prstGeom prst="rect">
                      <a:avLst/>
                    </a:prstGeom>
                    <a:noFill/>
                  </pic:spPr>
                </pic:pic>
              </a:graphicData>
            </a:graphic>
          </wp:anchor>
        </w:drawing>
        <w:drawing>
          <wp:anchor simplePos="0" relativeHeight="251657728" behindDoc="1" locked="0" layoutInCell="0" allowOverlap="1">
            <wp:simplePos x="0" y="0"/>
            <wp:positionH relativeFrom="column">
              <wp:posOffset>5990590</wp:posOffset>
            </wp:positionH>
            <wp:positionV relativeFrom="paragraph">
              <wp:posOffset>-737235</wp:posOffset>
            </wp:positionV>
            <wp:extent cx="746760" cy="147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46760" cy="147955"/>
                    </a:xfrm>
                    <a:prstGeom prst="rect">
                      <a:avLst/>
                    </a:prstGeom>
                    <a:noFill/>
                  </pic:spPr>
                </pic:pic>
              </a:graphicData>
            </a:graphic>
          </wp:anchor>
        </w:drawing>
        <w:drawing>
          <wp:anchor simplePos="0" relativeHeight="251657728" behindDoc="1" locked="0" layoutInCell="0" allowOverlap="1">
            <wp:simplePos x="0" y="0"/>
            <wp:positionH relativeFrom="column">
              <wp:posOffset>4358640</wp:posOffset>
            </wp:positionH>
            <wp:positionV relativeFrom="paragraph">
              <wp:posOffset>-153035</wp:posOffset>
            </wp:positionV>
            <wp:extent cx="883920" cy="1536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3920" cy="153670"/>
                    </a:xfrm>
                    <a:prstGeom prst="rect">
                      <a:avLst/>
                    </a:prstGeom>
                    <a:noFill/>
                  </pic:spPr>
                </pic:pic>
              </a:graphicData>
            </a:graphic>
          </wp:anchor>
        </w:drawing>
        <w:drawing>
          <wp:anchor simplePos="0" relativeHeight="251657728" behindDoc="1" locked="0" layoutInCell="0" allowOverlap="1">
            <wp:simplePos x="0" y="0"/>
            <wp:positionH relativeFrom="column">
              <wp:posOffset>6059170</wp:posOffset>
            </wp:positionH>
            <wp:positionV relativeFrom="paragraph">
              <wp:posOffset>-147320</wp:posOffset>
            </wp:positionV>
            <wp:extent cx="678180" cy="147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8180" cy="1479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1E1E1E"/>
        </w:rPr>
        <w:t>EFFECTS OF INFLATION</w:t>
      </w:r>
    </w:p>
    <w:p>
      <w:pPr>
        <w:spacing w:after="0" w:line="117" w:lineRule="exact"/>
        <w:rPr>
          <w:sz w:val="20"/>
          <w:szCs w:val="20"/>
          <w:color w:val="auto"/>
        </w:rPr>
      </w:pPr>
    </w:p>
    <w:p>
      <w:pPr>
        <w:ind w:right="60"/>
        <w:spacing w:after="0" w:line="336" w:lineRule="auto"/>
        <w:rPr>
          <w:sz w:val="20"/>
          <w:szCs w:val="20"/>
          <w:color w:val="auto"/>
        </w:rPr>
      </w:pPr>
      <w:r>
        <w:rPr>
          <w:rFonts w:ascii="Arial" w:cs="Arial" w:eastAsia="Arial" w:hAnsi="Arial"/>
          <w:sz w:val="18"/>
          <w:szCs w:val="18"/>
          <w:color w:val="1E1E1E"/>
        </w:rPr>
        <w:t>During fiscal 2023, we continued to see the effect of inflationary pressures on raw materials, services and labor. While there seems to be improvement, we cannot be certain of the effect inflation (or deflation) may have on our results of operations in the future.</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1E1E1E"/>
        </w:rPr>
        <w:t>LIQUIDITY AND CAPITAL RESOURCES</w:t>
      </w:r>
    </w:p>
    <w:p>
      <w:pPr>
        <w:spacing w:after="0" w:line="117" w:lineRule="exact"/>
        <w:rPr>
          <w:sz w:val="20"/>
          <w:szCs w:val="20"/>
          <w:color w:val="auto"/>
        </w:rPr>
      </w:pPr>
    </w:p>
    <w:p>
      <w:pPr>
        <w:jc w:val="both"/>
        <w:ind w:right="160"/>
        <w:spacing w:after="0" w:line="252" w:lineRule="auto"/>
        <w:rPr>
          <w:sz w:val="20"/>
          <w:szCs w:val="20"/>
          <w:color w:val="auto"/>
        </w:rPr>
      </w:pPr>
      <w:r>
        <w:rPr>
          <w:rFonts w:ascii="Arial" w:cs="Arial" w:eastAsia="Arial" w:hAnsi="Arial"/>
          <w:sz w:val="20"/>
          <w:szCs w:val="20"/>
          <w:color w:val="1E1E1E"/>
        </w:rPr>
        <w:t>Our primary sources of liquidity are our cash and cash equivalents, cash generated from operations and availability under our credit facility, which is discussed below. We believe these sources of liquidity will be sufficient to fund our working capital requirements, commitments, capital expenditures and our stock repurchase program. Cash that is in excess of our forecasted needs may be invested in money market accounts and U.S. government-backed securities.</w:t>
      </w:r>
    </w:p>
    <w:p>
      <w:pPr>
        <w:spacing w:after="0" w:line="73" w:lineRule="exact"/>
        <w:rPr>
          <w:sz w:val="20"/>
          <w:szCs w:val="20"/>
          <w:color w:val="auto"/>
        </w:rPr>
      </w:pPr>
    </w:p>
    <w:p>
      <w:pPr>
        <w:spacing w:after="0" w:line="249" w:lineRule="auto"/>
        <w:rPr>
          <w:sz w:val="20"/>
          <w:szCs w:val="20"/>
          <w:color w:val="auto"/>
        </w:rPr>
      </w:pPr>
      <w:r>
        <w:rPr>
          <w:rFonts w:ascii="Arial" w:cs="Arial" w:eastAsia="Arial" w:hAnsi="Arial"/>
          <w:sz w:val="20"/>
          <w:szCs w:val="20"/>
          <w:color w:val="1E1E1E"/>
        </w:rPr>
        <w:t>We believe that our cash, investments, cash generated from operations, and borrowings available to us under our credit facility will be adequate to meet our liquidity needs and capital expenditure requirements for at least the next 12 months. We also believe that cash flows from operating activities and cash on hand will be sufficient to satisfy our capital requirements in the longer- term, however, to the extent future capital requirements exceed cash on hand plus cash flows from operating activities, we anticipate that working capital will be financed by our credit facility.</w:t>
      </w:r>
    </w:p>
    <w:p>
      <w:pPr>
        <w:spacing w:after="0" w:line="77" w:lineRule="exact"/>
        <w:rPr>
          <w:sz w:val="20"/>
          <w:szCs w:val="20"/>
          <w:color w:val="auto"/>
        </w:rPr>
      </w:pPr>
    </w:p>
    <w:p>
      <w:pPr>
        <w:jc w:val="both"/>
        <w:ind w:right="40"/>
        <w:spacing w:after="0" w:line="302" w:lineRule="auto"/>
        <w:rPr>
          <w:sz w:val="20"/>
          <w:szCs w:val="20"/>
          <w:color w:val="auto"/>
        </w:rPr>
      </w:pPr>
      <w:r>
        <w:rPr>
          <w:rFonts w:ascii="Arial" w:cs="Arial" w:eastAsia="Arial" w:hAnsi="Arial"/>
          <w:sz w:val="18"/>
          <w:szCs w:val="18"/>
          <w:color w:val="1E1E1E"/>
        </w:rPr>
        <w:t>At February 3, 2024 our material contractual obligations primarily consisted of our operating lease obligations, as disclosed in Note E, Leases, to the Consolidated Financial Statements. In addition to our lease obligations, at February 3, 2024, we were also contractually committed pursuant to a merchandise purchase obligation to meet minimum purchases of $10.0 million annually through fiscal 2028.</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1E1E1E"/>
        </w:rPr>
        <w:t>The following table sets forth financial data regarding our liquidity position at the end of the past two fiscal years:</w:t>
      </w:r>
    </w:p>
    <w:p>
      <w:pPr>
        <w:spacing w:after="0" w:line="232" w:lineRule="exact"/>
        <w:rPr>
          <w:sz w:val="20"/>
          <w:szCs w:val="20"/>
          <w:color w:val="auto"/>
        </w:rPr>
      </w:pPr>
    </w:p>
    <w:tbl>
      <w:tblPr>
        <w:tblLayout w:type="fixed"/>
        <w:tblInd w:w="1080" w:type="dxa"/>
        <w:tblCellMar>
          <w:top w:w="0" w:type="dxa"/>
          <w:left w:w="0" w:type="dxa"/>
          <w:bottom w:w="0" w:type="dxa"/>
          <w:right w:w="0" w:type="dxa"/>
        </w:tblCellMar>
      </w:tblPr>
      <w:tr>
        <w:trPr>
          <w:trHeight w:val="204"/>
        </w:trPr>
        <w:tc>
          <w:tcPr>
            <w:tcW w:w="5820" w:type="dxa"/>
            <w:vAlign w:val="bottom"/>
            <w:gridSpan w:val="2"/>
          </w:tcPr>
          <w:p>
            <w:pPr>
              <w:spacing w:after="0"/>
              <w:rPr>
                <w:sz w:val="20"/>
                <w:szCs w:val="20"/>
                <w:color w:val="auto"/>
              </w:rPr>
            </w:pPr>
            <w:r>
              <w:rPr>
                <w:rFonts w:ascii="Arial" w:cs="Arial" w:eastAsia="Arial" w:hAnsi="Arial"/>
                <w:sz w:val="16"/>
                <w:szCs w:val="16"/>
                <w:color w:val="1E1E1E"/>
              </w:rPr>
              <w:t>(in millions)</w:t>
            </w:r>
          </w:p>
        </w:tc>
        <w:tc>
          <w:tcPr>
            <w:tcW w:w="160" w:type="dxa"/>
            <w:vAlign w:val="bottom"/>
          </w:tcPr>
          <w:p>
            <w:pPr>
              <w:spacing w:after="0"/>
              <w:rPr>
                <w:sz w:val="17"/>
                <w:szCs w:val="17"/>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6"/>
                <w:szCs w:val="16"/>
                <w:color w:val="1E1E1E"/>
                <w:w w:val="97"/>
              </w:rPr>
              <w:t>Fiscal 2023</w:t>
            </w:r>
          </w:p>
        </w:tc>
        <w:tc>
          <w:tcPr>
            <w:tcW w:w="16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6"/>
                <w:szCs w:val="16"/>
                <w:color w:val="1E1E1E"/>
                <w:w w:val="95"/>
              </w:rPr>
              <w:t>Fiscal 2022</w:t>
            </w:r>
          </w:p>
        </w:tc>
      </w:tr>
      <w:tr>
        <w:trPr>
          <w:trHeight w:val="217"/>
        </w:trPr>
        <w:tc>
          <w:tcPr>
            <w:tcW w:w="780" w:type="dxa"/>
            <w:vAlign w:val="bottom"/>
            <w:tcBorders>
              <w:top w:val="single" w:sz="8" w:color="1E1E1E"/>
            </w:tcBorders>
          </w:tcPr>
          <w:p>
            <w:pPr>
              <w:spacing w:after="0" w:line="217" w:lineRule="exact"/>
              <w:rPr>
                <w:sz w:val="20"/>
                <w:szCs w:val="20"/>
                <w:color w:val="auto"/>
              </w:rPr>
            </w:pPr>
            <w:r>
              <w:rPr>
                <w:rFonts w:ascii="Arial" w:cs="Arial" w:eastAsia="Arial" w:hAnsi="Arial"/>
                <w:sz w:val="20"/>
                <w:szCs w:val="20"/>
                <w:color w:val="1E1E1E"/>
                <w:w w:val="86"/>
              </w:rPr>
              <w:t>Cash flow</w:t>
            </w:r>
          </w:p>
        </w:tc>
        <w:tc>
          <w:tcPr>
            <w:tcW w:w="5040" w:type="dxa"/>
            <w:vAlign w:val="bottom"/>
          </w:tcPr>
          <w:p>
            <w:pPr>
              <w:ind w:left="80"/>
              <w:spacing w:after="0" w:line="217" w:lineRule="exact"/>
              <w:rPr>
                <w:sz w:val="20"/>
                <w:szCs w:val="20"/>
                <w:color w:val="auto"/>
              </w:rPr>
            </w:pPr>
            <w:r>
              <w:rPr>
                <w:rFonts w:ascii="Arial" w:cs="Arial" w:eastAsia="Arial" w:hAnsi="Arial"/>
                <w:sz w:val="20"/>
                <w:szCs w:val="20"/>
                <w:color w:val="1E1E1E"/>
              </w:rPr>
              <w:t>from operating activities</w:t>
            </w:r>
          </w:p>
        </w:tc>
        <w:tc>
          <w:tcPr>
            <w:tcW w:w="160" w:type="dxa"/>
            <w:vAlign w:val="bottom"/>
            <w:tcBorders>
              <w:top w:val="single" w:sz="8" w:color="1E1E1E"/>
            </w:tcBorders>
          </w:tcPr>
          <w:p>
            <w:pPr>
              <w:jc w:val="right"/>
              <w:spacing w:after="0" w:line="217" w:lineRule="exact"/>
              <w:rPr>
                <w:sz w:val="20"/>
                <w:szCs w:val="20"/>
                <w:color w:val="auto"/>
              </w:rPr>
            </w:pPr>
            <w:r>
              <w:rPr>
                <w:rFonts w:ascii="Arial" w:cs="Arial" w:eastAsia="Arial" w:hAnsi="Arial"/>
                <w:sz w:val="20"/>
                <w:szCs w:val="20"/>
                <w:color w:val="1E1E1E"/>
                <w:w w:val="71"/>
              </w:rPr>
              <w:t>$</w:t>
            </w:r>
          </w:p>
        </w:tc>
        <w:tc>
          <w:tcPr>
            <w:tcW w:w="1040" w:type="dxa"/>
            <w:vAlign w:val="bottom"/>
            <w:tcBorders>
              <w:top w:val="single" w:sz="8" w:color="1E1E1E"/>
            </w:tcBorders>
          </w:tcPr>
          <w:p>
            <w:pPr>
              <w:jc w:val="right"/>
              <w:spacing w:after="0" w:line="217" w:lineRule="exact"/>
              <w:rPr>
                <w:sz w:val="20"/>
                <w:szCs w:val="20"/>
                <w:color w:val="auto"/>
              </w:rPr>
            </w:pPr>
            <w:r>
              <w:rPr>
                <w:rFonts w:ascii="Arial" w:cs="Arial" w:eastAsia="Arial" w:hAnsi="Arial"/>
                <w:sz w:val="20"/>
                <w:szCs w:val="20"/>
                <w:color w:val="1E1E1E"/>
              </w:rPr>
              <w:t>49.6</w:t>
            </w:r>
          </w:p>
        </w:tc>
        <w:tc>
          <w:tcPr>
            <w:tcW w:w="220" w:type="dxa"/>
            <w:vAlign w:val="bottom"/>
          </w:tcPr>
          <w:p>
            <w:pPr>
              <w:spacing w:after="0"/>
              <w:rPr>
                <w:sz w:val="18"/>
                <w:szCs w:val="18"/>
                <w:color w:val="auto"/>
              </w:rPr>
            </w:pPr>
          </w:p>
        </w:tc>
        <w:tc>
          <w:tcPr>
            <w:tcW w:w="160" w:type="dxa"/>
            <w:vAlign w:val="bottom"/>
            <w:tcBorders>
              <w:top w:val="single" w:sz="8" w:color="1E1E1E"/>
            </w:tcBorders>
          </w:tcPr>
          <w:p>
            <w:pPr>
              <w:jc w:val="right"/>
              <w:spacing w:after="0" w:line="217" w:lineRule="exact"/>
              <w:rPr>
                <w:sz w:val="20"/>
                <w:szCs w:val="20"/>
                <w:color w:val="auto"/>
              </w:rPr>
            </w:pPr>
            <w:r>
              <w:rPr>
                <w:rFonts w:ascii="Arial" w:cs="Arial" w:eastAsia="Arial" w:hAnsi="Arial"/>
                <w:sz w:val="20"/>
                <w:szCs w:val="20"/>
                <w:color w:val="1E1E1E"/>
                <w:w w:val="71"/>
              </w:rPr>
              <w:t>$</w:t>
            </w:r>
          </w:p>
        </w:tc>
        <w:tc>
          <w:tcPr>
            <w:tcW w:w="1020" w:type="dxa"/>
            <w:vAlign w:val="bottom"/>
            <w:tcBorders>
              <w:top w:val="single" w:sz="8" w:color="1E1E1E"/>
            </w:tcBorders>
          </w:tcPr>
          <w:p>
            <w:pPr>
              <w:jc w:val="right"/>
              <w:spacing w:after="0" w:line="217" w:lineRule="exact"/>
              <w:rPr>
                <w:sz w:val="20"/>
                <w:szCs w:val="20"/>
                <w:color w:val="auto"/>
              </w:rPr>
            </w:pPr>
            <w:r>
              <w:rPr>
                <w:rFonts w:ascii="Arial" w:cs="Arial" w:eastAsia="Arial" w:hAnsi="Arial"/>
                <w:sz w:val="20"/>
                <w:szCs w:val="20"/>
                <w:color w:val="1E1E1E"/>
              </w:rPr>
              <w:t>59.9</w:t>
            </w:r>
          </w:p>
        </w:tc>
        <w:tc>
          <w:tcPr>
            <w:tcW w:w="220" w:type="dxa"/>
            <w:vAlign w:val="bottom"/>
          </w:tcPr>
          <w:p>
            <w:pPr>
              <w:spacing w:after="0"/>
              <w:rPr>
                <w:sz w:val="18"/>
                <w:szCs w:val="18"/>
                <w:color w:val="auto"/>
              </w:rPr>
            </w:pPr>
          </w:p>
        </w:tc>
      </w:tr>
      <w:tr>
        <w:trPr>
          <w:trHeight w:val="228"/>
        </w:trPr>
        <w:tc>
          <w:tcPr>
            <w:tcW w:w="5820" w:type="dxa"/>
            <w:vAlign w:val="bottom"/>
            <w:gridSpan w:val="2"/>
            <w:shd w:val="clear" w:color="auto" w:fill="E4E4E4"/>
          </w:tcPr>
          <w:p>
            <w:pPr>
              <w:spacing w:after="0" w:line="228" w:lineRule="exact"/>
              <w:rPr>
                <w:sz w:val="20"/>
                <w:szCs w:val="20"/>
                <w:color w:val="auto"/>
              </w:rPr>
            </w:pPr>
            <w:r>
              <w:rPr>
                <w:rFonts w:ascii="Arial" w:cs="Arial" w:eastAsia="Arial" w:hAnsi="Arial"/>
                <w:sz w:val="20"/>
                <w:szCs w:val="20"/>
                <w:color w:val="1E1E1E"/>
              </w:rPr>
              <w:t>Capital expenditures</w:t>
            </w:r>
          </w:p>
        </w:tc>
        <w:tc>
          <w:tcPr>
            <w:tcW w:w="160" w:type="dxa"/>
            <w:vAlign w:val="bottom"/>
            <w:shd w:val="clear" w:color="auto" w:fill="E4E4E4"/>
          </w:tcPr>
          <w:p>
            <w:pPr>
              <w:spacing w:after="0"/>
              <w:rPr>
                <w:sz w:val="19"/>
                <w:szCs w:val="19"/>
                <w:color w:val="auto"/>
              </w:rPr>
            </w:pPr>
          </w:p>
        </w:tc>
        <w:tc>
          <w:tcPr>
            <w:tcW w:w="1260" w:type="dxa"/>
            <w:vAlign w:val="bottom"/>
            <w:gridSpan w:val="2"/>
            <w:shd w:val="clear" w:color="auto" w:fill="E4E4E4"/>
          </w:tcPr>
          <w:p>
            <w:pPr>
              <w:jc w:val="right"/>
              <w:ind w:right="160"/>
              <w:spacing w:after="0" w:line="228" w:lineRule="exact"/>
              <w:rPr>
                <w:sz w:val="20"/>
                <w:szCs w:val="20"/>
                <w:color w:val="auto"/>
              </w:rPr>
            </w:pPr>
            <w:r>
              <w:rPr>
                <w:rFonts w:ascii="Arial" w:cs="Arial" w:eastAsia="Arial" w:hAnsi="Arial"/>
                <w:sz w:val="20"/>
                <w:szCs w:val="20"/>
                <w:color w:val="1E1E1E"/>
              </w:rPr>
              <w:t>(17.4)</w:t>
            </w:r>
          </w:p>
        </w:tc>
        <w:tc>
          <w:tcPr>
            <w:tcW w:w="160" w:type="dxa"/>
            <w:vAlign w:val="bottom"/>
            <w:shd w:val="clear" w:color="auto" w:fill="E4E4E4"/>
          </w:tcPr>
          <w:p>
            <w:pPr>
              <w:spacing w:after="0"/>
              <w:rPr>
                <w:sz w:val="19"/>
                <w:szCs w:val="19"/>
                <w:color w:val="auto"/>
              </w:rPr>
            </w:pPr>
          </w:p>
        </w:tc>
        <w:tc>
          <w:tcPr>
            <w:tcW w:w="1240" w:type="dxa"/>
            <w:vAlign w:val="bottom"/>
            <w:gridSpan w:val="2"/>
            <w:shd w:val="clear" w:color="auto" w:fill="E4E4E4"/>
          </w:tcPr>
          <w:p>
            <w:pPr>
              <w:jc w:val="right"/>
              <w:ind w:right="160"/>
              <w:spacing w:after="0" w:line="228" w:lineRule="exact"/>
              <w:rPr>
                <w:sz w:val="20"/>
                <w:szCs w:val="20"/>
                <w:color w:val="auto"/>
              </w:rPr>
            </w:pPr>
            <w:r>
              <w:rPr>
                <w:rFonts w:ascii="Arial" w:cs="Arial" w:eastAsia="Arial" w:hAnsi="Arial"/>
                <w:sz w:val="20"/>
                <w:szCs w:val="20"/>
                <w:color w:val="1E1E1E"/>
              </w:rPr>
              <w:t>(9.6)</w:t>
            </w:r>
          </w:p>
        </w:tc>
      </w:tr>
      <w:tr>
        <w:trPr>
          <w:trHeight w:val="220"/>
        </w:trPr>
        <w:tc>
          <w:tcPr>
            <w:tcW w:w="5820" w:type="dxa"/>
            <w:vAlign w:val="bottom"/>
            <w:gridSpan w:val="2"/>
          </w:tcPr>
          <w:p>
            <w:pPr>
              <w:spacing w:after="0" w:line="220" w:lineRule="exact"/>
              <w:rPr>
                <w:sz w:val="20"/>
                <w:szCs w:val="20"/>
                <w:color w:val="auto"/>
              </w:rPr>
            </w:pPr>
            <w:r>
              <w:rPr>
                <w:rFonts w:ascii="Arial" w:cs="Arial" w:eastAsia="Arial" w:hAnsi="Arial"/>
                <w:sz w:val="20"/>
                <w:szCs w:val="20"/>
                <w:color w:val="1E1E1E"/>
              </w:rPr>
              <w:t>Free Cash Flow (Non-GAAP)</w:t>
            </w:r>
          </w:p>
        </w:tc>
        <w:tc>
          <w:tcPr>
            <w:tcW w:w="16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w w:val="71"/>
              </w:rPr>
              <w:t>$</w:t>
            </w:r>
          </w:p>
        </w:tc>
        <w:tc>
          <w:tcPr>
            <w:tcW w:w="104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rPr>
              <w:t>32.2</w:t>
            </w:r>
          </w:p>
        </w:tc>
        <w:tc>
          <w:tcPr>
            <w:tcW w:w="220" w:type="dxa"/>
            <w:vAlign w:val="bottom"/>
          </w:tcPr>
          <w:p>
            <w:pPr>
              <w:spacing w:after="0"/>
              <w:rPr>
                <w:sz w:val="19"/>
                <w:szCs w:val="19"/>
                <w:color w:val="auto"/>
              </w:rPr>
            </w:pPr>
          </w:p>
        </w:tc>
        <w:tc>
          <w:tcPr>
            <w:tcW w:w="16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w w:val="71"/>
              </w:rPr>
              <w:t>$</w:t>
            </w:r>
          </w:p>
        </w:tc>
        <w:tc>
          <w:tcPr>
            <w:tcW w:w="102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rPr>
              <w:t>50.3</w:t>
            </w:r>
          </w:p>
        </w:tc>
        <w:tc>
          <w:tcPr>
            <w:tcW w:w="220" w:type="dxa"/>
            <w:vAlign w:val="bottom"/>
          </w:tcPr>
          <w:p>
            <w:pPr>
              <w:spacing w:after="0"/>
              <w:rPr>
                <w:sz w:val="19"/>
                <w:szCs w:val="19"/>
                <w:color w:val="auto"/>
              </w:rPr>
            </w:pPr>
          </w:p>
        </w:tc>
      </w:tr>
      <w:tr>
        <w:trPr>
          <w:trHeight w:val="230"/>
        </w:trPr>
        <w:tc>
          <w:tcPr>
            <w:tcW w:w="5820" w:type="dxa"/>
            <w:vAlign w:val="bottom"/>
            <w:gridSpan w:val="2"/>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040" w:type="dxa"/>
            <w:vAlign w:val="bottom"/>
            <w:shd w:val="clear" w:color="auto" w:fill="E4E4E4"/>
          </w:tcPr>
          <w:p>
            <w:pPr>
              <w:spacing w:after="0"/>
              <w:rPr>
                <w:sz w:val="20"/>
                <w:szCs w:val="20"/>
                <w:color w:val="auto"/>
              </w:rPr>
            </w:pPr>
          </w:p>
        </w:tc>
        <w:tc>
          <w:tcPr>
            <w:tcW w:w="22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020" w:type="dxa"/>
            <w:vAlign w:val="bottom"/>
            <w:shd w:val="clear" w:color="auto" w:fill="E4E4E4"/>
          </w:tcPr>
          <w:p>
            <w:pPr>
              <w:spacing w:after="0"/>
              <w:rPr>
                <w:sz w:val="20"/>
                <w:szCs w:val="20"/>
                <w:color w:val="auto"/>
              </w:rPr>
            </w:pPr>
          </w:p>
        </w:tc>
        <w:tc>
          <w:tcPr>
            <w:tcW w:w="220" w:type="dxa"/>
            <w:vAlign w:val="bottom"/>
            <w:shd w:val="clear" w:color="auto" w:fill="E4E4E4"/>
          </w:tcPr>
          <w:p>
            <w:pPr>
              <w:spacing w:after="0"/>
              <w:rPr>
                <w:sz w:val="20"/>
                <w:szCs w:val="20"/>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20"/>
                <w:szCs w:val="20"/>
                <w:color w:val="1E1E1E"/>
              </w:rPr>
              <w:t>Cash, cash equivalents and short-term investments, at year end</w:t>
            </w:r>
          </w:p>
        </w:tc>
        <w:tc>
          <w:tcPr>
            <w:tcW w:w="160" w:type="dxa"/>
            <w:vAlign w:val="bottom"/>
          </w:tcPr>
          <w:p>
            <w:pPr>
              <w:jc w:val="right"/>
              <w:spacing w:after="0"/>
              <w:rPr>
                <w:sz w:val="20"/>
                <w:szCs w:val="20"/>
                <w:color w:val="auto"/>
              </w:rPr>
            </w:pPr>
            <w:r>
              <w:rPr>
                <w:rFonts w:ascii="Arial" w:cs="Arial" w:eastAsia="Arial" w:hAnsi="Arial"/>
                <w:sz w:val="20"/>
                <w:szCs w:val="20"/>
                <w:color w:val="1E1E1E"/>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1E1E1E"/>
              </w:rPr>
              <w:t>60.0</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1E1E1E"/>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1E1E1E"/>
              </w:rPr>
              <w:t>52.1</w:t>
            </w:r>
          </w:p>
        </w:tc>
        <w:tc>
          <w:tcPr>
            <w:tcW w:w="220" w:type="dxa"/>
            <w:vAlign w:val="bottom"/>
          </w:tcPr>
          <w:p>
            <w:pPr>
              <w:spacing w:after="0"/>
              <w:rPr>
                <w:sz w:val="20"/>
                <w:szCs w:val="20"/>
                <w:color w:val="auto"/>
              </w:rPr>
            </w:pPr>
          </w:p>
        </w:tc>
      </w:tr>
      <w:tr>
        <w:trPr>
          <w:trHeight w:val="230"/>
        </w:trPr>
        <w:tc>
          <w:tcPr>
            <w:tcW w:w="5820" w:type="dxa"/>
            <w:vAlign w:val="bottom"/>
            <w:gridSpan w:val="2"/>
            <w:shd w:val="clear" w:color="auto" w:fill="E4E4E4"/>
          </w:tcPr>
          <w:p>
            <w:pPr>
              <w:spacing w:after="0"/>
              <w:rPr>
                <w:sz w:val="20"/>
                <w:szCs w:val="20"/>
                <w:color w:val="auto"/>
              </w:rPr>
            </w:pPr>
            <w:r>
              <w:rPr>
                <w:rFonts w:ascii="Arial" w:cs="Arial" w:eastAsia="Arial" w:hAnsi="Arial"/>
                <w:sz w:val="20"/>
                <w:szCs w:val="20"/>
                <w:color w:val="1E1E1E"/>
              </w:rPr>
              <w:t>Total debt, net of unamortized debt issuance costs</w:t>
            </w:r>
          </w:p>
        </w:tc>
        <w:tc>
          <w:tcPr>
            <w:tcW w:w="160" w:type="dxa"/>
            <w:vAlign w:val="bottom"/>
            <w:shd w:val="clear" w:color="auto" w:fill="E4E4E4"/>
          </w:tcPr>
          <w:p>
            <w:pPr>
              <w:jc w:val="right"/>
              <w:spacing w:after="0"/>
              <w:rPr>
                <w:sz w:val="20"/>
                <w:szCs w:val="20"/>
                <w:color w:val="auto"/>
              </w:rPr>
            </w:pPr>
            <w:r>
              <w:rPr>
                <w:rFonts w:ascii="Arial" w:cs="Arial" w:eastAsia="Arial" w:hAnsi="Arial"/>
                <w:sz w:val="20"/>
                <w:szCs w:val="20"/>
                <w:color w:val="1E1E1E"/>
                <w:w w:val="71"/>
              </w:rPr>
              <w:t>$</w:t>
            </w:r>
          </w:p>
        </w:tc>
        <w:tc>
          <w:tcPr>
            <w:tcW w:w="104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w:t>
            </w:r>
          </w:p>
        </w:tc>
        <w:tc>
          <w:tcPr>
            <w:tcW w:w="220" w:type="dxa"/>
            <w:vAlign w:val="bottom"/>
            <w:shd w:val="clear" w:color="auto" w:fill="E4E4E4"/>
          </w:tcPr>
          <w:p>
            <w:pPr>
              <w:spacing w:after="0"/>
              <w:rPr>
                <w:sz w:val="20"/>
                <w:szCs w:val="20"/>
                <w:color w:val="auto"/>
              </w:rPr>
            </w:pPr>
          </w:p>
        </w:tc>
        <w:tc>
          <w:tcPr>
            <w:tcW w:w="160" w:type="dxa"/>
            <w:vAlign w:val="bottom"/>
            <w:shd w:val="clear" w:color="auto" w:fill="E4E4E4"/>
          </w:tcPr>
          <w:p>
            <w:pPr>
              <w:jc w:val="right"/>
              <w:spacing w:after="0"/>
              <w:rPr>
                <w:sz w:val="20"/>
                <w:szCs w:val="20"/>
                <w:color w:val="auto"/>
              </w:rPr>
            </w:pPr>
            <w:r>
              <w:rPr>
                <w:rFonts w:ascii="Arial" w:cs="Arial" w:eastAsia="Arial" w:hAnsi="Arial"/>
                <w:sz w:val="20"/>
                <w:szCs w:val="20"/>
                <w:color w:val="1E1E1E"/>
                <w:w w:val="71"/>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w:t>
            </w:r>
          </w:p>
        </w:tc>
        <w:tc>
          <w:tcPr>
            <w:tcW w:w="220" w:type="dxa"/>
            <w:vAlign w:val="bottom"/>
            <w:shd w:val="clear" w:color="auto" w:fill="E4E4E4"/>
          </w:tcPr>
          <w:p>
            <w:pPr>
              <w:spacing w:after="0"/>
              <w:rPr>
                <w:sz w:val="20"/>
                <w:szCs w:val="20"/>
                <w:color w:val="auto"/>
              </w:rPr>
            </w:pPr>
          </w:p>
        </w:tc>
      </w:tr>
      <w:tr>
        <w:trPr>
          <w:trHeight w:val="233"/>
        </w:trPr>
        <w:tc>
          <w:tcPr>
            <w:tcW w:w="5820" w:type="dxa"/>
            <w:vAlign w:val="bottom"/>
            <w:gridSpan w:val="2"/>
          </w:tcPr>
          <w:p>
            <w:pPr>
              <w:spacing w:after="0"/>
              <w:rPr>
                <w:sz w:val="20"/>
                <w:szCs w:val="20"/>
                <w:color w:val="auto"/>
              </w:rPr>
            </w:pPr>
            <w:r>
              <w:rPr>
                <w:rFonts w:ascii="Arial" w:cs="Arial" w:eastAsia="Arial" w:hAnsi="Arial"/>
                <w:sz w:val="20"/>
                <w:szCs w:val="20"/>
                <w:color w:val="1E1E1E"/>
              </w:rPr>
              <w:t>Unused excess availability under Credit Facility</w:t>
            </w:r>
          </w:p>
        </w:tc>
        <w:tc>
          <w:tcPr>
            <w:tcW w:w="160" w:type="dxa"/>
            <w:vAlign w:val="bottom"/>
          </w:tcPr>
          <w:p>
            <w:pPr>
              <w:jc w:val="right"/>
              <w:spacing w:after="0"/>
              <w:rPr>
                <w:sz w:val="20"/>
                <w:szCs w:val="20"/>
                <w:color w:val="auto"/>
              </w:rPr>
            </w:pPr>
            <w:r>
              <w:rPr>
                <w:rFonts w:ascii="Arial" w:cs="Arial" w:eastAsia="Arial" w:hAnsi="Arial"/>
                <w:sz w:val="20"/>
                <w:szCs w:val="20"/>
                <w:color w:val="1E1E1E"/>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1E1E1E"/>
              </w:rPr>
              <w:t>69.8</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1E1E1E"/>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1E1E1E"/>
              </w:rPr>
              <w:t>78.4</w:t>
            </w:r>
          </w:p>
        </w:tc>
        <w:tc>
          <w:tcPr>
            <w:tcW w:w="220" w:type="dxa"/>
            <w:vAlign w:val="bottom"/>
          </w:tcPr>
          <w:p>
            <w:pPr>
              <w:spacing w:after="0"/>
              <w:rPr>
                <w:sz w:val="20"/>
                <w:szCs w:val="20"/>
                <w:color w:val="auto"/>
              </w:rPr>
            </w:pPr>
          </w:p>
        </w:tc>
      </w:tr>
    </w:tbl>
    <w:p>
      <w:pPr>
        <w:spacing w:after="0" w:line="20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1E1E1E"/>
        </w:rPr>
        <w:t>For fiscal 2023, cash flow from operations decreased to $49.6 million as compared to $59.9 million for fiscal 2022. Free cash flow, a non-GAAP measure, decreased to $32.2 million for fiscal 2023 as compared to $50.3 million for fiscal 2022. The decrease in free cash flow was due primarily to a decrease in operating income and an increase in capital expenditures.</w:t>
      </w:r>
    </w:p>
    <w:p>
      <w:pPr>
        <w:spacing w:after="0" w:line="50" w:lineRule="exact"/>
        <w:rPr>
          <w:sz w:val="20"/>
          <w:szCs w:val="20"/>
          <w:color w:val="auto"/>
        </w:rPr>
      </w:pPr>
    </w:p>
    <w:p>
      <w:pPr>
        <w:ind w:right="660"/>
        <w:spacing w:after="0" w:line="336" w:lineRule="auto"/>
        <w:rPr>
          <w:sz w:val="20"/>
          <w:szCs w:val="20"/>
          <w:color w:val="auto"/>
        </w:rPr>
      </w:pPr>
      <w:r>
        <w:rPr>
          <w:rFonts w:ascii="Arial" w:cs="Arial" w:eastAsia="Arial" w:hAnsi="Arial"/>
          <w:sz w:val="18"/>
          <w:szCs w:val="18"/>
          <w:color w:val="1E1E1E"/>
        </w:rPr>
        <w:t>Cash flow used for investing activities increased by $39.5 million for fiscal 2023 as compared fiscal 2022, primarily due to the purchase of short-term investments, net of maturities, of $31.9 million and an increase in capital expenditures of $7.8 million.</w:t>
      </w:r>
    </w:p>
    <w:p>
      <w:pPr>
        <w:spacing w:after="0" w:line="1" w:lineRule="exact"/>
        <w:rPr>
          <w:sz w:val="20"/>
          <w:szCs w:val="20"/>
          <w:color w:val="auto"/>
        </w:rPr>
      </w:pPr>
    </w:p>
    <w:p>
      <w:pPr>
        <w:ind w:right="140"/>
        <w:spacing w:after="0" w:line="279" w:lineRule="auto"/>
        <w:rPr>
          <w:sz w:val="20"/>
          <w:szCs w:val="20"/>
          <w:color w:val="auto"/>
        </w:rPr>
      </w:pPr>
      <w:r>
        <w:rPr>
          <w:rFonts w:ascii="Arial" w:cs="Arial" w:eastAsia="Arial" w:hAnsi="Arial"/>
          <w:sz w:val="20"/>
          <w:szCs w:val="20"/>
          <w:color w:val="1E1E1E"/>
        </w:rPr>
        <w:t>Cash flow used for financing activities for fiscal 2023 and fiscal 2022 of $24.9 million and $13.7 million, respectively, was primarily for the repurchase of our common stock.</w:t>
      </w:r>
    </w:p>
    <w:p>
      <w:pPr>
        <w:sectPr>
          <w:pgSz w:w="11880" w:h="15480" w:orient="portrait"/>
          <w:cols w:equalWidth="0" w:num="1">
            <w:col w:w="10800"/>
          </w:cols>
          <w:pgMar w:left="540" w:top="660"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29</w:t>
      </w:r>
    </w:p>
    <w:p>
      <w:pPr>
        <w:sectPr>
          <w:pgSz w:w="11880" w:h="15480" w:orient="portrait"/>
          <w:cols w:equalWidth="0" w:num="1">
            <w:col w:w="10800"/>
          </w:cols>
          <w:pgMar w:left="540" w:top="660" w:right="540" w:bottom="31" w:gutter="0" w:footer="0" w:header="0"/>
          <w:type w:val="continuous"/>
        </w:sectPr>
      </w:pPr>
    </w:p>
    <w:bookmarkStart w:id="31" w:name="page32"/>
    <w:bookmarkEnd w:id="31"/>
    <w:p>
      <w:pPr>
        <w:spacing w:after="0"/>
        <w:rPr>
          <w:sz w:val="20"/>
          <w:szCs w:val="20"/>
          <w:color w:val="auto"/>
        </w:rPr>
      </w:pPr>
      <w:r>
        <w:rPr>
          <w:rFonts w:ascii="Arial" w:cs="Arial" w:eastAsia="Arial" w:hAnsi="Arial"/>
          <w:sz w:val="20"/>
          <w:szCs w:val="20"/>
          <w:u w:val="single" w:color="auto"/>
          <w:color w:val="1E1E1E"/>
        </w:rPr>
        <w:t>Credit Facility</w:t>
      </w:r>
    </w:p>
    <w:p>
      <w:pPr>
        <w:spacing w:after="0" w:line="119"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1E1E1E"/>
        </w:rPr>
        <w:t>On October 28, 2021, we entered into a $125.0 million revolving credit agreement with Citizens Bank, N.A., with a maturity date of October 28, 2026. On April 20, 2023, the Company entered into the First Amendment to Credit Agreement which provided for the replacement of the London Interbank Offering Rate (“LIBOR”) interest rate options with the secured overnight financing rate ("SOFR") based options (as amended, the "Credit Facility"). The Credit Facility includes a sublimit of $20.0 million for commercial and standby letters of credit and a sublimit of up to $15.0 million for swingline loans. Effective April 20, 2023, borrowings under the Credit Facility bear interest at either a Base Rate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Credit Facility)), plus (ii) 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w:t>
      </w:r>
    </w:p>
    <w:p>
      <w:pPr>
        <w:spacing w:after="0" w:line="65" w:lineRule="exact"/>
        <w:rPr>
          <w:sz w:val="20"/>
          <w:szCs w:val="20"/>
          <w:color w:val="auto"/>
        </w:rPr>
      </w:pPr>
    </w:p>
    <w:p>
      <w:pPr>
        <w:spacing w:after="0" w:line="283" w:lineRule="auto"/>
        <w:rPr>
          <w:sz w:val="20"/>
          <w:szCs w:val="20"/>
          <w:color w:val="auto"/>
        </w:rPr>
      </w:pPr>
      <w:r>
        <w:rPr>
          <w:rFonts w:ascii="Arial" w:cs="Arial" w:eastAsia="Arial" w:hAnsi="Arial"/>
          <w:sz w:val="18"/>
          <w:szCs w:val="18"/>
          <w:color w:val="1E1E1E"/>
        </w:rPr>
        <w:t>We had no outstanding borrowings under the Credit Facility at February 3, 2024. At February 3, 2024, outstanding standby letters of credit were $4.3 million and outstanding documentary letters were credit of $ 1.0 million. The Credit Facility was not utilized during the year, resulting in average unused excess availability during fiscal 2022 of $84.5 million. Unused excess availability at February 3, 2024 was $69.8 million. Our obligations under the Credit Facility are secured by a lien on substantially all of our assets. The Company was subject to an unused line fee of 0.25% of the total commitment less average outstanding letters of credit.</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1E1E1E"/>
        </w:rPr>
        <w:t>Our Credit Facility is described in more detail in Note D to the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Stock Repurchase Program</w:t>
      </w:r>
    </w:p>
    <w:p>
      <w:pPr>
        <w:spacing w:after="0" w:line="119" w:lineRule="exact"/>
        <w:rPr>
          <w:sz w:val="20"/>
          <w:szCs w:val="20"/>
          <w:color w:val="auto"/>
        </w:rPr>
      </w:pPr>
    </w:p>
    <w:p>
      <w:pPr>
        <w:ind w:right="160"/>
        <w:spacing w:after="0" w:line="252" w:lineRule="auto"/>
        <w:rPr>
          <w:sz w:val="20"/>
          <w:szCs w:val="20"/>
          <w:color w:val="auto"/>
        </w:rPr>
      </w:pPr>
      <w:r>
        <w:rPr>
          <w:rFonts w:ascii="Arial" w:cs="Arial" w:eastAsia="Arial" w:hAnsi="Arial"/>
          <w:sz w:val="20"/>
          <w:szCs w:val="20"/>
          <w:color w:val="1E1E1E"/>
        </w:rPr>
        <w:t>In March 2023, our Board of Directors approved a stock repurchase program. Under the stock repurchase program, we were initially authorized to repurchase up to $15.0 million of its common stock through open market and privately negotiated transactions. In November 2023, the Board of Directors approved an amendment to the stock repurchase program to increase the amount authorized for repurchase from $15.0 million to $25.0 million.</w:t>
      </w:r>
    </w:p>
    <w:p>
      <w:pPr>
        <w:spacing w:after="0" w:line="73" w:lineRule="exact"/>
        <w:rPr>
          <w:sz w:val="20"/>
          <w:szCs w:val="20"/>
          <w:color w:val="auto"/>
        </w:rPr>
      </w:pPr>
    </w:p>
    <w:p>
      <w:pPr>
        <w:ind w:right="80"/>
        <w:spacing w:after="0" w:line="336" w:lineRule="auto"/>
        <w:rPr>
          <w:sz w:val="20"/>
          <w:szCs w:val="20"/>
          <w:color w:val="auto"/>
        </w:rPr>
      </w:pPr>
      <w:r>
        <w:rPr>
          <w:rFonts w:ascii="Arial" w:cs="Arial" w:eastAsia="Arial" w:hAnsi="Arial"/>
          <w:sz w:val="18"/>
          <w:szCs w:val="18"/>
          <w:color w:val="1E1E1E"/>
        </w:rPr>
        <w:t>During fiscal 2023, we repurchased 5.4 million shares at a total cost, including fees, of $24.5 million. Shares of repurchased common stock are held as treasury stock. The stock repurchase program was completed subsequent to the end of the fiscal year.</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1E1E1E"/>
        </w:rPr>
        <w:t>INVENTORY</w:t>
      </w:r>
    </w:p>
    <w:p>
      <w:pPr>
        <w:spacing w:after="0" w:line="117"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1E1E1E"/>
        </w:rPr>
        <w:t>At February 3, 2024, total inventories decreased to $81.0 million from $93.0 million at January 28, 2023. Inventory at February 3, 2024 was approximately 12.9% lower than the prior year. Managing our inventory remains a primary focus for us as we strive to be efficient with our working capital. Based on the unfavorable sales trends we started to see in March 2023, we began taking proactive measures to manage our inventory and adjust our receipt plan. At February 3, 2024, our clearance inventory was 9.5% of our inventory, as compared to 7.9% at January 28, 2023, and below our historical benchmark of approximately 10.0%. Since 2019, we have reduced our inventory by 21% and improved our inventory turnover rate by over 30%. Given the ongoing macro-economic concerns around inflation and consumer spending, managing our inventory will remain a primary focus for us in fiscal 2024.</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1E1E1E"/>
        </w:rPr>
        <w:t>OFF-BALANCE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color w:val="1E1E1E"/>
        </w:rPr>
        <w:t>We have no off-balance sheet arrangements as defined by 303(a)(4) of Regulation S-K.</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1E1E1E"/>
        </w:rPr>
        <w:t>CAPITAL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sets forth the open stores and related square footage at February 3, 2024 and January 28, 2023 respectively:</w:t>
      </w: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200"/>
        </w:trPr>
        <w:tc>
          <w:tcPr>
            <w:tcW w:w="4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6"/>
                <w:szCs w:val="16"/>
                <w:color w:val="1E1E1E"/>
              </w:rPr>
              <w:t>At February 3, 2024</w:t>
            </w:r>
          </w:p>
        </w:tc>
        <w:tc>
          <w:tcPr>
            <w:tcW w:w="2340" w:type="dxa"/>
            <w:vAlign w:val="bottom"/>
            <w:gridSpan w:val="5"/>
          </w:tcPr>
          <w:p>
            <w:pPr>
              <w:ind w:left="480"/>
              <w:spacing w:after="0"/>
              <w:rPr>
                <w:sz w:val="20"/>
                <w:szCs w:val="20"/>
                <w:color w:val="auto"/>
              </w:rPr>
            </w:pPr>
            <w:r>
              <w:rPr>
                <w:rFonts w:ascii="Arial" w:cs="Arial" w:eastAsia="Arial" w:hAnsi="Arial"/>
                <w:sz w:val="16"/>
                <w:szCs w:val="16"/>
                <w:color w:val="1E1E1E"/>
              </w:rPr>
              <w:t>At January 28, 2023</w:t>
            </w:r>
          </w:p>
        </w:tc>
      </w:tr>
      <w:tr>
        <w:trPr>
          <w:trHeight w:val="157"/>
        </w:trPr>
        <w:tc>
          <w:tcPr>
            <w:tcW w:w="4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top w:val="single" w:sz="8" w:color="1E1E1E"/>
            </w:tcBorders>
          </w:tcPr>
          <w:p>
            <w:pPr>
              <w:jc w:val="right"/>
              <w:ind w:right="75"/>
              <w:spacing w:after="0" w:line="158" w:lineRule="exact"/>
              <w:rPr>
                <w:sz w:val="20"/>
                <w:szCs w:val="20"/>
                <w:color w:val="auto"/>
              </w:rPr>
            </w:pPr>
            <w:r>
              <w:rPr>
                <w:rFonts w:ascii="Arial" w:cs="Arial" w:eastAsia="Arial" w:hAnsi="Arial"/>
                <w:sz w:val="16"/>
                <w:szCs w:val="16"/>
                <w:color w:val="1E1E1E"/>
              </w:rPr>
              <w:t>Number of</w:t>
            </w:r>
          </w:p>
        </w:tc>
        <w:tc>
          <w:tcPr>
            <w:tcW w:w="100" w:type="dxa"/>
            <w:vAlign w:val="bottom"/>
            <w:tcBorders>
              <w:top w:val="single" w:sz="8" w:color="1E1E1E"/>
            </w:tcBorders>
          </w:tcPr>
          <w:p>
            <w:pPr>
              <w:spacing w:after="0"/>
              <w:rPr>
                <w:sz w:val="13"/>
                <w:szCs w:val="13"/>
                <w:color w:val="auto"/>
              </w:rPr>
            </w:pPr>
          </w:p>
        </w:tc>
        <w:tc>
          <w:tcPr>
            <w:tcW w:w="100" w:type="dxa"/>
            <w:vAlign w:val="bottom"/>
            <w:tcBorders>
              <w:top w:val="single" w:sz="8" w:color="1E1E1E"/>
            </w:tcBorders>
          </w:tcPr>
          <w:p>
            <w:pPr>
              <w:spacing w:after="0"/>
              <w:rPr>
                <w:sz w:val="13"/>
                <w:szCs w:val="13"/>
                <w:color w:val="auto"/>
              </w:rPr>
            </w:pPr>
          </w:p>
        </w:tc>
        <w:tc>
          <w:tcPr>
            <w:tcW w:w="1000" w:type="dxa"/>
            <w:vAlign w:val="bottom"/>
            <w:tcBorders>
              <w:top w:val="single" w:sz="8" w:color="1E1E1E"/>
            </w:tcBorders>
          </w:tcPr>
          <w:p>
            <w:pPr>
              <w:jc w:val="right"/>
              <w:ind w:right="200"/>
              <w:spacing w:after="0" w:line="158" w:lineRule="exact"/>
              <w:rPr>
                <w:sz w:val="20"/>
                <w:szCs w:val="20"/>
                <w:color w:val="auto"/>
              </w:rPr>
            </w:pPr>
            <w:r>
              <w:rPr>
                <w:rFonts w:ascii="Arial" w:cs="Arial" w:eastAsia="Arial" w:hAnsi="Arial"/>
                <w:sz w:val="16"/>
                <w:szCs w:val="16"/>
                <w:color w:val="1E1E1E"/>
              </w:rPr>
              <w:t>Square</w:t>
            </w:r>
          </w:p>
        </w:tc>
        <w:tc>
          <w:tcPr>
            <w:tcW w:w="200" w:type="dxa"/>
            <w:vAlign w:val="bottom"/>
          </w:tcPr>
          <w:p>
            <w:pPr>
              <w:spacing w:after="0"/>
              <w:rPr>
                <w:sz w:val="13"/>
                <w:szCs w:val="13"/>
                <w:color w:val="auto"/>
              </w:rPr>
            </w:pPr>
          </w:p>
        </w:tc>
        <w:tc>
          <w:tcPr>
            <w:tcW w:w="1120" w:type="dxa"/>
            <w:vAlign w:val="bottom"/>
            <w:tcBorders>
              <w:top w:val="single" w:sz="8" w:color="1E1E1E"/>
            </w:tcBorders>
            <w:gridSpan w:val="2"/>
          </w:tcPr>
          <w:p>
            <w:pPr>
              <w:jc w:val="center"/>
              <w:ind w:right="100"/>
              <w:spacing w:after="0" w:line="158" w:lineRule="exact"/>
              <w:rPr>
                <w:sz w:val="20"/>
                <w:szCs w:val="20"/>
                <w:color w:val="auto"/>
              </w:rPr>
            </w:pPr>
            <w:r>
              <w:rPr>
                <w:rFonts w:ascii="Arial" w:cs="Arial" w:eastAsia="Arial" w:hAnsi="Arial"/>
                <w:sz w:val="16"/>
                <w:szCs w:val="16"/>
                <w:color w:val="1E1E1E"/>
                <w:w w:val="93"/>
              </w:rPr>
              <w:t>Number of</w:t>
            </w:r>
          </w:p>
        </w:tc>
        <w:tc>
          <w:tcPr>
            <w:tcW w:w="80" w:type="dxa"/>
            <w:vAlign w:val="bottom"/>
            <w:tcBorders>
              <w:top w:val="single" w:sz="8" w:color="1E1E1E"/>
            </w:tcBorders>
          </w:tcPr>
          <w:p>
            <w:pPr>
              <w:spacing w:after="0"/>
              <w:rPr>
                <w:sz w:val="13"/>
                <w:szCs w:val="13"/>
                <w:color w:val="auto"/>
              </w:rPr>
            </w:pPr>
          </w:p>
        </w:tc>
        <w:tc>
          <w:tcPr>
            <w:tcW w:w="1040" w:type="dxa"/>
            <w:vAlign w:val="bottom"/>
            <w:tcBorders>
              <w:top w:val="single" w:sz="8" w:color="1E1E1E"/>
            </w:tcBorders>
          </w:tcPr>
          <w:p>
            <w:pPr>
              <w:jc w:val="center"/>
              <w:spacing w:after="0" w:line="158" w:lineRule="exact"/>
              <w:rPr>
                <w:sz w:val="20"/>
                <w:szCs w:val="20"/>
                <w:color w:val="auto"/>
              </w:rPr>
            </w:pPr>
            <w:r>
              <w:rPr>
                <w:rFonts w:ascii="Arial" w:cs="Arial" w:eastAsia="Arial" w:hAnsi="Arial"/>
                <w:sz w:val="16"/>
                <w:szCs w:val="16"/>
                <w:color w:val="1E1E1E"/>
                <w:w w:val="89"/>
              </w:rPr>
              <w:t>Square</w:t>
            </w:r>
          </w:p>
        </w:tc>
        <w:tc>
          <w:tcPr>
            <w:tcW w:w="100" w:type="dxa"/>
            <w:vAlign w:val="bottom"/>
          </w:tcPr>
          <w:p>
            <w:pPr>
              <w:spacing w:after="0"/>
              <w:rPr>
                <w:sz w:val="13"/>
                <w:szCs w:val="13"/>
                <w:color w:val="auto"/>
              </w:rPr>
            </w:pPr>
          </w:p>
        </w:tc>
      </w:tr>
      <w:tr>
        <w:trPr>
          <w:trHeight w:val="202"/>
        </w:trPr>
        <w:tc>
          <w:tcPr>
            <w:tcW w:w="4880" w:type="dxa"/>
            <w:vAlign w:val="bottom"/>
          </w:tcPr>
          <w:p>
            <w:pPr>
              <w:spacing w:after="0"/>
              <w:rPr>
                <w:sz w:val="20"/>
                <w:szCs w:val="20"/>
                <w:color w:val="auto"/>
              </w:rPr>
            </w:pPr>
            <w:r>
              <w:rPr>
                <w:rFonts w:ascii="Arial" w:cs="Arial" w:eastAsia="Arial" w:hAnsi="Arial"/>
                <w:sz w:val="16"/>
                <w:szCs w:val="16"/>
                <w:color w:val="1E1E1E"/>
              </w:rPr>
              <w:t>Store Concept</w:t>
            </w:r>
          </w:p>
        </w:tc>
        <w:tc>
          <w:tcPr>
            <w:tcW w:w="8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Arial" w:cs="Arial" w:eastAsia="Arial" w:hAnsi="Arial"/>
                <w:sz w:val="16"/>
                <w:szCs w:val="16"/>
                <w:color w:val="1E1E1E"/>
              </w:rPr>
              <w:t>Stores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1E1E1E"/>
              </w:rPr>
              <w:t>Footage</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1E1E1E"/>
                <w:w w:val="86"/>
              </w:rPr>
              <w:t>Stores</w:t>
            </w:r>
          </w:p>
        </w:tc>
        <w:tc>
          <w:tcPr>
            <w:tcW w:w="8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1E1E1E"/>
                <w:w w:val="88"/>
              </w:rPr>
              <w:t>Footage</w:t>
            </w:r>
          </w:p>
        </w:tc>
      </w:tr>
      <w:tr>
        <w:trPr>
          <w:trHeight w:val="215"/>
        </w:trPr>
        <w:tc>
          <w:tcPr>
            <w:tcW w:w="4880" w:type="dxa"/>
            <w:vAlign w:val="bottom"/>
            <w:tcBorders>
              <w:top w:val="single" w:sz="8" w:color="1E1E1E"/>
            </w:tcBorders>
          </w:tcPr>
          <w:p>
            <w:pPr>
              <w:spacing w:after="0"/>
              <w:rPr>
                <w:sz w:val="20"/>
                <w:szCs w:val="20"/>
                <w:color w:val="auto"/>
              </w:rPr>
            </w:pPr>
            <w:r>
              <w:rPr>
                <w:rFonts w:ascii="Arial" w:cs="Arial" w:eastAsia="Arial" w:hAnsi="Arial"/>
                <w:sz w:val="16"/>
                <w:szCs w:val="16"/>
                <w:color w:val="1E1E1E"/>
              </w:rPr>
              <w:t>(square footage in thousands)</w:t>
            </w:r>
          </w:p>
        </w:tc>
        <w:tc>
          <w:tcPr>
            <w:tcW w:w="80" w:type="dxa"/>
            <w:vAlign w:val="bottom"/>
          </w:tcPr>
          <w:p>
            <w:pPr>
              <w:spacing w:after="0"/>
              <w:rPr>
                <w:sz w:val="18"/>
                <w:szCs w:val="18"/>
                <w:color w:val="auto"/>
              </w:rPr>
            </w:pPr>
          </w:p>
        </w:tc>
        <w:tc>
          <w:tcPr>
            <w:tcW w:w="1020" w:type="dxa"/>
            <w:vAlign w:val="bottom"/>
            <w:tcBorders>
              <w:top w:val="single" w:sz="8" w:color="1E1E1E"/>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1E1E1E"/>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1E1E1E"/>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1E1E1E"/>
            </w:tcBorders>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880" w:type="dxa"/>
            <w:vAlign w:val="bottom"/>
            <w:shd w:val="clear" w:color="auto" w:fill="E4E4E4"/>
          </w:tcPr>
          <w:p>
            <w:pPr>
              <w:spacing w:after="0"/>
              <w:rPr>
                <w:sz w:val="20"/>
                <w:szCs w:val="20"/>
                <w:color w:val="auto"/>
              </w:rPr>
            </w:pPr>
            <w:r>
              <w:rPr>
                <w:rFonts w:ascii="Arial" w:cs="Arial" w:eastAsia="Arial" w:hAnsi="Arial"/>
                <w:sz w:val="20"/>
                <w:szCs w:val="20"/>
                <w:color w:val="1E1E1E"/>
              </w:rPr>
              <w:t>DXL Retail</w:t>
            </w:r>
          </w:p>
        </w:tc>
        <w:tc>
          <w:tcPr>
            <w:tcW w:w="110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232</w:t>
            </w:r>
          </w:p>
        </w:tc>
        <w:tc>
          <w:tcPr>
            <w:tcW w:w="1400" w:type="dxa"/>
            <w:vAlign w:val="bottom"/>
            <w:gridSpan w:val="4"/>
            <w:shd w:val="clear" w:color="auto" w:fill="E4E4E4"/>
          </w:tcPr>
          <w:p>
            <w:pPr>
              <w:jc w:val="right"/>
              <w:ind w:right="200"/>
              <w:spacing w:after="0"/>
              <w:rPr>
                <w:sz w:val="20"/>
                <w:szCs w:val="20"/>
                <w:color w:val="auto"/>
              </w:rPr>
            </w:pPr>
            <w:r>
              <w:rPr>
                <w:rFonts w:ascii="Arial" w:cs="Arial" w:eastAsia="Arial" w:hAnsi="Arial"/>
                <w:sz w:val="20"/>
                <w:szCs w:val="20"/>
                <w:color w:val="1E1E1E"/>
              </w:rPr>
              <w:t>1,725</w:t>
            </w:r>
          </w:p>
        </w:tc>
        <w:tc>
          <w:tcPr>
            <w:tcW w:w="102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218</w:t>
            </w:r>
          </w:p>
        </w:tc>
        <w:tc>
          <w:tcPr>
            <w:tcW w:w="100" w:type="dxa"/>
            <w:vAlign w:val="bottom"/>
            <w:shd w:val="clear" w:color="auto" w:fill="E4E4E4"/>
          </w:tcPr>
          <w:p>
            <w:pPr>
              <w:spacing w:after="0"/>
              <w:rPr>
                <w:sz w:val="20"/>
                <w:szCs w:val="20"/>
                <w:color w:val="auto"/>
              </w:rPr>
            </w:pPr>
          </w:p>
        </w:tc>
        <w:tc>
          <w:tcPr>
            <w:tcW w:w="112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1,663</w:t>
            </w:r>
          </w:p>
        </w:tc>
        <w:tc>
          <w:tcPr>
            <w:tcW w:w="100" w:type="dxa"/>
            <w:vAlign w:val="bottom"/>
            <w:shd w:val="clear" w:color="auto" w:fill="E4E4E4"/>
          </w:tcPr>
          <w:p>
            <w:pPr>
              <w:spacing w:after="0"/>
              <w:rPr>
                <w:sz w:val="20"/>
                <w:szCs w:val="20"/>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20"/>
                <w:szCs w:val="20"/>
                <w:color w:val="1E1E1E"/>
              </w:rPr>
              <w:t>DXL Outlet</w:t>
            </w:r>
          </w:p>
        </w:tc>
        <w:tc>
          <w:tcPr>
            <w:tcW w:w="1100" w:type="dxa"/>
            <w:vAlign w:val="bottom"/>
            <w:gridSpan w:val="2"/>
          </w:tcPr>
          <w:p>
            <w:pPr>
              <w:jc w:val="right"/>
              <w:spacing w:after="0"/>
              <w:rPr>
                <w:sz w:val="20"/>
                <w:szCs w:val="20"/>
                <w:color w:val="auto"/>
              </w:rPr>
            </w:pPr>
            <w:r>
              <w:rPr>
                <w:rFonts w:ascii="Arial" w:cs="Arial" w:eastAsia="Arial" w:hAnsi="Arial"/>
                <w:sz w:val="20"/>
                <w:szCs w:val="20"/>
                <w:color w:val="1E1E1E"/>
              </w:rPr>
              <w:t>15</w:t>
            </w:r>
          </w:p>
        </w:tc>
        <w:tc>
          <w:tcPr>
            <w:tcW w:w="1400" w:type="dxa"/>
            <w:vAlign w:val="bottom"/>
            <w:gridSpan w:val="4"/>
          </w:tcPr>
          <w:p>
            <w:pPr>
              <w:jc w:val="right"/>
              <w:ind w:right="180"/>
              <w:spacing w:after="0"/>
              <w:rPr>
                <w:sz w:val="20"/>
                <w:szCs w:val="20"/>
                <w:color w:val="auto"/>
              </w:rPr>
            </w:pPr>
            <w:r>
              <w:rPr>
                <w:rFonts w:ascii="Arial" w:cs="Arial" w:eastAsia="Arial" w:hAnsi="Arial"/>
                <w:sz w:val="20"/>
                <w:szCs w:val="20"/>
                <w:color w:val="1E1E1E"/>
              </w:rPr>
              <w:t>76</w:t>
            </w: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1E1E1E"/>
              </w:rPr>
              <w:t>16</w:t>
            </w:r>
          </w:p>
        </w:tc>
        <w:tc>
          <w:tcPr>
            <w:tcW w:w="1120" w:type="dxa"/>
            <w:vAlign w:val="bottom"/>
            <w:gridSpan w:val="2"/>
          </w:tcPr>
          <w:p>
            <w:pPr>
              <w:jc w:val="right"/>
              <w:spacing w:after="0"/>
              <w:rPr>
                <w:sz w:val="20"/>
                <w:szCs w:val="20"/>
                <w:color w:val="auto"/>
              </w:rPr>
            </w:pPr>
            <w:r>
              <w:rPr>
                <w:rFonts w:ascii="Arial" w:cs="Arial" w:eastAsia="Arial" w:hAnsi="Arial"/>
                <w:sz w:val="20"/>
                <w:szCs w:val="20"/>
                <w:color w:val="1E1E1E"/>
              </w:rPr>
              <w:t>80</w:t>
            </w:r>
          </w:p>
        </w:tc>
        <w:tc>
          <w:tcPr>
            <w:tcW w:w="100" w:type="dxa"/>
            <w:vAlign w:val="bottom"/>
          </w:tcPr>
          <w:p>
            <w:pPr>
              <w:spacing w:after="0"/>
              <w:rPr>
                <w:sz w:val="20"/>
                <w:szCs w:val="20"/>
                <w:color w:val="auto"/>
              </w:rPr>
            </w:pPr>
          </w:p>
        </w:tc>
      </w:tr>
      <w:tr>
        <w:trPr>
          <w:trHeight w:val="230"/>
        </w:trPr>
        <w:tc>
          <w:tcPr>
            <w:tcW w:w="4880" w:type="dxa"/>
            <w:vAlign w:val="bottom"/>
            <w:shd w:val="clear" w:color="auto" w:fill="E4E4E4"/>
          </w:tcPr>
          <w:p>
            <w:pPr>
              <w:spacing w:after="0"/>
              <w:rPr>
                <w:sz w:val="20"/>
                <w:szCs w:val="20"/>
                <w:color w:val="auto"/>
              </w:rPr>
            </w:pPr>
            <w:r>
              <w:rPr>
                <w:rFonts w:ascii="Arial" w:cs="Arial" w:eastAsia="Arial" w:hAnsi="Arial"/>
                <w:sz w:val="20"/>
                <w:szCs w:val="20"/>
                <w:color w:val="1E1E1E"/>
              </w:rPr>
              <w:t>Casual Male XL Retail</w:t>
            </w:r>
          </w:p>
        </w:tc>
        <w:tc>
          <w:tcPr>
            <w:tcW w:w="110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17</w:t>
            </w:r>
          </w:p>
        </w:tc>
        <w:tc>
          <w:tcPr>
            <w:tcW w:w="1400" w:type="dxa"/>
            <w:vAlign w:val="bottom"/>
            <w:gridSpan w:val="4"/>
            <w:shd w:val="clear" w:color="auto" w:fill="E4E4E4"/>
          </w:tcPr>
          <w:p>
            <w:pPr>
              <w:jc w:val="right"/>
              <w:ind w:right="180"/>
              <w:spacing w:after="0"/>
              <w:rPr>
                <w:sz w:val="20"/>
                <w:szCs w:val="20"/>
                <w:color w:val="auto"/>
              </w:rPr>
            </w:pPr>
            <w:r>
              <w:rPr>
                <w:rFonts w:ascii="Arial" w:cs="Arial" w:eastAsia="Arial" w:hAnsi="Arial"/>
                <w:sz w:val="20"/>
                <w:szCs w:val="20"/>
                <w:color w:val="1E1E1E"/>
              </w:rPr>
              <w:t>55</w:t>
            </w:r>
          </w:p>
        </w:tc>
        <w:tc>
          <w:tcPr>
            <w:tcW w:w="1120" w:type="dxa"/>
            <w:vAlign w:val="bottom"/>
            <w:gridSpan w:val="2"/>
            <w:shd w:val="clear" w:color="auto" w:fill="E4E4E4"/>
          </w:tcPr>
          <w:p>
            <w:pPr>
              <w:jc w:val="right"/>
              <w:ind w:right="100"/>
              <w:spacing w:after="0"/>
              <w:rPr>
                <w:sz w:val="20"/>
                <w:szCs w:val="20"/>
                <w:color w:val="auto"/>
              </w:rPr>
            </w:pPr>
            <w:r>
              <w:rPr>
                <w:rFonts w:ascii="Arial" w:cs="Arial" w:eastAsia="Arial" w:hAnsi="Arial"/>
                <w:sz w:val="20"/>
                <w:szCs w:val="20"/>
                <w:color w:val="1E1E1E"/>
              </w:rPr>
              <w:t>28</w:t>
            </w:r>
          </w:p>
        </w:tc>
        <w:tc>
          <w:tcPr>
            <w:tcW w:w="112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92</w:t>
            </w:r>
          </w:p>
        </w:tc>
        <w:tc>
          <w:tcPr>
            <w:tcW w:w="100" w:type="dxa"/>
            <w:vAlign w:val="bottom"/>
            <w:shd w:val="clear" w:color="auto" w:fill="E4E4E4"/>
          </w:tcPr>
          <w:p>
            <w:pPr>
              <w:spacing w:after="0"/>
              <w:rPr>
                <w:sz w:val="20"/>
                <w:szCs w:val="20"/>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20"/>
                <w:szCs w:val="20"/>
                <w:color w:val="1E1E1E"/>
              </w:rPr>
              <w:t>Casual Male XL Outlet</w:t>
            </w:r>
          </w:p>
        </w:tc>
        <w:tc>
          <w:tcPr>
            <w:tcW w:w="1100" w:type="dxa"/>
            <w:vAlign w:val="bottom"/>
            <w:gridSpan w:val="2"/>
          </w:tcPr>
          <w:p>
            <w:pPr>
              <w:jc w:val="right"/>
              <w:spacing w:after="0"/>
              <w:rPr>
                <w:sz w:val="20"/>
                <w:szCs w:val="20"/>
                <w:color w:val="auto"/>
              </w:rPr>
            </w:pPr>
            <w:r>
              <w:rPr>
                <w:rFonts w:ascii="Arial" w:cs="Arial" w:eastAsia="Arial" w:hAnsi="Arial"/>
                <w:sz w:val="20"/>
                <w:szCs w:val="20"/>
                <w:color w:val="1E1E1E"/>
              </w:rPr>
              <w:t>19</w:t>
            </w:r>
          </w:p>
        </w:tc>
        <w:tc>
          <w:tcPr>
            <w:tcW w:w="1400" w:type="dxa"/>
            <w:vAlign w:val="bottom"/>
            <w:gridSpan w:val="4"/>
          </w:tcPr>
          <w:p>
            <w:pPr>
              <w:jc w:val="right"/>
              <w:ind w:right="180"/>
              <w:spacing w:after="0"/>
              <w:rPr>
                <w:sz w:val="20"/>
                <w:szCs w:val="20"/>
                <w:color w:val="auto"/>
              </w:rPr>
            </w:pPr>
            <w:r>
              <w:rPr>
                <w:rFonts w:ascii="Arial" w:cs="Arial" w:eastAsia="Arial" w:hAnsi="Arial"/>
                <w:sz w:val="20"/>
                <w:szCs w:val="20"/>
                <w:color w:val="1E1E1E"/>
              </w:rPr>
              <w:t>57</w:t>
            </w: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1E1E1E"/>
              </w:rPr>
              <w:t>19</w:t>
            </w:r>
          </w:p>
        </w:tc>
        <w:tc>
          <w:tcPr>
            <w:tcW w:w="1120" w:type="dxa"/>
            <w:vAlign w:val="bottom"/>
            <w:gridSpan w:val="2"/>
          </w:tcPr>
          <w:p>
            <w:pPr>
              <w:jc w:val="right"/>
              <w:spacing w:after="0"/>
              <w:rPr>
                <w:sz w:val="20"/>
                <w:szCs w:val="20"/>
                <w:color w:val="auto"/>
              </w:rPr>
            </w:pPr>
            <w:r>
              <w:rPr>
                <w:rFonts w:ascii="Arial" w:cs="Arial" w:eastAsia="Arial" w:hAnsi="Arial"/>
                <w:sz w:val="20"/>
                <w:szCs w:val="20"/>
                <w:color w:val="1E1E1E"/>
              </w:rPr>
              <w:t>57</w:t>
            </w:r>
          </w:p>
        </w:tc>
        <w:tc>
          <w:tcPr>
            <w:tcW w:w="100" w:type="dxa"/>
            <w:vAlign w:val="bottom"/>
          </w:tcPr>
          <w:p>
            <w:pPr>
              <w:spacing w:after="0"/>
              <w:rPr>
                <w:sz w:val="19"/>
                <w:szCs w:val="19"/>
                <w:color w:val="auto"/>
              </w:rPr>
            </w:pPr>
          </w:p>
        </w:tc>
      </w:tr>
      <w:tr>
        <w:trPr>
          <w:trHeight w:val="224"/>
        </w:trPr>
        <w:tc>
          <w:tcPr>
            <w:tcW w:w="4880" w:type="dxa"/>
            <w:vAlign w:val="bottom"/>
            <w:tcBorders>
              <w:top w:val="single" w:sz="8" w:color="E4E4E4"/>
            </w:tcBorders>
            <w:shd w:val="clear" w:color="auto" w:fill="E4E4E4"/>
          </w:tcPr>
          <w:p>
            <w:pPr>
              <w:spacing w:after="0" w:line="224" w:lineRule="exact"/>
              <w:rPr>
                <w:sz w:val="20"/>
                <w:szCs w:val="20"/>
                <w:color w:val="auto"/>
              </w:rPr>
            </w:pPr>
            <w:r>
              <w:rPr>
                <w:rFonts w:ascii="Arial" w:cs="Arial" w:eastAsia="Arial" w:hAnsi="Arial"/>
                <w:sz w:val="20"/>
                <w:szCs w:val="20"/>
                <w:color w:val="1E1E1E"/>
              </w:rPr>
              <w:t>Total Stores</w:t>
            </w:r>
          </w:p>
        </w:tc>
        <w:tc>
          <w:tcPr>
            <w:tcW w:w="80" w:type="dxa"/>
            <w:vAlign w:val="bottom"/>
            <w:tcBorders>
              <w:top w:val="single" w:sz="8" w:color="E4E4E4"/>
            </w:tcBorders>
            <w:shd w:val="clear" w:color="auto" w:fill="E4E4E4"/>
          </w:tcPr>
          <w:p>
            <w:pPr>
              <w:spacing w:after="0"/>
              <w:rPr>
                <w:sz w:val="19"/>
                <w:szCs w:val="19"/>
                <w:color w:val="auto"/>
              </w:rPr>
            </w:pPr>
          </w:p>
        </w:tc>
        <w:tc>
          <w:tcPr>
            <w:tcW w:w="1020" w:type="dxa"/>
            <w:vAlign w:val="bottom"/>
            <w:tcBorders>
              <w:top w:val="single" w:sz="8" w:color="1E1E1E"/>
            </w:tcBorders>
            <w:shd w:val="clear" w:color="auto" w:fill="E4E4E4"/>
          </w:tcPr>
          <w:p>
            <w:pPr>
              <w:jc w:val="right"/>
              <w:spacing w:after="0" w:line="224" w:lineRule="exact"/>
              <w:rPr>
                <w:sz w:val="20"/>
                <w:szCs w:val="20"/>
                <w:color w:val="auto"/>
              </w:rPr>
            </w:pPr>
            <w:r>
              <w:rPr>
                <w:rFonts w:ascii="Arial" w:cs="Arial" w:eastAsia="Arial" w:hAnsi="Arial"/>
                <w:sz w:val="20"/>
                <w:szCs w:val="20"/>
                <w:color w:val="1E1E1E"/>
              </w:rPr>
              <w:t>283</w:t>
            </w:r>
          </w:p>
        </w:tc>
        <w:tc>
          <w:tcPr>
            <w:tcW w:w="100" w:type="dxa"/>
            <w:vAlign w:val="bottom"/>
            <w:tcBorders>
              <w:top w:val="single" w:sz="8" w:color="E4E4E4"/>
            </w:tcBorders>
            <w:shd w:val="clear" w:color="auto" w:fill="E4E4E4"/>
          </w:tcPr>
          <w:p>
            <w:pPr>
              <w:spacing w:after="0"/>
              <w:rPr>
                <w:sz w:val="19"/>
                <w:szCs w:val="19"/>
                <w:color w:val="auto"/>
              </w:rPr>
            </w:pPr>
          </w:p>
        </w:tc>
        <w:tc>
          <w:tcPr>
            <w:tcW w:w="1100" w:type="dxa"/>
            <w:vAlign w:val="bottom"/>
            <w:tcBorders>
              <w:top w:val="single" w:sz="8" w:color="1E1E1E"/>
            </w:tcBorders>
            <w:gridSpan w:val="2"/>
            <w:shd w:val="clear" w:color="auto" w:fill="E4E4E4"/>
          </w:tcPr>
          <w:p>
            <w:pPr>
              <w:jc w:val="right"/>
              <w:spacing w:after="0" w:line="224" w:lineRule="exact"/>
              <w:rPr>
                <w:sz w:val="20"/>
                <w:szCs w:val="20"/>
                <w:color w:val="auto"/>
              </w:rPr>
            </w:pPr>
            <w:r>
              <w:rPr>
                <w:rFonts w:ascii="Arial" w:cs="Arial" w:eastAsia="Arial" w:hAnsi="Arial"/>
                <w:sz w:val="20"/>
                <w:szCs w:val="20"/>
                <w:color w:val="1E1E1E"/>
              </w:rPr>
              <w:t>1,913</w:t>
            </w:r>
          </w:p>
        </w:tc>
        <w:tc>
          <w:tcPr>
            <w:tcW w:w="200" w:type="dxa"/>
            <w:vAlign w:val="bottom"/>
            <w:tcBorders>
              <w:top w:val="single" w:sz="8" w:color="E4E4E4"/>
            </w:tcBorders>
            <w:shd w:val="clear" w:color="auto" w:fill="E4E4E4"/>
          </w:tcPr>
          <w:p>
            <w:pPr>
              <w:spacing w:after="0"/>
              <w:rPr>
                <w:sz w:val="19"/>
                <w:szCs w:val="19"/>
                <w:color w:val="auto"/>
              </w:rPr>
            </w:pPr>
          </w:p>
        </w:tc>
        <w:tc>
          <w:tcPr>
            <w:tcW w:w="1020" w:type="dxa"/>
            <w:vAlign w:val="bottom"/>
            <w:tcBorders>
              <w:top w:val="single" w:sz="8" w:color="1E1E1E"/>
            </w:tcBorders>
            <w:shd w:val="clear" w:color="auto" w:fill="E4E4E4"/>
          </w:tcPr>
          <w:p>
            <w:pPr>
              <w:jc w:val="right"/>
              <w:spacing w:after="0" w:line="224" w:lineRule="exact"/>
              <w:rPr>
                <w:sz w:val="20"/>
                <w:szCs w:val="20"/>
                <w:color w:val="auto"/>
              </w:rPr>
            </w:pPr>
            <w:r>
              <w:rPr>
                <w:rFonts w:ascii="Arial" w:cs="Arial" w:eastAsia="Arial" w:hAnsi="Arial"/>
                <w:sz w:val="20"/>
                <w:szCs w:val="20"/>
                <w:color w:val="1E1E1E"/>
              </w:rPr>
              <w:t>281</w:t>
            </w:r>
          </w:p>
        </w:tc>
        <w:tc>
          <w:tcPr>
            <w:tcW w:w="100" w:type="dxa"/>
            <w:vAlign w:val="bottom"/>
            <w:tcBorders>
              <w:top w:val="single" w:sz="8" w:color="E4E4E4"/>
            </w:tcBorders>
            <w:shd w:val="clear" w:color="auto" w:fill="E4E4E4"/>
          </w:tcPr>
          <w:p>
            <w:pPr>
              <w:spacing w:after="0"/>
              <w:rPr>
                <w:sz w:val="19"/>
                <w:szCs w:val="19"/>
                <w:color w:val="auto"/>
              </w:rPr>
            </w:pPr>
          </w:p>
        </w:tc>
        <w:tc>
          <w:tcPr>
            <w:tcW w:w="1120" w:type="dxa"/>
            <w:vAlign w:val="bottom"/>
            <w:tcBorders>
              <w:top w:val="single" w:sz="8" w:color="1E1E1E"/>
            </w:tcBorders>
            <w:gridSpan w:val="2"/>
            <w:shd w:val="clear" w:color="auto" w:fill="E4E4E4"/>
          </w:tcPr>
          <w:p>
            <w:pPr>
              <w:jc w:val="right"/>
              <w:spacing w:after="0" w:line="224" w:lineRule="exact"/>
              <w:rPr>
                <w:sz w:val="20"/>
                <w:szCs w:val="20"/>
                <w:color w:val="auto"/>
              </w:rPr>
            </w:pPr>
            <w:r>
              <w:rPr>
                <w:rFonts w:ascii="Arial" w:cs="Arial" w:eastAsia="Arial" w:hAnsi="Arial"/>
                <w:sz w:val="20"/>
                <w:szCs w:val="20"/>
                <w:color w:val="1E1E1E"/>
              </w:rPr>
              <w:t>1,892</w:t>
            </w:r>
          </w:p>
        </w:tc>
        <w:tc>
          <w:tcPr>
            <w:tcW w:w="100" w:type="dxa"/>
            <w:vAlign w:val="bottom"/>
            <w:tcBorders>
              <w:top w:val="single" w:sz="8" w:color="E4E4E4"/>
            </w:tcBorders>
            <w:shd w:val="clear" w:color="auto" w:fill="E4E4E4"/>
          </w:tcPr>
          <w:p>
            <w:pPr>
              <w:spacing w:after="0"/>
              <w:rPr>
                <w:sz w:val="19"/>
                <w:szCs w:val="19"/>
                <w:color w:val="auto"/>
              </w:rPr>
            </w:pPr>
          </w:p>
        </w:tc>
      </w:tr>
    </w:tbl>
    <w:p>
      <w:pPr>
        <w:spacing w:after="0" w:line="200" w:lineRule="exact"/>
        <w:rPr>
          <w:sz w:val="20"/>
          <w:szCs w:val="20"/>
          <w:color w:val="auto"/>
        </w:rPr>
      </w:pPr>
    </w:p>
    <w:p>
      <w:pPr>
        <w:sectPr>
          <w:pgSz w:w="11880" w:h="15480" w:orient="portrait"/>
          <w:cols w:equalWidth="0" w:num="1">
            <w:col w:w="10760"/>
          </w:cols>
          <w:pgMar w:left="540" w:top="658" w:right="580" w:bottom="31"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E1E1E"/>
        </w:rPr>
        <w:t>30</w:t>
      </w:r>
    </w:p>
    <w:p>
      <w:pPr>
        <w:sectPr>
          <w:pgSz w:w="11880" w:h="15480" w:orient="portrait"/>
          <w:cols w:equalWidth="0" w:num="1">
            <w:col w:w="10760"/>
          </w:cols>
          <w:pgMar w:left="540" w:top="658" w:right="580" w:bottom="31" w:gutter="0" w:footer="0" w:header="0"/>
          <w:type w:val="continuous"/>
        </w:sectPr>
      </w:pPr>
    </w:p>
    <w:bookmarkStart w:id="32" w:name="page33"/>
    <w:bookmarkEnd w:id="32"/>
    <w:p>
      <w:pPr>
        <w:ind w:right="20"/>
        <w:spacing w:after="0" w:line="259" w:lineRule="auto"/>
        <w:rPr>
          <w:sz w:val="20"/>
          <w:szCs w:val="20"/>
          <w:color w:val="auto"/>
        </w:rPr>
      </w:pPr>
      <w:r>
        <w:rPr>
          <w:rFonts w:ascii="Arial" w:cs="Arial" w:eastAsia="Arial" w:hAnsi="Arial"/>
          <w:sz w:val="20"/>
          <w:szCs w:val="20"/>
          <w:color w:val="1E1E1E"/>
        </w:rPr>
        <w:t>During fiscal 2023, we opened three new DXL stores, we completed the conversion of 11 Casual Male stores to the DXL store format, completed the remodel of one existing DXL store and closed one DXL outlet. Below is a summary of the store activity from January 28, 2023 to February 3, 2024:</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1E1E1E"/>
                <w:w w:val="96"/>
              </w:rPr>
              <w:t>Casual Male</w:t>
            </w:r>
          </w:p>
        </w:tc>
        <w:tc>
          <w:tcPr>
            <w:tcW w:w="940" w:type="dxa"/>
            <w:vAlign w:val="bottom"/>
          </w:tcPr>
          <w:p>
            <w:pPr>
              <w:jc w:val="right"/>
              <w:spacing w:after="0"/>
              <w:rPr>
                <w:sz w:val="20"/>
                <w:szCs w:val="20"/>
                <w:color w:val="auto"/>
              </w:rPr>
            </w:pPr>
            <w:r>
              <w:rPr>
                <w:rFonts w:ascii="Arial" w:cs="Arial" w:eastAsia="Arial" w:hAnsi="Arial"/>
                <w:sz w:val="16"/>
                <w:szCs w:val="16"/>
                <w:color w:val="1E1E1E"/>
                <w:w w:val="94"/>
              </w:rPr>
              <w:t>Casual Male</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4900" w:type="dxa"/>
            <w:vAlign w:val="bottom"/>
          </w:tcPr>
          <w:p>
            <w:pPr>
              <w:spacing w:after="0"/>
              <w:rPr>
                <w:sz w:val="20"/>
                <w:szCs w:val="20"/>
                <w:color w:val="auto"/>
              </w:rPr>
            </w:pPr>
            <w:r>
              <w:rPr>
                <w:rFonts w:ascii="Arial" w:cs="Arial" w:eastAsia="Arial" w:hAnsi="Arial"/>
                <w:sz w:val="16"/>
                <w:szCs w:val="16"/>
                <w:color w:val="1E1E1E"/>
              </w:rPr>
              <w:t>Number of Stores:</w:t>
            </w:r>
          </w:p>
        </w:tc>
        <w:tc>
          <w:tcPr>
            <w:tcW w:w="10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Arial" w:cs="Arial" w:eastAsia="Arial" w:hAnsi="Arial"/>
                <w:sz w:val="16"/>
                <w:szCs w:val="16"/>
                <w:color w:val="1E1E1E"/>
              </w:rPr>
              <w:t>DXL Retail</w:t>
            </w:r>
          </w:p>
        </w:tc>
        <w:tc>
          <w:tcPr>
            <w:tcW w:w="22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1E1E1E"/>
              </w:rPr>
              <w:t>DXL Outlet</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1E1E1E"/>
              </w:rPr>
              <w:t>XL Retail</w:t>
            </w:r>
          </w:p>
        </w:tc>
        <w:tc>
          <w:tcPr>
            <w:tcW w:w="940" w:type="dxa"/>
            <w:vAlign w:val="bottom"/>
          </w:tcPr>
          <w:p>
            <w:pPr>
              <w:jc w:val="right"/>
              <w:ind w:right="26"/>
              <w:spacing w:after="0"/>
              <w:rPr>
                <w:sz w:val="20"/>
                <w:szCs w:val="20"/>
                <w:color w:val="auto"/>
              </w:rPr>
            </w:pPr>
            <w:r>
              <w:rPr>
                <w:rFonts w:ascii="Arial" w:cs="Arial" w:eastAsia="Arial" w:hAnsi="Arial"/>
                <w:sz w:val="16"/>
                <w:szCs w:val="16"/>
                <w:color w:val="1E1E1E"/>
              </w:rPr>
              <w:t>XL Outlet</w:t>
            </w: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1E1E1E"/>
              </w:rPr>
              <w:t>Total Stores</w:t>
            </w:r>
          </w:p>
        </w:tc>
      </w:tr>
      <w:tr>
        <w:trPr>
          <w:trHeight w:val="220"/>
        </w:trPr>
        <w:tc>
          <w:tcPr>
            <w:tcW w:w="4900" w:type="dxa"/>
            <w:vAlign w:val="bottom"/>
            <w:tcBorders>
              <w:top w:val="single" w:sz="8" w:color="1E1E1E"/>
            </w:tcBorders>
            <w:shd w:val="clear" w:color="auto" w:fill="E4E4E4"/>
          </w:tcPr>
          <w:p>
            <w:pPr>
              <w:spacing w:after="0" w:line="220" w:lineRule="exact"/>
              <w:rPr>
                <w:sz w:val="20"/>
                <w:szCs w:val="20"/>
                <w:color w:val="auto"/>
              </w:rPr>
            </w:pPr>
            <w:r>
              <w:rPr>
                <w:rFonts w:ascii="Arial" w:cs="Arial" w:eastAsia="Arial" w:hAnsi="Arial"/>
                <w:sz w:val="20"/>
                <w:szCs w:val="20"/>
                <w:color w:val="1E1E1E"/>
              </w:rPr>
              <w:t>At January 28, 2023</w:t>
            </w:r>
          </w:p>
        </w:tc>
        <w:tc>
          <w:tcPr>
            <w:tcW w:w="100" w:type="dxa"/>
            <w:vAlign w:val="bottom"/>
            <w:tcBorders>
              <w:top w:val="single" w:sz="8" w:color="E4E4E4"/>
            </w:tcBorders>
            <w:shd w:val="clear" w:color="auto" w:fill="E4E4E4"/>
          </w:tcPr>
          <w:p>
            <w:pPr>
              <w:spacing w:after="0"/>
              <w:rPr>
                <w:sz w:val="19"/>
                <w:szCs w:val="19"/>
                <w:color w:val="auto"/>
              </w:rPr>
            </w:pPr>
          </w:p>
        </w:tc>
        <w:tc>
          <w:tcPr>
            <w:tcW w:w="980" w:type="dxa"/>
            <w:vAlign w:val="bottom"/>
            <w:tcBorders>
              <w:top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218</w:t>
            </w:r>
          </w:p>
        </w:tc>
        <w:tc>
          <w:tcPr>
            <w:tcW w:w="220" w:type="dxa"/>
            <w:vAlign w:val="bottom"/>
            <w:tcBorders>
              <w:top w:val="single" w:sz="8" w:color="E4E4E4"/>
            </w:tcBorders>
            <w:shd w:val="clear" w:color="auto" w:fill="E4E4E4"/>
          </w:tcPr>
          <w:p>
            <w:pPr>
              <w:spacing w:after="0"/>
              <w:rPr>
                <w:sz w:val="19"/>
                <w:szCs w:val="19"/>
                <w:color w:val="auto"/>
              </w:rPr>
            </w:pPr>
          </w:p>
        </w:tc>
        <w:tc>
          <w:tcPr>
            <w:tcW w:w="920" w:type="dxa"/>
            <w:vAlign w:val="bottom"/>
            <w:tcBorders>
              <w:top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16</w:t>
            </w:r>
          </w:p>
        </w:tc>
        <w:tc>
          <w:tcPr>
            <w:tcW w:w="220" w:type="dxa"/>
            <w:vAlign w:val="bottom"/>
            <w:tcBorders>
              <w:top w:val="single" w:sz="8" w:color="E4E4E4"/>
            </w:tcBorders>
            <w:shd w:val="clear" w:color="auto" w:fill="E4E4E4"/>
          </w:tcPr>
          <w:p>
            <w:pPr>
              <w:spacing w:after="0"/>
              <w:rPr>
                <w:sz w:val="19"/>
                <w:szCs w:val="19"/>
                <w:color w:val="auto"/>
              </w:rPr>
            </w:pPr>
          </w:p>
        </w:tc>
        <w:tc>
          <w:tcPr>
            <w:tcW w:w="940" w:type="dxa"/>
            <w:vAlign w:val="bottom"/>
            <w:tcBorders>
              <w:top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28</w:t>
            </w:r>
          </w:p>
        </w:tc>
        <w:tc>
          <w:tcPr>
            <w:tcW w:w="220" w:type="dxa"/>
            <w:vAlign w:val="bottom"/>
            <w:tcBorders>
              <w:top w:val="single" w:sz="8" w:color="E4E4E4"/>
            </w:tcBorders>
            <w:shd w:val="clear" w:color="auto" w:fill="E4E4E4"/>
          </w:tcPr>
          <w:p>
            <w:pPr>
              <w:spacing w:after="0"/>
              <w:rPr>
                <w:sz w:val="19"/>
                <w:szCs w:val="19"/>
                <w:color w:val="auto"/>
              </w:rPr>
            </w:pPr>
          </w:p>
        </w:tc>
        <w:tc>
          <w:tcPr>
            <w:tcW w:w="940" w:type="dxa"/>
            <w:vAlign w:val="bottom"/>
            <w:tcBorders>
              <w:top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19</w:t>
            </w:r>
          </w:p>
        </w:tc>
        <w:tc>
          <w:tcPr>
            <w:tcW w:w="220" w:type="dxa"/>
            <w:vAlign w:val="bottom"/>
            <w:tcBorders>
              <w:top w:val="single" w:sz="8" w:color="E4E4E4"/>
            </w:tcBorders>
            <w:shd w:val="clear" w:color="auto" w:fill="E4E4E4"/>
          </w:tcPr>
          <w:p>
            <w:pPr>
              <w:spacing w:after="0"/>
              <w:rPr>
                <w:sz w:val="19"/>
                <w:szCs w:val="19"/>
                <w:color w:val="auto"/>
              </w:rPr>
            </w:pPr>
          </w:p>
        </w:tc>
        <w:tc>
          <w:tcPr>
            <w:tcW w:w="1040" w:type="dxa"/>
            <w:vAlign w:val="bottom"/>
            <w:tcBorders>
              <w:top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281</w:t>
            </w:r>
          </w:p>
        </w:tc>
        <w:tc>
          <w:tcPr>
            <w:tcW w:w="100" w:type="dxa"/>
            <w:vAlign w:val="bottom"/>
            <w:tcBorders>
              <w:top w:val="single" w:sz="8" w:color="E4E4E4"/>
            </w:tcBorders>
            <w:shd w:val="clear" w:color="auto" w:fill="E4E4E4"/>
          </w:tcPr>
          <w:p>
            <w:pPr>
              <w:spacing w:after="0"/>
              <w:rPr>
                <w:sz w:val="19"/>
                <w:szCs w:val="19"/>
                <w:color w:val="auto"/>
              </w:rPr>
            </w:pPr>
          </w:p>
        </w:tc>
      </w:tr>
      <w:tr>
        <w:trPr>
          <w:trHeight w:val="230"/>
        </w:trPr>
        <w:tc>
          <w:tcPr>
            <w:tcW w:w="4900" w:type="dxa"/>
            <w:vAlign w:val="bottom"/>
          </w:tcPr>
          <w:p>
            <w:pPr>
              <w:ind w:left="200"/>
              <w:spacing w:after="0"/>
              <w:rPr>
                <w:sz w:val="20"/>
                <w:szCs w:val="20"/>
                <w:color w:val="auto"/>
              </w:rPr>
            </w:pPr>
            <w:r>
              <w:rPr>
                <w:rFonts w:ascii="Arial" w:cs="Arial" w:eastAsia="Arial" w:hAnsi="Arial"/>
                <w:sz w:val="20"/>
                <w:szCs w:val="20"/>
                <w:color w:val="1E1E1E"/>
              </w:rPr>
              <w:t>New stores</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1E1E1E"/>
              </w:rPr>
              <w:t>3</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1E1E1E"/>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1E1E1E"/>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1E1E1E"/>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1E1E1E"/>
              </w:rPr>
              <w:t>3</w:t>
            </w:r>
          </w:p>
        </w:tc>
        <w:tc>
          <w:tcPr>
            <w:tcW w:w="100" w:type="dxa"/>
            <w:vAlign w:val="bottom"/>
          </w:tcPr>
          <w:p>
            <w:pPr>
              <w:spacing w:after="0"/>
              <w:rPr>
                <w:sz w:val="20"/>
                <w:szCs w:val="20"/>
                <w:color w:val="auto"/>
              </w:rPr>
            </w:pPr>
          </w:p>
        </w:tc>
      </w:tr>
      <w:tr>
        <w:trPr>
          <w:trHeight w:val="230"/>
        </w:trPr>
        <w:tc>
          <w:tcPr>
            <w:tcW w:w="4900" w:type="dxa"/>
            <w:vAlign w:val="bottom"/>
            <w:shd w:val="clear" w:color="auto" w:fill="E4E4E4"/>
          </w:tcPr>
          <w:p>
            <w:pPr>
              <w:ind w:left="200"/>
              <w:spacing w:after="0"/>
              <w:rPr>
                <w:sz w:val="20"/>
                <w:szCs w:val="20"/>
                <w:color w:val="auto"/>
              </w:rPr>
            </w:pPr>
            <w:r>
              <w:rPr>
                <w:rFonts w:ascii="Arial" w:cs="Arial" w:eastAsia="Arial" w:hAnsi="Arial"/>
                <w:sz w:val="20"/>
                <w:szCs w:val="20"/>
                <w:color w:val="1E1E1E"/>
              </w:rPr>
              <w:t>Conversion in place</w:t>
            </w:r>
          </w:p>
        </w:tc>
        <w:tc>
          <w:tcPr>
            <w:tcW w:w="108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11</w:t>
            </w:r>
          </w:p>
        </w:tc>
        <w:tc>
          <w:tcPr>
            <w:tcW w:w="220" w:type="dxa"/>
            <w:vAlign w:val="bottom"/>
            <w:shd w:val="clear" w:color="auto" w:fill="E4E4E4"/>
          </w:tcPr>
          <w:p>
            <w:pPr>
              <w:spacing w:after="0"/>
              <w:rPr>
                <w:sz w:val="20"/>
                <w:szCs w:val="20"/>
                <w:color w:val="auto"/>
              </w:rPr>
            </w:pPr>
          </w:p>
        </w:tc>
        <w:tc>
          <w:tcPr>
            <w:tcW w:w="1140" w:type="dxa"/>
            <w:vAlign w:val="bottom"/>
            <w:gridSpan w:val="2"/>
            <w:shd w:val="clear" w:color="auto" w:fill="E4E4E4"/>
          </w:tcPr>
          <w:p>
            <w:pPr>
              <w:jc w:val="right"/>
              <w:ind w:right="220"/>
              <w:spacing w:after="0"/>
              <w:rPr>
                <w:sz w:val="20"/>
                <w:szCs w:val="20"/>
                <w:color w:val="auto"/>
              </w:rPr>
            </w:pPr>
            <w:r>
              <w:rPr>
                <w:rFonts w:ascii="Arial" w:cs="Arial" w:eastAsia="Arial" w:hAnsi="Arial"/>
                <w:sz w:val="20"/>
                <w:szCs w:val="20"/>
                <w:color w:val="1E1E1E"/>
              </w:rPr>
              <w:t>—</w:t>
            </w:r>
          </w:p>
        </w:tc>
        <w:tc>
          <w:tcPr>
            <w:tcW w:w="1160" w:type="dxa"/>
            <w:vAlign w:val="bottom"/>
            <w:gridSpan w:val="2"/>
            <w:shd w:val="clear" w:color="auto" w:fill="E4E4E4"/>
          </w:tcPr>
          <w:p>
            <w:pPr>
              <w:jc w:val="right"/>
              <w:ind w:right="160"/>
              <w:spacing w:after="0"/>
              <w:rPr>
                <w:sz w:val="20"/>
                <w:szCs w:val="20"/>
                <w:color w:val="auto"/>
              </w:rPr>
            </w:pPr>
            <w:r>
              <w:rPr>
                <w:rFonts w:ascii="Arial" w:cs="Arial" w:eastAsia="Arial" w:hAnsi="Arial"/>
                <w:sz w:val="20"/>
                <w:szCs w:val="20"/>
                <w:color w:val="1E1E1E"/>
              </w:rPr>
              <w:t>(11)</w:t>
            </w:r>
          </w:p>
        </w:tc>
        <w:tc>
          <w:tcPr>
            <w:tcW w:w="94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w:t>
            </w:r>
          </w:p>
        </w:tc>
        <w:tc>
          <w:tcPr>
            <w:tcW w:w="220" w:type="dxa"/>
            <w:vAlign w:val="bottom"/>
            <w:shd w:val="clear" w:color="auto" w:fill="E4E4E4"/>
          </w:tcPr>
          <w:p>
            <w:pPr>
              <w:spacing w:after="0"/>
              <w:rPr>
                <w:sz w:val="20"/>
                <w:szCs w:val="20"/>
                <w:color w:val="auto"/>
              </w:rPr>
            </w:pPr>
          </w:p>
        </w:tc>
        <w:tc>
          <w:tcPr>
            <w:tcW w:w="1140" w:type="dxa"/>
            <w:vAlign w:val="bottom"/>
            <w:gridSpan w:val="2"/>
            <w:shd w:val="clear" w:color="auto" w:fill="E4E4E4"/>
          </w:tcPr>
          <w:p>
            <w:pPr>
              <w:jc w:val="right"/>
              <w:ind w:right="100"/>
              <w:spacing w:after="0"/>
              <w:rPr>
                <w:sz w:val="20"/>
                <w:szCs w:val="20"/>
                <w:color w:val="auto"/>
              </w:rPr>
            </w:pPr>
            <w:r>
              <w:rPr>
                <w:rFonts w:ascii="Arial" w:cs="Arial" w:eastAsia="Arial" w:hAnsi="Arial"/>
                <w:sz w:val="20"/>
                <w:szCs w:val="20"/>
                <w:color w:val="1E1E1E"/>
              </w:rPr>
              <w:t>—</w:t>
            </w:r>
          </w:p>
        </w:tc>
      </w:tr>
      <w:tr>
        <w:trPr>
          <w:trHeight w:val="229"/>
        </w:trPr>
        <w:tc>
          <w:tcPr>
            <w:tcW w:w="4900" w:type="dxa"/>
            <w:vAlign w:val="bottom"/>
          </w:tcPr>
          <w:p>
            <w:pPr>
              <w:ind w:left="200"/>
              <w:spacing w:after="0"/>
              <w:rPr>
                <w:sz w:val="20"/>
                <w:szCs w:val="20"/>
                <w:color w:val="auto"/>
              </w:rPr>
            </w:pPr>
            <w:r>
              <w:rPr>
                <w:rFonts w:ascii="Arial" w:cs="Arial" w:eastAsia="Arial" w:hAnsi="Arial"/>
                <w:sz w:val="20"/>
                <w:szCs w:val="20"/>
                <w:color w:val="1E1E1E"/>
              </w:rPr>
              <w:t>Closed retail stores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1E1E1E"/>
              </w:rPr>
              <w:t>—</w:t>
            </w:r>
          </w:p>
        </w:tc>
        <w:tc>
          <w:tcPr>
            <w:tcW w:w="1360" w:type="dxa"/>
            <w:vAlign w:val="bottom"/>
            <w:gridSpan w:val="3"/>
          </w:tcPr>
          <w:p>
            <w:pPr>
              <w:jc w:val="right"/>
              <w:ind w:right="140"/>
              <w:spacing w:after="0"/>
              <w:rPr>
                <w:sz w:val="20"/>
                <w:szCs w:val="20"/>
                <w:color w:val="auto"/>
              </w:rPr>
            </w:pPr>
            <w:r>
              <w:rPr>
                <w:rFonts w:ascii="Arial" w:cs="Arial" w:eastAsia="Arial" w:hAnsi="Arial"/>
                <w:sz w:val="20"/>
                <w:szCs w:val="20"/>
                <w:color w:val="1E1E1E"/>
              </w:rPr>
              <w:t>(1)</w:t>
            </w:r>
          </w:p>
        </w:tc>
        <w:tc>
          <w:tcPr>
            <w:tcW w:w="1160" w:type="dxa"/>
            <w:vAlign w:val="bottom"/>
            <w:gridSpan w:val="2"/>
          </w:tcPr>
          <w:p>
            <w:pPr>
              <w:jc w:val="right"/>
              <w:ind w:right="220"/>
              <w:spacing w:after="0"/>
              <w:rPr>
                <w:sz w:val="20"/>
                <w:szCs w:val="20"/>
                <w:color w:val="auto"/>
              </w:rPr>
            </w:pPr>
            <w:r>
              <w:rPr>
                <w:rFonts w:ascii="Arial" w:cs="Arial" w:eastAsia="Arial" w:hAnsi="Arial"/>
                <w:sz w:val="20"/>
                <w:szCs w:val="20"/>
                <w:color w:val="1E1E1E"/>
              </w:rPr>
              <w:t>—</w:t>
            </w:r>
          </w:p>
        </w:tc>
        <w:tc>
          <w:tcPr>
            <w:tcW w:w="940" w:type="dxa"/>
            <w:vAlign w:val="bottom"/>
          </w:tcPr>
          <w:p>
            <w:pPr>
              <w:jc w:val="right"/>
              <w:spacing w:after="0"/>
              <w:rPr>
                <w:sz w:val="20"/>
                <w:szCs w:val="20"/>
                <w:color w:val="auto"/>
              </w:rPr>
            </w:pPr>
            <w:r>
              <w:rPr>
                <w:rFonts w:ascii="Arial" w:cs="Arial" w:eastAsia="Arial" w:hAnsi="Arial"/>
                <w:sz w:val="20"/>
                <w:szCs w:val="20"/>
                <w:color w:val="1E1E1E"/>
              </w:rPr>
              <w:t>—</w:t>
            </w:r>
          </w:p>
        </w:tc>
        <w:tc>
          <w:tcPr>
            <w:tcW w:w="1360" w:type="dxa"/>
            <w:vAlign w:val="bottom"/>
            <w:gridSpan w:val="3"/>
          </w:tcPr>
          <w:p>
            <w:pPr>
              <w:jc w:val="right"/>
              <w:ind w:right="40"/>
              <w:spacing w:after="0"/>
              <w:rPr>
                <w:sz w:val="20"/>
                <w:szCs w:val="20"/>
                <w:color w:val="auto"/>
              </w:rPr>
            </w:pPr>
            <w:r>
              <w:rPr>
                <w:rFonts w:ascii="Arial" w:cs="Arial" w:eastAsia="Arial" w:hAnsi="Arial"/>
                <w:sz w:val="20"/>
                <w:szCs w:val="20"/>
                <w:color w:val="1E1E1E"/>
              </w:rPr>
              <w:t>(1)</w:t>
            </w:r>
          </w:p>
        </w:tc>
      </w:tr>
      <w:tr>
        <w:trPr>
          <w:trHeight w:val="224"/>
        </w:trPr>
        <w:tc>
          <w:tcPr>
            <w:tcW w:w="4900" w:type="dxa"/>
            <w:vAlign w:val="bottom"/>
            <w:tcBorders>
              <w:top w:val="single" w:sz="8" w:color="E4E4E4"/>
            </w:tcBorders>
            <w:shd w:val="clear" w:color="auto" w:fill="E4E4E4"/>
          </w:tcPr>
          <w:p>
            <w:pPr>
              <w:spacing w:after="0" w:line="224" w:lineRule="exact"/>
              <w:rPr>
                <w:sz w:val="20"/>
                <w:szCs w:val="20"/>
                <w:color w:val="auto"/>
              </w:rPr>
            </w:pPr>
            <w:r>
              <w:rPr>
                <w:rFonts w:ascii="Arial" w:cs="Arial" w:eastAsia="Arial" w:hAnsi="Arial"/>
                <w:sz w:val="20"/>
                <w:szCs w:val="20"/>
                <w:color w:val="1E1E1E"/>
              </w:rPr>
              <w:t>At February 3, 2024</w:t>
            </w:r>
          </w:p>
        </w:tc>
        <w:tc>
          <w:tcPr>
            <w:tcW w:w="100" w:type="dxa"/>
            <w:vAlign w:val="bottom"/>
            <w:tcBorders>
              <w:top w:val="single" w:sz="8" w:color="E4E4E4"/>
            </w:tcBorders>
            <w:shd w:val="clear" w:color="auto" w:fill="E4E4E4"/>
          </w:tcPr>
          <w:p>
            <w:pPr>
              <w:spacing w:after="0"/>
              <w:rPr>
                <w:sz w:val="19"/>
                <w:szCs w:val="19"/>
                <w:color w:val="auto"/>
              </w:rPr>
            </w:pPr>
          </w:p>
        </w:tc>
        <w:tc>
          <w:tcPr>
            <w:tcW w:w="980" w:type="dxa"/>
            <w:vAlign w:val="bottom"/>
            <w:tcBorders>
              <w:top w:val="single" w:sz="8" w:color="1E1E1E"/>
            </w:tcBorders>
            <w:shd w:val="clear" w:color="auto" w:fill="E4E4E4"/>
          </w:tcPr>
          <w:p>
            <w:pPr>
              <w:jc w:val="right"/>
              <w:spacing w:after="0" w:line="224" w:lineRule="exact"/>
              <w:rPr>
                <w:sz w:val="20"/>
                <w:szCs w:val="20"/>
                <w:color w:val="auto"/>
              </w:rPr>
            </w:pPr>
            <w:r>
              <w:rPr>
                <w:rFonts w:ascii="Arial" w:cs="Arial" w:eastAsia="Arial" w:hAnsi="Arial"/>
                <w:sz w:val="20"/>
                <w:szCs w:val="20"/>
                <w:color w:val="1E1E1E"/>
              </w:rPr>
              <w:t>232</w:t>
            </w:r>
          </w:p>
        </w:tc>
        <w:tc>
          <w:tcPr>
            <w:tcW w:w="220" w:type="dxa"/>
            <w:vAlign w:val="bottom"/>
            <w:tcBorders>
              <w:top w:val="single" w:sz="8" w:color="E4E4E4"/>
            </w:tcBorders>
            <w:shd w:val="clear" w:color="auto" w:fill="E4E4E4"/>
          </w:tcPr>
          <w:p>
            <w:pPr>
              <w:spacing w:after="0"/>
              <w:rPr>
                <w:sz w:val="19"/>
                <w:szCs w:val="19"/>
                <w:color w:val="auto"/>
              </w:rPr>
            </w:pPr>
          </w:p>
        </w:tc>
        <w:tc>
          <w:tcPr>
            <w:tcW w:w="920" w:type="dxa"/>
            <w:vAlign w:val="bottom"/>
            <w:tcBorders>
              <w:top w:val="single" w:sz="8" w:color="1E1E1E"/>
            </w:tcBorders>
            <w:shd w:val="clear" w:color="auto" w:fill="E4E4E4"/>
          </w:tcPr>
          <w:p>
            <w:pPr>
              <w:jc w:val="right"/>
              <w:spacing w:after="0" w:line="224" w:lineRule="exact"/>
              <w:rPr>
                <w:sz w:val="20"/>
                <w:szCs w:val="20"/>
                <w:color w:val="auto"/>
              </w:rPr>
            </w:pPr>
            <w:r>
              <w:rPr>
                <w:rFonts w:ascii="Arial" w:cs="Arial" w:eastAsia="Arial" w:hAnsi="Arial"/>
                <w:sz w:val="20"/>
                <w:szCs w:val="20"/>
                <w:color w:val="1E1E1E"/>
              </w:rPr>
              <w:t>15</w:t>
            </w:r>
          </w:p>
        </w:tc>
        <w:tc>
          <w:tcPr>
            <w:tcW w:w="220" w:type="dxa"/>
            <w:vAlign w:val="bottom"/>
            <w:tcBorders>
              <w:top w:val="single" w:sz="8" w:color="E4E4E4"/>
            </w:tcBorders>
            <w:shd w:val="clear" w:color="auto" w:fill="E4E4E4"/>
          </w:tcPr>
          <w:p>
            <w:pPr>
              <w:spacing w:after="0"/>
              <w:rPr>
                <w:sz w:val="19"/>
                <w:szCs w:val="19"/>
                <w:color w:val="auto"/>
              </w:rPr>
            </w:pPr>
          </w:p>
        </w:tc>
        <w:tc>
          <w:tcPr>
            <w:tcW w:w="940" w:type="dxa"/>
            <w:vAlign w:val="bottom"/>
            <w:tcBorders>
              <w:top w:val="single" w:sz="8" w:color="1E1E1E"/>
            </w:tcBorders>
            <w:shd w:val="clear" w:color="auto" w:fill="E4E4E4"/>
          </w:tcPr>
          <w:p>
            <w:pPr>
              <w:jc w:val="right"/>
              <w:spacing w:after="0" w:line="224" w:lineRule="exact"/>
              <w:rPr>
                <w:sz w:val="20"/>
                <w:szCs w:val="20"/>
                <w:color w:val="auto"/>
              </w:rPr>
            </w:pPr>
            <w:r>
              <w:rPr>
                <w:rFonts w:ascii="Arial" w:cs="Arial" w:eastAsia="Arial" w:hAnsi="Arial"/>
                <w:sz w:val="20"/>
                <w:szCs w:val="20"/>
                <w:color w:val="1E1E1E"/>
              </w:rPr>
              <w:t>17</w:t>
            </w:r>
          </w:p>
        </w:tc>
        <w:tc>
          <w:tcPr>
            <w:tcW w:w="220" w:type="dxa"/>
            <w:vAlign w:val="bottom"/>
            <w:tcBorders>
              <w:top w:val="single" w:sz="8" w:color="E4E4E4"/>
            </w:tcBorders>
            <w:shd w:val="clear" w:color="auto" w:fill="E4E4E4"/>
          </w:tcPr>
          <w:p>
            <w:pPr>
              <w:spacing w:after="0"/>
              <w:rPr>
                <w:sz w:val="19"/>
                <w:szCs w:val="19"/>
                <w:color w:val="auto"/>
              </w:rPr>
            </w:pPr>
          </w:p>
        </w:tc>
        <w:tc>
          <w:tcPr>
            <w:tcW w:w="940" w:type="dxa"/>
            <w:vAlign w:val="bottom"/>
            <w:tcBorders>
              <w:top w:val="single" w:sz="8" w:color="1E1E1E"/>
            </w:tcBorders>
            <w:shd w:val="clear" w:color="auto" w:fill="E4E4E4"/>
          </w:tcPr>
          <w:p>
            <w:pPr>
              <w:jc w:val="right"/>
              <w:spacing w:after="0" w:line="224" w:lineRule="exact"/>
              <w:rPr>
                <w:sz w:val="20"/>
                <w:szCs w:val="20"/>
                <w:color w:val="auto"/>
              </w:rPr>
            </w:pPr>
            <w:r>
              <w:rPr>
                <w:rFonts w:ascii="Arial" w:cs="Arial" w:eastAsia="Arial" w:hAnsi="Arial"/>
                <w:sz w:val="20"/>
                <w:szCs w:val="20"/>
                <w:color w:val="1E1E1E"/>
              </w:rPr>
              <w:t>19</w:t>
            </w:r>
          </w:p>
        </w:tc>
        <w:tc>
          <w:tcPr>
            <w:tcW w:w="220" w:type="dxa"/>
            <w:vAlign w:val="bottom"/>
            <w:tcBorders>
              <w:top w:val="single" w:sz="8" w:color="E4E4E4"/>
            </w:tcBorders>
            <w:shd w:val="clear" w:color="auto" w:fill="E4E4E4"/>
          </w:tcPr>
          <w:p>
            <w:pPr>
              <w:spacing w:after="0"/>
              <w:rPr>
                <w:sz w:val="19"/>
                <w:szCs w:val="19"/>
                <w:color w:val="auto"/>
              </w:rPr>
            </w:pPr>
          </w:p>
        </w:tc>
        <w:tc>
          <w:tcPr>
            <w:tcW w:w="1040" w:type="dxa"/>
            <w:vAlign w:val="bottom"/>
            <w:tcBorders>
              <w:top w:val="single" w:sz="8" w:color="1E1E1E"/>
            </w:tcBorders>
            <w:shd w:val="clear" w:color="auto" w:fill="E4E4E4"/>
          </w:tcPr>
          <w:p>
            <w:pPr>
              <w:jc w:val="right"/>
              <w:spacing w:after="0" w:line="224" w:lineRule="exact"/>
              <w:rPr>
                <w:sz w:val="20"/>
                <w:szCs w:val="20"/>
                <w:color w:val="auto"/>
              </w:rPr>
            </w:pPr>
            <w:r>
              <w:rPr>
                <w:rFonts w:ascii="Arial" w:cs="Arial" w:eastAsia="Arial" w:hAnsi="Arial"/>
                <w:sz w:val="20"/>
                <w:szCs w:val="20"/>
                <w:color w:val="1E1E1E"/>
              </w:rPr>
              <w:t>283</w:t>
            </w:r>
          </w:p>
        </w:tc>
        <w:tc>
          <w:tcPr>
            <w:tcW w:w="100" w:type="dxa"/>
            <w:vAlign w:val="bottom"/>
            <w:tcBorders>
              <w:top w:val="single" w:sz="8" w:color="E4E4E4"/>
            </w:tcBorders>
            <w:shd w:val="clear" w:color="auto" w:fill="E4E4E4"/>
          </w:tcPr>
          <w:p>
            <w:pPr>
              <w:spacing w:after="0"/>
              <w:rPr>
                <w:sz w:val="19"/>
                <w:szCs w:val="19"/>
                <w:color w:val="auto"/>
              </w:rPr>
            </w:pPr>
          </w:p>
        </w:tc>
      </w:tr>
    </w:tbl>
    <w:p>
      <w:pPr>
        <w:spacing w:after="0" w:line="90" w:lineRule="exact"/>
        <w:rPr>
          <w:sz w:val="20"/>
          <w:szCs w:val="20"/>
          <w:color w:val="auto"/>
        </w:rPr>
      </w:pPr>
    </w:p>
    <w:p>
      <w:pPr>
        <w:ind w:right="180"/>
        <w:spacing w:after="0" w:line="271" w:lineRule="auto"/>
        <w:rPr>
          <w:sz w:val="20"/>
          <w:szCs w:val="20"/>
          <w:color w:val="auto"/>
        </w:rPr>
      </w:pPr>
      <w:r>
        <w:rPr>
          <w:rFonts w:ascii="Arial" w:cs="Arial" w:eastAsia="Arial" w:hAnsi="Arial"/>
          <w:sz w:val="20"/>
          <w:szCs w:val="20"/>
          <w:color w:val="1E1E1E"/>
        </w:rPr>
        <w:t>Our capital expenditures for fiscal 2023 were $17.4 million, as compared to $9.6 million in fiscal 2022. The capital expenditures for fiscal 2023 primarily related to stores, information technology projects, distribution center and facilities.</w:t>
      </w:r>
    </w:p>
    <w:p>
      <w:pPr>
        <w:spacing w:after="0" w:line="47"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1E1E1E"/>
        </w:rPr>
        <w:t>We believe that our store portfolio is a vital asset to our business strategy and we expect to invest in stores over the next several years as we strengthen the store portfolio. Over the next three to five years, we believe we could potentially open approximately 50 net new DXL stores across the country, which could average 6,000 square feet or 300,000 sq. ft. in total, a 15% increase over our current square footage. For fiscal 2024, our plan is to open 8 new stores, convert 5 of our remaining Casual Male XL stores to DXL stores and remodel 5 of our existing DXL stores. We expect our capital expenditures to range from $22.0 million to $25.0 million in fiscal 2024.</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1E1E1E"/>
        </w:rPr>
        <w:t>Non-GAAP Reconciliations</w:t>
      </w:r>
    </w:p>
    <w:p>
      <w:pPr>
        <w:spacing w:after="0" w:line="112"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color w:val="1E1E1E"/>
        </w:rPr>
        <w:t>We monitor certain non-GAAP financial measures on a regular basis in order to track the progress of our business, including the measures below. We believe these measures provide helpful information with respect to the Company’s operating performance to shareholders, investors and analysts, and that the inclusion of these non-GAAP measures is important to assist investors in comparing our performance in fiscal 2023 to fiscal 2022, on a comparable basis. However, these measures may not be comparable to similar measures used by other companies and should not be considered superior to or as a substitute for operating net income, net income per diluted share or cash flows from operating activities in accordance with GAAP. (Certain amounts in the following tables may not foot due to rounding.)</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1E1E1E"/>
        </w:rPr>
        <w:t>Free Cash Flow</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1E1E1E"/>
        </w:rPr>
        <w:t>Free cash flow is a metric that management uses to monitor liquidity. Management believes this metric is important to investors, because it demonstrates the Company’s ability to maintain liquidity while supporting its capital projects and new store growth. We calculate free cash flow as cash flow provided by operating activities less capital expenditures. Free cash flow excludes the mandatory and discretionary repayment of debt. The following table provides a reconciliation of free cash flow:</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gridSpan w:val="2"/>
          </w:tcPr>
          <w:p>
            <w:pPr>
              <w:spacing w:after="0"/>
              <w:rPr>
                <w:sz w:val="20"/>
                <w:szCs w:val="20"/>
                <w:color w:val="auto"/>
              </w:rPr>
            </w:pPr>
            <w:r>
              <w:rPr>
                <w:rFonts w:ascii="Arial" w:cs="Arial" w:eastAsia="Arial" w:hAnsi="Arial"/>
                <w:sz w:val="16"/>
                <w:szCs w:val="16"/>
                <w:color w:val="1E1E1E"/>
              </w:rPr>
              <w:t>(in millions)</w:t>
            </w:r>
          </w:p>
        </w:tc>
        <w:tc>
          <w:tcPr>
            <w:tcW w:w="240" w:type="dxa"/>
            <w:vAlign w:val="bottom"/>
          </w:tcPr>
          <w:p>
            <w:pPr>
              <w:spacing w:after="0"/>
              <w:rPr>
                <w:sz w:val="16"/>
                <w:szCs w:val="16"/>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6"/>
                <w:szCs w:val="16"/>
                <w:color w:val="1E1E1E"/>
              </w:rPr>
              <w:t>Fiscal 2023</w:t>
            </w:r>
          </w:p>
        </w:tc>
        <w:tc>
          <w:tcPr>
            <w:tcW w:w="220" w:type="dxa"/>
            <w:vAlign w:val="bottom"/>
          </w:tcPr>
          <w:p>
            <w:pPr>
              <w:spacing w:after="0"/>
              <w:rPr>
                <w:sz w:val="16"/>
                <w:szCs w:val="16"/>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6"/>
                <w:szCs w:val="16"/>
                <w:color w:val="1E1E1E"/>
              </w:rPr>
              <w:t>Fiscal 2022</w:t>
            </w:r>
          </w:p>
        </w:tc>
      </w:tr>
      <w:tr>
        <w:trPr>
          <w:trHeight w:val="20"/>
        </w:trPr>
        <w:tc>
          <w:tcPr>
            <w:tcW w:w="780" w:type="dxa"/>
            <w:vAlign w:val="bottom"/>
            <w:tcBorders>
              <w:bottom w:val="single" w:sz="8" w:color="E4E4E4"/>
            </w:tcBorders>
            <w:shd w:val="clear" w:color="auto" w:fill="1E1E1E"/>
          </w:tcPr>
          <w:p>
            <w:pPr>
              <w:spacing w:after="0" w:line="20" w:lineRule="exact"/>
              <w:rPr>
                <w:sz w:val="1"/>
                <w:szCs w:val="1"/>
                <w:color w:val="auto"/>
              </w:rPr>
            </w:pPr>
          </w:p>
        </w:tc>
        <w:tc>
          <w:tcPr>
            <w:tcW w:w="6480" w:type="dxa"/>
            <w:vAlign w:val="bottom"/>
            <w:tcBorders>
              <w:bottom w:val="single" w:sz="8" w:color="E4E4E4"/>
            </w:tcBorders>
          </w:tcPr>
          <w:p>
            <w:pPr>
              <w:spacing w:after="0" w:line="20" w:lineRule="exact"/>
              <w:rPr>
                <w:sz w:val="1"/>
                <w:szCs w:val="1"/>
                <w:color w:val="auto"/>
              </w:rPr>
            </w:pPr>
          </w:p>
        </w:tc>
        <w:tc>
          <w:tcPr>
            <w:tcW w:w="240" w:type="dxa"/>
            <w:vAlign w:val="bottom"/>
            <w:tcBorders>
              <w:bottom w:val="single" w:sz="8" w:color="1E1E1E"/>
            </w:tcBorders>
            <w:shd w:val="clear" w:color="auto" w:fill="1E1E1E"/>
          </w:tcPr>
          <w:p>
            <w:pPr>
              <w:spacing w:after="0" w:line="20" w:lineRule="exact"/>
              <w:rPr>
                <w:sz w:val="1"/>
                <w:szCs w:val="1"/>
                <w:color w:val="auto"/>
              </w:rPr>
            </w:pPr>
          </w:p>
        </w:tc>
        <w:tc>
          <w:tcPr>
            <w:tcW w:w="1240" w:type="dxa"/>
            <w:vAlign w:val="bottom"/>
            <w:tcBorders>
              <w:bottom w:val="single" w:sz="8" w:color="1E1E1E"/>
            </w:tcBorders>
            <w:shd w:val="clear" w:color="auto" w:fill="1E1E1E"/>
          </w:tcPr>
          <w:p>
            <w:pPr>
              <w:spacing w:after="0" w:line="20" w:lineRule="exact"/>
              <w:rPr>
                <w:sz w:val="1"/>
                <w:szCs w:val="1"/>
                <w:color w:val="auto"/>
              </w:rPr>
            </w:pPr>
          </w:p>
        </w:tc>
        <w:tc>
          <w:tcPr>
            <w:tcW w:w="280" w:type="dxa"/>
            <w:vAlign w:val="bottom"/>
            <w:tcBorders>
              <w:bottom w:val="single" w:sz="8" w:color="E4E4E4"/>
            </w:tcBorders>
          </w:tcPr>
          <w:p>
            <w:pPr>
              <w:spacing w:after="0" w:line="20" w:lineRule="exact"/>
              <w:rPr>
                <w:sz w:val="1"/>
                <w:szCs w:val="1"/>
                <w:color w:val="auto"/>
              </w:rPr>
            </w:pPr>
          </w:p>
        </w:tc>
        <w:tc>
          <w:tcPr>
            <w:tcW w:w="220" w:type="dxa"/>
            <w:vAlign w:val="bottom"/>
            <w:tcBorders>
              <w:bottom w:val="single" w:sz="8" w:color="1E1E1E"/>
            </w:tcBorders>
            <w:shd w:val="clear" w:color="auto" w:fill="1E1E1E"/>
          </w:tcPr>
          <w:p>
            <w:pPr>
              <w:spacing w:after="0" w:line="20" w:lineRule="exact"/>
              <w:rPr>
                <w:sz w:val="1"/>
                <w:szCs w:val="1"/>
                <w:color w:val="auto"/>
              </w:rPr>
            </w:pPr>
          </w:p>
        </w:tc>
        <w:tc>
          <w:tcPr>
            <w:tcW w:w="1240" w:type="dxa"/>
            <w:vAlign w:val="bottom"/>
            <w:tcBorders>
              <w:bottom w:val="single" w:sz="8" w:color="1E1E1E"/>
            </w:tcBorders>
            <w:shd w:val="clear" w:color="auto" w:fill="1E1E1E"/>
          </w:tcPr>
          <w:p>
            <w:pPr>
              <w:spacing w:after="0" w:line="20" w:lineRule="exact"/>
              <w:rPr>
                <w:sz w:val="1"/>
                <w:szCs w:val="1"/>
                <w:color w:val="auto"/>
              </w:rPr>
            </w:pPr>
          </w:p>
        </w:tc>
        <w:tc>
          <w:tcPr>
            <w:tcW w:w="320" w:type="dxa"/>
            <w:vAlign w:val="bottom"/>
            <w:tcBorders>
              <w:bottom w:val="single" w:sz="8" w:color="E4E4E4"/>
            </w:tcBorders>
          </w:tcPr>
          <w:p>
            <w:pPr>
              <w:spacing w:after="0" w:line="20" w:lineRule="exact"/>
              <w:rPr>
                <w:sz w:val="1"/>
                <w:szCs w:val="1"/>
                <w:color w:val="auto"/>
              </w:rPr>
            </w:pPr>
          </w:p>
        </w:tc>
      </w:tr>
      <w:tr>
        <w:trPr>
          <w:trHeight w:val="193"/>
        </w:trPr>
        <w:tc>
          <w:tcPr>
            <w:tcW w:w="7260" w:type="dxa"/>
            <w:vAlign w:val="bottom"/>
            <w:gridSpan w:val="2"/>
            <w:shd w:val="clear" w:color="auto" w:fill="E4E4E4"/>
          </w:tcPr>
          <w:p>
            <w:pPr>
              <w:spacing w:after="0" w:line="193" w:lineRule="exact"/>
              <w:rPr>
                <w:sz w:val="20"/>
                <w:szCs w:val="20"/>
                <w:color w:val="auto"/>
              </w:rPr>
            </w:pPr>
            <w:r>
              <w:rPr>
                <w:rFonts w:ascii="Arial" w:cs="Arial" w:eastAsia="Arial" w:hAnsi="Arial"/>
                <w:sz w:val="18"/>
                <w:szCs w:val="18"/>
                <w:color w:val="1E1E1E"/>
              </w:rPr>
              <w:t>Cash flow from operating activities (GAAP)</w:t>
            </w:r>
          </w:p>
        </w:tc>
        <w:tc>
          <w:tcPr>
            <w:tcW w:w="240" w:type="dxa"/>
            <w:vAlign w:val="bottom"/>
            <w:shd w:val="clear" w:color="auto" w:fill="E4E4E4"/>
          </w:tcPr>
          <w:p>
            <w:pPr>
              <w:jc w:val="right"/>
              <w:ind w:right="50"/>
              <w:spacing w:after="0" w:line="193" w:lineRule="exact"/>
              <w:rPr>
                <w:sz w:val="20"/>
                <w:szCs w:val="20"/>
                <w:color w:val="auto"/>
              </w:rPr>
            </w:pPr>
            <w:r>
              <w:rPr>
                <w:rFonts w:ascii="Arial" w:cs="Arial" w:eastAsia="Arial" w:hAnsi="Arial"/>
                <w:sz w:val="18"/>
                <w:szCs w:val="18"/>
                <w:color w:val="1E1E1E"/>
                <w:w w:val="79"/>
              </w:rPr>
              <w:t>$</w:t>
            </w:r>
          </w:p>
        </w:tc>
        <w:tc>
          <w:tcPr>
            <w:tcW w:w="1240" w:type="dxa"/>
            <w:vAlign w:val="bottom"/>
            <w:shd w:val="clear" w:color="auto" w:fill="E4E4E4"/>
          </w:tcPr>
          <w:p>
            <w:pPr>
              <w:jc w:val="right"/>
              <w:spacing w:after="0" w:line="193" w:lineRule="exact"/>
              <w:rPr>
                <w:sz w:val="20"/>
                <w:szCs w:val="20"/>
                <w:color w:val="auto"/>
              </w:rPr>
            </w:pPr>
            <w:r>
              <w:rPr>
                <w:rFonts w:ascii="Arial" w:cs="Arial" w:eastAsia="Arial" w:hAnsi="Arial"/>
                <w:sz w:val="18"/>
                <w:szCs w:val="18"/>
                <w:color w:val="1E1E1E"/>
              </w:rPr>
              <w:t>49.6</w:t>
            </w:r>
          </w:p>
        </w:tc>
        <w:tc>
          <w:tcPr>
            <w:tcW w:w="280" w:type="dxa"/>
            <w:vAlign w:val="bottom"/>
            <w:shd w:val="clear" w:color="auto" w:fill="E4E4E4"/>
          </w:tcPr>
          <w:p>
            <w:pPr>
              <w:spacing w:after="0"/>
              <w:rPr>
                <w:sz w:val="16"/>
                <w:szCs w:val="16"/>
                <w:color w:val="auto"/>
              </w:rPr>
            </w:pPr>
          </w:p>
        </w:tc>
        <w:tc>
          <w:tcPr>
            <w:tcW w:w="220" w:type="dxa"/>
            <w:vAlign w:val="bottom"/>
            <w:shd w:val="clear" w:color="auto" w:fill="E4E4E4"/>
          </w:tcPr>
          <w:p>
            <w:pPr>
              <w:jc w:val="right"/>
              <w:ind w:right="67"/>
              <w:spacing w:after="0"/>
              <w:rPr>
                <w:sz w:val="20"/>
                <w:szCs w:val="20"/>
                <w:color w:val="auto"/>
              </w:rPr>
            </w:pPr>
            <w:r>
              <w:rPr>
                <w:rFonts w:ascii="Arial" w:cs="Arial" w:eastAsia="Arial" w:hAnsi="Arial"/>
                <w:sz w:val="15"/>
                <w:szCs w:val="15"/>
                <w:color w:val="1E1E1E"/>
                <w:w w:val="71"/>
              </w:rPr>
              <w:t>$</w:t>
            </w:r>
          </w:p>
        </w:tc>
        <w:tc>
          <w:tcPr>
            <w:tcW w:w="1240" w:type="dxa"/>
            <w:vAlign w:val="bottom"/>
            <w:shd w:val="clear" w:color="auto" w:fill="E4E4E4"/>
          </w:tcPr>
          <w:p>
            <w:pPr>
              <w:jc w:val="right"/>
              <w:spacing w:after="0" w:line="193" w:lineRule="exact"/>
              <w:rPr>
                <w:sz w:val="20"/>
                <w:szCs w:val="20"/>
                <w:color w:val="auto"/>
              </w:rPr>
            </w:pPr>
            <w:r>
              <w:rPr>
                <w:rFonts w:ascii="Arial" w:cs="Arial" w:eastAsia="Arial" w:hAnsi="Arial"/>
                <w:sz w:val="18"/>
                <w:szCs w:val="18"/>
                <w:color w:val="1E1E1E"/>
              </w:rPr>
              <w:t>59.9</w:t>
            </w:r>
          </w:p>
        </w:tc>
        <w:tc>
          <w:tcPr>
            <w:tcW w:w="320" w:type="dxa"/>
            <w:vAlign w:val="bottom"/>
            <w:shd w:val="clear" w:color="auto" w:fill="E4E4E4"/>
          </w:tcPr>
          <w:p>
            <w:pPr>
              <w:spacing w:after="0"/>
              <w:rPr>
                <w:sz w:val="16"/>
                <w:szCs w:val="16"/>
                <w:color w:val="auto"/>
              </w:rPr>
            </w:pPr>
          </w:p>
        </w:tc>
      </w:tr>
      <w:tr>
        <w:trPr>
          <w:trHeight w:val="206"/>
        </w:trPr>
        <w:tc>
          <w:tcPr>
            <w:tcW w:w="7260" w:type="dxa"/>
            <w:vAlign w:val="bottom"/>
            <w:gridSpan w:val="2"/>
          </w:tcPr>
          <w:p>
            <w:pPr>
              <w:spacing w:after="0"/>
              <w:rPr>
                <w:sz w:val="20"/>
                <w:szCs w:val="20"/>
                <w:color w:val="auto"/>
              </w:rPr>
            </w:pPr>
            <w:r>
              <w:rPr>
                <w:rFonts w:ascii="Arial" w:cs="Arial" w:eastAsia="Arial" w:hAnsi="Arial"/>
                <w:sz w:val="18"/>
                <w:szCs w:val="18"/>
                <w:color w:val="1E1E1E"/>
              </w:rPr>
              <w:t>Capital expenditures</w:t>
            </w:r>
          </w:p>
        </w:tc>
        <w:tc>
          <w:tcPr>
            <w:tcW w:w="24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1E1E1E"/>
              </w:rPr>
              <w:t>(17.4)</w:t>
            </w:r>
          </w:p>
        </w:tc>
        <w:tc>
          <w:tcPr>
            <w:tcW w:w="220" w:type="dxa"/>
            <w:vAlign w:val="bottom"/>
          </w:tcPr>
          <w:p>
            <w:pPr>
              <w:spacing w:after="0"/>
              <w:rPr>
                <w:sz w:val="17"/>
                <w:szCs w:val="17"/>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1E1E1E"/>
              </w:rPr>
              <w:t>(9.6)</w:t>
            </w:r>
          </w:p>
        </w:tc>
      </w:tr>
      <w:tr>
        <w:trPr>
          <w:trHeight w:val="201"/>
        </w:trPr>
        <w:tc>
          <w:tcPr>
            <w:tcW w:w="7260" w:type="dxa"/>
            <w:vAlign w:val="bottom"/>
            <w:tcBorders>
              <w:top w:val="single" w:sz="8" w:color="E4E4E4"/>
            </w:tcBorders>
            <w:gridSpan w:val="2"/>
            <w:shd w:val="clear" w:color="auto" w:fill="E4E4E4"/>
          </w:tcPr>
          <w:p>
            <w:pPr>
              <w:ind w:left="200"/>
              <w:spacing w:after="0" w:line="201" w:lineRule="exact"/>
              <w:rPr>
                <w:sz w:val="20"/>
                <w:szCs w:val="20"/>
                <w:color w:val="auto"/>
              </w:rPr>
            </w:pPr>
            <w:r>
              <w:rPr>
                <w:rFonts w:ascii="Arial" w:cs="Arial" w:eastAsia="Arial" w:hAnsi="Arial"/>
                <w:sz w:val="18"/>
                <w:szCs w:val="18"/>
                <w:color w:val="1E1E1E"/>
              </w:rPr>
              <w:t>Free cash flow (non-GAAP)</w:t>
            </w:r>
          </w:p>
        </w:tc>
        <w:tc>
          <w:tcPr>
            <w:tcW w:w="240" w:type="dxa"/>
            <w:vAlign w:val="bottom"/>
            <w:tcBorders>
              <w:top w:val="single" w:sz="8" w:color="1E1E1E"/>
            </w:tcBorders>
            <w:shd w:val="clear" w:color="auto" w:fill="E4E4E4"/>
          </w:tcPr>
          <w:p>
            <w:pPr>
              <w:jc w:val="right"/>
              <w:ind w:right="50"/>
              <w:spacing w:after="0" w:line="201" w:lineRule="exact"/>
              <w:rPr>
                <w:sz w:val="20"/>
                <w:szCs w:val="20"/>
                <w:color w:val="auto"/>
              </w:rPr>
            </w:pPr>
            <w:r>
              <w:rPr>
                <w:rFonts w:ascii="Arial" w:cs="Arial" w:eastAsia="Arial" w:hAnsi="Arial"/>
                <w:sz w:val="18"/>
                <w:szCs w:val="18"/>
                <w:color w:val="1E1E1E"/>
                <w:w w:val="79"/>
              </w:rPr>
              <w:t>$</w:t>
            </w:r>
          </w:p>
        </w:tc>
        <w:tc>
          <w:tcPr>
            <w:tcW w:w="1240" w:type="dxa"/>
            <w:vAlign w:val="bottom"/>
            <w:tcBorders>
              <w:top w:val="single" w:sz="8" w:color="1E1E1E"/>
            </w:tcBorders>
            <w:shd w:val="clear" w:color="auto" w:fill="E4E4E4"/>
          </w:tcPr>
          <w:p>
            <w:pPr>
              <w:jc w:val="right"/>
              <w:spacing w:after="0" w:line="201" w:lineRule="exact"/>
              <w:rPr>
                <w:sz w:val="20"/>
                <w:szCs w:val="20"/>
                <w:color w:val="auto"/>
              </w:rPr>
            </w:pPr>
            <w:r>
              <w:rPr>
                <w:rFonts w:ascii="Arial" w:cs="Arial" w:eastAsia="Arial" w:hAnsi="Arial"/>
                <w:sz w:val="18"/>
                <w:szCs w:val="18"/>
                <w:color w:val="1E1E1E"/>
              </w:rPr>
              <w:t>32.2</w:t>
            </w:r>
          </w:p>
        </w:tc>
        <w:tc>
          <w:tcPr>
            <w:tcW w:w="280" w:type="dxa"/>
            <w:vAlign w:val="bottom"/>
            <w:tcBorders>
              <w:top w:val="single" w:sz="8" w:color="E4E4E4"/>
            </w:tcBorders>
            <w:shd w:val="clear" w:color="auto" w:fill="E4E4E4"/>
          </w:tcPr>
          <w:p>
            <w:pPr>
              <w:spacing w:after="0"/>
              <w:rPr>
                <w:sz w:val="17"/>
                <w:szCs w:val="17"/>
                <w:color w:val="auto"/>
              </w:rPr>
            </w:pPr>
          </w:p>
        </w:tc>
        <w:tc>
          <w:tcPr>
            <w:tcW w:w="220" w:type="dxa"/>
            <w:vAlign w:val="bottom"/>
            <w:tcBorders>
              <w:top w:val="single" w:sz="8" w:color="1E1E1E"/>
            </w:tcBorders>
            <w:shd w:val="clear" w:color="auto" w:fill="E4E4E4"/>
          </w:tcPr>
          <w:p>
            <w:pPr>
              <w:jc w:val="right"/>
              <w:ind w:right="67"/>
              <w:spacing w:after="0"/>
              <w:rPr>
                <w:sz w:val="20"/>
                <w:szCs w:val="20"/>
                <w:color w:val="auto"/>
              </w:rPr>
            </w:pPr>
            <w:r>
              <w:rPr>
                <w:rFonts w:ascii="Arial" w:cs="Arial" w:eastAsia="Arial" w:hAnsi="Arial"/>
                <w:sz w:val="15"/>
                <w:szCs w:val="15"/>
                <w:color w:val="1E1E1E"/>
                <w:w w:val="71"/>
              </w:rPr>
              <w:t>$</w:t>
            </w:r>
          </w:p>
        </w:tc>
        <w:tc>
          <w:tcPr>
            <w:tcW w:w="1240" w:type="dxa"/>
            <w:vAlign w:val="bottom"/>
            <w:tcBorders>
              <w:top w:val="single" w:sz="8" w:color="1E1E1E"/>
            </w:tcBorders>
            <w:shd w:val="clear" w:color="auto" w:fill="E4E4E4"/>
          </w:tcPr>
          <w:p>
            <w:pPr>
              <w:jc w:val="right"/>
              <w:spacing w:after="0" w:line="201" w:lineRule="exact"/>
              <w:rPr>
                <w:sz w:val="20"/>
                <w:szCs w:val="20"/>
                <w:color w:val="auto"/>
              </w:rPr>
            </w:pPr>
            <w:r>
              <w:rPr>
                <w:rFonts w:ascii="Arial" w:cs="Arial" w:eastAsia="Arial" w:hAnsi="Arial"/>
                <w:sz w:val="18"/>
                <w:szCs w:val="18"/>
                <w:color w:val="1E1E1E"/>
              </w:rPr>
              <w:t>50.3</w:t>
            </w:r>
          </w:p>
        </w:tc>
        <w:tc>
          <w:tcPr>
            <w:tcW w:w="320" w:type="dxa"/>
            <w:vAlign w:val="bottom"/>
            <w:tcBorders>
              <w:top w:val="single" w:sz="8" w:color="E4E4E4"/>
            </w:tcBorders>
            <w:shd w:val="clear" w:color="auto" w:fill="E4E4E4"/>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-15875</wp:posOffset>
            </wp:positionV>
            <wp:extent cx="2069465" cy="609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69465" cy="609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Adjusted Net Income and Adjusted Net Income Per Diluted Share</w:t>
      </w:r>
    </w:p>
    <w:p>
      <w:pPr>
        <w:spacing w:after="0" w:line="237"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color w:val="1E1E1E"/>
        </w:rPr>
        <w:t>Adjusted net income and adjusted net income per diluted share is calculated by excluding any asset impairment charge (gain) and the loss from the termination of retirement plans, subtracting the actual income tax provision (benefit) and applying an effective tax rate of 27%. The Company believes that this comparability is useful in comparing the actual results period to period. Adjusted net income per diluted share is then calculated by dividing the adjusted net income by the weighted average shares outstanding for the respective</w:t>
      </w:r>
    </w:p>
    <w:p>
      <w:pPr>
        <w:sectPr>
          <w:pgSz w:w="11880" w:h="15480" w:orient="portrait"/>
          <w:cols w:equalWidth="0" w:num="1">
            <w:col w:w="10800"/>
          </w:cols>
          <w:pgMar w:left="540" w:top="656"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31</w:t>
      </w:r>
    </w:p>
    <w:p>
      <w:pPr>
        <w:sectPr>
          <w:pgSz w:w="11880" w:h="15480" w:orient="portrait"/>
          <w:cols w:equalWidth="0" w:num="1">
            <w:col w:w="10800"/>
          </w:cols>
          <w:pgMar w:left="540" w:top="656" w:right="540" w:bottom="31"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color w:val="1E1E1E"/>
        </w:rPr>
        <w:t>period, on a diluted basis. The following table is a reconciliation of net income on a GAAP basis to adjusted net income, on a non-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1E1E1E"/>
        </w:rPr>
        <w:t>GAAP basis, for each fiscal year:</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20" w:type="dxa"/>
            <w:vAlign w:val="bottom"/>
            <w:gridSpan w:val="5"/>
          </w:tcPr>
          <w:p>
            <w:pPr>
              <w:jc w:val="right"/>
              <w:ind w:right="728"/>
              <w:spacing w:after="0"/>
              <w:rPr>
                <w:sz w:val="20"/>
                <w:szCs w:val="20"/>
                <w:color w:val="auto"/>
              </w:rPr>
            </w:pPr>
            <w:r>
              <w:rPr>
                <w:rFonts w:ascii="Arial" w:cs="Arial" w:eastAsia="Arial" w:hAnsi="Arial"/>
                <w:sz w:val="16"/>
                <w:szCs w:val="16"/>
                <w:color w:val="1E1E1E"/>
              </w:rPr>
              <w:t>Fiscal 2023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gridSpan w:val="8"/>
          </w:tcPr>
          <w:p>
            <w:pPr>
              <w:ind w:left="500"/>
              <w:spacing w:after="0"/>
              <w:rPr>
                <w:sz w:val="20"/>
                <w:szCs w:val="20"/>
                <w:color w:val="auto"/>
              </w:rPr>
            </w:pPr>
            <w:r>
              <w:rPr>
                <w:rFonts w:ascii="Arial" w:cs="Arial" w:eastAsia="Arial" w:hAnsi="Arial"/>
                <w:sz w:val="16"/>
                <w:szCs w:val="16"/>
                <w:color w:val="1E1E1E"/>
              </w:rPr>
              <w:t>Fiscal 2022</w:t>
            </w:r>
          </w:p>
        </w:tc>
        <w:tc>
          <w:tcPr>
            <w:tcW w:w="0" w:type="dxa"/>
            <w:vAlign w:val="bottom"/>
          </w:tcPr>
          <w:p>
            <w:pPr>
              <w:spacing w:after="0"/>
              <w:rPr>
                <w:sz w:val="1"/>
                <w:szCs w:val="1"/>
                <w:color w:val="auto"/>
              </w:rPr>
            </w:pPr>
          </w:p>
        </w:tc>
      </w:tr>
      <w:tr>
        <w:trPr>
          <w:trHeight w:val="157"/>
        </w:trPr>
        <w:tc>
          <w:tcPr>
            <w:tcW w:w="5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1E1E1E"/>
            </w:tcBorders>
          </w:tcPr>
          <w:p>
            <w:pPr>
              <w:spacing w:after="0"/>
              <w:rPr>
                <w:sz w:val="13"/>
                <w:szCs w:val="13"/>
                <w:color w:val="auto"/>
              </w:rPr>
            </w:pPr>
          </w:p>
        </w:tc>
        <w:tc>
          <w:tcPr>
            <w:tcW w:w="460" w:type="dxa"/>
            <w:vAlign w:val="bottom"/>
            <w:tcBorders>
              <w:top w:val="single" w:sz="8" w:color="1E1E1E"/>
            </w:tcBorders>
          </w:tcPr>
          <w:p>
            <w:pPr>
              <w:spacing w:after="0"/>
              <w:rPr>
                <w:sz w:val="13"/>
                <w:szCs w:val="13"/>
                <w:color w:val="auto"/>
              </w:rPr>
            </w:pPr>
          </w:p>
        </w:tc>
        <w:tc>
          <w:tcPr>
            <w:tcW w:w="240" w:type="dxa"/>
            <w:vAlign w:val="bottom"/>
            <w:tcBorders>
              <w:top w:val="single" w:sz="8" w:color="1E1E1E"/>
            </w:tcBorders>
          </w:tcPr>
          <w:p>
            <w:pPr>
              <w:spacing w:after="0"/>
              <w:rPr>
                <w:sz w:val="13"/>
                <w:szCs w:val="13"/>
                <w:color w:val="auto"/>
              </w:rPr>
            </w:pPr>
          </w:p>
        </w:tc>
        <w:tc>
          <w:tcPr>
            <w:tcW w:w="20" w:type="dxa"/>
            <w:vAlign w:val="bottom"/>
            <w:tcBorders>
              <w:top w:val="single" w:sz="8" w:color="1E1E1E"/>
            </w:tcBorders>
          </w:tcPr>
          <w:p>
            <w:pPr>
              <w:spacing w:after="0"/>
              <w:rPr>
                <w:sz w:val="13"/>
                <w:szCs w:val="13"/>
                <w:color w:val="auto"/>
              </w:rPr>
            </w:pPr>
          </w:p>
        </w:tc>
        <w:tc>
          <w:tcPr>
            <w:tcW w:w="120" w:type="dxa"/>
            <w:vAlign w:val="bottom"/>
            <w:tcBorders>
              <w:top w:val="single" w:sz="8" w:color="1E1E1E"/>
            </w:tcBorders>
          </w:tcPr>
          <w:p>
            <w:pPr>
              <w:spacing w:after="0"/>
              <w:rPr>
                <w:sz w:val="13"/>
                <w:szCs w:val="13"/>
                <w:color w:val="auto"/>
              </w:rPr>
            </w:pPr>
          </w:p>
        </w:tc>
        <w:tc>
          <w:tcPr>
            <w:tcW w:w="880" w:type="dxa"/>
            <w:vAlign w:val="bottom"/>
            <w:tcBorders>
              <w:top w:val="single" w:sz="8" w:color="1E1E1E"/>
            </w:tcBorders>
          </w:tcPr>
          <w:p>
            <w:pPr>
              <w:jc w:val="right"/>
              <w:ind w:right="68"/>
              <w:spacing w:after="0" w:line="158" w:lineRule="exact"/>
              <w:rPr>
                <w:sz w:val="20"/>
                <w:szCs w:val="20"/>
                <w:color w:val="auto"/>
              </w:rPr>
            </w:pPr>
            <w:r>
              <w:rPr>
                <w:rFonts w:ascii="Arial" w:cs="Arial" w:eastAsia="Arial" w:hAnsi="Arial"/>
                <w:sz w:val="16"/>
                <w:szCs w:val="16"/>
                <w:color w:val="1E1E1E"/>
                <w:w w:val="91"/>
              </w:rPr>
              <w:t>Per diluted</w:t>
            </w:r>
          </w:p>
        </w:tc>
        <w:tc>
          <w:tcPr>
            <w:tcW w:w="240" w:type="dxa"/>
            <w:vAlign w:val="bottom"/>
          </w:tcPr>
          <w:p>
            <w:pPr>
              <w:spacing w:after="0"/>
              <w:rPr>
                <w:sz w:val="13"/>
                <w:szCs w:val="13"/>
                <w:color w:val="auto"/>
              </w:rPr>
            </w:pPr>
          </w:p>
        </w:tc>
        <w:tc>
          <w:tcPr>
            <w:tcW w:w="20" w:type="dxa"/>
            <w:vAlign w:val="bottom"/>
            <w:tcBorders>
              <w:top w:val="single" w:sz="8" w:color="1E1E1E"/>
            </w:tcBorders>
          </w:tcPr>
          <w:p>
            <w:pPr>
              <w:spacing w:after="0"/>
              <w:rPr>
                <w:sz w:val="13"/>
                <w:szCs w:val="13"/>
                <w:color w:val="auto"/>
              </w:rPr>
            </w:pPr>
          </w:p>
        </w:tc>
        <w:tc>
          <w:tcPr>
            <w:tcW w:w="300" w:type="dxa"/>
            <w:vAlign w:val="bottom"/>
            <w:tcBorders>
              <w:top w:val="single" w:sz="8" w:color="1E1E1E"/>
            </w:tcBorders>
          </w:tcPr>
          <w:p>
            <w:pPr>
              <w:spacing w:after="0"/>
              <w:rPr>
                <w:sz w:val="13"/>
                <w:szCs w:val="13"/>
                <w:color w:val="auto"/>
              </w:rPr>
            </w:pPr>
          </w:p>
        </w:tc>
        <w:tc>
          <w:tcPr>
            <w:tcW w:w="800" w:type="dxa"/>
            <w:vAlign w:val="bottom"/>
            <w:tcBorders>
              <w:top w:val="single" w:sz="8" w:color="1E1E1E"/>
            </w:tcBorders>
          </w:tcPr>
          <w:p>
            <w:pPr>
              <w:spacing w:after="0"/>
              <w:rPr>
                <w:sz w:val="13"/>
                <w:szCs w:val="13"/>
                <w:color w:val="auto"/>
              </w:rPr>
            </w:pPr>
          </w:p>
        </w:tc>
        <w:tc>
          <w:tcPr>
            <w:tcW w:w="20" w:type="dxa"/>
            <w:vAlign w:val="bottom"/>
            <w:tcBorders>
              <w:top w:val="single" w:sz="8" w:color="1E1E1E"/>
            </w:tcBorders>
          </w:tcPr>
          <w:p>
            <w:pPr>
              <w:spacing w:after="0"/>
              <w:rPr>
                <w:sz w:val="13"/>
                <w:szCs w:val="13"/>
                <w:color w:val="auto"/>
              </w:rPr>
            </w:pPr>
          </w:p>
        </w:tc>
        <w:tc>
          <w:tcPr>
            <w:tcW w:w="220" w:type="dxa"/>
            <w:vAlign w:val="bottom"/>
            <w:tcBorders>
              <w:top w:val="single" w:sz="8" w:color="1E1E1E"/>
            </w:tcBorders>
          </w:tcPr>
          <w:p>
            <w:pPr>
              <w:spacing w:after="0"/>
              <w:rPr>
                <w:sz w:val="13"/>
                <w:szCs w:val="13"/>
                <w:color w:val="auto"/>
              </w:rPr>
            </w:pPr>
          </w:p>
        </w:tc>
        <w:tc>
          <w:tcPr>
            <w:tcW w:w="20" w:type="dxa"/>
            <w:vAlign w:val="bottom"/>
            <w:tcBorders>
              <w:top w:val="single" w:sz="8" w:color="1E1E1E"/>
            </w:tcBorders>
          </w:tcPr>
          <w:p>
            <w:pPr>
              <w:spacing w:after="0"/>
              <w:rPr>
                <w:sz w:val="13"/>
                <w:szCs w:val="13"/>
                <w:color w:val="auto"/>
              </w:rPr>
            </w:pPr>
          </w:p>
        </w:tc>
        <w:tc>
          <w:tcPr>
            <w:tcW w:w="120" w:type="dxa"/>
            <w:vAlign w:val="bottom"/>
            <w:tcBorders>
              <w:top w:val="single" w:sz="8" w:color="1E1E1E"/>
            </w:tcBorders>
          </w:tcPr>
          <w:p>
            <w:pPr>
              <w:spacing w:after="0"/>
              <w:rPr>
                <w:sz w:val="13"/>
                <w:szCs w:val="13"/>
                <w:color w:val="auto"/>
              </w:rPr>
            </w:pPr>
          </w:p>
        </w:tc>
        <w:tc>
          <w:tcPr>
            <w:tcW w:w="880" w:type="dxa"/>
            <w:vAlign w:val="bottom"/>
            <w:tcBorders>
              <w:top w:val="single" w:sz="8" w:color="1E1E1E"/>
            </w:tcBorders>
            <w:gridSpan w:val="2"/>
          </w:tcPr>
          <w:p>
            <w:pPr>
              <w:jc w:val="center"/>
              <w:ind w:right="140"/>
              <w:spacing w:after="0" w:line="158" w:lineRule="exact"/>
              <w:rPr>
                <w:sz w:val="20"/>
                <w:szCs w:val="20"/>
                <w:color w:val="auto"/>
              </w:rPr>
            </w:pPr>
            <w:r>
              <w:rPr>
                <w:rFonts w:ascii="Arial" w:cs="Arial" w:eastAsia="Arial" w:hAnsi="Arial"/>
                <w:sz w:val="16"/>
                <w:szCs w:val="16"/>
                <w:color w:val="1E1E1E"/>
                <w:w w:val="91"/>
              </w:rPr>
              <w:t>Per diluted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560" w:type="dxa"/>
            <w:vAlign w:val="bottom"/>
            <w:gridSpan w:val="3"/>
            <w:vMerge w:val="restart"/>
          </w:tcPr>
          <w:p>
            <w:pPr>
              <w:spacing w:after="0"/>
              <w:rPr>
                <w:sz w:val="20"/>
                <w:szCs w:val="20"/>
                <w:color w:val="auto"/>
              </w:rPr>
            </w:pPr>
            <w:r>
              <w:rPr>
                <w:rFonts w:ascii="Arial" w:cs="Arial" w:eastAsia="Arial" w:hAnsi="Arial"/>
                <w:sz w:val="16"/>
                <w:szCs w:val="16"/>
                <w:color w:val="1E1E1E"/>
              </w:rPr>
              <w:t>(in thousands, except per share data)</w:t>
            </w:r>
          </w:p>
        </w:tc>
        <w:tc>
          <w:tcPr>
            <w:tcW w:w="800" w:type="dxa"/>
            <w:vAlign w:val="bottom"/>
            <w:gridSpan w:val="2"/>
          </w:tcPr>
          <w:p>
            <w:pPr>
              <w:jc w:val="right"/>
              <w:spacing w:after="0"/>
              <w:rPr>
                <w:sz w:val="20"/>
                <w:szCs w:val="20"/>
                <w:color w:val="auto"/>
              </w:rPr>
            </w:pPr>
            <w:r>
              <w:rPr>
                <w:rFonts w:ascii="Arial" w:cs="Arial" w:eastAsia="Arial" w:hAnsi="Arial"/>
                <w:sz w:val="16"/>
                <w:szCs w:val="16"/>
                <w:color w:val="1E1E1E"/>
              </w:rPr>
              <w:t>$</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48"/>
              <w:spacing w:after="0"/>
              <w:rPr>
                <w:sz w:val="20"/>
                <w:szCs w:val="20"/>
                <w:color w:val="auto"/>
              </w:rPr>
            </w:pPr>
            <w:r>
              <w:rPr>
                <w:rFonts w:ascii="Arial" w:cs="Arial" w:eastAsia="Arial" w:hAnsi="Arial"/>
                <w:sz w:val="16"/>
                <w:szCs w:val="16"/>
                <w:color w:val="1E1E1E"/>
              </w:rPr>
              <w:t>share</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425"/>
              <w:spacing w:after="0"/>
              <w:rPr>
                <w:sz w:val="20"/>
                <w:szCs w:val="20"/>
                <w:color w:val="auto"/>
              </w:rPr>
            </w:pPr>
            <w:r>
              <w:rPr>
                <w:rFonts w:ascii="Arial" w:cs="Arial" w:eastAsia="Arial" w:hAnsi="Arial"/>
                <w:sz w:val="16"/>
                <w:szCs w:val="16"/>
                <w:color w:val="1E1E1E"/>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6"/>
                <w:szCs w:val="16"/>
                <w:color w:val="1E1E1E"/>
                <w:w w:val="84"/>
              </w:rPr>
              <w:t>share</w:t>
            </w:r>
          </w:p>
        </w:tc>
        <w:tc>
          <w:tcPr>
            <w:tcW w:w="0" w:type="dxa"/>
            <w:vAlign w:val="bottom"/>
          </w:tcPr>
          <w:p>
            <w:pPr>
              <w:spacing w:after="0"/>
              <w:rPr>
                <w:sz w:val="1"/>
                <w:szCs w:val="1"/>
                <w:color w:val="auto"/>
              </w:rPr>
            </w:pPr>
          </w:p>
        </w:tc>
      </w:tr>
      <w:tr>
        <w:trPr>
          <w:trHeight w:val="159"/>
        </w:trPr>
        <w:tc>
          <w:tcPr>
            <w:tcW w:w="55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1E1E1E"/>
            </w:tcBorders>
          </w:tcPr>
          <w:p>
            <w:pPr>
              <w:spacing w:after="0"/>
              <w:rPr>
                <w:sz w:val="13"/>
                <w:szCs w:val="13"/>
                <w:color w:val="auto"/>
              </w:rPr>
            </w:pPr>
          </w:p>
        </w:tc>
        <w:tc>
          <w:tcPr>
            <w:tcW w:w="460" w:type="dxa"/>
            <w:vAlign w:val="bottom"/>
            <w:tcBorders>
              <w:top w:val="single" w:sz="8" w:color="1E1E1E"/>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Borders>
              <w:top w:val="single" w:sz="8" w:color="1E1E1E"/>
            </w:tcBorders>
          </w:tcPr>
          <w:p>
            <w:pPr>
              <w:spacing w:after="0"/>
              <w:rPr>
                <w:sz w:val="13"/>
                <w:szCs w:val="13"/>
                <w:color w:val="auto"/>
              </w:rPr>
            </w:pPr>
          </w:p>
        </w:tc>
        <w:tc>
          <w:tcPr>
            <w:tcW w:w="120" w:type="dxa"/>
            <w:vAlign w:val="bottom"/>
            <w:tcBorders>
              <w:top w:val="single" w:sz="8" w:color="1E1E1E"/>
            </w:tcBorders>
          </w:tcPr>
          <w:p>
            <w:pPr>
              <w:spacing w:after="0"/>
              <w:rPr>
                <w:sz w:val="13"/>
                <w:szCs w:val="13"/>
                <w:color w:val="auto"/>
              </w:rPr>
            </w:pPr>
          </w:p>
        </w:tc>
        <w:tc>
          <w:tcPr>
            <w:tcW w:w="880" w:type="dxa"/>
            <w:vAlign w:val="bottom"/>
            <w:tcBorders>
              <w:top w:val="single" w:sz="8" w:color="1E1E1E"/>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Borders>
              <w:top w:val="single" w:sz="8" w:color="1E1E1E"/>
            </w:tcBorders>
          </w:tcPr>
          <w:p>
            <w:pPr>
              <w:spacing w:after="0"/>
              <w:rPr>
                <w:sz w:val="13"/>
                <w:szCs w:val="13"/>
                <w:color w:val="auto"/>
              </w:rPr>
            </w:pPr>
          </w:p>
        </w:tc>
        <w:tc>
          <w:tcPr>
            <w:tcW w:w="300" w:type="dxa"/>
            <w:vAlign w:val="bottom"/>
            <w:tcBorders>
              <w:top w:val="single" w:sz="8" w:color="1E1E1E"/>
            </w:tcBorders>
          </w:tcPr>
          <w:p>
            <w:pPr>
              <w:spacing w:after="0"/>
              <w:rPr>
                <w:sz w:val="13"/>
                <w:szCs w:val="13"/>
                <w:color w:val="auto"/>
              </w:rPr>
            </w:pPr>
          </w:p>
        </w:tc>
        <w:tc>
          <w:tcPr>
            <w:tcW w:w="800" w:type="dxa"/>
            <w:vAlign w:val="bottom"/>
            <w:tcBorders>
              <w:top w:val="single" w:sz="8" w:color="1E1E1E"/>
            </w:tcBorders>
          </w:tcPr>
          <w:p>
            <w:pPr>
              <w:spacing w:after="0"/>
              <w:rPr>
                <w:sz w:val="13"/>
                <w:szCs w:val="13"/>
                <w:color w:val="auto"/>
              </w:rPr>
            </w:pPr>
          </w:p>
        </w:tc>
        <w:tc>
          <w:tcPr>
            <w:tcW w:w="20" w:type="dxa"/>
            <w:vAlign w:val="bottom"/>
            <w:tcBorders>
              <w:top w:val="single" w:sz="8" w:color="1E1E1E"/>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top w:val="single" w:sz="8" w:color="1E1E1E"/>
            </w:tcBorders>
          </w:tcPr>
          <w:p>
            <w:pPr>
              <w:spacing w:after="0"/>
              <w:rPr>
                <w:sz w:val="13"/>
                <w:szCs w:val="13"/>
                <w:color w:val="auto"/>
              </w:rPr>
            </w:pPr>
          </w:p>
        </w:tc>
        <w:tc>
          <w:tcPr>
            <w:tcW w:w="120" w:type="dxa"/>
            <w:vAlign w:val="bottom"/>
            <w:tcBorders>
              <w:top w:val="single" w:sz="8" w:color="1E1E1E"/>
            </w:tcBorders>
          </w:tcPr>
          <w:p>
            <w:pPr>
              <w:spacing w:after="0"/>
              <w:rPr>
                <w:sz w:val="13"/>
                <w:szCs w:val="13"/>
                <w:color w:val="auto"/>
              </w:rPr>
            </w:pPr>
          </w:p>
        </w:tc>
        <w:tc>
          <w:tcPr>
            <w:tcW w:w="860" w:type="dxa"/>
            <w:vAlign w:val="bottom"/>
            <w:tcBorders>
              <w:top w:val="single" w:sz="8" w:color="1E1E1E"/>
            </w:tcBorders>
          </w:tcPr>
          <w:p>
            <w:pPr>
              <w:spacing w:after="0"/>
              <w:rPr>
                <w:sz w:val="13"/>
                <w:szCs w:val="13"/>
                <w:color w:val="auto"/>
              </w:rPr>
            </w:pPr>
          </w:p>
        </w:tc>
        <w:tc>
          <w:tcPr>
            <w:tcW w:w="20" w:type="dxa"/>
            <w:vAlign w:val="bottom"/>
            <w:tcBorders>
              <w:top w:val="single" w:sz="8" w:color="1E1E1E"/>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380" w:type="dxa"/>
            <w:vAlign w:val="bottom"/>
            <w:tcBorders>
              <w:top w:val="single" w:sz="8" w:color="1E1E1E"/>
            </w:tcBorders>
            <w:gridSpan w:val="2"/>
            <w:shd w:val="clear" w:color="auto" w:fill="E4E4E4"/>
          </w:tcPr>
          <w:p>
            <w:pPr>
              <w:spacing w:after="0" w:line="225" w:lineRule="exact"/>
              <w:rPr>
                <w:sz w:val="20"/>
                <w:szCs w:val="20"/>
                <w:color w:val="auto"/>
              </w:rPr>
            </w:pPr>
            <w:r>
              <w:rPr>
                <w:rFonts w:ascii="Arial" w:cs="Arial" w:eastAsia="Arial" w:hAnsi="Arial"/>
                <w:sz w:val="20"/>
                <w:szCs w:val="20"/>
                <w:color w:val="1E1E1E"/>
              </w:rPr>
              <w:t>Net income (GAAP basis)</w:t>
            </w:r>
          </w:p>
        </w:tc>
        <w:tc>
          <w:tcPr>
            <w:tcW w:w="3180" w:type="dxa"/>
            <w:vAlign w:val="bottom"/>
            <w:shd w:val="clear" w:color="auto" w:fill="E4E4E4"/>
          </w:tcPr>
          <w:p>
            <w:pPr>
              <w:spacing w:after="0"/>
              <w:rPr>
                <w:sz w:val="19"/>
                <w:szCs w:val="19"/>
                <w:color w:val="auto"/>
              </w:rPr>
            </w:pPr>
          </w:p>
        </w:tc>
        <w:tc>
          <w:tcPr>
            <w:tcW w:w="800" w:type="dxa"/>
            <w:vAlign w:val="bottom"/>
            <w:gridSpan w:val="2"/>
            <w:shd w:val="clear" w:color="auto" w:fill="E4E4E4"/>
          </w:tcPr>
          <w:p>
            <w:pPr>
              <w:jc w:val="right"/>
              <w:ind w:right="460"/>
              <w:spacing w:after="0" w:line="225" w:lineRule="exact"/>
              <w:rPr>
                <w:sz w:val="20"/>
                <w:szCs w:val="20"/>
                <w:color w:val="auto"/>
              </w:rPr>
            </w:pPr>
            <w:r>
              <w:rPr>
                <w:rFonts w:ascii="Arial" w:cs="Arial" w:eastAsia="Arial" w:hAnsi="Arial"/>
                <w:sz w:val="20"/>
                <w:szCs w:val="20"/>
                <w:color w:val="1E1E1E"/>
              </w:rPr>
              <w:t>$</w:t>
            </w:r>
          </w:p>
        </w:tc>
        <w:tc>
          <w:tcPr>
            <w:tcW w:w="460" w:type="dxa"/>
            <w:vAlign w:val="bottom"/>
            <w:shd w:val="clear" w:color="auto" w:fill="E4E4E4"/>
          </w:tcPr>
          <w:p>
            <w:pPr>
              <w:jc w:val="right"/>
              <w:spacing w:after="0" w:line="225" w:lineRule="exact"/>
              <w:rPr>
                <w:sz w:val="20"/>
                <w:szCs w:val="20"/>
                <w:color w:val="auto"/>
              </w:rPr>
            </w:pPr>
            <w:r>
              <w:rPr>
                <w:rFonts w:ascii="Arial" w:cs="Arial" w:eastAsia="Arial" w:hAnsi="Arial"/>
                <w:sz w:val="20"/>
                <w:szCs w:val="20"/>
                <w:color w:val="1E1E1E"/>
              </w:rPr>
              <w:t>27.9</w:t>
            </w:r>
          </w:p>
        </w:tc>
        <w:tc>
          <w:tcPr>
            <w:tcW w:w="240" w:type="dxa"/>
            <w:vAlign w:val="bottom"/>
            <w:shd w:val="clear" w:color="auto" w:fill="E4E4E4"/>
          </w:tcPr>
          <w:p>
            <w:pPr>
              <w:spacing w:after="0"/>
              <w:rPr>
                <w:sz w:val="19"/>
                <w:szCs w:val="19"/>
                <w:color w:val="auto"/>
              </w:rPr>
            </w:pPr>
          </w:p>
        </w:tc>
        <w:tc>
          <w:tcPr>
            <w:tcW w:w="140" w:type="dxa"/>
            <w:vAlign w:val="bottom"/>
            <w:gridSpan w:val="2"/>
            <w:shd w:val="clear" w:color="auto" w:fill="E4E4E4"/>
          </w:tcPr>
          <w:p>
            <w:pPr>
              <w:jc w:val="right"/>
              <w:spacing w:after="0" w:line="225" w:lineRule="exact"/>
              <w:rPr>
                <w:sz w:val="20"/>
                <w:szCs w:val="20"/>
                <w:color w:val="auto"/>
              </w:rPr>
            </w:pPr>
            <w:r>
              <w:rPr>
                <w:rFonts w:ascii="Arial" w:cs="Arial" w:eastAsia="Arial" w:hAnsi="Arial"/>
                <w:sz w:val="20"/>
                <w:szCs w:val="20"/>
                <w:color w:val="1E1E1E"/>
                <w:w w:val="71"/>
              </w:rPr>
              <w:t>$</w:t>
            </w:r>
          </w:p>
        </w:tc>
        <w:tc>
          <w:tcPr>
            <w:tcW w:w="880" w:type="dxa"/>
            <w:vAlign w:val="bottom"/>
            <w:shd w:val="clear" w:color="auto" w:fill="E4E4E4"/>
          </w:tcPr>
          <w:p>
            <w:pPr>
              <w:jc w:val="right"/>
              <w:spacing w:after="0" w:line="225" w:lineRule="exact"/>
              <w:rPr>
                <w:sz w:val="20"/>
                <w:szCs w:val="20"/>
                <w:color w:val="auto"/>
              </w:rPr>
            </w:pPr>
            <w:r>
              <w:rPr>
                <w:rFonts w:ascii="Arial" w:cs="Arial" w:eastAsia="Arial" w:hAnsi="Arial"/>
                <w:sz w:val="20"/>
                <w:szCs w:val="20"/>
                <w:color w:val="1E1E1E"/>
              </w:rPr>
              <w:t>0.43</w:t>
            </w:r>
          </w:p>
        </w:tc>
        <w:tc>
          <w:tcPr>
            <w:tcW w:w="560" w:type="dxa"/>
            <w:vAlign w:val="bottom"/>
            <w:gridSpan w:val="3"/>
            <w:shd w:val="clear" w:color="auto" w:fill="E4E4E4"/>
          </w:tcPr>
          <w:p>
            <w:pPr>
              <w:jc w:val="right"/>
              <w:ind w:right="143"/>
              <w:spacing w:after="0" w:line="225" w:lineRule="exact"/>
              <w:rPr>
                <w:sz w:val="20"/>
                <w:szCs w:val="20"/>
                <w:color w:val="auto"/>
              </w:rPr>
            </w:pPr>
            <w:r>
              <w:rPr>
                <w:rFonts w:ascii="Arial" w:cs="Arial" w:eastAsia="Arial" w:hAnsi="Arial"/>
                <w:sz w:val="20"/>
                <w:szCs w:val="20"/>
                <w:color w:val="1E1E1E"/>
              </w:rPr>
              <w:t>$</w:t>
            </w:r>
          </w:p>
        </w:tc>
        <w:tc>
          <w:tcPr>
            <w:tcW w:w="820" w:type="dxa"/>
            <w:vAlign w:val="bottom"/>
            <w:gridSpan w:val="2"/>
            <w:shd w:val="clear" w:color="auto" w:fill="E4E4E4"/>
          </w:tcPr>
          <w:p>
            <w:pPr>
              <w:jc w:val="right"/>
              <w:ind w:right="20"/>
              <w:spacing w:after="0" w:line="225" w:lineRule="exact"/>
              <w:rPr>
                <w:sz w:val="20"/>
                <w:szCs w:val="20"/>
                <w:color w:val="auto"/>
              </w:rPr>
            </w:pPr>
            <w:r>
              <w:rPr>
                <w:rFonts w:ascii="Arial" w:cs="Arial" w:eastAsia="Arial" w:hAnsi="Arial"/>
                <w:sz w:val="20"/>
                <w:szCs w:val="20"/>
                <w:color w:val="1E1E1E"/>
              </w:rPr>
              <w:t>89.1</w:t>
            </w:r>
          </w:p>
        </w:tc>
        <w:tc>
          <w:tcPr>
            <w:tcW w:w="220" w:type="dxa"/>
            <w:vAlign w:val="bottom"/>
            <w:shd w:val="clear" w:color="auto" w:fill="E4E4E4"/>
          </w:tcPr>
          <w:p>
            <w:pPr>
              <w:spacing w:after="0"/>
              <w:rPr>
                <w:sz w:val="19"/>
                <w:szCs w:val="19"/>
                <w:color w:val="auto"/>
              </w:rPr>
            </w:pPr>
          </w:p>
        </w:tc>
        <w:tc>
          <w:tcPr>
            <w:tcW w:w="140" w:type="dxa"/>
            <w:vAlign w:val="bottom"/>
            <w:gridSpan w:val="2"/>
            <w:shd w:val="clear" w:color="auto" w:fill="E4E4E4"/>
          </w:tcPr>
          <w:p>
            <w:pPr>
              <w:jc w:val="right"/>
              <w:spacing w:after="0" w:line="225" w:lineRule="exact"/>
              <w:rPr>
                <w:sz w:val="20"/>
                <w:szCs w:val="20"/>
                <w:color w:val="auto"/>
              </w:rPr>
            </w:pPr>
            <w:r>
              <w:rPr>
                <w:rFonts w:ascii="Arial" w:cs="Arial" w:eastAsia="Arial" w:hAnsi="Arial"/>
                <w:sz w:val="20"/>
                <w:szCs w:val="20"/>
                <w:color w:val="1E1E1E"/>
                <w:w w:val="89"/>
              </w:rPr>
              <w:t>$</w:t>
            </w:r>
          </w:p>
        </w:tc>
        <w:tc>
          <w:tcPr>
            <w:tcW w:w="880" w:type="dxa"/>
            <w:vAlign w:val="bottom"/>
            <w:gridSpan w:val="2"/>
            <w:shd w:val="clear" w:color="auto" w:fill="E4E4E4"/>
          </w:tcPr>
          <w:p>
            <w:pPr>
              <w:ind w:left="520"/>
              <w:spacing w:after="0" w:line="225" w:lineRule="exact"/>
              <w:rPr>
                <w:sz w:val="20"/>
                <w:szCs w:val="20"/>
                <w:color w:val="auto"/>
              </w:rPr>
            </w:pPr>
            <w:r>
              <w:rPr>
                <w:rFonts w:ascii="Arial" w:cs="Arial" w:eastAsia="Arial" w:hAnsi="Arial"/>
                <w:sz w:val="20"/>
                <w:szCs w:val="20"/>
                <w:color w:val="1E1E1E"/>
                <w:w w:val="87"/>
              </w:rPr>
              <w:t>1.33</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9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60" w:type="dxa"/>
            <w:vAlign w:val="bottom"/>
            <w:gridSpan w:val="3"/>
            <w:shd w:val="clear" w:color="auto" w:fill="E4E4E4"/>
          </w:tcPr>
          <w:p>
            <w:pPr>
              <w:spacing w:after="0" w:line="210" w:lineRule="exact"/>
              <w:rPr>
                <w:sz w:val="20"/>
                <w:szCs w:val="20"/>
                <w:color w:val="auto"/>
              </w:rPr>
            </w:pPr>
            <w:r>
              <w:rPr>
                <w:rFonts w:ascii="Arial" w:cs="Arial" w:eastAsia="Arial" w:hAnsi="Arial"/>
                <w:sz w:val="20"/>
                <w:szCs w:val="20"/>
                <w:color w:val="1E1E1E"/>
              </w:rPr>
              <w:t>Adjust:</w:t>
            </w:r>
          </w:p>
        </w:tc>
        <w:tc>
          <w:tcPr>
            <w:tcW w:w="140" w:type="dxa"/>
            <w:vAlign w:val="bottom"/>
            <w:shd w:val="clear" w:color="auto" w:fill="E4E4E4"/>
          </w:tcPr>
          <w:p>
            <w:pPr>
              <w:spacing w:after="0"/>
              <w:rPr>
                <w:sz w:val="18"/>
                <w:szCs w:val="18"/>
                <w:color w:val="auto"/>
              </w:rPr>
            </w:pPr>
          </w:p>
        </w:tc>
        <w:tc>
          <w:tcPr>
            <w:tcW w:w="660" w:type="dxa"/>
            <w:vAlign w:val="bottom"/>
            <w:shd w:val="clear" w:color="auto" w:fill="E4E4E4"/>
          </w:tcPr>
          <w:p>
            <w:pPr>
              <w:spacing w:after="0"/>
              <w:rPr>
                <w:sz w:val="18"/>
                <w:szCs w:val="18"/>
                <w:color w:val="auto"/>
              </w:rPr>
            </w:pPr>
          </w:p>
        </w:tc>
        <w:tc>
          <w:tcPr>
            <w:tcW w:w="46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88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300" w:type="dxa"/>
            <w:vAlign w:val="bottom"/>
            <w:shd w:val="clear" w:color="auto" w:fill="E4E4E4"/>
          </w:tcPr>
          <w:p>
            <w:pPr>
              <w:spacing w:after="0"/>
              <w:rPr>
                <w:sz w:val="18"/>
                <w:szCs w:val="18"/>
                <w:color w:val="auto"/>
              </w:rPr>
            </w:pPr>
          </w:p>
        </w:tc>
        <w:tc>
          <w:tcPr>
            <w:tcW w:w="80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1E1E1E"/>
          </w:tcPr>
          <w:p>
            <w:pPr>
              <w:spacing w:after="0" w:line="20" w:lineRule="exact"/>
              <w:rPr>
                <w:sz w:val="1"/>
                <w:szCs w:val="1"/>
                <w:color w:val="auto"/>
              </w:rPr>
            </w:pPr>
          </w:p>
        </w:tc>
        <w:tc>
          <w:tcPr>
            <w:tcW w:w="1800" w:type="dxa"/>
            <w:vAlign w:val="bottom"/>
            <w:shd w:val="clear" w:color="auto" w:fill="E4E4E4"/>
          </w:tcPr>
          <w:p>
            <w:pPr>
              <w:spacing w:after="0" w:line="20" w:lineRule="exact"/>
              <w:rPr>
                <w:sz w:val="1"/>
                <w:szCs w:val="1"/>
                <w:color w:val="auto"/>
              </w:rPr>
            </w:pPr>
          </w:p>
        </w:tc>
        <w:tc>
          <w:tcPr>
            <w:tcW w:w="318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660" w:type="dxa"/>
            <w:vAlign w:val="bottom"/>
            <w:shd w:val="clear" w:color="auto" w:fill="E4E4E4"/>
          </w:tcPr>
          <w:p>
            <w:pPr>
              <w:spacing w:after="0" w:line="20" w:lineRule="exact"/>
              <w:rPr>
                <w:sz w:val="1"/>
                <w:szCs w:val="1"/>
                <w:color w:val="auto"/>
              </w:rPr>
            </w:pPr>
          </w:p>
        </w:tc>
        <w:tc>
          <w:tcPr>
            <w:tcW w:w="460" w:type="dxa"/>
            <w:vAlign w:val="bottom"/>
            <w:shd w:val="clear" w:color="auto" w:fill="E4E4E4"/>
          </w:tcPr>
          <w:p>
            <w:pPr>
              <w:spacing w:after="0" w:line="20" w:lineRule="exact"/>
              <w:rPr>
                <w:sz w:val="1"/>
                <w:szCs w:val="1"/>
                <w:color w:val="auto"/>
              </w:rPr>
            </w:pPr>
          </w:p>
        </w:tc>
        <w:tc>
          <w:tcPr>
            <w:tcW w:w="240" w:type="dxa"/>
            <w:vAlign w:val="bottom"/>
            <w:shd w:val="clear" w:color="auto" w:fill="E4E4E4"/>
          </w:tcPr>
          <w:p>
            <w:pPr>
              <w:spacing w:after="0" w:line="20" w:lineRule="exact"/>
              <w:rPr>
                <w:sz w:val="1"/>
                <w:szCs w:val="1"/>
                <w:color w:val="auto"/>
              </w:rPr>
            </w:pPr>
          </w:p>
        </w:tc>
        <w:tc>
          <w:tcPr>
            <w:tcW w:w="20" w:type="dxa"/>
            <w:vAlign w:val="bottom"/>
            <w:shd w:val="clear" w:color="auto" w:fill="E4E4E4"/>
          </w:tcPr>
          <w:p>
            <w:pPr>
              <w:spacing w:after="0" w:line="20" w:lineRule="exact"/>
              <w:rPr>
                <w:sz w:val="1"/>
                <w:szCs w:val="1"/>
                <w:color w:val="auto"/>
              </w:rPr>
            </w:pPr>
          </w:p>
        </w:tc>
        <w:tc>
          <w:tcPr>
            <w:tcW w:w="120" w:type="dxa"/>
            <w:vAlign w:val="bottom"/>
            <w:shd w:val="clear" w:color="auto" w:fill="E4E4E4"/>
          </w:tcPr>
          <w:p>
            <w:pPr>
              <w:spacing w:after="0" w:line="20" w:lineRule="exact"/>
              <w:rPr>
                <w:sz w:val="1"/>
                <w:szCs w:val="1"/>
                <w:color w:val="auto"/>
              </w:rPr>
            </w:pPr>
          </w:p>
        </w:tc>
        <w:tc>
          <w:tcPr>
            <w:tcW w:w="880" w:type="dxa"/>
            <w:vAlign w:val="bottom"/>
            <w:shd w:val="clear" w:color="auto" w:fill="E4E4E4"/>
          </w:tcPr>
          <w:p>
            <w:pPr>
              <w:spacing w:after="0" w:line="20" w:lineRule="exact"/>
              <w:rPr>
                <w:sz w:val="1"/>
                <w:szCs w:val="1"/>
                <w:color w:val="auto"/>
              </w:rPr>
            </w:pPr>
          </w:p>
        </w:tc>
        <w:tc>
          <w:tcPr>
            <w:tcW w:w="240" w:type="dxa"/>
            <w:vAlign w:val="bottom"/>
            <w:shd w:val="clear" w:color="auto" w:fill="E4E4E4"/>
          </w:tcPr>
          <w:p>
            <w:pPr>
              <w:spacing w:after="0" w:line="20" w:lineRule="exact"/>
              <w:rPr>
                <w:sz w:val="1"/>
                <w:szCs w:val="1"/>
                <w:color w:val="auto"/>
              </w:rPr>
            </w:pPr>
          </w:p>
        </w:tc>
        <w:tc>
          <w:tcPr>
            <w:tcW w:w="20" w:type="dxa"/>
            <w:vAlign w:val="bottom"/>
            <w:shd w:val="clear" w:color="auto" w:fill="E4E4E4"/>
          </w:tcPr>
          <w:p>
            <w:pPr>
              <w:spacing w:after="0" w:line="20" w:lineRule="exact"/>
              <w:rPr>
                <w:sz w:val="1"/>
                <w:szCs w:val="1"/>
                <w:color w:val="auto"/>
              </w:rPr>
            </w:pPr>
          </w:p>
        </w:tc>
        <w:tc>
          <w:tcPr>
            <w:tcW w:w="300" w:type="dxa"/>
            <w:vAlign w:val="bottom"/>
            <w:shd w:val="clear" w:color="auto" w:fill="E4E4E4"/>
          </w:tcPr>
          <w:p>
            <w:pPr>
              <w:spacing w:after="0" w:line="20" w:lineRule="exact"/>
              <w:rPr>
                <w:sz w:val="1"/>
                <w:szCs w:val="1"/>
                <w:color w:val="auto"/>
              </w:rPr>
            </w:pPr>
          </w:p>
        </w:tc>
        <w:tc>
          <w:tcPr>
            <w:tcW w:w="800" w:type="dxa"/>
            <w:vAlign w:val="bottom"/>
            <w:shd w:val="clear" w:color="auto" w:fill="E4E4E4"/>
          </w:tcPr>
          <w:p>
            <w:pPr>
              <w:spacing w:after="0" w:line="20" w:lineRule="exact"/>
              <w:rPr>
                <w:sz w:val="1"/>
                <w:szCs w:val="1"/>
                <w:color w:val="auto"/>
              </w:rPr>
            </w:pPr>
          </w:p>
        </w:tc>
        <w:tc>
          <w:tcPr>
            <w:tcW w:w="20" w:type="dxa"/>
            <w:vAlign w:val="bottom"/>
            <w:shd w:val="clear" w:color="auto" w:fill="E4E4E4"/>
          </w:tcPr>
          <w:p>
            <w:pPr>
              <w:spacing w:after="0" w:line="20" w:lineRule="exact"/>
              <w:rPr>
                <w:sz w:val="1"/>
                <w:szCs w:val="1"/>
                <w:color w:val="auto"/>
              </w:rPr>
            </w:pPr>
          </w:p>
        </w:tc>
        <w:tc>
          <w:tcPr>
            <w:tcW w:w="220" w:type="dxa"/>
            <w:vAlign w:val="bottom"/>
            <w:shd w:val="clear" w:color="auto" w:fill="E4E4E4"/>
          </w:tcPr>
          <w:p>
            <w:pPr>
              <w:spacing w:after="0" w:line="20" w:lineRule="exact"/>
              <w:rPr>
                <w:sz w:val="1"/>
                <w:szCs w:val="1"/>
                <w:color w:val="auto"/>
              </w:rPr>
            </w:pPr>
          </w:p>
        </w:tc>
        <w:tc>
          <w:tcPr>
            <w:tcW w:w="20" w:type="dxa"/>
            <w:vAlign w:val="bottom"/>
            <w:shd w:val="clear" w:color="auto" w:fill="E4E4E4"/>
          </w:tcPr>
          <w:p>
            <w:pPr>
              <w:spacing w:after="0" w:line="20" w:lineRule="exact"/>
              <w:rPr>
                <w:sz w:val="1"/>
                <w:szCs w:val="1"/>
                <w:color w:val="auto"/>
              </w:rPr>
            </w:pPr>
          </w:p>
        </w:tc>
        <w:tc>
          <w:tcPr>
            <w:tcW w:w="120" w:type="dxa"/>
            <w:vAlign w:val="bottom"/>
            <w:shd w:val="clear" w:color="auto" w:fill="E4E4E4"/>
          </w:tcPr>
          <w:p>
            <w:pPr>
              <w:spacing w:after="0" w:line="20" w:lineRule="exact"/>
              <w:rPr>
                <w:sz w:val="1"/>
                <w:szCs w:val="1"/>
                <w:color w:val="auto"/>
              </w:rPr>
            </w:pPr>
          </w:p>
        </w:tc>
        <w:tc>
          <w:tcPr>
            <w:tcW w:w="860" w:type="dxa"/>
            <w:vAlign w:val="bottom"/>
            <w:shd w:val="clear" w:color="auto" w:fill="E4E4E4"/>
          </w:tcPr>
          <w:p>
            <w:pPr>
              <w:spacing w:after="0" w:line="20" w:lineRule="exact"/>
              <w:rPr>
                <w:sz w:val="1"/>
                <w:szCs w:val="1"/>
                <w:color w:val="auto"/>
              </w:rPr>
            </w:pPr>
          </w:p>
        </w:tc>
        <w:tc>
          <w:tcPr>
            <w:tcW w:w="20" w:type="dxa"/>
            <w:vAlign w:val="bottom"/>
            <w:shd w:val="clear" w:color="auto" w:fill="E4E4E4"/>
          </w:tcPr>
          <w:p>
            <w:pPr>
              <w:spacing w:after="0" w:line="20" w:lineRule="exact"/>
              <w:rPr>
                <w:sz w:val="1"/>
                <w:szCs w:val="1"/>
                <w:color w:val="auto"/>
              </w:rPr>
            </w:pPr>
          </w:p>
        </w:tc>
        <w:tc>
          <w:tcPr>
            <w:tcW w:w="10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gridSpan w:val="3"/>
          </w:tcPr>
          <w:p>
            <w:pPr>
              <w:spacing w:after="0"/>
              <w:rPr>
                <w:sz w:val="20"/>
                <w:szCs w:val="20"/>
                <w:color w:val="auto"/>
              </w:rPr>
            </w:pPr>
            <w:r>
              <w:rPr>
                <w:rFonts w:ascii="Arial" w:cs="Arial" w:eastAsia="Arial" w:hAnsi="Arial"/>
                <w:sz w:val="20"/>
                <w:szCs w:val="20"/>
                <w:color w:val="1E1E1E"/>
              </w:rPr>
              <w:t>Loss from termination of retirement plans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1E1E1E"/>
              </w:rPr>
              <w:t>5.7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20"/>
                <w:szCs w:val="20"/>
                <w:color w:val="1E1E1E"/>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60" w:type="dxa"/>
            <w:vAlign w:val="bottom"/>
            <w:gridSpan w:val="3"/>
            <w:shd w:val="clear" w:color="auto" w:fill="E4E4E4"/>
          </w:tcPr>
          <w:p>
            <w:pPr>
              <w:spacing w:after="0"/>
              <w:rPr>
                <w:sz w:val="20"/>
                <w:szCs w:val="20"/>
                <w:color w:val="auto"/>
              </w:rPr>
            </w:pPr>
            <w:r>
              <w:rPr>
                <w:rFonts w:ascii="Arial" w:cs="Arial" w:eastAsia="Arial" w:hAnsi="Arial"/>
                <w:sz w:val="20"/>
                <w:szCs w:val="20"/>
                <w:color w:val="1E1E1E"/>
              </w:rPr>
              <w:t>Impairment (gain) of assets</w:t>
            </w:r>
          </w:p>
        </w:tc>
        <w:tc>
          <w:tcPr>
            <w:tcW w:w="140" w:type="dxa"/>
            <w:vAlign w:val="bottom"/>
            <w:shd w:val="clear" w:color="auto" w:fill="E4E4E4"/>
          </w:tcPr>
          <w:p>
            <w:pPr>
              <w:spacing w:after="0"/>
              <w:rPr>
                <w:sz w:val="20"/>
                <w:szCs w:val="20"/>
                <w:color w:val="auto"/>
              </w:rPr>
            </w:pPr>
          </w:p>
        </w:tc>
        <w:tc>
          <w:tcPr>
            <w:tcW w:w="660" w:type="dxa"/>
            <w:vAlign w:val="bottom"/>
            <w:shd w:val="clear" w:color="auto" w:fill="E4E4E4"/>
          </w:tcPr>
          <w:p>
            <w:pPr>
              <w:spacing w:after="0"/>
              <w:rPr>
                <w:sz w:val="20"/>
                <w:szCs w:val="20"/>
                <w:color w:val="auto"/>
              </w:rPr>
            </w:pPr>
          </w:p>
        </w:tc>
        <w:tc>
          <w:tcPr>
            <w:tcW w:w="46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0.1</w:t>
            </w:r>
          </w:p>
        </w:tc>
        <w:tc>
          <w:tcPr>
            <w:tcW w:w="2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880" w:type="dxa"/>
            <w:vAlign w:val="bottom"/>
            <w:shd w:val="clear" w:color="auto" w:fill="E4E4E4"/>
          </w:tcPr>
          <w:p>
            <w:pPr>
              <w:spacing w:after="0"/>
              <w:rPr>
                <w:sz w:val="20"/>
                <w:szCs w:val="20"/>
                <w:color w:val="auto"/>
              </w:rPr>
            </w:pPr>
          </w:p>
        </w:tc>
        <w:tc>
          <w:tcPr>
            <w:tcW w:w="2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300" w:type="dxa"/>
            <w:vAlign w:val="bottom"/>
            <w:shd w:val="clear" w:color="auto" w:fill="E4E4E4"/>
          </w:tcPr>
          <w:p>
            <w:pPr>
              <w:spacing w:after="0"/>
              <w:rPr>
                <w:sz w:val="20"/>
                <w:szCs w:val="20"/>
                <w:color w:val="auto"/>
              </w:rPr>
            </w:pPr>
          </w:p>
        </w:tc>
        <w:tc>
          <w:tcPr>
            <w:tcW w:w="1040" w:type="dxa"/>
            <w:vAlign w:val="bottom"/>
            <w:gridSpan w:val="3"/>
            <w:shd w:val="clear" w:color="auto" w:fill="E4E4E4"/>
          </w:tcPr>
          <w:p>
            <w:pPr>
              <w:jc w:val="right"/>
              <w:ind w:right="160"/>
              <w:spacing w:after="0"/>
              <w:rPr>
                <w:sz w:val="20"/>
                <w:szCs w:val="20"/>
                <w:color w:val="auto"/>
              </w:rPr>
            </w:pPr>
            <w:r>
              <w:rPr>
                <w:rFonts w:ascii="Arial" w:cs="Arial" w:eastAsia="Arial" w:hAnsi="Arial"/>
                <w:sz w:val="20"/>
                <w:szCs w:val="20"/>
                <w:color w:val="1E1E1E"/>
              </w:rPr>
              <w:t>(0.2)</w:t>
            </w: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8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60" w:type="dxa"/>
            <w:vAlign w:val="bottom"/>
            <w:gridSpan w:val="3"/>
          </w:tcPr>
          <w:p>
            <w:pPr>
              <w:spacing w:after="0"/>
              <w:rPr>
                <w:sz w:val="20"/>
                <w:szCs w:val="20"/>
                <w:color w:val="auto"/>
              </w:rPr>
            </w:pPr>
            <w:r>
              <w:rPr>
                <w:rFonts w:ascii="Arial" w:cs="Arial" w:eastAsia="Arial" w:hAnsi="Arial"/>
                <w:sz w:val="20"/>
                <w:szCs w:val="20"/>
                <w:color w:val="1E1E1E"/>
              </w:rPr>
              <w:t>Add back actual income tax provision (benefit)</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1E1E1E"/>
              </w:rPr>
              <w:t>10.5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20"/>
                <w:szCs w:val="20"/>
                <w:color w:val="1E1E1E"/>
              </w:rPr>
              <w:t>(30.8)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560" w:type="dxa"/>
            <w:vAlign w:val="bottom"/>
            <w:gridSpan w:val="3"/>
            <w:shd w:val="clear" w:color="auto" w:fill="E4E4E4"/>
          </w:tcPr>
          <w:p>
            <w:pPr>
              <w:spacing w:after="0" w:line="228" w:lineRule="exact"/>
              <w:rPr>
                <w:sz w:val="20"/>
                <w:szCs w:val="20"/>
                <w:color w:val="auto"/>
              </w:rPr>
            </w:pPr>
            <w:r>
              <w:rPr>
                <w:rFonts w:ascii="Arial" w:cs="Arial" w:eastAsia="Arial" w:hAnsi="Arial"/>
                <w:sz w:val="20"/>
                <w:szCs w:val="20"/>
                <w:color w:val="1E1E1E"/>
              </w:rPr>
              <w:t>Income tax provision, assuming normal tax rate of 27%</w:t>
            </w:r>
          </w:p>
        </w:tc>
        <w:tc>
          <w:tcPr>
            <w:tcW w:w="140" w:type="dxa"/>
            <w:vAlign w:val="bottom"/>
            <w:shd w:val="clear" w:color="auto" w:fill="E4E4E4"/>
          </w:tcPr>
          <w:p>
            <w:pPr>
              <w:spacing w:after="0"/>
              <w:rPr>
                <w:sz w:val="19"/>
                <w:szCs w:val="19"/>
                <w:color w:val="auto"/>
              </w:rPr>
            </w:pPr>
          </w:p>
        </w:tc>
        <w:tc>
          <w:tcPr>
            <w:tcW w:w="660" w:type="dxa"/>
            <w:vAlign w:val="bottom"/>
            <w:shd w:val="clear" w:color="auto" w:fill="E4E4E4"/>
          </w:tcPr>
          <w:p>
            <w:pPr>
              <w:spacing w:after="0"/>
              <w:rPr>
                <w:sz w:val="19"/>
                <w:szCs w:val="19"/>
                <w:color w:val="auto"/>
              </w:rPr>
            </w:pPr>
          </w:p>
        </w:tc>
        <w:tc>
          <w:tcPr>
            <w:tcW w:w="700" w:type="dxa"/>
            <w:vAlign w:val="bottom"/>
            <w:gridSpan w:val="2"/>
            <w:shd w:val="clear" w:color="auto" w:fill="E4E4E4"/>
          </w:tcPr>
          <w:p>
            <w:pPr>
              <w:jc w:val="right"/>
              <w:ind w:right="180"/>
              <w:spacing w:after="0" w:line="228" w:lineRule="exact"/>
              <w:rPr>
                <w:sz w:val="20"/>
                <w:szCs w:val="20"/>
                <w:color w:val="auto"/>
              </w:rPr>
            </w:pPr>
            <w:r>
              <w:rPr>
                <w:rFonts w:ascii="Arial" w:cs="Arial" w:eastAsia="Arial" w:hAnsi="Arial"/>
                <w:sz w:val="20"/>
                <w:szCs w:val="20"/>
                <w:color w:val="1E1E1E"/>
                <w:w w:val="95"/>
              </w:rPr>
              <w:t>(11.9)</w:t>
            </w: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88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040" w:type="dxa"/>
            <w:vAlign w:val="bottom"/>
            <w:gridSpan w:val="3"/>
            <w:shd w:val="clear" w:color="auto" w:fill="E4E4E4"/>
          </w:tcPr>
          <w:p>
            <w:pPr>
              <w:jc w:val="right"/>
              <w:ind w:right="160"/>
              <w:spacing w:after="0" w:line="228" w:lineRule="exact"/>
              <w:rPr>
                <w:sz w:val="20"/>
                <w:szCs w:val="20"/>
                <w:color w:val="auto"/>
              </w:rPr>
            </w:pPr>
            <w:r>
              <w:rPr>
                <w:rFonts w:ascii="Arial" w:cs="Arial" w:eastAsia="Arial" w:hAnsi="Arial"/>
                <w:sz w:val="20"/>
                <w:szCs w:val="20"/>
                <w:color w:val="1E1E1E"/>
              </w:rPr>
              <w:t>(15.7)</w:t>
            </w: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560" w:type="dxa"/>
            <w:vAlign w:val="bottom"/>
            <w:tcBorders>
              <w:bottom w:val="single" w:sz="8" w:color="E4E4E4"/>
            </w:tcBorders>
            <w:gridSpan w:val="3"/>
          </w:tcPr>
          <w:p>
            <w:pPr>
              <w:spacing w:after="0" w:line="220" w:lineRule="exact"/>
              <w:rPr>
                <w:sz w:val="20"/>
                <w:szCs w:val="20"/>
                <w:color w:val="auto"/>
              </w:rPr>
            </w:pPr>
            <w:r>
              <w:rPr>
                <w:rFonts w:ascii="Arial" w:cs="Arial" w:eastAsia="Arial" w:hAnsi="Arial"/>
                <w:sz w:val="20"/>
                <w:szCs w:val="20"/>
                <w:color w:val="1E1E1E"/>
              </w:rPr>
              <w:t>Adjusted net income, non-GAAP basis</w:t>
            </w:r>
          </w:p>
        </w:tc>
        <w:tc>
          <w:tcPr>
            <w:tcW w:w="140" w:type="dxa"/>
            <w:vAlign w:val="bottom"/>
            <w:tcBorders>
              <w:bottom w:val="single" w:sz="8" w:color="E4E4E4"/>
            </w:tcBorders>
          </w:tcPr>
          <w:p>
            <w:pPr>
              <w:spacing w:after="0"/>
              <w:rPr>
                <w:sz w:val="21"/>
                <w:szCs w:val="21"/>
                <w:color w:val="auto"/>
              </w:rPr>
            </w:pPr>
          </w:p>
        </w:tc>
        <w:tc>
          <w:tcPr>
            <w:tcW w:w="660" w:type="dxa"/>
            <w:vAlign w:val="bottom"/>
            <w:tcBorders>
              <w:top w:val="single" w:sz="8" w:color="1E1E1E"/>
            </w:tcBorders>
          </w:tcPr>
          <w:p>
            <w:pPr>
              <w:jc w:val="right"/>
              <w:ind w:right="460"/>
              <w:spacing w:after="0" w:line="220" w:lineRule="exact"/>
              <w:rPr>
                <w:sz w:val="20"/>
                <w:szCs w:val="20"/>
                <w:color w:val="auto"/>
              </w:rPr>
            </w:pPr>
            <w:r>
              <w:rPr>
                <w:rFonts w:ascii="Arial" w:cs="Arial" w:eastAsia="Arial" w:hAnsi="Arial"/>
                <w:sz w:val="20"/>
                <w:szCs w:val="20"/>
                <w:color w:val="1E1E1E"/>
                <w:w w:val="71"/>
              </w:rPr>
              <w:t>$</w:t>
            </w:r>
          </w:p>
        </w:tc>
        <w:tc>
          <w:tcPr>
            <w:tcW w:w="46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rPr>
              <w:t>32.3</w:t>
            </w:r>
          </w:p>
        </w:tc>
        <w:tc>
          <w:tcPr>
            <w:tcW w:w="240" w:type="dxa"/>
            <w:vAlign w:val="bottom"/>
            <w:tcBorders>
              <w:bottom w:val="single" w:sz="8" w:color="E4E4E4"/>
            </w:tcBorders>
          </w:tcPr>
          <w:p>
            <w:pPr>
              <w:spacing w:after="0"/>
              <w:rPr>
                <w:sz w:val="21"/>
                <w:szCs w:val="21"/>
                <w:color w:val="auto"/>
              </w:rPr>
            </w:pPr>
          </w:p>
        </w:tc>
        <w:tc>
          <w:tcPr>
            <w:tcW w:w="20" w:type="dxa"/>
            <w:vAlign w:val="bottom"/>
            <w:tcBorders>
              <w:top w:val="single" w:sz="8" w:color="1E1E1E"/>
              <w:bottom w:val="single" w:sz="8" w:color="E4E4E4"/>
            </w:tcBorders>
          </w:tcPr>
          <w:p>
            <w:pPr>
              <w:spacing w:after="0"/>
              <w:rPr>
                <w:sz w:val="21"/>
                <w:szCs w:val="21"/>
                <w:color w:val="auto"/>
              </w:rPr>
            </w:pPr>
          </w:p>
        </w:tc>
        <w:tc>
          <w:tcPr>
            <w:tcW w:w="120" w:type="dxa"/>
            <w:vAlign w:val="bottom"/>
            <w:tcBorders>
              <w:top w:val="single" w:sz="8" w:color="1E1E1E"/>
            </w:tcBorders>
          </w:tcPr>
          <w:p>
            <w:pPr>
              <w:jc w:val="right"/>
              <w:spacing w:after="0"/>
              <w:rPr>
                <w:sz w:val="20"/>
                <w:szCs w:val="20"/>
                <w:color w:val="auto"/>
              </w:rPr>
            </w:pPr>
            <w:r>
              <w:rPr>
                <w:rFonts w:ascii="Arial" w:cs="Arial" w:eastAsia="Arial" w:hAnsi="Arial"/>
                <w:sz w:val="15"/>
                <w:szCs w:val="15"/>
                <w:color w:val="1E1E1E"/>
                <w:w w:val="71"/>
              </w:rPr>
              <w:t>$</w:t>
            </w:r>
          </w:p>
        </w:tc>
        <w:tc>
          <w:tcPr>
            <w:tcW w:w="88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rPr>
              <w:t>0.50</w:t>
            </w:r>
          </w:p>
        </w:tc>
        <w:tc>
          <w:tcPr>
            <w:tcW w:w="240" w:type="dxa"/>
            <w:vAlign w:val="bottom"/>
            <w:tcBorders>
              <w:bottom w:val="single" w:sz="8" w:color="E4E4E4"/>
            </w:tcBorders>
          </w:tcPr>
          <w:p>
            <w:pPr>
              <w:spacing w:after="0"/>
              <w:rPr>
                <w:sz w:val="21"/>
                <w:szCs w:val="21"/>
                <w:color w:val="auto"/>
              </w:rPr>
            </w:pPr>
          </w:p>
        </w:tc>
        <w:tc>
          <w:tcPr>
            <w:tcW w:w="20" w:type="dxa"/>
            <w:vAlign w:val="bottom"/>
            <w:tcBorders>
              <w:top w:val="single" w:sz="8" w:color="1E1E1E"/>
              <w:bottom w:val="single" w:sz="8" w:color="E4E4E4"/>
            </w:tcBorders>
          </w:tcPr>
          <w:p>
            <w:pPr>
              <w:spacing w:after="0"/>
              <w:rPr>
                <w:sz w:val="21"/>
                <w:szCs w:val="21"/>
                <w:color w:val="auto"/>
              </w:rPr>
            </w:pPr>
          </w:p>
        </w:tc>
        <w:tc>
          <w:tcPr>
            <w:tcW w:w="300" w:type="dxa"/>
            <w:vAlign w:val="bottom"/>
            <w:tcBorders>
              <w:top w:val="single" w:sz="8" w:color="1E1E1E"/>
            </w:tcBorders>
          </w:tcPr>
          <w:p>
            <w:pPr>
              <w:jc w:val="right"/>
              <w:ind w:right="143"/>
              <w:spacing w:after="0"/>
              <w:rPr>
                <w:sz w:val="20"/>
                <w:szCs w:val="20"/>
                <w:color w:val="auto"/>
              </w:rPr>
            </w:pPr>
            <w:r>
              <w:rPr>
                <w:rFonts w:ascii="Arial" w:cs="Arial" w:eastAsia="Arial" w:hAnsi="Arial"/>
                <w:sz w:val="15"/>
                <w:szCs w:val="15"/>
                <w:color w:val="1E1E1E"/>
                <w:w w:val="71"/>
              </w:rPr>
              <w:t>$</w:t>
            </w:r>
          </w:p>
        </w:tc>
        <w:tc>
          <w:tcPr>
            <w:tcW w:w="80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rPr>
              <w:t>42.5</w:t>
            </w:r>
          </w:p>
        </w:tc>
        <w:tc>
          <w:tcPr>
            <w:tcW w:w="20" w:type="dxa"/>
            <w:vAlign w:val="bottom"/>
            <w:tcBorders>
              <w:top w:val="single" w:sz="8" w:color="1E1E1E"/>
              <w:bottom w:val="single" w:sz="8" w:color="E4E4E4"/>
            </w:tcBorders>
          </w:tcPr>
          <w:p>
            <w:pPr>
              <w:spacing w:after="0"/>
              <w:rPr>
                <w:sz w:val="21"/>
                <w:szCs w:val="21"/>
                <w:color w:val="auto"/>
              </w:rPr>
            </w:pPr>
          </w:p>
        </w:tc>
        <w:tc>
          <w:tcPr>
            <w:tcW w:w="220" w:type="dxa"/>
            <w:vAlign w:val="bottom"/>
            <w:tcBorders>
              <w:bottom w:val="single" w:sz="8" w:color="E4E4E4"/>
            </w:tcBorders>
          </w:tcPr>
          <w:p>
            <w:pPr>
              <w:spacing w:after="0"/>
              <w:rPr>
                <w:sz w:val="21"/>
                <w:szCs w:val="21"/>
                <w:color w:val="auto"/>
              </w:rPr>
            </w:pPr>
          </w:p>
        </w:tc>
        <w:tc>
          <w:tcPr>
            <w:tcW w:w="20" w:type="dxa"/>
            <w:vAlign w:val="bottom"/>
            <w:tcBorders>
              <w:top w:val="single" w:sz="8" w:color="1E1E1E"/>
              <w:bottom w:val="single" w:sz="8" w:color="E4E4E4"/>
            </w:tcBorders>
          </w:tcPr>
          <w:p>
            <w:pPr>
              <w:spacing w:after="0"/>
              <w:rPr>
                <w:sz w:val="21"/>
                <w:szCs w:val="21"/>
                <w:color w:val="auto"/>
              </w:rPr>
            </w:pPr>
          </w:p>
        </w:tc>
        <w:tc>
          <w:tcPr>
            <w:tcW w:w="12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w w:val="71"/>
              </w:rPr>
              <w:t>$</w:t>
            </w:r>
          </w:p>
        </w:tc>
        <w:tc>
          <w:tcPr>
            <w:tcW w:w="860" w:type="dxa"/>
            <w:vAlign w:val="bottom"/>
            <w:tcBorders>
              <w:top w:val="single" w:sz="8" w:color="1E1E1E"/>
            </w:tcBorders>
          </w:tcPr>
          <w:p>
            <w:pPr>
              <w:ind w:left="520"/>
              <w:spacing w:after="0" w:line="220" w:lineRule="exact"/>
              <w:rPr>
                <w:sz w:val="20"/>
                <w:szCs w:val="20"/>
                <w:color w:val="auto"/>
              </w:rPr>
            </w:pPr>
            <w:r>
              <w:rPr>
                <w:rFonts w:ascii="Arial" w:cs="Arial" w:eastAsia="Arial" w:hAnsi="Arial"/>
                <w:sz w:val="20"/>
                <w:szCs w:val="20"/>
                <w:color w:val="1E1E1E"/>
                <w:w w:val="82"/>
              </w:rPr>
              <w:t>0.63</w:t>
            </w:r>
          </w:p>
        </w:tc>
        <w:tc>
          <w:tcPr>
            <w:tcW w:w="20" w:type="dxa"/>
            <w:vAlign w:val="bottom"/>
            <w:tcBorders>
              <w:top w:val="single" w:sz="8" w:color="1E1E1E"/>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0" w:type="dxa"/>
            <w:vAlign w:val="bottom"/>
            <w:shd w:val="clear" w:color="auto" w:fill="E4E4E4"/>
          </w:tcPr>
          <w:p>
            <w:pPr>
              <w:spacing w:after="0"/>
              <w:rPr>
                <w:sz w:val="20"/>
                <w:szCs w:val="20"/>
                <w:color w:val="auto"/>
              </w:rPr>
            </w:pPr>
          </w:p>
        </w:tc>
        <w:tc>
          <w:tcPr>
            <w:tcW w:w="1800" w:type="dxa"/>
            <w:vAlign w:val="bottom"/>
            <w:shd w:val="clear" w:color="auto" w:fill="E4E4E4"/>
          </w:tcPr>
          <w:p>
            <w:pPr>
              <w:spacing w:after="0"/>
              <w:rPr>
                <w:sz w:val="20"/>
                <w:szCs w:val="20"/>
                <w:color w:val="auto"/>
              </w:rPr>
            </w:pPr>
          </w:p>
        </w:tc>
        <w:tc>
          <w:tcPr>
            <w:tcW w:w="318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660" w:type="dxa"/>
            <w:vAlign w:val="bottom"/>
            <w:shd w:val="clear" w:color="auto" w:fill="E4E4E4"/>
          </w:tcPr>
          <w:p>
            <w:pPr>
              <w:spacing w:after="0"/>
              <w:rPr>
                <w:sz w:val="20"/>
                <w:szCs w:val="20"/>
                <w:color w:val="auto"/>
              </w:rPr>
            </w:pPr>
          </w:p>
        </w:tc>
        <w:tc>
          <w:tcPr>
            <w:tcW w:w="460" w:type="dxa"/>
            <w:vAlign w:val="bottom"/>
            <w:shd w:val="clear" w:color="auto" w:fill="E4E4E4"/>
          </w:tcPr>
          <w:p>
            <w:pPr>
              <w:spacing w:after="0"/>
              <w:rPr>
                <w:sz w:val="20"/>
                <w:szCs w:val="20"/>
                <w:color w:val="auto"/>
              </w:rPr>
            </w:pPr>
          </w:p>
        </w:tc>
        <w:tc>
          <w:tcPr>
            <w:tcW w:w="2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880" w:type="dxa"/>
            <w:vAlign w:val="bottom"/>
            <w:shd w:val="clear" w:color="auto" w:fill="E4E4E4"/>
          </w:tcPr>
          <w:p>
            <w:pPr>
              <w:spacing w:after="0"/>
              <w:rPr>
                <w:sz w:val="20"/>
                <w:szCs w:val="20"/>
                <w:color w:val="auto"/>
              </w:rPr>
            </w:pPr>
          </w:p>
        </w:tc>
        <w:tc>
          <w:tcPr>
            <w:tcW w:w="2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300" w:type="dxa"/>
            <w:vAlign w:val="bottom"/>
            <w:shd w:val="clear" w:color="auto" w:fill="E4E4E4"/>
          </w:tcPr>
          <w:p>
            <w:pPr>
              <w:spacing w:after="0"/>
              <w:rPr>
                <w:sz w:val="20"/>
                <w:szCs w:val="20"/>
                <w:color w:val="auto"/>
              </w:rPr>
            </w:pPr>
          </w:p>
        </w:tc>
        <w:tc>
          <w:tcPr>
            <w:tcW w:w="8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22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8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60" w:type="dxa"/>
            <w:vAlign w:val="bottom"/>
            <w:gridSpan w:val="3"/>
          </w:tcPr>
          <w:p>
            <w:pPr>
              <w:spacing w:after="0" w:line="210" w:lineRule="exact"/>
              <w:rPr>
                <w:sz w:val="20"/>
                <w:szCs w:val="20"/>
                <w:color w:val="auto"/>
              </w:rPr>
            </w:pPr>
            <w:r>
              <w:rPr>
                <w:rFonts w:ascii="Arial" w:cs="Arial" w:eastAsia="Arial" w:hAnsi="Arial"/>
                <w:sz w:val="20"/>
                <w:szCs w:val="20"/>
                <w:color w:val="1E1E1E"/>
              </w:rPr>
              <w:t>Weighted average number of common shares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560" w:type="dxa"/>
            <w:vAlign w:val="bottom"/>
            <w:gridSpan w:val="3"/>
          </w:tcPr>
          <w:p>
            <w:pPr>
              <w:ind w:left="160"/>
              <w:spacing w:after="0"/>
              <w:rPr>
                <w:sz w:val="20"/>
                <w:szCs w:val="20"/>
                <w:color w:val="auto"/>
              </w:rPr>
            </w:pPr>
            <w:r>
              <w:rPr>
                <w:rFonts w:ascii="Arial" w:cs="Arial" w:eastAsia="Arial" w:hAnsi="Arial"/>
                <w:sz w:val="20"/>
                <w:szCs w:val="20"/>
                <w:color w:val="1E1E1E"/>
              </w:rPr>
              <w:t>outstanding on a diluted basis</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1E1E1E"/>
              </w:rPr>
              <w:t>64.3</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ind w:left="520"/>
              <w:spacing w:after="0"/>
              <w:rPr>
                <w:sz w:val="20"/>
                <w:szCs w:val="20"/>
                <w:color w:val="auto"/>
              </w:rPr>
            </w:pPr>
            <w:r>
              <w:rPr>
                <w:rFonts w:ascii="Arial" w:cs="Arial" w:eastAsia="Arial" w:hAnsi="Arial"/>
                <w:sz w:val="20"/>
                <w:szCs w:val="20"/>
                <w:color w:val="1E1E1E"/>
                <w:w w:val="87"/>
              </w:rPr>
              <w:t>66.9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3599815</wp:posOffset>
            </wp:positionH>
            <wp:positionV relativeFrom="paragraph">
              <wp:posOffset>-483870</wp:posOffset>
            </wp:positionV>
            <wp:extent cx="3204845" cy="609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04845" cy="6096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1E1E1E"/>
        </w:rPr>
        <w:t>Adjusted EBITDA and Adjusted EBITDA Margin</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8"/>
          <w:szCs w:val="18"/>
          <w:color w:val="1E1E1E"/>
        </w:rPr>
        <w:t>Adjusted EBITDA and adjusted EBITDA margin are presented because we believe that these measures are useful to investors in evaluating our performance. Management uses adjusted EBITDA as a key metric to measure profitability and economic productivity. Adjusted EBITDA is calculated as earnings before interest, taxes, depreciation and amortization and before any impairment (gain) of assets and the loss on termination of retirement plans. Adjusted EBITDA margin is calculated as adjusted EBITDA divided by sales.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is a reconciliation of net income on a GAAP basis to adjusted EBITDA and adjusted EBITDA margin, on a non-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1E1E1E"/>
        </w:rPr>
        <w:t>GAAP basis, for each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144780</wp:posOffset>
            </wp:positionV>
            <wp:extent cx="6884670" cy="3257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84670" cy="32575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00" w:type="dxa"/>
            <w:vAlign w:val="bottom"/>
            <w:tcBorders>
              <w:bottom w:val="single" w:sz="8" w:color="1E1E1E"/>
            </w:tcBorders>
          </w:tcPr>
          <w:p>
            <w:pPr>
              <w:spacing w:after="0"/>
              <w:rPr>
                <w:sz w:val="20"/>
                <w:szCs w:val="20"/>
                <w:color w:val="auto"/>
              </w:rPr>
            </w:pPr>
            <w:r>
              <w:rPr>
                <w:rFonts w:ascii="Arial" w:cs="Arial" w:eastAsia="Arial" w:hAnsi="Arial"/>
                <w:sz w:val="18"/>
                <w:szCs w:val="18"/>
                <w:color w:val="1E1E1E"/>
                <w:w w:val="88"/>
              </w:rPr>
              <w:t>(in thousands, except percentages)</w:t>
            </w:r>
          </w:p>
        </w:tc>
        <w:tc>
          <w:tcPr>
            <w:tcW w:w="4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242"/>
              <w:spacing w:after="0"/>
              <w:rPr>
                <w:sz w:val="20"/>
                <w:szCs w:val="20"/>
                <w:color w:val="auto"/>
              </w:rPr>
            </w:pPr>
            <w:r>
              <w:rPr>
                <w:rFonts w:ascii="Arial" w:cs="Arial" w:eastAsia="Arial" w:hAnsi="Arial"/>
                <w:sz w:val="16"/>
                <w:szCs w:val="16"/>
                <w:color w:val="1E1E1E"/>
              </w:rPr>
              <w:t>Fiscal 2023</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322"/>
              <w:spacing w:after="0"/>
              <w:rPr>
                <w:sz w:val="20"/>
                <w:szCs w:val="20"/>
                <w:color w:val="auto"/>
              </w:rPr>
            </w:pPr>
            <w:r>
              <w:rPr>
                <w:rFonts w:ascii="Arial" w:cs="Arial" w:eastAsia="Arial" w:hAnsi="Arial"/>
                <w:sz w:val="16"/>
                <w:szCs w:val="16"/>
                <w:color w:val="1E1E1E"/>
              </w:rPr>
              <w:t>Fiscal 2022</w:t>
            </w:r>
          </w:p>
        </w:tc>
        <w:tc>
          <w:tcPr>
            <w:tcW w:w="520" w:type="dxa"/>
            <w:vAlign w:val="bottom"/>
            <w:gridSpan w:val="2"/>
          </w:tcPr>
          <w:p>
            <w:pPr>
              <w:spacing w:after="0"/>
              <w:rPr>
                <w:sz w:val="19"/>
                <w:szCs w:val="19"/>
                <w:color w:val="auto"/>
              </w:rPr>
            </w:pPr>
          </w:p>
        </w:tc>
      </w:tr>
      <w:tr>
        <w:trPr>
          <w:trHeight w:val="219"/>
        </w:trPr>
        <w:tc>
          <w:tcPr>
            <w:tcW w:w="25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1E1E1E"/>
            </w:tcBorders>
          </w:tcPr>
          <w:p>
            <w:pPr>
              <w:spacing w:after="0"/>
              <w:rPr>
                <w:sz w:val="19"/>
                <w:szCs w:val="19"/>
                <w:color w:val="auto"/>
              </w:rPr>
            </w:pPr>
          </w:p>
        </w:tc>
        <w:tc>
          <w:tcPr>
            <w:tcW w:w="1220" w:type="dxa"/>
            <w:vAlign w:val="bottom"/>
            <w:tcBorders>
              <w:top w:val="single" w:sz="8" w:color="1E1E1E"/>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top w:val="single" w:sz="8" w:color="1E1E1E"/>
            </w:tcBorders>
          </w:tcPr>
          <w:p>
            <w:pPr>
              <w:spacing w:after="0"/>
              <w:rPr>
                <w:sz w:val="19"/>
                <w:szCs w:val="19"/>
                <w:color w:val="auto"/>
              </w:rPr>
            </w:pPr>
          </w:p>
        </w:tc>
        <w:tc>
          <w:tcPr>
            <w:tcW w:w="240" w:type="dxa"/>
            <w:vAlign w:val="bottom"/>
            <w:tcBorders>
              <w:top w:val="single" w:sz="8" w:color="1E1E1E"/>
            </w:tcBorders>
          </w:tcPr>
          <w:p>
            <w:pPr>
              <w:spacing w:after="0"/>
              <w:rPr>
                <w:sz w:val="19"/>
                <w:szCs w:val="19"/>
                <w:color w:val="auto"/>
              </w:rPr>
            </w:pPr>
          </w:p>
        </w:tc>
        <w:tc>
          <w:tcPr>
            <w:tcW w:w="1340" w:type="dxa"/>
            <w:vAlign w:val="bottom"/>
            <w:tcBorders>
              <w:top w:val="single" w:sz="8" w:color="1E1E1E"/>
            </w:tcBorders>
          </w:tcPr>
          <w:p>
            <w:pPr>
              <w:spacing w:after="0"/>
              <w:rPr>
                <w:sz w:val="19"/>
                <w:szCs w:val="19"/>
                <w:color w:val="auto"/>
              </w:rPr>
            </w:pPr>
          </w:p>
        </w:tc>
        <w:tc>
          <w:tcPr>
            <w:tcW w:w="20" w:type="dxa"/>
            <w:vAlign w:val="bottom"/>
            <w:tcBorders>
              <w:top w:val="single" w:sz="8" w:color="1E1E1E"/>
            </w:tcBorders>
          </w:tcPr>
          <w:p>
            <w:pPr>
              <w:spacing w:after="0"/>
              <w:rPr>
                <w:sz w:val="19"/>
                <w:szCs w:val="19"/>
                <w:color w:val="auto"/>
              </w:rPr>
            </w:pPr>
          </w:p>
        </w:tc>
        <w:tc>
          <w:tcPr>
            <w:tcW w:w="500" w:type="dxa"/>
            <w:vAlign w:val="bottom"/>
          </w:tcPr>
          <w:p>
            <w:pPr>
              <w:spacing w:after="0"/>
              <w:rPr>
                <w:sz w:val="19"/>
                <w:szCs w:val="19"/>
                <w:color w:val="auto"/>
              </w:rPr>
            </w:pPr>
          </w:p>
        </w:tc>
      </w:tr>
      <w:tr>
        <w:trPr>
          <w:trHeight w:val="230"/>
        </w:trPr>
        <w:tc>
          <w:tcPr>
            <w:tcW w:w="6800" w:type="dxa"/>
            <w:vAlign w:val="bottom"/>
            <w:gridSpan w:val="2"/>
          </w:tcPr>
          <w:p>
            <w:pPr>
              <w:spacing w:after="0"/>
              <w:rPr>
                <w:sz w:val="20"/>
                <w:szCs w:val="20"/>
                <w:color w:val="auto"/>
              </w:rPr>
            </w:pPr>
            <w:r>
              <w:rPr>
                <w:rFonts w:ascii="Arial" w:cs="Arial" w:eastAsia="Arial" w:hAnsi="Arial"/>
                <w:sz w:val="20"/>
                <w:szCs w:val="20"/>
                <w:color w:val="1E1E1E"/>
              </w:rPr>
              <w:t>Net income, on a GAAP basis</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1E1E1E"/>
                <w:w w:val="89"/>
              </w:rPr>
              <w:t>$</w:t>
            </w:r>
          </w:p>
        </w:tc>
        <w:tc>
          <w:tcPr>
            <w:tcW w:w="1640" w:type="dxa"/>
            <w:vAlign w:val="bottom"/>
            <w:gridSpan w:val="2"/>
          </w:tcPr>
          <w:p>
            <w:pPr>
              <w:jc w:val="right"/>
              <w:ind w:right="420"/>
              <w:spacing w:after="0"/>
              <w:rPr>
                <w:sz w:val="20"/>
                <w:szCs w:val="20"/>
                <w:color w:val="auto"/>
              </w:rPr>
            </w:pPr>
            <w:r>
              <w:rPr>
                <w:rFonts w:ascii="Arial" w:cs="Arial" w:eastAsia="Arial" w:hAnsi="Arial"/>
                <w:sz w:val="20"/>
                <w:szCs w:val="20"/>
                <w:color w:val="1E1E1E"/>
              </w:rPr>
              <w:t>27.9</w:t>
            </w:r>
          </w:p>
        </w:tc>
        <w:tc>
          <w:tcPr>
            <w:tcW w:w="20" w:type="dxa"/>
            <w:vAlign w:val="bottom"/>
          </w:tcPr>
          <w:p>
            <w:pPr>
              <w:spacing w:after="0"/>
              <w:rPr>
                <w:sz w:val="20"/>
                <w:szCs w:val="20"/>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1E1E1E"/>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20"/>
                <w:szCs w:val="20"/>
                <w:color w:val="1E1E1E"/>
              </w:rPr>
              <w:t>89.1</w:t>
            </w:r>
          </w:p>
        </w:tc>
        <w:tc>
          <w:tcPr>
            <w:tcW w:w="500" w:type="dxa"/>
            <w:vAlign w:val="bottom"/>
          </w:tcPr>
          <w:p>
            <w:pPr>
              <w:spacing w:after="0"/>
              <w:rPr>
                <w:sz w:val="20"/>
                <w:szCs w:val="20"/>
                <w:color w:val="auto"/>
              </w:rPr>
            </w:pPr>
          </w:p>
        </w:tc>
      </w:tr>
      <w:tr>
        <w:trPr>
          <w:trHeight w:val="230"/>
        </w:trPr>
        <w:tc>
          <w:tcPr>
            <w:tcW w:w="6800" w:type="dxa"/>
            <w:vAlign w:val="bottom"/>
            <w:gridSpan w:val="2"/>
            <w:shd w:val="clear" w:color="auto" w:fill="E4E4E4"/>
          </w:tcPr>
          <w:p>
            <w:pPr>
              <w:spacing w:after="0"/>
              <w:rPr>
                <w:sz w:val="20"/>
                <w:szCs w:val="20"/>
                <w:color w:val="auto"/>
              </w:rPr>
            </w:pPr>
            <w:r>
              <w:rPr>
                <w:rFonts w:ascii="Arial" w:cs="Arial" w:eastAsia="Arial" w:hAnsi="Arial"/>
                <w:sz w:val="20"/>
                <w:szCs w:val="20"/>
                <w:color w:val="1E1E1E"/>
              </w:rPr>
              <w:t>Add back:</w:t>
            </w:r>
          </w:p>
        </w:tc>
        <w:tc>
          <w:tcPr>
            <w:tcW w:w="20" w:type="dxa"/>
            <w:vAlign w:val="bottom"/>
            <w:shd w:val="clear" w:color="auto" w:fill="E4E4E4"/>
          </w:tcPr>
          <w:p>
            <w:pPr>
              <w:spacing w:after="0"/>
              <w:rPr>
                <w:sz w:val="20"/>
                <w:szCs w:val="20"/>
                <w:color w:val="auto"/>
              </w:rPr>
            </w:pPr>
          </w:p>
        </w:tc>
        <w:tc>
          <w:tcPr>
            <w:tcW w:w="220" w:type="dxa"/>
            <w:vAlign w:val="bottom"/>
            <w:shd w:val="clear" w:color="auto" w:fill="E4E4E4"/>
          </w:tcPr>
          <w:p>
            <w:pPr>
              <w:spacing w:after="0"/>
              <w:rPr>
                <w:sz w:val="20"/>
                <w:szCs w:val="20"/>
                <w:color w:val="auto"/>
              </w:rPr>
            </w:pPr>
          </w:p>
        </w:tc>
        <w:tc>
          <w:tcPr>
            <w:tcW w:w="1220" w:type="dxa"/>
            <w:vAlign w:val="bottom"/>
            <w:shd w:val="clear" w:color="auto" w:fill="E4E4E4"/>
          </w:tcPr>
          <w:p>
            <w:pPr>
              <w:spacing w:after="0"/>
              <w:rPr>
                <w:sz w:val="20"/>
                <w:szCs w:val="20"/>
                <w:color w:val="auto"/>
              </w:rPr>
            </w:pPr>
          </w:p>
        </w:tc>
        <w:tc>
          <w:tcPr>
            <w:tcW w:w="42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240" w:type="dxa"/>
            <w:vAlign w:val="bottom"/>
            <w:shd w:val="clear" w:color="auto" w:fill="E4E4E4"/>
          </w:tcPr>
          <w:p>
            <w:pPr>
              <w:spacing w:after="0"/>
              <w:rPr>
                <w:sz w:val="20"/>
                <w:szCs w:val="20"/>
                <w:color w:val="auto"/>
              </w:rPr>
            </w:pPr>
          </w:p>
        </w:tc>
        <w:tc>
          <w:tcPr>
            <w:tcW w:w="13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500" w:type="dxa"/>
            <w:vAlign w:val="bottom"/>
            <w:shd w:val="clear" w:color="auto" w:fill="E4E4E4"/>
          </w:tcPr>
          <w:p>
            <w:pPr>
              <w:spacing w:after="0"/>
              <w:rPr>
                <w:sz w:val="20"/>
                <w:szCs w:val="20"/>
                <w:color w:val="auto"/>
              </w:rPr>
            </w:pPr>
          </w:p>
        </w:tc>
      </w:tr>
      <w:tr>
        <w:trPr>
          <w:trHeight w:val="228"/>
        </w:trPr>
        <w:tc>
          <w:tcPr>
            <w:tcW w:w="6800" w:type="dxa"/>
            <w:vAlign w:val="bottom"/>
            <w:gridSpan w:val="2"/>
          </w:tcPr>
          <w:p>
            <w:pPr>
              <w:spacing w:after="0" w:line="228" w:lineRule="exact"/>
              <w:rPr>
                <w:sz w:val="20"/>
                <w:szCs w:val="20"/>
                <w:color w:val="auto"/>
              </w:rPr>
            </w:pPr>
            <w:r>
              <w:rPr>
                <w:rFonts w:ascii="Arial" w:cs="Arial" w:eastAsia="Arial" w:hAnsi="Arial"/>
                <w:sz w:val="20"/>
                <w:szCs w:val="20"/>
                <w:color w:val="1E1E1E"/>
              </w:rPr>
              <w:t>Impairment (gain) of assets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420"/>
              <w:spacing w:after="0" w:line="228" w:lineRule="exact"/>
              <w:rPr>
                <w:sz w:val="20"/>
                <w:szCs w:val="20"/>
                <w:color w:val="auto"/>
              </w:rPr>
            </w:pPr>
            <w:r>
              <w:rPr>
                <w:rFonts w:ascii="Arial" w:cs="Arial" w:eastAsia="Arial" w:hAnsi="Arial"/>
                <w:sz w:val="20"/>
                <w:szCs w:val="20"/>
                <w:color w:val="1E1E1E"/>
              </w:rPr>
              <w:t>0.1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gridSpan w:val="3"/>
          </w:tcPr>
          <w:p>
            <w:pPr>
              <w:jc w:val="right"/>
              <w:ind w:right="440"/>
              <w:spacing w:after="0" w:line="228" w:lineRule="exact"/>
              <w:rPr>
                <w:sz w:val="20"/>
                <w:szCs w:val="20"/>
                <w:color w:val="auto"/>
              </w:rPr>
            </w:pPr>
            <w:r>
              <w:rPr>
                <w:rFonts w:ascii="Arial" w:cs="Arial" w:eastAsia="Arial" w:hAnsi="Arial"/>
                <w:sz w:val="20"/>
                <w:szCs w:val="20"/>
                <w:color w:val="1E1E1E"/>
              </w:rPr>
              <w:t>(0.2)</w:t>
            </w:r>
          </w:p>
        </w:tc>
      </w:tr>
      <w:tr>
        <w:trPr>
          <w:trHeight w:val="230"/>
        </w:trPr>
        <w:tc>
          <w:tcPr>
            <w:tcW w:w="6800" w:type="dxa"/>
            <w:vAlign w:val="bottom"/>
            <w:gridSpan w:val="2"/>
            <w:shd w:val="clear" w:color="auto" w:fill="E4E4E4"/>
          </w:tcPr>
          <w:p>
            <w:pPr>
              <w:spacing w:after="0"/>
              <w:rPr>
                <w:sz w:val="20"/>
                <w:szCs w:val="20"/>
                <w:color w:val="auto"/>
              </w:rPr>
            </w:pPr>
            <w:r>
              <w:rPr>
                <w:rFonts w:ascii="Arial" w:cs="Arial" w:eastAsia="Arial" w:hAnsi="Arial"/>
                <w:sz w:val="20"/>
                <w:szCs w:val="20"/>
                <w:color w:val="1E1E1E"/>
              </w:rPr>
              <w:t>Loss on termination of retirement plans</w:t>
            </w:r>
          </w:p>
        </w:tc>
        <w:tc>
          <w:tcPr>
            <w:tcW w:w="20" w:type="dxa"/>
            <w:vAlign w:val="bottom"/>
            <w:shd w:val="clear" w:color="auto" w:fill="E4E4E4"/>
          </w:tcPr>
          <w:p>
            <w:pPr>
              <w:spacing w:after="0"/>
              <w:rPr>
                <w:sz w:val="20"/>
                <w:szCs w:val="20"/>
                <w:color w:val="auto"/>
              </w:rPr>
            </w:pPr>
          </w:p>
        </w:tc>
        <w:tc>
          <w:tcPr>
            <w:tcW w:w="220" w:type="dxa"/>
            <w:vAlign w:val="bottom"/>
            <w:shd w:val="clear" w:color="auto" w:fill="E4E4E4"/>
          </w:tcPr>
          <w:p>
            <w:pPr>
              <w:spacing w:after="0"/>
              <w:rPr>
                <w:sz w:val="20"/>
                <w:szCs w:val="20"/>
                <w:color w:val="auto"/>
              </w:rPr>
            </w:pPr>
          </w:p>
        </w:tc>
        <w:tc>
          <w:tcPr>
            <w:tcW w:w="1640" w:type="dxa"/>
            <w:vAlign w:val="bottom"/>
            <w:gridSpan w:val="2"/>
            <w:shd w:val="clear" w:color="auto" w:fill="E4E4E4"/>
          </w:tcPr>
          <w:p>
            <w:pPr>
              <w:jc w:val="right"/>
              <w:ind w:right="420"/>
              <w:spacing w:after="0"/>
              <w:rPr>
                <w:sz w:val="20"/>
                <w:szCs w:val="20"/>
                <w:color w:val="auto"/>
              </w:rPr>
            </w:pPr>
            <w:r>
              <w:rPr>
                <w:rFonts w:ascii="Arial" w:cs="Arial" w:eastAsia="Arial" w:hAnsi="Arial"/>
                <w:sz w:val="20"/>
                <w:szCs w:val="20"/>
                <w:color w:val="1E1E1E"/>
              </w:rPr>
              <w:t>5.7</w:t>
            </w:r>
          </w:p>
        </w:tc>
        <w:tc>
          <w:tcPr>
            <w:tcW w:w="20" w:type="dxa"/>
            <w:vAlign w:val="bottom"/>
            <w:shd w:val="clear" w:color="auto" w:fill="E4E4E4"/>
          </w:tcPr>
          <w:p>
            <w:pPr>
              <w:spacing w:after="0"/>
              <w:rPr>
                <w:sz w:val="20"/>
                <w:szCs w:val="20"/>
                <w:color w:val="auto"/>
              </w:rPr>
            </w:pPr>
          </w:p>
        </w:tc>
        <w:tc>
          <w:tcPr>
            <w:tcW w:w="240" w:type="dxa"/>
            <w:vAlign w:val="bottom"/>
            <w:shd w:val="clear" w:color="auto" w:fill="E4E4E4"/>
          </w:tcPr>
          <w:p>
            <w:pPr>
              <w:spacing w:after="0"/>
              <w:rPr>
                <w:sz w:val="20"/>
                <w:szCs w:val="20"/>
                <w:color w:val="auto"/>
              </w:rPr>
            </w:pPr>
          </w:p>
        </w:tc>
        <w:tc>
          <w:tcPr>
            <w:tcW w:w="1860" w:type="dxa"/>
            <w:vAlign w:val="bottom"/>
            <w:gridSpan w:val="3"/>
            <w:shd w:val="clear" w:color="auto" w:fill="E4E4E4"/>
          </w:tcPr>
          <w:p>
            <w:pPr>
              <w:jc w:val="right"/>
              <w:ind w:right="520"/>
              <w:spacing w:after="0"/>
              <w:rPr>
                <w:sz w:val="20"/>
                <w:szCs w:val="20"/>
                <w:color w:val="auto"/>
              </w:rPr>
            </w:pPr>
            <w:r>
              <w:rPr>
                <w:rFonts w:ascii="Arial" w:cs="Arial" w:eastAsia="Arial" w:hAnsi="Arial"/>
                <w:sz w:val="20"/>
                <w:szCs w:val="20"/>
                <w:color w:val="1E1E1E"/>
              </w:rPr>
              <w:t>—</w:t>
            </w:r>
          </w:p>
        </w:tc>
      </w:tr>
      <w:tr>
        <w:trPr>
          <w:trHeight w:val="230"/>
        </w:trPr>
        <w:tc>
          <w:tcPr>
            <w:tcW w:w="6800" w:type="dxa"/>
            <w:vAlign w:val="bottom"/>
            <w:gridSpan w:val="2"/>
          </w:tcPr>
          <w:p>
            <w:pPr>
              <w:spacing w:after="0"/>
              <w:rPr>
                <w:sz w:val="20"/>
                <w:szCs w:val="20"/>
                <w:color w:val="auto"/>
              </w:rPr>
            </w:pPr>
            <w:r>
              <w:rPr>
                <w:rFonts w:ascii="Arial" w:cs="Arial" w:eastAsia="Arial" w:hAnsi="Arial"/>
                <w:sz w:val="20"/>
                <w:szCs w:val="20"/>
                <w:color w:val="1E1E1E"/>
              </w:rPr>
              <w:t>Provision (benefit) for income taxes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20"/>
                <w:szCs w:val="20"/>
                <w:color w:val="1E1E1E"/>
              </w:rPr>
              <w:t>10.5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3"/>
          </w:tcPr>
          <w:p>
            <w:pPr>
              <w:jc w:val="right"/>
              <w:ind w:right="440"/>
              <w:spacing w:after="0"/>
              <w:rPr>
                <w:sz w:val="20"/>
                <w:szCs w:val="20"/>
                <w:color w:val="auto"/>
              </w:rPr>
            </w:pPr>
            <w:r>
              <w:rPr>
                <w:rFonts w:ascii="Arial" w:cs="Arial" w:eastAsia="Arial" w:hAnsi="Arial"/>
                <w:sz w:val="20"/>
                <w:szCs w:val="20"/>
                <w:color w:val="1E1E1E"/>
              </w:rPr>
              <w:t>(30.8)</w:t>
            </w:r>
          </w:p>
        </w:tc>
      </w:tr>
      <w:tr>
        <w:trPr>
          <w:trHeight w:val="230"/>
        </w:trPr>
        <w:tc>
          <w:tcPr>
            <w:tcW w:w="6800" w:type="dxa"/>
            <w:vAlign w:val="bottom"/>
            <w:gridSpan w:val="2"/>
            <w:shd w:val="clear" w:color="auto" w:fill="E4E4E4"/>
          </w:tcPr>
          <w:p>
            <w:pPr>
              <w:spacing w:after="0"/>
              <w:rPr>
                <w:sz w:val="20"/>
                <w:szCs w:val="20"/>
                <w:color w:val="auto"/>
              </w:rPr>
            </w:pPr>
            <w:r>
              <w:rPr>
                <w:rFonts w:ascii="Arial" w:cs="Arial" w:eastAsia="Arial" w:hAnsi="Arial"/>
                <w:sz w:val="20"/>
                <w:szCs w:val="20"/>
                <w:color w:val="1E1E1E"/>
              </w:rPr>
              <w:t>Interest (income) expense, net</w:t>
            </w:r>
          </w:p>
        </w:tc>
        <w:tc>
          <w:tcPr>
            <w:tcW w:w="20" w:type="dxa"/>
            <w:vAlign w:val="bottom"/>
            <w:shd w:val="clear" w:color="auto" w:fill="E4E4E4"/>
          </w:tcPr>
          <w:p>
            <w:pPr>
              <w:spacing w:after="0"/>
              <w:rPr>
                <w:sz w:val="20"/>
                <w:szCs w:val="20"/>
                <w:color w:val="auto"/>
              </w:rPr>
            </w:pPr>
          </w:p>
        </w:tc>
        <w:tc>
          <w:tcPr>
            <w:tcW w:w="220" w:type="dxa"/>
            <w:vAlign w:val="bottom"/>
            <w:shd w:val="clear" w:color="auto" w:fill="E4E4E4"/>
          </w:tcPr>
          <w:p>
            <w:pPr>
              <w:spacing w:after="0"/>
              <w:rPr>
                <w:sz w:val="20"/>
                <w:szCs w:val="20"/>
                <w:color w:val="auto"/>
              </w:rPr>
            </w:pPr>
          </w:p>
        </w:tc>
        <w:tc>
          <w:tcPr>
            <w:tcW w:w="1640" w:type="dxa"/>
            <w:vAlign w:val="bottom"/>
            <w:gridSpan w:val="2"/>
            <w:shd w:val="clear" w:color="auto" w:fill="E4E4E4"/>
          </w:tcPr>
          <w:p>
            <w:pPr>
              <w:jc w:val="right"/>
              <w:ind w:right="340"/>
              <w:spacing w:after="0"/>
              <w:rPr>
                <w:sz w:val="20"/>
                <w:szCs w:val="20"/>
                <w:color w:val="auto"/>
              </w:rPr>
            </w:pPr>
            <w:r>
              <w:rPr>
                <w:rFonts w:ascii="Arial" w:cs="Arial" w:eastAsia="Arial" w:hAnsi="Arial"/>
                <w:sz w:val="20"/>
                <w:szCs w:val="20"/>
                <w:color w:val="1E1E1E"/>
              </w:rPr>
              <w:t>(2.1)</w:t>
            </w:r>
          </w:p>
        </w:tc>
        <w:tc>
          <w:tcPr>
            <w:tcW w:w="20" w:type="dxa"/>
            <w:vAlign w:val="bottom"/>
            <w:shd w:val="clear" w:color="auto" w:fill="E4E4E4"/>
          </w:tcPr>
          <w:p>
            <w:pPr>
              <w:spacing w:after="0"/>
              <w:rPr>
                <w:sz w:val="20"/>
                <w:szCs w:val="20"/>
                <w:color w:val="auto"/>
              </w:rPr>
            </w:pPr>
          </w:p>
        </w:tc>
        <w:tc>
          <w:tcPr>
            <w:tcW w:w="240" w:type="dxa"/>
            <w:vAlign w:val="bottom"/>
            <w:shd w:val="clear" w:color="auto" w:fill="E4E4E4"/>
          </w:tcPr>
          <w:p>
            <w:pPr>
              <w:spacing w:after="0"/>
              <w:rPr>
                <w:sz w:val="20"/>
                <w:szCs w:val="20"/>
                <w:color w:val="auto"/>
              </w:rPr>
            </w:pPr>
          </w:p>
        </w:tc>
        <w:tc>
          <w:tcPr>
            <w:tcW w:w="1860" w:type="dxa"/>
            <w:vAlign w:val="bottom"/>
            <w:gridSpan w:val="3"/>
            <w:shd w:val="clear" w:color="auto" w:fill="E4E4E4"/>
          </w:tcPr>
          <w:p>
            <w:pPr>
              <w:jc w:val="right"/>
              <w:ind w:right="520"/>
              <w:spacing w:after="0"/>
              <w:rPr>
                <w:sz w:val="20"/>
                <w:szCs w:val="20"/>
                <w:color w:val="auto"/>
              </w:rPr>
            </w:pPr>
            <w:r>
              <w:rPr>
                <w:rFonts w:ascii="Arial" w:cs="Arial" w:eastAsia="Arial" w:hAnsi="Arial"/>
                <w:sz w:val="20"/>
                <w:szCs w:val="20"/>
                <w:color w:val="1E1E1E"/>
              </w:rPr>
              <w:t>0.3</w:t>
            </w:r>
          </w:p>
        </w:tc>
      </w:tr>
      <w:tr>
        <w:trPr>
          <w:trHeight w:val="229"/>
        </w:trPr>
        <w:tc>
          <w:tcPr>
            <w:tcW w:w="6800" w:type="dxa"/>
            <w:vAlign w:val="bottom"/>
            <w:gridSpan w:val="2"/>
          </w:tcPr>
          <w:p>
            <w:pPr>
              <w:spacing w:after="0"/>
              <w:rPr>
                <w:sz w:val="20"/>
                <w:szCs w:val="20"/>
                <w:color w:val="auto"/>
              </w:rPr>
            </w:pPr>
            <w:r>
              <w:rPr>
                <w:rFonts w:ascii="Arial" w:cs="Arial" w:eastAsia="Arial" w:hAnsi="Arial"/>
                <w:sz w:val="20"/>
                <w:szCs w:val="20"/>
                <w:color w:val="1E1E1E"/>
              </w:rPr>
              <w:t>Depreciation and amortization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20"/>
                <w:szCs w:val="20"/>
                <w:color w:val="1E1E1E"/>
              </w:rPr>
              <w:t>13.8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0"/>
                <w:szCs w:val="20"/>
                <w:color w:val="1E1E1E"/>
              </w:rPr>
              <w:t>15.4</w:t>
            </w:r>
          </w:p>
        </w:tc>
        <w:tc>
          <w:tcPr>
            <w:tcW w:w="500" w:type="dxa"/>
            <w:vAlign w:val="bottom"/>
          </w:tcPr>
          <w:p>
            <w:pPr>
              <w:spacing w:after="0"/>
              <w:rPr>
                <w:sz w:val="19"/>
                <w:szCs w:val="19"/>
                <w:color w:val="auto"/>
              </w:rPr>
            </w:pPr>
          </w:p>
        </w:tc>
      </w:tr>
      <w:tr>
        <w:trPr>
          <w:trHeight w:val="220"/>
        </w:trPr>
        <w:tc>
          <w:tcPr>
            <w:tcW w:w="6800" w:type="dxa"/>
            <w:vAlign w:val="bottom"/>
            <w:tcBorders>
              <w:top w:val="single" w:sz="8" w:color="E4E4E4"/>
              <w:bottom w:val="single" w:sz="8" w:color="E4E4E4"/>
            </w:tcBorders>
            <w:gridSpan w:val="2"/>
            <w:shd w:val="clear" w:color="auto" w:fill="E4E4E4"/>
          </w:tcPr>
          <w:p>
            <w:pPr>
              <w:spacing w:after="0" w:line="220" w:lineRule="exact"/>
              <w:rPr>
                <w:sz w:val="20"/>
                <w:szCs w:val="20"/>
                <w:color w:val="auto"/>
              </w:rPr>
            </w:pPr>
            <w:r>
              <w:rPr>
                <w:rFonts w:ascii="Arial" w:cs="Arial" w:eastAsia="Arial" w:hAnsi="Arial"/>
                <w:sz w:val="20"/>
                <w:szCs w:val="20"/>
                <w:color w:val="1E1E1E"/>
              </w:rPr>
              <w:t>Adjusted EBITDA, on a non-GAAP basis</w:t>
            </w:r>
          </w:p>
        </w:tc>
        <w:tc>
          <w:tcPr>
            <w:tcW w:w="20" w:type="dxa"/>
            <w:vAlign w:val="bottom"/>
            <w:tcBorders>
              <w:top w:val="single" w:sz="8" w:color="E4E4E4"/>
              <w:bottom w:val="single" w:sz="8" w:color="E4E4E4"/>
            </w:tcBorders>
            <w:shd w:val="clear" w:color="auto" w:fill="E4E4E4"/>
          </w:tcPr>
          <w:p>
            <w:pPr>
              <w:spacing w:after="0"/>
              <w:rPr>
                <w:sz w:val="19"/>
                <w:szCs w:val="19"/>
                <w:color w:val="auto"/>
              </w:rPr>
            </w:pPr>
          </w:p>
        </w:tc>
        <w:tc>
          <w:tcPr>
            <w:tcW w:w="220" w:type="dxa"/>
            <w:vAlign w:val="bottom"/>
            <w:tcBorders>
              <w:top w:val="single" w:sz="8" w:color="1E1E1E"/>
              <w:bottom w:val="single" w:sz="8" w:color="1E1E1E"/>
            </w:tcBorders>
            <w:shd w:val="clear" w:color="auto" w:fill="E4E4E4"/>
          </w:tcPr>
          <w:p>
            <w:pPr>
              <w:jc w:val="right"/>
              <w:ind w:right="20"/>
              <w:spacing w:after="0" w:line="220" w:lineRule="exact"/>
              <w:rPr>
                <w:sz w:val="20"/>
                <w:szCs w:val="20"/>
                <w:color w:val="auto"/>
              </w:rPr>
            </w:pPr>
            <w:r>
              <w:rPr>
                <w:rFonts w:ascii="Arial" w:cs="Arial" w:eastAsia="Arial" w:hAnsi="Arial"/>
                <w:sz w:val="20"/>
                <w:szCs w:val="20"/>
                <w:color w:val="1E1E1E"/>
                <w:w w:val="71"/>
              </w:rPr>
              <w:t>$</w:t>
            </w:r>
          </w:p>
        </w:tc>
        <w:tc>
          <w:tcPr>
            <w:tcW w:w="122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55.9</w:t>
            </w:r>
          </w:p>
        </w:tc>
        <w:tc>
          <w:tcPr>
            <w:tcW w:w="420" w:type="dxa"/>
            <w:vAlign w:val="bottom"/>
            <w:tcBorders>
              <w:top w:val="single" w:sz="8" w:color="E4E4E4"/>
              <w:bottom w:val="single" w:sz="8" w:color="E4E4E4"/>
            </w:tcBorders>
            <w:shd w:val="clear" w:color="auto" w:fill="E4E4E4"/>
          </w:tcPr>
          <w:p>
            <w:pPr>
              <w:spacing w:after="0"/>
              <w:rPr>
                <w:sz w:val="19"/>
                <w:szCs w:val="19"/>
                <w:color w:val="auto"/>
              </w:rPr>
            </w:pPr>
          </w:p>
        </w:tc>
        <w:tc>
          <w:tcPr>
            <w:tcW w:w="20" w:type="dxa"/>
            <w:vAlign w:val="bottom"/>
            <w:tcBorders>
              <w:top w:val="single" w:sz="8" w:color="1E1E1E"/>
              <w:bottom w:val="single" w:sz="8" w:color="1E1E1E"/>
            </w:tcBorders>
            <w:shd w:val="clear" w:color="auto" w:fill="E4E4E4"/>
          </w:tcPr>
          <w:p>
            <w:pPr>
              <w:spacing w:after="0"/>
              <w:rPr>
                <w:sz w:val="19"/>
                <w:szCs w:val="19"/>
                <w:color w:val="auto"/>
              </w:rPr>
            </w:pPr>
          </w:p>
        </w:tc>
        <w:tc>
          <w:tcPr>
            <w:tcW w:w="240" w:type="dxa"/>
            <w:vAlign w:val="bottom"/>
            <w:tcBorders>
              <w:top w:val="single" w:sz="8" w:color="1E1E1E"/>
              <w:bottom w:val="single" w:sz="8" w:color="1E1E1E"/>
            </w:tcBorders>
            <w:shd w:val="clear" w:color="auto" w:fill="E4E4E4"/>
          </w:tcPr>
          <w:p>
            <w:pPr>
              <w:jc w:val="right"/>
              <w:ind w:right="83"/>
              <w:spacing w:after="0"/>
              <w:rPr>
                <w:sz w:val="20"/>
                <w:szCs w:val="20"/>
                <w:color w:val="auto"/>
              </w:rPr>
            </w:pPr>
            <w:r>
              <w:rPr>
                <w:rFonts w:ascii="Arial" w:cs="Arial" w:eastAsia="Arial" w:hAnsi="Arial"/>
                <w:sz w:val="15"/>
                <w:szCs w:val="15"/>
                <w:color w:val="1E1E1E"/>
                <w:w w:val="71"/>
              </w:rPr>
              <w:t>$</w:t>
            </w:r>
          </w:p>
        </w:tc>
        <w:tc>
          <w:tcPr>
            <w:tcW w:w="134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73.8</w:t>
            </w:r>
          </w:p>
        </w:tc>
        <w:tc>
          <w:tcPr>
            <w:tcW w:w="20" w:type="dxa"/>
            <w:vAlign w:val="bottom"/>
            <w:tcBorders>
              <w:top w:val="single" w:sz="8" w:color="1E1E1E"/>
              <w:bottom w:val="single" w:sz="8" w:color="1E1E1E"/>
            </w:tcBorders>
            <w:shd w:val="clear" w:color="auto" w:fill="E4E4E4"/>
          </w:tcPr>
          <w:p>
            <w:pPr>
              <w:spacing w:after="0"/>
              <w:rPr>
                <w:sz w:val="19"/>
                <w:szCs w:val="19"/>
                <w:color w:val="auto"/>
              </w:rPr>
            </w:pPr>
          </w:p>
        </w:tc>
        <w:tc>
          <w:tcPr>
            <w:tcW w:w="500" w:type="dxa"/>
            <w:vAlign w:val="bottom"/>
            <w:tcBorders>
              <w:top w:val="single" w:sz="8" w:color="E4E4E4"/>
              <w:bottom w:val="single" w:sz="8" w:color="E4E4E4"/>
            </w:tcBorders>
            <w:shd w:val="clear" w:color="auto" w:fill="E4E4E4"/>
          </w:tcPr>
          <w:p>
            <w:pPr>
              <w:spacing w:after="0"/>
              <w:rPr>
                <w:sz w:val="19"/>
                <w:szCs w:val="19"/>
                <w:color w:val="auto"/>
              </w:rPr>
            </w:pPr>
          </w:p>
        </w:tc>
      </w:tr>
      <w:tr>
        <w:trPr>
          <w:trHeight w:val="221"/>
        </w:trPr>
        <w:tc>
          <w:tcPr>
            <w:tcW w:w="25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0"/>
        </w:trPr>
        <w:tc>
          <w:tcPr>
            <w:tcW w:w="6800" w:type="dxa"/>
            <w:vAlign w:val="bottom"/>
            <w:gridSpan w:val="2"/>
            <w:shd w:val="clear" w:color="auto" w:fill="E4E4E4"/>
          </w:tcPr>
          <w:p>
            <w:pPr>
              <w:spacing w:after="0"/>
              <w:rPr>
                <w:sz w:val="20"/>
                <w:szCs w:val="20"/>
                <w:color w:val="auto"/>
              </w:rPr>
            </w:pPr>
            <w:r>
              <w:rPr>
                <w:rFonts w:ascii="Arial" w:cs="Arial" w:eastAsia="Arial" w:hAnsi="Arial"/>
                <w:sz w:val="20"/>
                <w:szCs w:val="20"/>
                <w:color w:val="1E1E1E"/>
              </w:rPr>
              <w:t>Sales</w:t>
            </w:r>
          </w:p>
        </w:tc>
        <w:tc>
          <w:tcPr>
            <w:tcW w:w="20" w:type="dxa"/>
            <w:vAlign w:val="bottom"/>
            <w:shd w:val="clear" w:color="auto" w:fill="E4E4E4"/>
          </w:tcPr>
          <w:p>
            <w:pPr>
              <w:spacing w:after="0"/>
              <w:rPr>
                <w:sz w:val="20"/>
                <w:szCs w:val="20"/>
                <w:color w:val="auto"/>
              </w:rPr>
            </w:pPr>
          </w:p>
        </w:tc>
        <w:tc>
          <w:tcPr>
            <w:tcW w:w="220" w:type="dxa"/>
            <w:vAlign w:val="bottom"/>
            <w:shd w:val="clear" w:color="auto" w:fill="E4E4E4"/>
          </w:tcPr>
          <w:p>
            <w:pPr>
              <w:jc w:val="right"/>
              <w:ind w:right="20"/>
              <w:spacing w:after="0"/>
              <w:rPr>
                <w:sz w:val="20"/>
                <w:szCs w:val="20"/>
                <w:color w:val="auto"/>
              </w:rPr>
            </w:pPr>
            <w:r>
              <w:rPr>
                <w:rFonts w:ascii="Arial" w:cs="Arial" w:eastAsia="Arial" w:hAnsi="Arial"/>
                <w:sz w:val="20"/>
                <w:szCs w:val="20"/>
                <w:color w:val="1E1E1E"/>
                <w:w w:val="71"/>
              </w:rPr>
              <w:t>$</w:t>
            </w:r>
          </w:p>
        </w:tc>
        <w:tc>
          <w:tcPr>
            <w:tcW w:w="1640" w:type="dxa"/>
            <w:vAlign w:val="bottom"/>
            <w:gridSpan w:val="2"/>
            <w:shd w:val="clear" w:color="auto" w:fill="E4E4E4"/>
          </w:tcPr>
          <w:p>
            <w:pPr>
              <w:jc w:val="right"/>
              <w:ind w:right="420"/>
              <w:spacing w:after="0"/>
              <w:rPr>
                <w:sz w:val="20"/>
                <w:szCs w:val="20"/>
                <w:color w:val="auto"/>
              </w:rPr>
            </w:pPr>
            <w:r>
              <w:rPr>
                <w:rFonts w:ascii="Arial" w:cs="Arial" w:eastAsia="Arial" w:hAnsi="Arial"/>
                <w:sz w:val="20"/>
                <w:szCs w:val="20"/>
                <w:color w:val="1E1E1E"/>
              </w:rPr>
              <w:t>521.8</w:t>
            </w:r>
          </w:p>
        </w:tc>
        <w:tc>
          <w:tcPr>
            <w:tcW w:w="20" w:type="dxa"/>
            <w:vAlign w:val="bottom"/>
            <w:shd w:val="clear" w:color="auto" w:fill="E4E4E4"/>
          </w:tcPr>
          <w:p>
            <w:pPr>
              <w:spacing w:after="0"/>
              <w:rPr>
                <w:sz w:val="20"/>
                <w:szCs w:val="20"/>
                <w:color w:val="auto"/>
              </w:rPr>
            </w:pPr>
          </w:p>
        </w:tc>
        <w:tc>
          <w:tcPr>
            <w:tcW w:w="240" w:type="dxa"/>
            <w:vAlign w:val="bottom"/>
            <w:shd w:val="clear" w:color="auto" w:fill="E4E4E4"/>
          </w:tcPr>
          <w:p>
            <w:pPr>
              <w:jc w:val="right"/>
              <w:ind w:right="83"/>
              <w:spacing w:after="0"/>
              <w:rPr>
                <w:sz w:val="20"/>
                <w:szCs w:val="20"/>
                <w:color w:val="auto"/>
              </w:rPr>
            </w:pPr>
            <w:r>
              <w:rPr>
                <w:rFonts w:ascii="Arial" w:cs="Arial" w:eastAsia="Arial" w:hAnsi="Arial"/>
                <w:sz w:val="15"/>
                <w:szCs w:val="15"/>
                <w:color w:val="1E1E1E"/>
                <w:w w:val="71"/>
              </w:rPr>
              <w:t>$</w:t>
            </w:r>
          </w:p>
        </w:tc>
        <w:tc>
          <w:tcPr>
            <w:tcW w:w="1360" w:type="dxa"/>
            <w:vAlign w:val="bottom"/>
            <w:gridSpan w:val="2"/>
            <w:shd w:val="clear" w:color="auto" w:fill="E4E4E4"/>
          </w:tcPr>
          <w:p>
            <w:pPr>
              <w:jc w:val="right"/>
              <w:ind w:right="20"/>
              <w:spacing w:after="0"/>
              <w:rPr>
                <w:sz w:val="20"/>
                <w:szCs w:val="20"/>
                <w:color w:val="auto"/>
              </w:rPr>
            </w:pPr>
            <w:r>
              <w:rPr>
                <w:rFonts w:ascii="Arial" w:cs="Arial" w:eastAsia="Arial" w:hAnsi="Arial"/>
                <w:sz w:val="20"/>
                <w:szCs w:val="20"/>
                <w:color w:val="1E1E1E"/>
              </w:rPr>
              <w:t>545.8</w:t>
            </w:r>
          </w:p>
        </w:tc>
        <w:tc>
          <w:tcPr>
            <w:tcW w:w="500" w:type="dxa"/>
            <w:vAlign w:val="bottom"/>
            <w:shd w:val="clear" w:color="auto" w:fill="E4E4E4"/>
          </w:tcPr>
          <w:p>
            <w:pPr>
              <w:spacing w:after="0"/>
              <w:rPr>
                <w:sz w:val="20"/>
                <w:szCs w:val="20"/>
                <w:color w:val="auto"/>
              </w:rPr>
            </w:pPr>
          </w:p>
        </w:tc>
      </w:tr>
      <w:tr>
        <w:trPr>
          <w:trHeight w:val="230"/>
        </w:trPr>
        <w:tc>
          <w:tcPr>
            <w:tcW w:w="6800" w:type="dxa"/>
            <w:vAlign w:val="bottom"/>
            <w:gridSpan w:val="2"/>
          </w:tcPr>
          <w:p>
            <w:pPr>
              <w:spacing w:after="0"/>
              <w:rPr>
                <w:sz w:val="20"/>
                <w:szCs w:val="20"/>
                <w:color w:val="auto"/>
              </w:rPr>
            </w:pPr>
            <w:r>
              <w:rPr>
                <w:rFonts w:ascii="Arial" w:cs="Arial" w:eastAsia="Arial" w:hAnsi="Arial"/>
                <w:sz w:val="20"/>
                <w:szCs w:val="20"/>
                <w:color w:val="1E1E1E"/>
              </w:rPr>
              <w:t>Adjusted EBITDA margin, on a non-GAAP basis: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20"/>
                <w:szCs w:val="20"/>
                <w:color w:val="1E1E1E"/>
              </w:rPr>
              <w:t>10.7%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3"/>
          </w:tcPr>
          <w:p>
            <w:pPr>
              <w:jc w:val="right"/>
              <w:ind w:right="360"/>
              <w:spacing w:after="0"/>
              <w:rPr>
                <w:sz w:val="20"/>
                <w:szCs w:val="20"/>
                <w:color w:val="auto"/>
              </w:rPr>
            </w:pPr>
            <w:r>
              <w:rPr>
                <w:rFonts w:ascii="Arial" w:cs="Arial" w:eastAsia="Arial" w:hAnsi="Arial"/>
                <w:sz w:val="20"/>
                <w:szCs w:val="20"/>
                <w:color w:val="1E1E1E"/>
              </w:rPr>
              <w:t>13.5%</w:t>
            </w:r>
          </w:p>
        </w:tc>
      </w:tr>
    </w:tbl>
    <w:p>
      <w:pPr>
        <w:spacing w:after="0" w:line="372"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CRITICAL ACCOUNTING POLICIES; USE OF ESTIMATES</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1E1E1E"/>
        </w:rPr>
        <w:t>Our financial statements are based on the application of significant accounting policies, many of which require our management to make significant estimates and assumptions (see Note A to the Consolidated Financial Statements). We believe that the following items involve some of the more critical judgments in the application of accounting policies that currently affect our financial condition and results of operations.</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Long-Term Incentive Plans</w:t>
      </w:r>
    </w:p>
    <w:p>
      <w:pPr>
        <w:spacing w:after="0" w:line="117"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color w:val="1E1E1E"/>
        </w:rPr>
        <w:t>Stock awards are primarily granted pursuant to our Long- Term Incentive Plans (“LTIPs”). During fiscal 2023, we had three active LTIPs: the 2021-2023 LTIP, the 2022-2024 LTIP and the 2023-2025 LTIP. See Note H to the Consolidated Financial Statements for additional discussion of our LTIPs. Awards under each LTIP consist of 50% time-based awards and 50% performance-based awards. All time-based awards are amortized over each LTIP’s respective vesting periods.</w:t>
      </w:r>
    </w:p>
    <w:p>
      <w:pPr>
        <w:spacing w:after="0" w:line="189" w:lineRule="exact"/>
        <w:rPr>
          <w:sz w:val="20"/>
          <w:szCs w:val="20"/>
          <w:color w:val="auto"/>
        </w:rPr>
      </w:pPr>
    </w:p>
    <w:p>
      <w:pPr>
        <w:ind w:right="120"/>
        <w:spacing w:after="0" w:line="336" w:lineRule="auto"/>
        <w:rPr>
          <w:sz w:val="20"/>
          <w:szCs w:val="20"/>
          <w:color w:val="auto"/>
        </w:rPr>
      </w:pPr>
      <w:r>
        <w:rPr>
          <w:rFonts w:ascii="Arial" w:cs="Arial" w:eastAsia="Arial" w:hAnsi="Arial"/>
          <w:sz w:val="18"/>
          <w:szCs w:val="18"/>
          <w:color w:val="1E1E1E"/>
        </w:rPr>
        <w:t>The performance-based component of each LTIP is a dollar-denominated award, settled in a variable number of equity awards and/or cash awards. Any award will only be granted if such performance targets are achieved. Accordingly, each quarter the Company</w:t>
      </w:r>
    </w:p>
    <w:p>
      <w:pPr>
        <w:sectPr>
          <w:pgSz w:w="11880" w:h="15480" w:orient="portrait"/>
          <w:cols w:equalWidth="0" w:num="1">
            <w:col w:w="10800"/>
          </w:cols>
          <w:pgMar w:left="540" w:top="656" w:right="540" w:bottom="31" w:gutter="0" w:footer="0" w:header="0"/>
        </w:sect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32</w:t>
      </w:r>
    </w:p>
    <w:p>
      <w:pPr>
        <w:sectPr>
          <w:pgSz w:w="11880" w:h="15480" w:orient="portrait"/>
          <w:cols w:equalWidth="0" w:num="1">
            <w:col w:w="10800"/>
          </w:cols>
          <w:pgMar w:left="540" w:top="656" w:right="540" w:bottom="31" w:gutter="0" w:footer="0" w:header="0"/>
          <w:type w:val="continuous"/>
        </w:sectPr>
      </w:pPr>
    </w:p>
    <w:bookmarkStart w:id="34" w:name="page35"/>
    <w:bookmarkEnd w:id="34"/>
    <w:p>
      <w:pPr>
        <w:spacing w:after="0" w:line="250" w:lineRule="auto"/>
        <w:rPr>
          <w:sz w:val="20"/>
          <w:szCs w:val="20"/>
          <w:color w:val="auto"/>
        </w:rPr>
      </w:pPr>
      <w:r>
        <w:rPr>
          <w:rFonts w:ascii="Arial" w:cs="Arial" w:eastAsia="Arial" w:hAnsi="Arial"/>
          <w:sz w:val="20"/>
          <w:szCs w:val="20"/>
          <w:color w:val="1E1E1E"/>
        </w:rPr>
        <w:t>reviews its expected achievement against such performance targets to assess whether an accrual is necessary. The performance metric for each of these LTIPs is a three-year total shareholder return against peers. As such, the accruals are based on projections that extend beyond a year and are subject to change quarter to quarter based on actual performance. All accruals are recorded as a liability. If performance targets are achieved and equity awards are granted, the related cost of those awards will be reclassified from the accrual to stock-based compensation on grant date.</w:t>
      </w:r>
    </w:p>
    <w:p>
      <w:pPr>
        <w:spacing w:after="0" w:line="192" w:lineRule="exact"/>
        <w:rPr>
          <w:sz w:val="20"/>
          <w:szCs w:val="20"/>
          <w:color w:val="auto"/>
        </w:rPr>
      </w:pPr>
    </w:p>
    <w:p>
      <w:pPr>
        <w:spacing w:after="0" w:line="281" w:lineRule="auto"/>
        <w:rPr>
          <w:sz w:val="20"/>
          <w:szCs w:val="20"/>
          <w:color w:val="auto"/>
        </w:rPr>
      </w:pPr>
      <w:r>
        <w:rPr>
          <w:rFonts w:ascii="Arial" w:cs="Arial" w:eastAsia="Arial" w:hAnsi="Arial"/>
          <w:sz w:val="18"/>
          <w:szCs w:val="18"/>
          <w:color w:val="1E1E1E"/>
        </w:rPr>
        <w:t>The performance targets under the 2021-2023 LTIP were achieved at the end of fiscal 2023. Awards granted pursuant to this achievement will be subject to further vesting through August 31, 2024. Accordingly, at February 3, 2024, $2.5 million of the expected $3.0 million award was accrued. With respect to the performance-based component of the 2022-2024 LTIP and the 2023-2025 LTIP, which approximate $2.4 million and $2.5 million, respectively, at target, awards will be granted at the end of the respective performance period if the performance targets are achieved. Through the end of fiscal 2023, we accrued approximately $1.6 million for performance under the 2022-2024 LTIP, and there was no accrual for performance under the 2023-2025 LTIP.</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Impairment of Long-Lived Assets</w:t>
      </w:r>
    </w:p>
    <w:p>
      <w:pPr>
        <w:spacing w:after="0" w:line="107" w:lineRule="exact"/>
        <w:rPr>
          <w:sz w:val="20"/>
          <w:szCs w:val="20"/>
          <w:color w:val="auto"/>
        </w:rPr>
      </w:pPr>
    </w:p>
    <w:p>
      <w:pPr>
        <w:spacing w:after="0" w:line="262" w:lineRule="auto"/>
        <w:rPr>
          <w:sz w:val="20"/>
          <w:szCs w:val="20"/>
          <w:color w:val="auto"/>
        </w:rPr>
      </w:pPr>
      <w:r>
        <w:rPr>
          <w:rFonts w:ascii="Arial" w:cs="Arial" w:eastAsia="Arial" w:hAnsi="Arial"/>
          <w:sz w:val="18"/>
          <w:szCs w:val="18"/>
          <w:color w:val="1E1E1E"/>
        </w:rPr>
        <w:t>We evaluate property and equipment and operating lease right-of-use assets for impairment when facts and circumstances indicate that the carrying values of such assets may not be recoverable. Our judgment regarding the identification of impairment indicators is based on operational performance at the store level. Factors considered by us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We will recognize an impairment when the undiscounted cash flow estimated to be generated by those assets is less than the assets’ carrying amount. If actual market conditions are less favorable than management’s projections, future write-offs may be necessary.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asset. The amount of impairment, if any, is measured based on projected discounted future cash flows using a discount rate reflecting the Company’s average cost of funds.</w:t>
      </w:r>
    </w:p>
    <w:p>
      <w:pPr>
        <w:spacing w:after="0" w:line="58" w:lineRule="exact"/>
        <w:rPr>
          <w:sz w:val="20"/>
          <w:szCs w:val="20"/>
          <w:color w:val="auto"/>
        </w:rPr>
      </w:pPr>
    </w:p>
    <w:p>
      <w:pPr>
        <w:jc w:val="both"/>
        <w:ind w:right="100"/>
        <w:spacing w:after="0" w:line="249" w:lineRule="auto"/>
        <w:rPr>
          <w:sz w:val="20"/>
          <w:szCs w:val="20"/>
          <w:color w:val="auto"/>
        </w:rPr>
      </w:pPr>
      <w:r>
        <w:rPr>
          <w:rFonts w:ascii="Arial" w:cs="Arial" w:eastAsia="Arial" w:hAnsi="Arial"/>
          <w:sz w:val="20"/>
          <w:szCs w:val="20"/>
          <w:color w:val="1E1E1E"/>
        </w:rPr>
        <w:t>In addition, any subsequent gains recognized in connection with a store closure related to a previously recorded operating lease right-of-use asset impairment will be included as an offset to impairment charges, with the remainder of the gain included as a reduction in store occupancy costs. See Note A to the Consolidated Financial Statements.</w:t>
      </w:r>
    </w:p>
    <w:p>
      <w:pPr>
        <w:spacing w:after="0" w:line="67" w:lineRule="exact"/>
        <w:rPr>
          <w:sz w:val="20"/>
          <w:szCs w:val="20"/>
          <w:color w:val="auto"/>
        </w:rPr>
      </w:pPr>
    </w:p>
    <w:p>
      <w:pPr>
        <w:ind w:right="480"/>
        <w:spacing w:after="0" w:line="266" w:lineRule="auto"/>
        <w:rPr>
          <w:sz w:val="20"/>
          <w:szCs w:val="20"/>
          <w:color w:val="auto"/>
        </w:rPr>
      </w:pPr>
      <w:r>
        <w:rPr>
          <w:rFonts w:ascii="Arial" w:cs="Arial" w:eastAsia="Arial" w:hAnsi="Arial"/>
          <w:sz w:val="20"/>
          <w:szCs w:val="20"/>
          <w:color w:val="1E1E1E"/>
        </w:rPr>
        <w:t>For fiscal 2023 and fiscal 2022, we recorded an impairment charge (gain) of $0.1 million and $(0.2) million, respectively, within Impairment (Gain) of Assets on the Consolidated Statements of Operations.</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1E1E1E"/>
        </w:rPr>
        <w:t>RECENT ACCOUNTING PRONOUNCEMENTS</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color w:val="1E1E1E"/>
        </w:rPr>
        <w:t>We have reviewed accounting pronouncements and interpretations thereof that have effective dates during the periods reported and in future periods. See Note A to the Consolidated Financial Statements included in this report for information on recent accounting pronouncements and the impact of impending standards on our future filings.</w:t>
      </w:r>
    </w:p>
    <w:p>
      <w:pPr>
        <w:sectPr>
          <w:pgSz w:w="11880" w:h="15480" w:orient="portrait"/>
          <w:cols w:equalWidth="0" w:num="1">
            <w:col w:w="10780"/>
          </w:cols>
          <w:pgMar w:left="540" w:top="656" w:right="56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33</w:t>
      </w:r>
    </w:p>
    <w:p>
      <w:pPr>
        <w:sectPr>
          <w:pgSz w:w="11880" w:h="15480" w:orient="portrait"/>
          <w:cols w:equalWidth="0" w:num="1">
            <w:col w:w="10780"/>
          </w:cols>
          <w:pgMar w:left="540" w:top="656" w:right="560" w:bottom="31" w:gutter="0" w:footer="0" w:header="0"/>
          <w:type w:val="continuous"/>
        </w:sectPr>
      </w:pPr>
    </w:p>
    <w:bookmarkStart w:id="35" w:name="page36"/>
    <w:bookmarkEnd w:id="35"/>
    <w:p>
      <w:pPr>
        <w:spacing w:after="0"/>
        <w:rPr>
          <w:sz w:val="20"/>
          <w:szCs w:val="20"/>
          <w:color w:val="auto"/>
        </w:rPr>
      </w:pPr>
      <w:r>
        <w:rPr>
          <w:rFonts w:ascii="Arial" w:cs="Arial" w:eastAsia="Arial" w:hAnsi="Arial"/>
          <w:sz w:val="20"/>
          <w:szCs w:val="20"/>
          <w:color w:val="1E1E1E"/>
        </w:rPr>
        <w:t>Item 7A. Quantitative and Qualitative Disclosures About Market Risk</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1E1E1E"/>
        </w:rPr>
        <w:t>In the normal course of business, our financial position and results of operations are routinely subject to a variety of risks, including market risk associated with interest rate movements on borrowings. We regularly assess these risks and have established policies and business practices to protect against the adverse effects of these and other potential exposures.</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Interest Rates</w:t>
      </w:r>
    </w:p>
    <w:p>
      <w:pPr>
        <w:spacing w:after="0" w:line="118"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161616"/>
        </w:rPr>
        <w:t>Our exposure to market risk for changes in interest rates relates primarily to our investments, which consists of cash equivalents and short-term investments at February 3, 2024. The primary objective of our investment activities is to preserve principal. This is accomplished by investing in money market accounts and U.S. treasury bills. We do not use derivative financial instruments. Due to the nature of our investments, we do not expect our operating results or cash flows to be affected to any significant degree by any change in market interest rates.</w:t>
      </w:r>
    </w:p>
    <w:p>
      <w:pPr>
        <w:spacing w:after="0" w:line="74" w:lineRule="exact"/>
        <w:rPr>
          <w:sz w:val="20"/>
          <w:szCs w:val="20"/>
          <w:color w:val="auto"/>
        </w:rPr>
      </w:pPr>
    </w:p>
    <w:p>
      <w:pPr>
        <w:ind w:right="180"/>
        <w:spacing w:after="0" w:line="334" w:lineRule="auto"/>
        <w:rPr>
          <w:sz w:val="20"/>
          <w:szCs w:val="20"/>
          <w:color w:val="auto"/>
        </w:rPr>
      </w:pPr>
      <w:r>
        <w:rPr>
          <w:rFonts w:ascii="Arial" w:cs="Arial" w:eastAsia="Arial" w:hAnsi="Arial"/>
          <w:sz w:val="18"/>
          <w:szCs w:val="18"/>
          <w:color w:val="1E1E1E"/>
        </w:rPr>
        <w:t>At February 3, 2024, approximately $6.0 million of our cash equivalents were invested in U.S. treasury bills and $17.2 million in money market accounts. At February 3, 2024, we also had $32.5 million in short-term investments, invested in U.S. treasury bills.</w:t>
      </w:r>
    </w:p>
    <w:p>
      <w:pPr>
        <w:spacing w:after="0" w:line="2" w:lineRule="exact"/>
        <w:rPr>
          <w:sz w:val="20"/>
          <w:szCs w:val="20"/>
          <w:color w:val="auto"/>
        </w:rPr>
      </w:pPr>
    </w:p>
    <w:p>
      <w:pPr>
        <w:jc w:val="both"/>
        <w:ind w:right="120"/>
        <w:spacing w:after="0" w:line="265" w:lineRule="auto"/>
        <w:rPr>
          <w:sz w:val="20"/>
          <w:szCs w:val="20"/>
          <w:color w:val="auto"/>
        </w:rPr>
      </w:pPr>
      <w:r>
        <w:rPr>
          <w:rFonts w:ascii="Arial" w:cs="Arial" w:eastAsia="Arial" w:hAnsi="Arial"/>
          <w:sz w:val="19"/>
          <w:szCs w:val="19"/>
          <w:color w:val="1E1E1E"/>
        </w:rPr>
        <w:t>During fiscal 2023, we utilized cash from operations to fund our working capital needs. We have a Credit Facility that can also be used, if needed. The Credit Facility is not used for trading or speculative purposes. In addition, under our Credit Facility we have available letters of credit as sources of financing for our working capital requirements. Borrowings under the Credit Facility, which expires October 28, 2026, bear interest at variable rates based on the prime rate or Daily Simple SOFR rate, as defined in the Credit Agreement. At February 3, 2024, we had no outstanding borrowings under the Credit Facility.</w:t>
      </w:r>
    </w:p>
    <w:p>
      <w:pPr>
        <w:sectPr>
          <w:pgSz w:w="11880" w:h="15480" w:orient="portrait"/>
          <w:cols w:equalWidth="0" w:num="1">
            <w:col w:w="10640"/>
          </w:cols>
          <w:pgMar w:left="540" w:top="653" w:right="70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1E1E1E"/>
        </w:rPr>
        <w:t>34</w:t>
      </w:r>
    </w:p>
    <w:p>
      <w:pPr>
        <w:sectPr>
          <w:pgSz w:w="11880" w:h="15480" w:orient="portrait"/>
          <w:cols w:equalWidth="0" w:num="1">
            <w:col w:w="10640"/>
          </w:cols>
          <w:pgMar w:left="540" w:top="653" w:right="700" w:bottom="31" w:gutter="0" w:footer="0" w:header="0"/>
          <w:type w:val="continuous"/>
        </w:sectPr>
      </w:pPr>
    </w:p>
    <w:bookmarkStart w:id="36" w:name="page37"/>
    <w:bookmarkEnd w:id="36"/>
    <w:p>
      <w:pPr>
        <w:spacing w:after="0"/>
        <w:rPr>
          <w:sz w:val="20"/>
          <w:szCs w:val="20"/>
          <w:color w:val="auto"/>
        </w:rPr>
      </w:pPr>
      <w:r>
        <w:rPr>
          <w:rFonts w:ascii="Arial" w:cs="Arial" w:eastAsia="Arial" w:hAnsi="Arial"/>
          <w:sz w:val="20"/>
          <w:szCs w:val="20"/>
          <w:color w:val="1E1E1E"/>
        </w:rPr>
        <w:t>Item 8. Financial Statements and Supplementary Data</w:t>
      </w:r>
    </w:p>
    <w:p>
      <w:pPr>
        <w:spacing w:after="0" w:line="360" w:lineRule="exact"/>
        <w:rPr>
          <w:sz w:val="20"/>
          <w:szCs w:val="20"/>
          <w:color w:val="auto"/>
        </w:rPr>
      </w:pPr>
    </w:p>
    <w:p>
      <w:pPr>
        <w:ind w:left="3900"/>
        <w:spacing w:after="0"/>
        <w:rPr>
          <w:sz w:val="20"/>
          <w:szCs w:val="20"/>
          <w:color w:val="auto"/>
        </w:rPr>
      </w:pPr>
      <w:r>
        <w:rPr>
          <w:rFonts w:ascii="Arial" w:cs="Arial" w:eastAsia="Arial" w:hAnsi="Arial"/>
          <w:sz w:val="20"/>
          <w:szCs w:val="20"/>
          <w:color w:val="1E1E1E"/>
        </w:rPr>
        <w:t>DESTINATION XL GROUP, INC.</w:t>
      </w:r>
    </w:p>
    <w:p>
      <w:pPr>
        <w:spacing w:after="0" w:line="240" w:lineRule="exact"/>
        <w:rPr>
          <w:sz w:val="20"/>
          <w:szCs w:val="20"/>
          <w:color w:val="auto"/>
        </w:rPr>
      </w:pPr>
    </w:p>
    <w:p>
      <w:pPr>
        <w:ind w:left="2780"/>
        <w:spacing w:after="0"/>
        <w:rPr>
          <w:sz w:val="20"/>
          <w:szCs w:val="20"/>
          <w:color w:val="auto"/>
        </w:rPr>
      </w:pPr>
      <w:r>
        <w:rPr>
          <w:rFonts w:ascii="Arial" w:cs="Arial" w:eastAsia="Arial" w:hAnsi="Arial"/>
          <w:sz w:val="20"/>
          <w:szCs w:val="20"/>
          <w:color w:val="1E1E1E"/>
        </w:rPr>
        <w:t>INDEX TO CONSOLIDATED FINANCIAL STATEMENTS</w:t>
      </w:r>
    </w:p>
    <w:p>
      <w:pPr>
        <w:spacing w:after="0" w:line="200" w:lineRule="exact"/>
        <w:rPr>
          <w:sz w:val="20"/>
          <w:szCs w:val="20"/>
          <w:color w:val="auto"/>
        </w:rPr>
      </w:pPr>
    </w:p>
    <w:p>
      <w:pPr>
        <w:spacing w:after="0" w:line="273" w:lineRule="exact"/>
        <w:rPr>
          <w:sz w:val="20"/>
          <w:szCs w:val="20"/>
          <w:color w:val="auto"/>
        </w:rPr>
      </w:pPr>
    </w:p>
    <w:p>
      <w:pPr>
        <w:ind w:left="10360"/>
        <w:spacing w:after="0"/>
        <w:rPr>
          <w:sz w:val="20"/>
          <w:szCs w:val="20"/>
          <w:color w:val="auto"/>
        </w:rPr>
      </w:pPr>
      <w:r>
        <w:rPr>
          <w:rFonts w:ascii="Arial" w:cs="Arial" w:eastAsia="Arial" w:hAnsi="Arial"/>
          <w:sz w:val="16"/>
          <w:szCs w:val="16"/>
          <w:color w:val="1E1E1E"/>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6504305</wp:posOffset>
            </wp:positionH>
            <wp:positionV relativeFrom="paragraph">
              <wp:posOffset>13335</wp:posOffset>
            </wp:positionV>
            <wp:extent cx="34734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7345" cy="7620"/>
                    </a:xfrm>
                    <a:prstGeom prst="rect">
                      <a:avLst/>
                    </a:prstGeom>
                    <a:noFill/>
                  </pic:spPr>
                </pic:pic>
              </a:graphicData>
            </a:graphic>
          </wp:anchor>
        </w:drawing>
      </w:r>
    </w:p>
    <w:p>
      <w:pPr>
        <w:spacing w:after="0" w:line="219" w:lineRule="exact"/>
        <w:rPr>
          <w:sz w:val="20"/>
          <w:szCs w:val="20"/>
          <w:color w:val="auto"/>
        </w:rPr>
      </w:pPr>
    </w:p>
    <w:p>
      <w:pPr>
        <w:spacing w:after="0"/>
        <w:tabs>
          <w:tab w:leader="dot" w:pos="10580" w:val="left"/>
        </w:tabs>
        <w:rPr>
          <w:sz w:val="20"/>
          <w:szCs w:val="20"/>
          <w:color w:val="auto"/>
        </w:rPr>
      </w:pPr>
      <w:r>
        <w:rPr>
          <w:rFonts w:ascii="Arial" w:cs="Arial" w:eastAsia="Arial" w:hAnsi="Arial"/>
          <w:sz w:val="20"/>
          <w:szCs w:val="20"/>
          <w:color w:val="1E1E1E"/>
        </w:rPr>
        <w:t>Report of Independent Registered Public Accounting Firm (KPMG LLP, Boston, MA, Auditor Firm ID: 185)</w:t>
      </w:r>
      <w:r>
        <w:rPr>
          <w:sz w:val="20"/>
          <w:szCs w:val="20"/>
          <w:color w:val="auto"/>
        </w:rPr>
        <w:tab/>
      </w:r>
      <w:r>
        <w:rPr>
          <w:rFonts w:ascii="Arial" w:cs="Arial" w:eastAsia="Arial" w:hAnsi="Arial"/>
          <w:sz w:val="17"/>
          <w:szCs w:val="17"/>
          <w:color w:val="1E1E1E"/>
        </w:rPr>
        <w:t>36</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1E1E1E"/>
        </w:rPr>
        <w:t>Consolidated Financial Statements:</w:t>
      </w:r>
    </w:p>
    <w:p>
      <w:pPr>
        <w:spacing w:after="0" w:line="137" w:lineRule="exact"/>
        <w:rPr>
          <w:sz w:val="20"/>
          <w:szCs w:val="20"/>
          <w:color w:val="auto"/>
        </w:rPr>
      </w:pPr>
    </w:p>
    <w:p>
      <w:pPr>
        <w:ind w:left="480"/>
        <w:spacing w:after="0"/>
        <w:tabs>
          <w:tab w:leader="dot" w:pos="10580" w:val="left"/>
        </w:tabs>
        <w:rPr>
          <w:sz w:val="20"/>
          <w:szCs w:val="20"/>
          <w:color w:val="auto"/>
        </w:rPr>
      </w:pPr>
      <w:r>
        <w:rPr>
          <w:rFonts w:ascii="Arial" w:cs="Arial" w:eastAsia="Arial" w:hAnsi="Arial"/>
          <w:sz w:val="20"/>
          <w:szCs w:val="20"/>
          <w:color w:val="1E1E1E"/>
        </w:rPr>
        <w:t>Consolidated Balance Sheets at February 3, 2024 and January 28, 2023</w:t>
      </w:r>
      <w:r>
        <w:rPr>
          <w:sz w:val="20"/>
          <w:szCs w:val="20"/>
          <w:color w:val="auto"/>
        </w:rPr>
        <w:tab/>
      </w:r>
      <w:r>
        <w:rPr>
          <w:rFonts w:ascii="Arial" w:cs="Arial" w:eastAsia="Arial" w:hAnsi="Arial"/>
          <w:sz w:val="17"/>
          <w:szCs w:val="17"/>
          <w:color w:val="1E1E1E"/>
        </w:rPr>
        <w:t>38</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20"/>
          <w:szCs w:val="20"/>
          <w:color w:val="1E1E1E"/>
        </w:rPr>
        <w:t>Consolidated Statements of Operations for the Fiscal Years Ended February 3, 2024, January 28, 2023 and</w:t>
      </w:r>
    </w:p>
    <w:p>
      <w:pPr>
        <w:jc w:val="right"/>
        <w:spacing w:after="0"/>
        <w:tabs>
          <w:tab w:leader="dot" w:pos="180" w:val="left"/>
        </w:tabs>
        <w:rPr>
          <w:sz w:val="20"/>
          <w:szCs w:val="20"/>
          <w:color w:val="auto"/>
        </w:rPr>
      </w:pPr>
      <w:r>
        <w:rPr>
          <w:rFonts w:ascii="Arial" w:cs="Arial" w:eastAsia="Arial" w:hAnsi="Arial"/>
          <w:sz w:val="20"/>
          <w:szCs w:val="20"/>
          <w:color w:val="1E1E1E"/>
        </w:rPr>
        <w:t>January 29, 2022</w:t>
      </w:r>
      <w:r>
        <w:rPr>
          <w:sz w:val="20"/>
          <w:szCs w:val="20"/>
          <w:color w:val="auto"/>
        </w:rPr>
        <w:tab/>
      </w:r>
      <w:r>
        <w:rPr>
          <w:rFonts w:ascii="Arial" w:cs="Arial" w:eastAsia="Arial" w:hAnsi="Arial"/>
          <w:sz w:val="17"/>
          <w:szCs w:val="17"/>
          <w:color w:val="1E1E1E"/>
        </w:rPr>
        <w:t>39</w:t>
      </w:r>
    </w:p>
    <w:p>
      <w:pPr>
        <w:spacing w:after="0" w:line="137" w:lineRule="exact"/>
        <w:rPr>
          <w:sz w:val="20"/>
          <w:szCs w:val="20"/>
          <w:color w:val="auto"/>
        </w:rPr>
      </w:pPr>
    </w:p>
    <w:p>
      <w:pPr>
        <w:ind w:left="480"/>
        <w:spacing w:after="0"/>
        <w:rPr>
          <w:sz w:val="20"/>
          <w:szCs w:val="20"/>
          <w:color w:val="auto"/>
        </w:rPr>
      </w:pPr>
      <w:r>
        <w:rPr>
          <w:rFonts w:ascii="Arial" w:cs="Arial" w:eastAsia="Arial" w:hAnsi="Arial"/>
          <w:sz w:val="20"/>
          <w:szCs w:val="20"/>
          <w:color w:val="1E1E1E"/>
        </w:rPr>
        <w:t>Consolidated Statements of Comprehensive Income for the Fiscal Years Ended February 3, 2024,</w:t>
      </w:r>
    </w:p>
    <w:p>
      <w:pPr>
        <w:ind w:left="1020"/>
        <w:spacing w:after="0"/>
        <w:tabs>
          <w:tab w:leader="dot" w:pos="10580" w:val="left"/>
        </w:tabs>
        <w:rPr>
          <w:sz w:val="20"/>
          <w:szCs w:val="20"/>
          <w:color w:val="auto"/>
        </w:rPr>
      </w:pPr>
      <w:r>
        <w:rPr>
          <w:rFonts w:ascii="Arial" w:cs="Arial" w:eastAsia="Arial" w:hAnsi="Arial"/>
          <w:sz w:val="20"/>
          <w:szCs w:val="20"/>
          <w:color w:val="1E1E1E"/>
        </w:rPr>
        <w:t>January 28, 2023 and January 29, 2022</w:t>
      </w:r>
      <w:r>
        <w:rPr>
          <w:sz w:val="20"/>
          <w:szCs w:val="20"/>
          <w:color w:val="auto"/>
        </w:rPr>
        <w:tab/>
      </w:r>
      <w:r>
        <w:rPr>
          <w:rFonts w:ascii="Arial" w:cs="Arial" w:eastAsia="Arial" w:hAnsi="Arial"/>
          <w:sz w:val="17"/>
          <w:szCs w:val="17"/>
          <w:color w:val="1E1E1E"/>
        </w:rPr>
        <w:t>40</w:t>
      </w:r>
    </w:p>
    <w:p>
      <w:pPr>
        <w:spacing w:after="0" w:line="137" w:lineRule="exact"/>
        <w:rPr>
          <w:sz w:val="20"/>
          <w:szCs w:val="20"/>
          <w:color w:val="auto"/>
        </w:rPr>
      </w:pPr>
    </w:p>
    <w:p>
      <w:pPr>
        <w:ind w:left="480"/>
        <w:spacing w:after="0"/>
        <w:rPr>
          <w:sz w:val="20"/>
          <w:szCs w:val="20"/>
          <w:color w:val="auto"/>
        </w:rPr>
      </w:pPr>
      <w:r>
        <w:rPr>
          <w:rFonts w:ascii="Arial" w:cs="Arial" w:eastAsia="Arial" w:hAnsi="Arial"/>
          <w:sz w:val="20"/>
          <w:szCs w:val="20"/>
          <w:color w:val="1E1E1E"/>
        </w:rPr>
        <w:t>Consolidated Statements of Changes in Stockholders’ Equity (Deficit) for the Fiscal Years Ended</w:t>
      </w:r>
    </w:p>
    <w:p>
      <w:pPr>
        <w:ind w:left="1020"/>
        <w:spacing w:after="0"/>
        <w:tabs>
          <w:tab w:leader="dot" w:pos="10580" w:val="left"/>
        </w:tabs>
        <w:rPr>
          <w:sz w:val="20"/>
          <w:szCs w:val="20"/>
          <w:color w:val="auto"/>
        </w:rPr>
      </w:pPr>
      <w:r>
        <w:rPr>
          <w:rFonts w:ascii="Arial" w:cs="Arial" w:eastAsia="Arial" w:hAnsi="Arial"/>
          <w:sz w:val="20"/>
          <w:szCs w:val="20"/>
          <w:color w:val="1E1E1E"/>
        </w:rPr>
        <w:t>February 3, 2024, January 28, 2023 and January 29, 2022</w:t>
      </w:r>
      <w:r>
        <w:rPr>
          <w:sz w:val="20"/>
          <w:szCs w:val="20"/>
          <w:color w:val="auto"/>
        </w:rPr>
        <w:tab/>
      </w:r>
      <w:r>
        <w:rPr>
          <w:rFonts w:ascii="Arial" w:cs="Arial" w:eastAsia="Arial" w:hAnsi="Arial"/>
          <w:sz w:val="17"/>
          <w:szCs w:val="17"/>
          <w:color w:val="1E1E1E"/>
        </w:rPr>
        <w:t>41</w:t>
      </w:r>
    </w:p>
    <w:p>
      <w:pPr>
        <w:spacing w:after="0" w:line="137" w:lineRule="exact"/>
        <w:rPr>
          <w:sz w:val="20"/>
          <w:szCs w:val="20"/>
          <w:color w:val="auto"/>
        </w:rPr>
      </w:pPr>
    </w:p>
    <w:p>
      <w:pPr>
        <w:ind w:left="480"/>
        <w:spacing w:after="0"/>
        <w:rPr>
          <w:sz w:val="20"/>
          <w:szCs w:val="20"/>
          <w:color w:val="auto"/>
        </w:rPr>
      </w:pPr>
      <w:r>
        <w:rPr>
          <w:rFonts w:ascii="Arial" w:cs="Arial" w:eastAsia="Arial" w:hAnsi="Arial"/>
          <w:sz w:val="20"/>
          <w:szCs w:val="20"/>
          <w:color w:val="1E1E1E"/>
        </w:rPr>
        <w:t>Consolidated Statements of Cash Flows for the Fiscal Years Ended February 3, 2024, January 28, 2023</w:t>
      </w:r>
    </w:p>
    <w:p>
      <w:pPr>
        <w:ind w:left="980"/>
        <w:spacing w:after="0"/>
        <w:tabs>
          <w:tab w:leader="dot" w:pos="10580" w:val="left"/>
        </w:tabs>
        <w:rPr>
          <w:sz w:val="20"/>
          <w:szCs w:val="20"/>
          <w:color w:val="auto"/>
        </w:rPr>
      </w:pPr>
      <w:r>
        <w:rPr>
          <w:rFonts w:ascii="Arial" w:cs="Arial" w:eastAsia="Arial" w:hAnsi="Arial"/>
          <w:sz w:val="20"/>
          <w:szCs w:val="20"/>
          <w:color w:val="1E1E1E"/>
        </w:rPr>
        <w:t>and January 29, 2022</w:t>
      </w:r>
      <w:r>
        <w:rPr>
          <w:sz w:val="20"/>
          <w:szCs w:val="20"/>
          <w:color w:val="auto"/>
        </w:rPr>
        <w:tab/>
      </w:r>
      <w:r>
        <w:rPr>
          <w:rFonts w:ascii="Arial" w:cs="Arial" w:eastAsia="Arial" w:hAnsi="Arial"/>
          <w:sz w:val="17"/>
          <w:szCs w:val="17"/>
          <w:color w:val="1E1E1E"/>
        </w:rPr>
        <w:t>42</w:t>
      </w:r>
    </w:p>
    <w:p>
      <w:pPr>
        <w:spacing w:after="0" w:line="137" w:lineRule="exact"/>
        <w:rPr>
          <w:sz w:val="20"/>
          <w:szCs w:val="20"/>
          <w:color w:val="auto"/>
        </w:rPr>
      </w:pPr>
    </w:p>
    <w:p>
      <w:pPr>
        <w:spacing w:after="0"/>
        <w:tabs>
          <w:tab w:leader="dot" w:pos="10580" w:val="left"/>
        </w:tabs>
        <w:rPr>
          <w:sz w:val="20"/>
          <w:szCs w:val="20"/>
          <w:color w:val="auto"/>
        </w:rPr>
      </w:pPr>
      <w:r>
        <w:rPr>
          <w:rFonts w:ascii="Arial" w:cs="Arial" w:eastAsia="Arial" w:hAnsi="Arial"/>
          <w:sz w:val="20"/>
          <w:szCs w:val="20"/>
          <w:color w:val="1E1E1E"/>
        </w:rPr>
        <w:t>Notes to Consolidated Financial Statements</w:t>
      </w:r>
      <w:r>
        <w:rPr>
          <w:sz w:val="20"/>
          <w:szCs w:val="20"/>
          <w:color w:val="auto"/>
        </w:rPr>
        <w:tab/>
      </w:r>
      <w:r>
        <w:rPr>
          <w:rFonts w:ascii="Arial" w:cs="Arial" w:eastAsia="Arial" w:hAnsi="Arial"/>
          <w:sz w:val="17"/>
          <w:szCs w:val="17"/>
          <w:color w:val="1E1E1E"/>
        </w:rPr>
        <w:t>43</w:t>
      </w:r>
    </w:p>
    <w:p>
      <w:pPr>
        <w:sectPr>
          <w:pgSz w:w="11880" w:h="15480" w:orient="portrait"/>
          <w:cols w:equalWidth="0" w:num="1">
            <w:col w:w="10800"/>
          </w:cols>
          <w:pgMar w:left="540" w:top="653"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35</w:t>
      </w:r>
    </w:p>
    <w:p>
      <w:pPr>
        <w:sectPr>
          <w:pgSz w:w="11880" w:h="15480" w:orient="portrait"/>
          <w:cols w:equalWidth="0" w:num="1">
            <w:col w:w="10800"/>
          </w:cols>
          <w:pgMar w:left="540" w:top="653" w:right="540" w:bottom="31"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20"/>
          <w:szCs w:val="20"/>
          <w:color w:val="1E1E1E"/>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1E1E1E"/>
        </w:rPr>
        <w:t>To the Stockholders and Board of Directors</w:t>
      </w:r>
    </w:p>
    <w:p>
      <w:pPr>
        <w:spacing w:after="0"/>
        <w:rPr>
          <w:sz w:val="20"/>
          <w:szCs w:val="20"/>
          <w:color w:val="auto"/>
        </w:rPr>
      </w:pPr>
      <w:r>
        <w:rPr>
          <w:rFonts w:ascii="Arial" w:cs="Arial" w:eastAsia="Arial" w:hAnsi="Arial"/>
          <w:sz w:val="20"/>
          <w:szCs w:val="20"/>
          <w:color w:val="1E1E1E"/>
        </w:rPr>
        <w:t>Destination XL Group, Inc.:</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1E1E1E"/>
        </w:rPr>
        <w:t>Opinion on the Consolidated Financial Statements</w:t>
      </w:r>
    </w:p>
    <w:p>
      <w:pPr>
        <w:spacing w:after="0" w:line="117" w:lineRule="exact"/>
        <w:rPr>
          <w:sz w:val="20"/>
          <w:szCs w:val="20"/>
          <w:color w:val="auto"/>
        </w:rPr>
      </w:pPr>
    </w:p>
    <w:p>
      <w:pPr>
        <w:ind w:right="160"/>
        <w:spacing w:after="0" w:line="261" w:lineRule="auto"/>
        <w:rPr>
          <w:sz w:val="20"/>
          <w:szCs w:val="20"/>
          <w:color w:val="auto"/>
        </w:rPr>
      </w:pPr>
      <w:r>
        <w:rPr>
          <w:rFonts w:ascii="Arial" w:cs="Arial" w:eastAsia="Arial" w:hAnsi="Arial"/>
          <w:sz w:val="19"/>
          <w:szCs w:val="19"/>
          <w:color w:val="1E1E1E"/>
        </w:rPr>
        <w:t>We have audited the accompanying consolidated balance sheets of Destination XL Group, Inc. and subsidiaries (the Company) as of February 3, 2024 and January 28, 2023, the related consolidated statements of operations, comprehensive income, changes in stockholders’ equity (deficit), and cash flows for each of the fiscal years in the three-year period ended February 3, 2024, and the related notes (collectively, the consolidated financial statements). In our opinion, the consolidated financial statements present fairly, in all material respects, the financial position of the Company as of February 3, 2024 and January 28, 2023, and the results of its operations and its cash flows for each of the fiscal years in the three-year period ended February 3, 2024, in conformity with U.S. generally accepted accounting principles.</w:t>
      </w:r>
    </w:p>
    <w:p>
      <w:pPr>
        <w:spacing w:after="0" w:line="67" w:lineRule="exact"/>
        <w:rPr>
          <w:sz w:val="20"/>
          <w:szCs w:val="20"/>
          <w:color w:val="auto"/>
        </w:rPr>
      </w:pPr>
    </w:p>
    <w:p>
      <w:pPr>
        <w:ind w:right="80"/>
        <w:spacing w:after="0" w:line="249" w:lineRule="auto"/>
        <w:rPr>
          <w:sz w:val="20"/>
          <w:szCs w:val="20"/>
          <w:color w:val="auto"/>
        </w:rPr>
      </w:pPr>
      <w:r>
        <w:rPr>
          <w:rFonts w:ascii="Arial" w:cs="Arial" w:eastAsia="Arial" w:hAnsi="Arial"/>
          <w:sz w:val="20"/>
          <w:szCs w:val="20"/>
          <w:color w:val="1E1E1E"/>
        </w:rPr>
        <w:t>We also have audited, in accordance with the standards of the Public Company Accounting Oversight Board (United States) (PCAOB), the Company’s internal control over financial reporting as of February 3, 2024, based on criteria established in Internal Control – Integrated Framework (2013) issued by the Committee of Sponsoring Organizations of the Treadway Commission, and our report dated March 21, 2024 expressed an unqualified opinion on the effectiveness of the Company’s internal control over financial reporting.</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color w:val="1E1E1E"/>
        </w:rPr>
        <w:t>Basis for Opinion</w:t>
      </w:r>
    </w:p>
    <w:p>
      <w:pPr>
        <w:spacing w:after="0" w:line="115" w:lineRule="exact"/>
        <w:rPr>
          <w:sz w:val="20"/>
          <w:szCs w:val="20"/>
          <w:color w:val="auto"/>
        </w:rPr>
      </w:pPr>
    </w:p>
    <w:p>
      <w:pPr>
        <w:ind w:right="80"/>
        <w:spacing w:after="0" w:line="270" w:lineRule="auto"/>
        <w:rPr>
          <w:sz w:val="20"/>
          <w:szCs w:val="20"/>
          <w:color w:val="auto"/>
        </w:rPr>
      </w:pPr>
      <w:r>
        <w:rPr>
          <w:rFonts w:ascii="Arial" w:cs="Arial" w:eastAsia="Arial" w:hAnsi="Arial"/>
          <w:sz w:val="19"/>
          <w:szCs w:val="19"/>
          <w:color w:val="1E1E1E"/>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8"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1E1E1E"/>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1E1E1E"/>
        </w:rPr>
        <w:t>Critical Audit Matter</w:t>
      </w:r>
    </w:p>
    <w:p>
      <w:pPr>
        <w:spacing w:after="0" w:line="115"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1E1E1E"/>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7" w:lineRule="exact"/>
        <w:rPr>
          <w:sz w:val="20"/>
          <w:szCs w:val="20"/>
          <w:color w:val="auto"/>
        </w:rPr>
      </w:pPr>
    </w:p>
    <w:p>
      <w:pPr>
        <w:ind w:left="480"/>
        <w:spacing w:after="0"/>
        <w:rPr>
          <w:sz w:val="20"/>
          <w:szCs w:val="20"/>
          <w:color w:val="auto"/>
        </w:rPr>
      </w:pPr>
      <w:r>
        <w:rPr>
          <w:rFonts w:ascii="Arial" w:cs="Arial" w:eastAsia="Arial" w:hAnsi="Arial"/>
          <w:sz w:val="20"/>
          <w:szCs w:val="20"/>
          <w:color w:val="1E1E1E"/>
        </w:rPr>
        <w:t>Impairment of long-lived store assets</w:t>
      </w:r>
    </w:p>
    <w:p>
      <w:pPr>
        <w:spacing w:after="0" w:line="117" w:lineRule="exact"/>
        <w:rPr>
          <w:sz w:val="20"/>
          <w:szCs w:val="20"/>
          <w:color w:val="auto"/>
        </w:rPr>
      </w:pPr>
    </w:p>
    <w:p>
      <w:pPr>
        <w:ind w:left="480"/>
        <w:spacing w:after="0" w:line="245" w:lineRule="auto"/>
        <w:rPr>
          <w:sz w:val="20"/>
          <w:szCs w:val="20"/>
          <w:color w:val="auto"/>
        </w:rPr>
      </w:pPr>
      <w:r>
        <w:rPr>
          <w:rFonts w:ascii="Arial" w:cs="Arial" w:eastAsia="Arial" w:hAnsi="Arial"/>
          <w:sz w:val="20"/>
          <w:szCs w:val="20"/>
          <w:color w:val="1E1E1E"/>
        </w:rPr>
        <w:t>As discussed in Note A to the consolidated financial statements, 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At February 3, 2024, the Company had property and equipment and operating lease right-of-use assets of $43.2 million and $138.1 million, respectively.</w:t>
      </w:r>
    </w:p>
    <w:p>
      <w:pPr>
        <w:spacing w:after="0" w:line="83" w:lineRule="exact"/>
        <w:rPr>
          <w:sz w:val="20"/>
          <w:szCs w:val="20"/>
          <w:color w:val="auto"/>
        </w:rPr>
      </w:pPr>
    </w:p>
    <w:p>
      <w:pPr>
        <w:ind w:left="480" w:right="180"/>
        <w:spacing w:after="0" w:line="289" w:lineRule="auto"/>
        <w:rPr>
          <w:sz w:val="20"/>
          <w:szCs w:val="20"/>
          <w:color w:val="auto"/>
        </w:rPr>
      </w:pPr>
      <w:r>
        <w:rPr>
          <w:rFonts w:ascii="Arial" w:cs="Arial" w:eastAsia="Arial" w:hAnsi="Arial"/>
          <w:sz w:val="18"/>
          <w:szCs w:val="18"/>
          <w:color w:val="1E1E1E"/>
        </w:rPr>
        <w:t>We identified the assessment of impairment triggering events related to long-lived store assets, specifically property and equipment and operating lease right-of-use assets, as a critical audit matter. A high degree of auditor judgment was required to evaluate the Company’s assessment of (1) stores with current period operating or cash flow losses, and (2) underperforming stores based on current period operating or cash flow results relative to their respective historical results.</w:t>
      </w:r>
    </w:p>
    <w:p>
      <w:pPr>
        <w:spacing w:after="0" w:line="42" w:lineRule="exact"/>
        <w:rPr>
          <w:sz w:val="20"/>
          <w:szCs w:val="20"/>
          <w:color w:val="auto"/>
        </w:rPr>
      </w:pPr>
    </w:p>
    <w:p>
      <w:pPr>
        <w:ind w:left="480" w:right="120"/>
        <w:spacing w:after="0" w:line="336" w:lineRule="auto"/>
        <w:rPr>
          <w:sz w:val="20"/>
          <w:szCs w:val="20"/>
          <w:color w:val="auto"/>
        </w:rPr>
      </w:pPr>
      <w:r>
        <w:rPr>
          <w:rFonts w:ascii="Arial" w:cs="Arial" w:eastAsia="Arial" w:hAnsi="Arial"/>
          <w:sz w:val="18"/>
          <w:szCs w:val="18"/>
          <w:color w:val="1E1E1E"/>
        </w:rPr>
        <w:t>The following are the primary procedures we performed to address the critical audit matter. We evaluated the design and tested the operating effectiveness of certain internal controls related to the Company’s process of identifying and evaluating potential</w:t>
      </w:r>
    </w:p>
    <w:p>
      <w:pPr>
        <w:sectPr>
          <w:pgSz w:w="11880" w:h="15480" w:orient="portrait"/>
          <w:cols w:equalWidth="0" w:num="1">
            <w:col w:w="10800"/>
          </w:cols>
          <w:pgMar w:left="540" w:top="653" w:right="540" w:bottom="31"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36</w:t>
      </w:r>
    </w:p>
    <w:p>
      <w:pPr>
        <w:sectPr>
          <w:pgSz w:w="11880" w:h="15480" w:orient="portrait"/>
          <w:cols w:equalWidth="0" w:num="1">
            <w:col w:w="10800"/>
          </w:cols>
          <w:pgMar w:left="540" w:top="653" w:right="540" w:bottom="31" w:gutter="0" w:footer="0" w:header="0"/>
          <w:type w:val="continuous"/>
        </w:sectPr>
      </w:pPr>
    </w:p>
    <w:bookmarkStart w:id="38" w:name="page39"/>
    <w:bookmarkEnd w:id="38"/>
    <w:p>
      <w:pPr>
        <w:ind w:left="480"/>
        <w:spacing w:after="0" w:line="284" w:lineRule="auto"/>
        <w:rPr>
          <w:sz w:val="20"/>
          <w:szCs w:val="20"/>
          <w:color w:val="auto"/>
        </w:rPr>
      </w:pPr>
      <w:r>
        <w:rPr>
          <w:rFonts w:ascii="Arial" w:cs="Arial" w:eastAsia="Arial" w:hAnsi="Arial"/>
          <w:sz w:val="18"/>
          <w:szCs w:val="18"/>
          <w:color w:val="1E1E1E"/>
        </w:rPr>
        <w:t>impairment triggering events. This included a control related to the Company’s assessment of (1) stores with current period operating or cash flow losses, and (2) underperforming stores relative to historical operating results. For certain stores, we evaluated the Company’s analysis of potential impairment triggering events by comparing actual operating and cash flow results to historical results and the remaining net book value of store assets. We also reviewed Board of Directors' meeting minutes and available analyst information to assess the Company’s identification and evaluation of potential triggering events.</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1E1E1E"/>
        </w:rPr>
        <w:t>/s/ KPMG LLP</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1E1E1E"/>
        </w:rPr>
        <w:t>We have served as the Company’s auditor since 2013.</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1E1E1E"/>
        </w:rPr>
        <w:t>Boston, Massachusetts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1E1E1E"/>
        </w:rPr>
        <w:t>March 21, 2024</w:t>
      </w:r>
    </w:p>
    <w:p>
      <w:pPr>
        <w:sectPr>
          <w:pgSz w:w="11880" w:h="15480" w:orient="portrait"/>
          <w:cols w:equalWidth="0" w:num="1">
            <w:col w:w="10780"/>
          </w:cols>
          <w:pgMar w:left="540" w:top="656" w:right="56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37</w:t>
      </w:r>
    </w:p>
    <w:p>
      <w:pPr>
        <w:sectPr>
          <w:pgSz w:w="11880" w:h="15480" w:orient="portrait"/>
          <w:cols w:equalWidth="0" w:num="1">
            <w:col w:w="10780"/>
          </w:cols>
          <w:pgMar w:left="540" w:top="656" w:right="560" w:bottom="31"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20"/>
          <w:szCs w:val="20"/>
          <w:color w:val="1E1E1E"/>
        </w:rPr>
        <w:t>DESTINATION XL GROUP, INC.</w:t>
      </w:r>
    </w:p>
    <w:p>
      <w:pPr>
        <w:jc w:val="center"/>
        <w:spacing w:after="0"/>
        <w:rPr>
          <w:sz w:val="20"/>
          <w:szCs w:val="20"/>
          <w:color w:val="auto"/>
        </w:rPr>
      </w:pPr>
      <w:r>
        <w:rPr>
          <w:rFonts w:ascii="Arial" w:cs="Arial" w:eastAsia="Arial" w:hAnsi="Arial"/>
          <w:sz w:val="20"/>
          <w:szCs w:val="20"/>
          <w:color w:val="1E1E1E"/>
        </w:rPr>
        <w:t>CONSOLIDATED BALANCE SHEETS</w:t>
      </w:r>
    </w:p>
    <w:p>
      <w:pPr>
        <w:jc w:val="center"/>
        <w:spacing w:after="0"/>
        <w:rPr>
          <w:sz w:val="20"/>
          <w:szCs w:val="20"/>
          <w:color w:val="auto"/>
        </w:rPr>
      </w:pPr>
      <w:r>
        <w:rPr>
          <w:rFonts w:ascii="Arial" w:cs="Arial" w:eastAsia="Arial" w:hAnsi="Arial"/>
          <w:sz w:val="20"/>
          <w:szCs w:val="20"/>
          <w:color w:val="1E1E1E"/>
        </w:rPr>
        <w:t>February 3, 2024 and January 28, 2023</w:t>
      </w:r>
    </w:p>
    <w:p>
      <w:pPr>
        <w:jc w:val="center"/>
        <w:spacing w:after="0"/>
        <w:rPr>
          <w:sz w:val="20"/>
          <w:szCs w:val="20"/>
          <w:color w:val="auto"/>
        </w:rPr>
      </w:pPr>
      <w:r>
        <w:rPr>
          <w:rFonts w:ascii="Arial" w:cs="Arial" w:eastAsia="Arial" w:hAnsi="Arial"/>
          <w:sz w:val="20"/>
          <w:szCs w:val="20"/>
          <w:color w:val="1E1E1E"/>
        </w:rPr>
        <w:t>(In thousands, except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6"/>
                <w:szCs w:val="16"/>
                <w:color w:val="1E1E1E"/>
                <w:w w:val="93"/>
              </w:rPr>
              <w:t>February 3, 2024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6"/>
                <w:szCs w:val="16"/>
                <w:color w:val="1E1E1E"/>
                <w:w w:val="92"/>
              </w:rPr>
              <w:t>January 28, 2023</w:t>
            </w:r>
          </w:p>
        </w:tc>
        <w:tc>
          <w:tcPr>
            <w:tcW w:w="0" w:type="dxa"/>
            <w:vAlign w:val="bottom"/>
          </w:tcPr>
          <w:p>
            <w:pPr>
              <w:spacing w:after="0"/>
              <w:rPr>
                <w:sz w:val="1"/>
                <w:szCs w:val="1"/>
                <w:color w:val="auto"/>
              </w:rPr>
            </w:pPr>
          </w:p>
        </w:tc>
      </w:tr>
      <w:tr>
        <w:trPr>
          <w:trHeight w:val="198"/>
        </w:trPr>
        <w:tc>
          <w:tcPr>
            <w:tcW w:w="7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6"/>
                <w:szCs w:val="16"/>
                <w:color w:val="1E1E1E"/>
              </w:rPr>
              <w:t>(Fiscal 2023)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right"/>
              <w:ind w:right="440"/>
              <w:spacing w:after="0"/>
              <w:rPr>
                <w:sz w:val="20"/>
                <w:szCs w:val="20"/>
                <w:color w:val="auto"/>
              </w:rPr>
            </w:pPr>
            <w:r>
              <w:rPr>
                <w:rFonts w:ascii="Arial" w:cs="Arial" w:eastAsia="Arial" w:hAnsi="Arial"/>
                <w:sz w:val="16"/>
                <w:szCs w:val="16"/>
                <w:color w:val="1E1E1E"/>
              </w:rPr>
              <w:t>(Fiscal 2022)</w:t>
            </w:r>
          </w:p>
        </w:tc>
        <w:tc>
          <w:tcPr>
            <w:tcW w:w="0" w:type="dxa"/>
            <w:vAlign w:val="bottom"/>
          </w:tcPr>
          <w:p>
            <w:pPr>
              <w:spacing w:after="0"/>
              <w:rPr>
                <w:sz w:val="1"/>
                <w:szCs w:val="1"/>
                <w:color w:val="auto"/>
              </w:rPr>
            </w:pPr>
          </w:p>
        </w:tc>
      </w:tr>
      <w:tr>
        <w:trPr>
          <w:trHeight w:val="220"/>
        </w:trPr>
        <w:tc>
          <w:tcPr>
            <w:tcW w:w="7420" w:type="dxa"/>
            <w:vAlign w:val="bottom"/>
            <w:tcBorders>
              <w:top w:val="single" w:sz="8" w:color="E4E4E4"/>
            </w:tcBorders>
            <w:shd w:val="clear" w:color="auto" w:fill="E4E4E4"/>
          </w:tcPr>
          <w:p>
            <w:pPr>
              <w:spacing w:after="0" w:line="220" w:lineRule="exact"/>
              <w:rPr>
                <w:sz w:val="20"/>
                <w:szCs w:val="20"/>
                <w:color w:val="auto"/>
              </w:rPr>
            </w:pPr>
            <w:r>
              <w:rPr>
                <w:rFonts w:ascii="Arial" w:cs="Arial" w:eastAsia="Arial" w:hAnsi="Arial"/>
                <w:sz w:val="20"/>
                <w:szCs w:val="20"/>
                <w:color w:val="1E1E1E"/>
              </w:rPr>
              <w:t>ASSETS</w:t>
            </w:r>
          </w:p>
        </w:tc>
        <w:tc>
          <w:tcPr>
            <w:tcW w:w="140" w:type="dxa"/>
            <w:vAlign w:val="bottom"/>
            <w:tcBorders>
              <w:top w:val="single" w:sz="8" w:color="1E1E1E"/>
            </w:tcBorders>
            <w:shd w:val="clear" w:color="auto" w:fill="E4E4E4"/>
          </w:tcPr>
          <w:p>
            <w:pPr>
              <w:spacing w:after="0"/>
              <w:rPr>
                <w:sz w:val="19"/>
                <w:szCs w:val="19"/>
                <w:color w:val="auto"/>
              </w:rPr>
            </w:pPr>
          </w:p>
        </w:tc>
        <w:tc>
          <w:tcPr>
            <w:tcW w:w="1340" w:type="dxa"/>
            <w:vAlign w:val="bottom"/>
            <w:tcBorders>
              <w:top w:val="single" w:sz="8" w:color="1E1E1E"/>
            </w:tcBorders>
            <w:shd w:val="clear" w:color="auto" w:fill="E4E4E4"/>
          </w:tcPr>
          <w:p>
            <w:pPr>
              <w:spacing w:after="0"/>
              <w:rPr>
                <w:sz w:val="19"/>
                <w:szCs w:val="19"/>
                <w:color w:val="auto"/>
              </w:rPr>
            </w:pPr>
          </w:p>
        </w:tc>
        <w:tc>
          <w:tcPr>
            <w:tcW w:w="30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1E1E1E"/>
            </w:tcBorders>
            <w:shd w:val="clear" w:color="auto" w:fill="E4E4E4"/>
          </w:tcPr>
          <w:p>
            <w:pPr>
              <w:spacing w:after="0"/>
              <w:rPr>
                <w:sz w:val="19"/>
                <w:szCs w:val="19"/>
                <w:color w:val="auto"/>
              </w:rPr>
            </w:pPr>
          </w:p>
        </w:tc>
        <w:tc>
          <w:tcPr>
            <w:tcW w:w="120" w:type="dxa"/>
            <w:vAlign w:val="bottom"/>
            <w:tcBorders>
              <w:top w:val="single" w:sz="8" w:color="1E1E1E"/>
            </w:tcBorders>
            <w:shd w:val="clear" w:color="auto" w:fill="E4E4E4"/>
          </w:tcPr>
          <w:p>
            <w:pPr>
              <w:spacing w:after="0"/>
              <w:rPr>
                <w:sz w:val="19"/>
                <w:szCs w:val="19"/>
                <w:color w:val="auto"/>
              </w:rPr>
            </w:pPr>
          </w:p>
        </w:tc>
        <w:tc>
          <w:tcPr>
            <w:tcW w:w="1340" w:type="dxa"/>
            <w:vAlign w:val="bottom"/>
            <w:tcBorders>
              <w:top w:val="single" w:sz="8" w:color="1E1E1E"/>
            </w:tcBorders>
            <w:shd w:val="clear" w:color="auto" w:fill="E4E4E4"/>
          </w:tcPr>
          <w:p>
            <w:pPr>
              <w:spacing w:after="0"/>
              <w:rPr>
                <w:sz w:val="19"/>
                <w:szCs w:val="19"/>
                <w:color w:val="auto"/>
              </w:rPr>
            </w:pPr>
          </w:p>
        </w:tc>
        <w:tc>
          <w:tcPr>
            <w:tcW w:w="20" w:type="dxa"/>
            <w:vAlign w:val="bottom"/>
            <w:tcBorders>
              <w:top w:val="single" w:sz="8" w:color="1E1E1E"/>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20"/>
                <w:szCs w:val="20"/>
                <w:color w:val="1E1E1E"/>
              </w:rPr>
              <w:t>Current assets: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E4E4E4"/>
          </w:tcPr>
          <w:p>
            <w:pPr>
              <w:ind w:left="200"/>
              <w:spacing w:after="0"/>
              <w:rPr>
                <w:sz w:val="20"/>
                <w:szCs w:val="20"/>
                <w:color w:val="auto"/>
              </w:rPr>
            </w:pPr>
            <w:r>
              <w:rPr>
                <w:rFonts w:ascii="Arial" w:cs="Arial" w:eastAsia="Arial" w:hAnsi="Arial"/>
                <w:sz w:val="20"/>
                <w:szCs w:val="20"/>
                <w:color w:val="1E1E1E"/>
              </w:rPr>
              <w:t>Cash and cash equivalents</w:t>
            </w: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1E1E1E"/>
                <w:w w:val="71"/>
              </w:rPr>
              <w:t>$</w:t>
            </w:r>
          </w:p>
        </w:tc>
        <w:tc>
          <w:tcPr>
            <w:tcW w:w="134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27,590</w:t>
            </w:r>
          </w:p>
        </w:tc>
        <w:tc>
          <w:tcPr>
            <w:tcW w:w="300" w:type="dxa"/>
            <w:vAlign w:val="bottom"/>
            <w:shd w:val="clear" w:color="auto" w:fill="E4E4E4"/>
          </w:tcPr>
          <w:p>
            <w:pPr>
              <w:spacing w:after="0"/>
              <w:rPr>
                <w:sz w:val="20"/>
                <w:szCs w:val="20"/>
                <w:color w:val="auto"/>
              </w:rPr>
            </w:pPr>
          </w:p>
        </w:tc>
        <w:tc>
          <w:tcPr>
            <w:tcW w:w="14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w w:val="71"/>
              </w:rPr>
              <w:t>$</w:t>
            </w:r>
          </w:p>
        </w:tc>
        <w:tc>
          <w:tcPr>
            <w:tcW w:w="1460" w:type="dxa"/>
            <w:vAlign w:val="bottom"/>
            <w:gridSpan w:val="3"/>
            <w:shd w:val="clear" w:color="auto" w:fill="E4E4E4"/>
          </w:tcPr>
          <w:p>
            <w:pPr>
              <w:jc w:val="right"/>
              <w:ind w:right="100"/>
              <w:spacing w:after="0"/>
              <w:rPr>
                <w:sz w:val="20"/>
                <w:szCs w:val="20"/>
                <w:color w:val="auto"/>
              </w:rPr>
            </w:pPr>
            <w:r>
              <w:rPr>
                <w:rFonts w:ascii="Arial" w:cs="Arial" w:eastAsia="Arial" w:hAnsi="Arial"/>
                <w:sz w:val="20"/>
                <w:szCs w:val="20"/>
                <w:color w:val="1E1E1E"/>
              </w:rPr>
              <w:t>52,074</w:t>
            </w:r>
          </w:p>
        </w:tc>
        <w:tc>
          <w:tcPr>
            <w:tcW w:w="0" w:type="dxa"/>
            <w:vAlign w:val="bottom"/>
          </w:tcPr>
          <w:p>
            <w:pPr>
              <w:spacing w:after="0"/>
              <w:rPr>
                <w:sz w:val="1"/>
                <w:szCs w:val="1"/>
                <w:color w:val="auto"/>
              </w:rPr>
            </w:pPr>
          </w:p>
        </w:tc>
      </w:tr>
      <w:tr>
        <w:trPr>
          <w:trHeight w:val="230"/>
        </w:trPr>
        <w:tc>
          <w:tcPr>
            <w:tcW w:w="7420" w:type="dxa"/>
            <w:vAlign w:val="bottom"/>
          </w:tcPr>
          <w:p>
            <w:pPr>
              <w:ind w:left="200"/>
              <w:spacing w:after="0"/>
              <w:rPr>
                <w:sz w:val="20"/>
                <w:szCs w:val="20"/>
                <w:color w:val="auto"/>
              </w:rPr>
            </w:pPr>
            <w:r>
              <w:rPr>
                <w:rFonts w:ascii="Arial" w:cs="Arial" w:eastAsia="Arial" w:hAnsi="Arial"/>
                <w:sz w:val="20"/>
                <w:szCs w:val="20"/>
                <w:color w:val="1E1E1E"/>
              </w:rPr>
              <w:t>Short-term investments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1E1E1E"/>
              </w:rPr>
              <w:t>32,459</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20"/>
                <w:szCs w:val="20"/>
                <w:color w:val="1E1E1E"/>
              </w:rPr>
              <w:t>—</w:t>
            </w:r>
          </w:p>
        </w:tc>
        <w:tc>
          <w:tcPr>
            <w:tcW w:w="0" w:type="dxa"/>
            <w:vAlign w:val="bottom"/>
          </w:tcPr>
          <w:p>
            <w:pPr>
              <w:spacing w:after="0"/>
              <w:rPr>
                <w:sz w:val="1"/>
                <w:szCs w:val="1"/>
                <w:color w:val="auto"/>
              </w:rPr>
            </w:pPr>
          </w:p>
        </w:tc>
      </w:tr>
      <w:tr>
        <w:trPr>
          <w:trHeight w:val="230"/>
        </w:trPr>
        <w:tc>
          <w:tcPr>
            <w:tcW w:w="7420" w:type="dxa"/>
            <w:vAlign w:val="bottom"/>
            <w:shd w:val="clear" w:color="auto" w:fill="E4E4E4"/>
          </w:tcPr>
          <w:p>
            <w:pPr>
              <w:ind w:left="200"/>
              <w:spacing w:after="0"/>
              <w:rPr>
                <w:sz w:val="20"/>
                <w:szCs w:val="20"/>
                <w:color w:val="auto"/>
              </w:rPr>
            </w:pPr>
            <w:r>
              <w:rPr>
                <w:rFonts w:ascii="Arial" w:cs="Arial" w:eastAsia="Arial" w:hAnsi="Arial"/>
                <w:sz w:val="20"/>
                <w:szCs w:val="20"/>
                <w:color w:val="1E1E1E"/>
              </w:rPr>
              <w:t>Accounts receivable</w:t>
            </w:r>
          </w:p>
        </w:tc>
        <w:tc>
          <w:tcPr>
            <w:tcW w:w="140" w:type="dxa"/>
            <w:vAlign w:val="bottom"/>
            <w:shd w:val="clear" w:color="auto" w:fill="E4E4E4"/>
          </w:tcPr>
          <w:p>
            <w:pPr>
              <w:spacing w:after="0"/>
              <w:rPr>
                <w:sz w:val="20"/>
                <w:szCs w:val="20"/>
                <w:color w:val="auto"/>
              </w:rPr>
            </w:pPr>
          </w:p>
        </w:tc>
        <w:tc>
          <w:tcPr>
            <w:tcW w:w="1640" w:type="dxa"/>
            <w:vAlign w:val="bottom"/>
            <w:gridSpan w:val="2"/>
            <w:shd w:val="clear" w:color="auto" w:fill="E4E4E4"/>
          </w:tcPr>
          <w:p>
            <w:pPr>
              <w:jc w:val="right"/>
              <w:ind w:right="280"/>
              <w:spacing w:after="0"/>
              <w:rPr>
                <w:sz w:val="20"/>
                <w:szCs w:val="20"/>
                <w:color w:val="auto"/>
              </w:rPr>
            </w:pPr>
            <w:r>
              <w:rPr>
                <w:rFonts w:ascii="Arial" w:cs="Arial" w:eastAsia="Arial" w:hAnsi="Arial"/>
                <w:sz w:val="20"/>
                <w:szCs w:val="20"/>
                <w:color w:val="1E1E1E"/>
              </w:rPr>
              <w:t>3,920</w:t>
            </w: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460" w:type="dxa"/>
            <w:vAlign w:val="bottom"/>
            <w:gridSpan w:val="3"/>
            <w:shd w:val="clear" w:color="auto" w:fill="E4E4E4"/>
          </w:tcPr>
          <w:p>
            <w:pPr>
              <w:jc w:val="right"/>
              <w:ind w:right="100"/>
              <w:spacing w:after="0"/>
              <w:rPr>
                <w:sz w:val="20"/>
                <w:szCs w:val="20"/>
                <w:color w:val="auto"/>
              </w:rPr>
            </w:pPr>
            <w:r>
              <w:rPr>
                <w:rFonts w:ascii="Arial" w:cs="Arial" w:eastAsia="Arial" w:hAnsi="Arial"/>
                <w:sz w:val="20"/>
                <w:szCs w:val="20"/>
                <w:color w:val="1E1E1E"/>
              </w:rPr>
              <w:t>1,720</w:t>
            </w:r>
          </w:p>
        </w:tc>
        <w:tc>
          <w:tcPr>
            <w:tcW w:w="0" w:type="dxa"/>
            <w:vAlign w:val="bottom"/>
          </w:tcPr>
          <w:p>
            <w:pPr>
              <w:spacing w:after="0"/>
              <w:rPr>
                <w:sz w:val="1"/>
                <w:szCs w:val="1"/>
                <w:color w:val="auto"/>
              </w:rPr>
            </w:pPr>
          </w:p>
        </w:tc>
      </w:tr>
      <w:tr>
        <w:trPr>
          <w:trHeight w:val="230"/>
        </w:trPr>
        <w:tc>
          <w:tcPr>
            <w:tcW w:w="7420" w:type="dxa"/>
            <w:vAlign w:val="bottom"/>
          </w:tcPr>
          <w:p>
            <w:pPr>
              <w:ind w:left="200"/>
              <w:spacing w:after="0"/>
              <w:rPr>
                <w:sz w:val="20"/>
                <w:szCs w:val="20"/>
                <w:color w:val="auto"/>
              </w:rPr>
            </w:pPr>
            <w:r>
              <w:rPr>
                <w:rFonts w:ascii="Arial" w:cs="Arial" w:eastAsia="Arial" w:hAnsi="Arial"/>
                <w:sz w:val="20"/>
                <w:szCs w:val="20"/>
                <w:color w:val="1E1E1E"/>
              </w:rPr>
              <w:t>Inventories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1E1E1E"/>
              </w:rPr>
              <w:t>80,968</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20"/>
                <w:szCs w:val="20"/>
                <w:color w:val="1E1E1E"/>
              </w:rPr>
              <w:t>93,004</w:t>
            </w:r>
          </w:p>
        </w:tc>
        <w:tc>
          <w:tcPr>
            <w:tcW w:w="0" w:type="dxa"/>
            <w:vAlign w:val="bottom"/>
          </w:tcPr>
          <w:p>
            <w:pPr>
              <w:spacing w:after="0"/>
              <w:rPr>
                <w:sz w:val="1"/>
                <w:szCs w:val="1"/>
                <w:color w:val="auto"/>
              </w:rPr>
            </w:pPr>
          </w:p>
        </w:tc>
      </w:tr>
      <w:tr>
        <w:trPr>
          <w:trHeight w:val="228"/>
        </w:trPr>
        <w:tc>
          <w:tcPr>
            <w:tcW w:w="7420" w:type="dxa"/>
            <w:vAlign w:val="bottom"/>
            <w:shd w:val="clear" w:color="auto" w:fill="E4E4E4"/>
          </w:tcPr>
          <w:p>
            <w:pPr>
              <w:ind w:left="200"/>
              <w:spacing w:after="0" w:line="228" w:lineRule="exact"/>
              <w:rPr>
                <w:sz w:val="20"/>
                <w:szCs w:val="20"/>
                <w:color w:val="auto"/>
              </w:rPr>
            </w:pPr>
            <w:r>
              <w:rPr>
                <w:rFonts w:ascii="Arial" w:cs="Arial" w:eastAsia="Arial" w:hAnsi="Arial"/>
                <w:sz w:val="20"/>
                <w:szCs w:val="20"/>
                <w:color w:val="1E1E1E"/>
              </w:rPr>
              <w:t>Prepaid expenses and other current assets</w:t>
            </w:r>
          </w:p>
        </w:tc>
        <w:tc>
          <w:tcPr>
            <w:tcW w:w="140" w:type="dxa"/>
            <w:vAlign w:val="bottom"/>
            <w:shd w:val="clear" w:color="auto" w:fill="E4E4E4"/>
          </w:tcPr>
          <w:p>
            <w:pPr>
              <w:spacing w:after="0"/>
              <w:rPr>
                <w:sz w:val="19"/>
                <w:szCs w:val="19"/>
                <w:color w:val="auto"/>
              </w:rPr>
            </w:pPr>
          </w:p>
        </w:tc>
        <w:tc>
          <w:tcPr>
            <w:tcW w:w="1640" w:type="dxa"/>
            <w:vAlign w:val="bottom"/>
            <w:gridSpan w:val="2"/>
            <w:shd w:val="clear" w:color="auto" w:fill="E4E4E4"/>
          </w:tcPr>
          <w:p>
            <w:pPr>
              <w:jc w:val="right"/>
              <w:ind w:right="280"/>
              <w:spacing w:after="0" w:line="228" w:lineRule="exact"/>
              <w:rPr>
                <w:sz w:val="20"/>
                <w:szCs w:val="20"/>
                <w:color w:val="auto"/>
              </w:rPr>
            </w:pPr>
            <w:r>
              <w:rPr>
                <w:rFonts w:ascii="Arial" w:cs="Arial" w:eastAsia="Arial" w:hAnsi="Arial"/>
                <w:sz w:val="20"/>
                <w:szCs w:val="20"/>
                <w:color w:val="1E1E1E"/>
              </w:rPr>
              <w:t>8,308</w:t>
            </w: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460" w:type="dxa"/>
            <w:vAlign w:val="bottom"/>
            <w:gridSpan w:val="3"/>
            <w:shd w:val="clear" w:color="auto" w:fill="E4E4E4"/>
          </w:tcPr>
          <w:p>
            <w:pPr>
              <w:jc w:val="right"/>
              <w:ind w:right="100"/>
              <w:spacing w:after="0" w:line="228" w:lineRule="exact"/>
              <w:rPr>
                <w:sz w:val="20"/>
                <w:szCs w:val="20"/>
                <w:color w:val="auto"/>
              </w:rPr>
            </w:pPr>
            <w:r>
              <w:rPr>
                <w:rFonts w:ascii="Arial" w:cs="Arial" w:eastAsia="Arial" w:hAnsi="Arial"/>
                <w:sz w:val="20"/>
                <w:szCs w:val="20"/>
                <w:color w:val="1E1E1E"/>
              </w:rPr>
              <w:t>7,214</w:t>
            </w:r>
          </w:p>
        </w:tc>
        <w:tc>
          <w:tcPr>
            <w:tcW w:w="0" w:type="dxa"/>
            <w:vAlign w:val="bottom"/>
          </w:tcPr>
          <w:p>
            <w:pPr>
              <w:spacing w:after="0"/>
              <w:rPr>
                <w:sz w:val="1"/>
                <w:szCs w:val="1"/>
                <w:color w:val="auto"/>
              </w:rPr>
            </w:pPr>
          </w:p>
        </w:tc>
      </w:tr>
      <w:tr>
        <w:trPr>
          <w:trHeight w:val="220"/>
        </w:trPr>
        <w:tc>
          <w:tcPr>
            <w:tcW w:w="7420" w:type="dxa"/>
            <w:vAlign w:val="bottom"/>
          </w:tcPr>
          <w:p>
            <w:pPr>
              <w:ind w:left="400"/>
              <w:spacing w:after="0" w:line="220" w:lineRule="exact"/>
              <w:rPr>
                <w:sz w:val="20"/>
                <w:szCs w:val="20"/>
                <w:color w:val="auto"/>
              </w:rPr>
            </w:pPr>
            <w:r>
              <w:rPr>
                <w:rFonts w:ascii="Arial" w:cs="Arial" w:eastAsia="Arial" w:hAnsi="Arial"/>
                <w:sz w:val="20"/>
                <w:szCs w:val="20"/>
                <w:color w:val="1E1E1E"/>
              </w:rPr>
              <w:t>Total current assets</w:t>
            </w:r>
          </w:p>
        </w:tc>
        <w:tc>
          <w:tcPr>
            <w:tcW w:w="140" w:type="dxa"/>
            <w:vAlign w:val="bottom"/>
            <w:tcBorders>
              <w:top w:val="single" w:sz="8" w:color="1E1E1E"/>
            </w:tcBorders>
          </w:tcPr>
          <w:p>
            <w:pPr>
              <w:spacing w:after="0"/>
              <w:rPr>
                <w:sz w:val="19"/>
                <w:szCs w:val="19"/>
                <w:color w:val="auto"/>
              </w:rPr>
            </w:pPr>
          </w:p>
        </w:tc>
        <w:tc>
          <w:tcPr>
            <w:tcW w:w="134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rPr>
              <w:t>153,245</w:t>
            </w:r>
          </w:p>
        </w:tc>
        <w:tc>
          <w:tcPr>
            <w:tcW w:w="300" w:type="dxa"/>
            <w:vAlign w:val="bottom"/>
          </w:tcPr>
          <w:p>
            <w:pPr>
              <w:spacing w:after="0"/>
              <w:rPr>
                <w:sz w:val="19"/>
                <w:szCs w:val="19"/>
                <w:color w:val="auto"/>
              </w:rPr>
            </w:pPr>
          </w:p>
        </w:tc>
        <w:tc>
          <w:tcPr>
            <w:tcW w:w="20" w:type="dxa"/>
            <w:vAlign w:val="bottom"/>
            <w:tcBorders>
              <w:top w:val="single" w:sz="8" w:color="1E1E1E"/>
            </w:tcBorders>
          </w:tcPr>
          <w:p>
            <w:pPr>
              <w:spacing w:after="0"/>
              <w:rPr>
                <w:sz w:val="19"/>
                <w:szCs w:val="19"/>
                <w:color w:val="auto"/>
              </w:rPr>
            </w:pPr>
          </w:p>
        </w:tc>
        <w:tc>
          <w:tcPr>
            <w:tcW w:w="120" w:type="dxa"/>
            <w:vAlign w:val="bottom"/>
            <w:tcBorders>
              <w:top w:val="single" w:sz="8" w:color="1E1E1E"/>
            </w:tcBorders>
          </w:tcPr>
          <w:p>
            <w:pPr>
              <w:spacing w:after="0"/>
              <w:rPr>
                <w:sz w:val="19"/>
                <w:szCs w:val="19"/>
                <w:color w:val="auto"/>
              </w:rPr>
            </w:pPr>
          </w:p>
        </w:tc>
        <w:tc>
          <w:tcPr>
            <w:tcW w:w="134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rPr>
              <w:t>154,012</w:t>
            </w:r>
          </w:p>
        </w:tc>
        <w:tc>
          <w:tcPr>
            <w:tcW w:w="20" w:type="dxa"/>
            <w:vAlign w:val="bottom"/>
            <w:tcBorders>
              <w:top w:val="single" w:sz="8" w:color="1E1E1E"/>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1340" w:type="dxa"/>
            <w:vAlign w:val="bottom"/>
            <w:shd w:val="clear" w:color="auto" w:fill="E4E4E4"/>
          </w:tcPr>
          <w:p>
            <w:pPr>
              <w:spacing w:after="0"/>
              <w:rPr>
                <w:sz w:val="20"/>
                <w:szCs w:val="20"/>
                <w:color w:val="auto"/>
              </w:rPr>
            </w:pPr>
          </w:p>
        </w:tc>
        <w:tc>
          <w:tcPr>
            <w:tcW w:w="3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3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20"/>
                <w:szCs w:val="20"/>
                <w:color w:val="1E1E1E"/>
              </w:rPr>
              <w:t>Noncurrent assets: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E4E4E4"/>
          </w:tcPr>
          <w:p>
            <w:pPr>
              <w:ind w:left="200"/>
              <w:spacing w:after="0"/>
              <w:rPr>
                <w:sz w:val="20"/>
                <w:szCs w:val="20"/>
                <w:color w:val="auto"/>
              </w:rPr>
            </w:pPr>
            <w:r>
              <w:rPr>
                <w:rFonts w:ascii="Arial" w:cs="Arial" w:eastAsia="Arial" w:hAnsi="Arial"/>
                <w:sz w:val="20"/>
                <w:szCs w:val="20"/>
                <w:color w:val="1E1E1E"/>
              </w:rPr>
              <w:t>Property and equipment, net of accumulated depreciation and amortization</w:t>
            </w:r>
          </w:p>
        </w:tc>
        <w:tc>
          <w:tcPr>
            <w:tcW w:w="140" w:type="dxa"/>
            <w:vAlign w:val="bottom"/>
            <w:shd w:val="clear" w:color="auto" w:fill="E4E4E4"/>
          </w:tcPr>
          <w:p>
            <w:pPr>
              <w:spacing w:after="0"/>
              <w:rPr>
                <w:sz w:val="20"/>
                <w:szCs w:val="20"/>
                <w:color w:val="auto"/>
              </w:rPr>
            </w:pPr>
          </w:p>
        </w:tc>
        <w:tc>
          <w:tcPr>
            <w:tcW w:w="134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43,238</w:t>
            </w:r>
          </w:p>
        </w:tc>
        <w:tc>
          <w:tcPr>
            <w:tcW w:w="3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460" w:type="dxa"/>
            <w:vAlign w:val="bottom"/>
            <w:gridSpan w:val="3"/>
            <w:shd w:val="clear" w:color="auto" w:fill="E4E4E4"/>
          </w:tcPr>
          <w:p>
            <w:pPr>
              <w:jc w:val="right"/>
              <w:ind w:right="100"/>
              <w:spacing w:after="0"/>
              <w:rPr>
                <w:sz w:val="20"/>
                <w:szCs w:val="20"/>
                <w:color w:val="auto"/>
              </w:rPr>
            </w:pPr>
            <w:r>
              <w:rPr>
                <w:rFonts w:ascii="Arial" w:cs="Arial" w:eastAsia="Arial" w:hAnsi="Arial"/>
                <w:sz w:val="20"/>
                <w:szCs w:val="20"/>
                <w:color w:val="1E1E1E"/>
              </w:rPr>
              <w:t>39,062</w:t>
            </w:r>
          </w:p>
        </w:tc>
        <w:tc>
          <w:tcPr>
            <w:tcW w:w="0" w:type="dxa"/>
            <w:vAlign w:val="bottom"/>
          </w:tcPr>
          <w:p>
            <w:pPr>
              <w:spacing w:after="0"/>
              <w:rPr>
                <w:sz w:val="1"/>
                <w:szCs w:val="1"/>
                <w:color w:val="auto"/>
              </w:rPr>
            </w:pPr>
          </w:p>
        </w:tc>
      </w:tr>
      <w:tr>
        <w:trPr>
          <w:trHeight w:val="230"/>
        </w:trPr>
        <w:tc>
          <w:tcPr>
            <w:tcW w:w="7420" w:type="dxa"/>
            <w:vAlign w:val="bottom"/>
          </w:tcPr>
          <w:p>
            <w:pPr>
              <w:ind w:left="200"/>
              <w:spacing w:after="0"/>
              <w:rPr>
                <w:sz w:val="20"/>
                <w:szCs w:val="20"/>
                <w:color w:val="auto"/>
              </w:rPr>
            </w:pPr>
            <w:r>
              <w:rPr>
                <w:rFonts w:ascii="Arial" w:cs="Arial" w:eastAsia="Arial" w:hAnsi="Arial"/>
                <w:sz w:val="20"/>
                <w:szCs w:val="20"/>
                <w:color w:val="1E1E1E"/>
              </w:rPr>
              <w:t>Operating lease right-of-use assets</w:t>
            </w:r>
          </w:p>
        </w:tc>
        <w:tc>
          <w:tcPr>
            <w:tcW w:w="14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20"/>
                <w:szCs w:val="20"/>
                <w:color w:val="1E1E1E"/>
              </w:rPr>
              <w:t>138,118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1E1E1E"/>
              </w:rPr>
              <w:t>124,356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420" w:type="dxa"/>
            <w:vAlign w:val="bottom"/>
            <w:shd w:val="clear" w:color="auto" w:fill="E4E4E4"/>
          </w:tcPr>
          <w:p>
            <w:pPr>
              <w:ind w:left="200"/>
              <w:spacing w:after="0" w:line="228" w:lineRule="exact"/>
              <w:rPr>
                <w:sz w:val="20"/>
                <w:szCs w:val="20"/>
                <w:color w:val="auto"/>
              </w:rPr>
            </w:pPr>
            <w:r>
              <w:rPr>
                <w:rFonts w:ascii="Arial" w:cs="Arial" w:eastAsia="Arial" w:hAnsi="Arial"/>
                <w:sz w:val="20"/>
                <w:szCs w:val="20"/>
                <w:color w:val="1E1E1E"/>
              </w:rPr>
              <w:t>Deferred income taxes, net of valuation allowance</w:t>
            </w:r>
          </w:p>
        </w:tc>
        <w:tc>
          <w:tcPr>
            <w:tcW w:w="140" w:type="dxa"/>
            <w:vAlign w:val="bottom"/>
            <w:shd w:val="clear" w:color="auto" w:fill="E4E4E4"/>
          </w:tcPr>
          <w:p>
            <w:pPr>
              <w:spacing w:after="0"/>
              <w:rPr>
                <w:sz w:val="19"/>
                <w:szCs w:val="19"/>
                <w:color w:val="auto"/>
              </w:rPr>
            </w:pPr>
          </w:p>
        </w:tc>
        <w:tc>
          <w:tcPr>
            <w:tcW w:w="1340" w:type="dxa"/>
            <w:vAlign w:val="bottom"/>
            <w:shd w:val="clear" w:color="auto" w:fill="E4E4E4"/>
          </w:tcPr>
          <w:p>
            <w:pPr>
              <w:jc w:val="right"/>
              <w:spacing w:after="0" w:line="228" w:lineRule="exact"/>
              <w:rPr>
                <w:sz w:val="20"/>
                <w:szCs w:val="20"/>
                <w:color w:val="auto"/>
              </w:rPr>
            </w:pPr>
            <w:r>
              <w:rPr>
                <w:rFonts w:ascii="Arial" w:cs="Arial" w:eastAsia="Arial" w:hAnsi="Arial"/>
                <w:sz w:val="20"/>
                <w:szCs w:val="20"/>
                <w:color w:val="1E1E1E"/>
              </w:rPr>
              <w:t>21,533</w:t>
            </w:r>
          </w:p>
        </w:tc>
        <w:tc>
          <w:tcPr>
            <w:tcW w:w="3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460" w:type="dxa"/>
            <w:vAlign w:val="bottom"/>
            <w:gridSpan w:val="3"/>
            <w:shd w:val="clear" w:color="auto" w:fill="E4E4E4"/>
          </w:tcPr>
          <w:p>
            <w:pPr>
              <w:jc w:val="right"/>
              <w:ind w:right="100"/>
              <w:spacing w:after="0" w:line="228" w:lineRule="exact"/>
              <w:rPr>
                <w:sz w:val="20"/>
                <w:szCs w:val="20"/>
                <w:color w:val="auto"/>
              </w:rPr>
            </w:pPr>
            <w:r>
              <w:rPr>
                <w:rFonts w:ascii="Arial" w:cs="Arial" w:eastAsia="Arial" w:hAnsi="Arial"/>
                <w:sz w:val="20"/>
                <w:szCs w:val="20"/>
                <w:color w:val="1E1E1E"/>
              </w:rPr>
              <w:t>31,455</w:t>
            </w:r>
          </w:p>
        </w:tc>
        <w:tc>
          <w:tcPr>
            <w:tcW w:w="0" w:type="dxa"/>
            <w:vAlign w:val="bottom"/>
          </w:tcPr>
          <w:p>
            <w:pPr>
              <w:spacing w:after="0"/>
              <w:rPr>
                <w:sz w:val="1"/>
                <w:szCs w:val="1"/>
                <w:color w:val="auto"/>
              </w:rPr>
            </w:pPr>
          </w:p>
        </w:tc>
      </w:tr>
      <w:tr>
        <w:trPr>
          <w:trHeight w:val="230"/>
        </w:trPr>
        <w:tc>
          <w:tcPr>
            <w:tcW w:w="7420" w:type="dxa"/>
            <w:vAlign w:val="bottom"/>
          </w:tcPr>
          <w:p>
            <w:pPr>
              <w:ind w:left="200"/>
              <w:spacing w:after="0"/>
              <w:rPr>
                <w:sz w:val="20"/>
                <w:szCs w:val="20"/>
                <w:color w:val="auto"/>
              </w:rPr>
            </w:pPr>
            <w:r>
              <w:rPr>
                <w:rFonts w:ascii="Arial" w:cs="Arial" w:eastAsia="Arial" w:hAnsi="Arial"/>
                <w:sz w:val="20"/>
                <w:szCs w:val="20"/>
                <w:color w:val="1E1E1E"/>
              </w:rPr>
              <w:t>Intangible assets</w:t>
            </w:r>
          </w:p>
        </w:tc>
        <w:tc>
          <w:tcPr>
            <w:tcW w:w="14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20"/>
                <w:szCs w:val="20"/>
                <w:color w:val="1E1E1E"/>
              </w:rPr>
              <w:t>1,150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20"/>
                <w:szCs w:val="20"/>
                <w:color w:val="1E1E1E"/>
              </w:rPr>
              <w:t>1,150</w:t>
            </w:r>
          </w:p>
        </w:tc>
        <w:tc>
          <w:tcPr>
            <w:tcW w:w="0" w:type="dxa"/>
            <w:vAlign w:val="bottom"/>
          </w:tcPr>
          <w:p>
            <w:pPr>
              <w:spacing w:after="0"/>
              <w:rPr>
                <w:sz w:val="1"/>
                <w:szCs w:val="1"/>
                <w:color w:val="auto"/>
              </w:rPr>
            </w:pPr>
          </w:p>
        </w:tc>
      </w:tr>
      <w:tr>
        <w:trPr>
          <w:trHeight w:val="230"/>
        </w:trPr>
        <w:tc>
          <w:tcPr>
            <w:tcW w:w="7420" w:type="dxa"/>
            <w:vAlign w:val="bottom"/>
            <w:shd w:val="clear" w:color="auto" w:fill="E4E4E4"/>
          </w:tcPr>
          <w:p>
            <w:pPr>
              <w:ind w:left="200"/>
              <w:spacing w:after="0"/>
              <w:rPr>
                <w:sz w:val="20"/>
                <w:szCs w:val="20"/>
                <w:color w:val="auto"/>
              </w:rPr>
            </w:pPr>
            <w:r>
              <w:rPr>
                <w:rFonts w:ascii="Arial" w:cs="Arial" w:eastAsia="Arial" w:hAnsi="Arial"/>
                <w:sz w:val="20"/>
                <w:szCs w:val="20"/>
                <w:color w:val="1E1E1E"/>
              </w:rPr>
              <w:t>Other assets</w:t>
            </w:r>
          </w:p>
        </w:tc>
        <w:tc>
          <w:tcPr>
            <w:tcW w:w="140" w:type="dxa"/>
            <w:vAlign w:val="bottom"/>
            <w:tcBorders>
              <w:bottom w:val="single" w:sz="8" w:color="1E1E1E"/>
            </w:tcBorders>
            <w:shd w:val="clear" w:color="auto" w:fill="E4E4E4"/>
          </w:tcPr>
          <w:p>
            <w:pPr>
              <w:spacing w:after="0"/>
              <w:rPr>
                <w:sz w:val="20"/>
                <w:szCs w:val="20"/>
                <w:color w:val="auto"/>
              </w:rPr>
            </w:pPr>
          </w:p>
        </w:tc>
        <w:tc>
          <w:tcPr>
            <w:tcW w:w="1340" w:type="dxa"/>
            <w:vAlign w:val="bottom"/>
            <w:tcBorders>
              <w:bottom w:val="single" w:sz="8" w:color="1E1E1E"/>
            </w:tcBorders>
            <w:shd w:val="clear" w:color="auto" w:fill="E4E4E4"/>
          </w:tcPr>
          <w:p>
            <w:pPr>
              <w:jc w:val="right"/>
              <w:spacing w:after="0"/>
              <w:rPr>
                <w:sz w:val="20"/>
                <w:szCs w:val="20"/>
                <w:color w:val="auto"/>
              </w:rPr>
            </w:pPr>
            <w:r>
              <w:rPr>
                <w:rFonts w:ascii="Arial" w:cs="Arial" w:eastAsia="Arial" w:hAnsi="Arial"/>
                <w:sz w:val="20"/>
                <w:szCs w:val="20"/>
                <w:color w:val="1E1E1E"/>
              </w:rPr>
              <w:t>457</w:t>
            </w:r>
          </w:p>
        </w:tc>
        <w:tc>
          <w:tcPr>
            <w:tcW w:w="300" w:type="dxa"/>
            <w:vAlign w:val="bottom"/>
            <w:shd w:val="clear" w:color="auto" w:fill="E4E4E4"/>
          </w:tcPr>
          <w:p>
            <w:pPr>
              <w:spacing w:after="0"/>
              <w:rPr>
                <w:sz w:val="20"/>
                <w:szCs w:val="20"/>
                <w:color w:val="auto"/>
              </w:rPr>
            </w:pPr>
          </w:p>
        </w:tc>
        <w:tc>
          <w:tcPr>
            <w:tcW w:w="20" w:type="dxa"/>
            <w:vAlign w:val="bottom"/>
            <w:tcBorders>
              <w:bottom w:val="single" w:sz="8" w:color="1E1E1E"/>
            </w:tcBorders>
            <w:shd w:val="clear" w:color="auto" w:fill="E4E4E4"/>
          </w:tcPr>
          <w:p>
            <w:pPr>
              <w:spacing w:after="0"/>
              <w:rPr>
                <w:sz w:val="20"/>
                <w:szCs w:val="20"/>
                <w:color w:val="auto"/>
              </w:rPr>
            </w:pPr>
          </w:p>
        </w:tc>
        <w:tc>
          <w:tcPr>
            <w:tcW w:w="120" w:type="dxa"/>
            <w:vAlign w:val="bottom"/>
            <w:tcBorders>
              <w:bottom w:val="single" w:sz="8" w:color="1E1E1E"/>
            </w:tcBorders>
            <w:shd w:val="clear" w:color="auto" w:fill="E4E4E4"/>
          </w:tcPr>
          <w:p>
            <w:pPr>
              <w:spacing w:after="0"/>
              <w:rPr>
                <w:sz w:val="20"/>
                <w:szCs w:val="20"/>
                <w:color w:val="auto"/>
              </w:rPr>
            </w:pPr>
          </w:p>
        </w:tc>
        <w:tc>
          <w:tcPr>
            <w:tcW w:w="1360" w:type="dxa"/>
            <w:vAlign w:val="bottom"/>
            <w:tcBorders>
              <w:bottom w:val="single" w:sz="8" w:color="1E1E1E"/>
            </w:tcBorders>
            <w:gridSpan w:val="2"/>
            <w:shd w:val="clear" w:color="auto" w:fill="E4E4E4"/>
          </w:tcPr>
          <w:p>
            <w:pPr>
              <w:jc w:val="right"/>
              <w:spacing w:after="0"/>
              <w:rPr>
                <w:sz w:val="20"/>
                <w:szCs w:val="20"/>
                <w:color w:val="auto"/>
              </w:rPr>
            </w:pPr>
            <w:r>
              <w:rPr>
                <w:rFonts w:ascii="Arial" w:cs="Arial" w:eastAsia="Arial" w:hAnsi="Arial"/>
                <w:sz w:val="20"/>
                <w:szCs w:val="20"/>
                <w:color w:val="1E1E1E"/>
              </w:rPr>
              <w:t>563</w:t>
            </w: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420" w:type="dxa"/>
            <w:vAlign w:val="bottom"/>
            <w:tcBorders>
              <w:bottom w:val="single" w:sz="8" w:color="E4E4E4"/>
            </w:tcBorders>
          </w:tcPr>
          <w:p>
            <w:pPr>
              <w:ind w:left="400"/>
              <w:spacing w:after="0" w:line="220" w:lineRule="exact"/>
              <w:rPr>
                <w:sz w:val="20"/>
                <w:szCs w:val="20"/>
                <w:color w:val="auto"/>
              </w:rPr>
            </w:pPr>
            <w:r>
              <w:rPr>
                <w:rFonts w:ascii="Arial" w:cs="Arial" w:eastAsia="Arial" w:hAnsi="Arial"/>
                <w:sz w:val="20"/>
                <w:szCs w:val="20"/>
                <w:color w:val="1E1E1E"/>
              </w:rPr>
              <w:t>Total assets</w:t>
            </w:r>
          </w:p>
        </w:tc>
        <w:tc>
          <w:tcPr>
            <w:tcW w:w="140" w:type="dxa"/>
            <w:vAlign w:val="bottom"/>
          </w:tcPr>
          <w:p>
            <w:pPr>
              <w:jc w:val="right"/>
              <w:spacing w:after="0" w:line="220" w:lineRule="exact"/>
              <w:rPr>
                <w:sz w:val="20"/>
                <w:szCs w:val="20"/>
                <w:color w:val="auto"/>
              </w:rPr>
            </w:pPr>
            <w:r>
              <w:rPr>
                <w:rFonts w:ascii="Arial" w:cs="Arial" w:eastAsia="Arial" w:hAnsi="Arial"/>
                <w:sz w:val="20"/>
                <w:szCs w:val="20"/>
                <w:color w:val="1E1E1E"/>
                <w:w w:val="71"/>
              </w:rPr>
              <w:t>$</w:t>
            </w:r>
          </w:p>
        </w:tc>
        <w:tc>
          <w:tcPr>
            <w:tcW w:w="1340" w:type="dxa"/>
            <w:vAlign w:val="bottom"/>
          </w:tcPr>
          <w:p>
            <w:pPr>
              <w:jc w:val="right"/>
              <w:spacing w:after="0" w:line="220" w:lineRule="exact"/>
              <w:rPr>
                <w:sz w:val="20"/>
                <w:szCs w:val="20"/>
                <w:color w:val="auto"/>
              </w:rPr>
            </w:pPr>
            <w:r>
              <w:rPr>
                <w:rFonts w:ascii="Arial" w:cs="Arial" w:eastAsia="Arial" w:hAnsi="Arial"/>
                <w:sz w:val="20"/>
                <w:szCs w:val="20"/>
                <w:color w:val="1E1E1E"/>
              </w:rPr>
              <w:t>357,741</w:t>
            </w:r>
          </w:p>
        </w:tc>
        <w:tc>
          <w:tcPr>
            <w:tcW w:w="3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1E1E1E"/>
                <w:w w:val="71"/>
              </w:rPr>
              <w:t>$</w:t>
            </w:r>
          </w:p>
        </w:tc>
        <w:tc>
          <w:tcPr>
            <w:tcW w:w="1340" w:type="dxa"/>
            <w:vAlign w:val="bottom"/>
          </w:tcPr>
          <w:p>
            <w:pPr>
              <w:jc w:val="right"/>
              <w:spacing w:after="0" w:line="220" w:lineRule="exact"/>
              <w:rPr>
                <w:sz w:val="20"/>
                <w:szCs w:val="20"/>
                <w:color w:val="auto"/>
              </w:rPr>
            </w:pPr>
            <w:r>
              <w:rPr>
                <w:rFonts w:ascii="Arial" w:cs="Arial" w:eastAsia="Arial" w:hAnsi="Arial"/>
                <w:sz w:val="20"/>
                <w:szCs w:val="20"/>
                <w:color w:val="1E1E1E"/>
              </w:rPr>
              <w:t>350,598</w:t>
            </w: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1340" w:type="dxa"/>
            <w:vAlign w:val="bottom"/>
            <w:shd w:val="clear" w:color="auto" w:fill="E4E4E4"/>
          </w:tcPr>
          <w:p>
            <w:pPr>
              <w:spacing w:after="0"/>
              <w:rPr>
                <w:sz w:val="20"/>
                <w:szCs w:val="20"/>
                <w:color w:val="auto"/>
              </w:rPr>
            </w:pPr>
          </w:p>
        </w:tc>
        <w:tc>
          <w:tcPr>
            <w:tcW w:w="3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3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20"/>
                <w:szCs w:val="20"/>
                <w:color w:val="1E1E1E"/>
              </w:rPr>
              <w:t>LIABILITIES AND STOCKHOLDERS' EQUITY</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420" w:type="dxa"/>
            <w:vAlign w:val="bottom"/>
            <w:shd w:val="clear" w:color="auto" w:fill="E4E4E4"/>
          </w:tcPr>
          <w:p>
            <w:pPr>
              <w:spacing w:after="0" w:line="228" w:lineRule="exact"/>
              <w:rPr>
                <w:sz w:val="20"/>
                <w:szCs w:val="20"/>
                <w:color w:val="auto"/>
              </w:rPr>
            </w:pPr>
            <w:r>
              <w:rPr>
                <w:rFonts w:ascii="Arial" w:cs="Arial" w:eastAsia="Arial" w:hAnsi="Arial"/>
                <w:sz w:val="20"/>
                <w:szCs w:val="20"/>
                <w:color w:val="1E1E1E"/>
              </w:rPr>
              <w:t>Current liabilities:</w:t>
            </w:r>
          </w:p>
        </w:tc>
        <w:tc>
          <w:tcPr>
            <w:tcW w:w="140" w:type="dxa"/>
            <w:vAlign w:val="bottom"/>
            <w:shd w:val="clear" w:color="auto" w:fill="E4E4E4"/>
          </w:tcPr>
          <w:p>
            <w:pPr>
              <w:spacing w:after="0"/>
              <w:rPr>
                <w:sz w:val="19"/>
                <w:szCs w:val="19"/>
                <w:color w:val="auto"/>
              </w:rPr>
            </w:pPr>
          </w:p>
        </w:tc>
        <w:tc>
          <w:tcPr>
            <w:tcW w:w="134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3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0"/>
              <w:spacing w:after="0"/>
              <w:rPr>
                <w:sz w:val="20"/>
                <w:szCs w:val="20"/>
                <w:color w:val="auto"/>
              </w:rPr>
            </w:pPr>
            <w:r>
              <w:rPr>
                <w:rFonts w:ascii="Arial" w:cs="Arial" w:eastAsia="Arial" w:hAnsi="Arial"/>
                <w:sz w:val="20"/>
                <w:szCs w:val="20"/>
                <w:color w:val="1E1E1E"/>
              </w:rPr>
              <w:t>Accounts payable</w:t>
            </w:r>
          </w:p>
        </w:tc>
        <w:tc>
          <w:tcPr>
            <w:tcW w:w="140" w:type="dxa"/>
            <w:vAlign w:val="bottom"/>
          </w:tcPr>
          <w:p>
            <w:pPr>
              <w:jc w:val="right"/>
              <w:spacing w:after="0"/>
              <w:rPr>
                <w:sz w:val="20"/>
                <w:szCs w:val="20"/>
                <w:color w:val="auto"/>
              </w:rPr>
            </w:pPr>
            <w:r>
              <w:rPr>
                <w:rFonts w:ascii="Arial" w:cs="Arial" w:eastAsia="Arial" w:hAnsi="Arial"/>
                <w:sz w:val="20"/>
                <w:szCs w:val="20"/>
                <w:color w:val="1E1E1E"/>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1E1E1E"/>
              </w:rPr>
              <w:t>17,353</w:t>
            </w:r>
          </w:p>
        </w:tc>
        <w:tc>
          <w:tcPr>
            <w:tcW w:w="3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20"/>
                <w:szCs w:val="20"/>
                <w:color w:val="1E1E1E"/>
                <w:w w:val="71"/>
              </w:rPr>
              <w:t>$</w:t>
            </w:r>
          </w:p>
        </w:tc>
        <w:tc>
          <w:tcPr>
            <w:tcW w:w="1460" w:type="dxa"/>
            <w:vAlign w:val="bottom"/>
            <w:gridSpan w:val="3"/>
          </w:tcPr>
          <w:p>
            <w:pPr>
              <w:jc w:val="right"/>
              <w:ind w:right="100"/>
              <w:spacing w:after="0"/>
              <w:rPr>
                <w:sz w:val="20"/>
                <w:szCs w:val="20"/>
                <w:color w:val="auto"/>
              </w:rPr>
            </w:pPr>
            <w:r>
              <w:rPr>
                <w:rFonts w:ascii="Arial" w:cs="Arial" w:eastAsia="Arial" w:hAnsi="Arial"/>
                <w:sz w:val="20"/>
                <w:szCs w:val="20"/>
                <w:color w:val="1E1E1E"/>
              </w:rPr>
              <w:t>27,548</w:t>
            </w:r>
          </w:p>
        </w:tc>
        <w:tc>
          <w:tcPr>
            <w:tcW w:w="0" w:type="dxa"/>
            <w:vAlign w:val="bottom"/>
          </w:tcPr>
          <w:p>
            <w:pPr>
              <w:spacing w:after="0"/>
              <w:rPr>
                <w:sz w:val="1"/>
                <w:szCs w:val="1"/>
                <w:color w:val="auto"/>
              </w:rPr>
            </w:pPr>
          </w:p>
        </w:tc>
      </w:tr>
      <w:tr>
        <w:trPr>
          <w:trHeight w:val="230"/>
        </w:trPr>
        <w:tc>
          <w:tcPr>
            <w:tcW w:w="7420" w:type="dxa"/>
            <w:vAlign w:val="bottom"/>
            <w:shd w:val="clear" w:color="auto" w:fill="E4E4E4"/>
          </w:tcPr>
          <w:p>
            <w:pPr>
              <w:ind w:left="200"/>
              <w:spacing w:after="0"/>
              <w:rPr>
                <w:sz w:val="20"/>
                <w:szCs w:val="20"/>
                <w:color w:val="auto"/>
              </w:rPr>
            </w:pPr>
            <w:r>
              <w:rPr>
                <w:rFonts w:ascii="Arial" w:cs="Arial" w:eastAsia="Arial" w:hAnsi="Arial"/>
                <w:sz w:val="20"/>
                <w:szCs w:val="20"/>
                <w:color w:val="1E1E1E"/>
              </w:rPr>
              <w:t>Accrued expenses and other current liabilities</w:t>
            </w:r>
          </w:p>
        </w:tc>
        <w:tc>
          <w:tcPr>
            <w:tcW w:w="140" w:type="dxa"/>
            <w:vAlign w:val="bottom"/>
            <w:shd w:val="clear" w:color="auto" w:fill="E4E4E4"/>
          </w:tcPr>
          <w:p>
            <w:pPr>
              <w:spacing w:after="0"/>
              <w:rPr>
                <w:sz w:val="20"/>
                <w:szCs w:val="20"/>
                <w:color w:val="auto"/>
              </w:rPr>
            </w:pPr>
          </w:p>
        </w:tc>
        <w:tc>
          <w:tcPr>
            <w:tcW w:w="134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35,302</w:t>
            </w:r>
          </w:p>
        </w:tc>
        <w:tc>
          <w:tcPr>
            <w:tcW w:w="3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460" w:type="dxa"/>
            <w:vAlign w:val="bottom"/>
            <w:gridSpan w:val="3"/>
            <w:shd w:val="clear" w:color="auto" w:fill="E4E4E4"/>
          </w:tcPr>
          <w:p>
            <w:pPr>
              <w:jc w:val="right"/>
              <w:ind w:right="100"/>
              <w:spacing w:after="0"/>
              <w:rPr>
                <w:sz w:val="20"/>
                <w:szCs w:val="20"/>
                <w:color w:val="auto"/>
              </w:rPr>
            </w:pPr>
            <w:r>
              <w:rPr>
                <w:rFonts w:ascii="Arial" w:cs="Arial" w:eastAsia="Arial" w:hAnsi="Arial"/>
                <w:sz w:val="20"/>
                <w:szCs w:val="20"/>
                <w:color w:val="1E1E1E"/>
              </w:rPr>
              <w:t>36,875</w:t>
            </w:r>
          </w:p>
        </w:tc>
        <w:tc>
          <w:tcPr>
            <w:tcW w:w="0" w:type="dxa"/>
            <w:vAlign w:val="bottom"/>
          </w:tcPr>
          <w:p>
            <w:pPr>
              <w:spacing w:after="0"/>
              <w:rPr>
                <w:sz w:val="1"/>
                <w:szCs w:val="1"/>
                <w:color w:val="auto"/>
              </w:rPr>
            </w:pPr>
          </w:p>
        </w:tc>
      </w:tr>
      <w:tr>
        <w:trPr>
          <w:trHeight w:val="229"/>
        </w:trPr>
        <w:tc>
          <w:tcPr>
            <w:tcW w:w="7420" w:type="dxa"/>
            <w:vAlign w:val="bottom"/>
          </w:tcPr>
          <w:p>
            <w:pPr>
              <w:ind w:left="200"/>
              <w:spacing w:after="0"/>
              <w:rPr>
                <w:sz w:val="20"/>
                <w:szCs w:val="20"/>
                <w:color w:val="auto"/>
              </w:rPr>
            </w:pPr>
            <w:r>
              <w:rPr>
                <w:rFonts w:ascii="Arial" w:cs="Arial" w:eastAsia="Arial" w:hAnsi="Arial"/>
                <w:sz w:val="20"/>
                <w:szCs w:val="20"/>
                <w:color w:val="1E1E1E"/>
              </w:rPr>
              <w:t>Operating leases, current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1E1E1E"/>
              </w:rPr>
              <w:t>37,221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20"/>
                <w:szCs w:val="20"/>
                <w:color w:val="1E1E1E"/>
              </w:rPr>
              <w:t>37,329</w:t>
            </w:r>
          </w:p>
        </w:tc>
        <w:tc>
          <w:tcPr>
            <w:tcW w:w="0" w:type="dxa"/>
            <w:vAlign w:val="bottom"/>
          </w:tcPr>
          <w:p>
            <w:pPr>
              <w:spacing w:after="0"/>
              <w:rPr>
                <w:sz w:val="1"/>
                <w:szCs w:val="1"/>
                <w:color w:val="auto"/>
              </w:rPr>
            </w:pPr>
          </w:p>
        </w:tc>
      </w:tr>
      <w:tr>
        <w:trPr>
          <w:trHeight w:val="220"/>
        </w:trPr>
        <w:tc>
          <w:tcPr>
            <w:tcW w:w="7420" w:type="dxa"/>
            <w:vAlign w:val="bottom"/>
            <w:tcBorders>
              <w:top w:val="single" w:sz="8" w:color="E4E4E4"/>
              <w:bottom w:val="single" w:sz="8" w:color="E4E4E4"/>
            </w:tcBorders>
            <w:shd w:val="clear" w:color="auto" w:fill="E4E4E4"/>
          </w:tcPr>
          <w:p>
            <w:pPr>
              <w:ind w:left="400"/>
              <w:spacing w:after="0" w:line="220" w:lineRule="exact"/>
              <w:rPr>
                <w:sz w:val="20"/>
                <w:szCs w:val="20"/>
                <w:color w:val="auto"/>
              </w:rPr>
            </w:pPr>
            <w:r>
              <w:rPr>
                <w:rFonts w:ascii="Arial" w:cs="Arial" w:eastAsia="Arial" w:hAnsi="Arial"/>
                <w:sz w:val="20"/>
                <w:szCs w:val="20"/>
                <w:color w:val="1E1E1E"/>
              </w:rPr>
              <w:t>Total current liabilities</w:t>
            </w:r>
          </w:p>
        </w:tc>
        <w:tc>
          <w:tcPr>
            <w:tcW w:w="140" w:type="dxa"/>
            <w:vAlign w:val="bottom"/>
            <w:tcBorders>
              <w:top w:val="single" w:sz="8" w:color="1E1E1E"/>
              <w:bottom w:val="single" w:sz="8" w:color="1E1E1E"/>
            </w:tcBorders>
            <w:shd w:val="clear" w:color="auto" w:fill="E4E4E4"/>
          </w:tcPr>
          <w:p>
            <w:pPr>
              <w:spacing w:after="0"/>
              <w:rPr>
                <w:sz w:val="19"/>
                <w:szCs w:val="19"/>
                <w:color w:val="auto"/>
              </w:rPr>
            </w:pPr>
          </w:p>
        </w:tc>
        <w:tc>
          <w:tcPr>
            <w:tcW w:w="134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89,876</w:t>
            </w:r>
          </w:p>
        </w:tc>
        <w:tc>
          <w:tcPr>
            <w:tcW w:w="300" w:type="dxa"/>
            <w:vAlign w:val="bottom"/>
            <w:tcBorders>
              <w:top w:val="single" w:sz="8" w:color="E4E4E4"/>
              <w:bottom w:val="single" w:sz="8" w:color="E4E4E4"/>
            </w:tcBorders>
            <w:shd w:val="clear" w:color="auto" w:fill="E4E4E4"/>
          </w:tcPr>
          <w:p>
            <w:pPr>
              <w:spacing w:after="0"/>
              <w:rPr>
                <w:sz w:val="19"/>
                <w:szCs w:val="19"/>
                <w:color w:val="auto"/>
              </w:rPr>
            </w:pPr>
          </w:p>
        </w:tc>
        <w:tc>
          <w:tcPr>
            <w:tcW w:w="20" w:type="dxa"/>
            <w:vAlign w:val="bottom"/>
            <w:tcBorders>
              <w:top w:val="single" w:sz="8" w:color="1E1E1E"/>
              <w:bottom w:val="single" w:sz="8" w:color="1E1E1E"/>
            </w:tcBorders>
            <w:shd w:val="clear" w:color="auto" w:fill="E4E4E4"/>
          </w:tcPr>
          <w:p>
            <w:pPr>
              <w:spacing w:after="0"/>
              <w:rPr>
                <w:sz w:val="19"/>
                <w:szCs w:val="19"/>
                <w:color w:val="auto"/>
              </w:rPr>
            </w:pPr>
          </w:p>
        </w:tc>
        <w:tc>
          <w:tcPr>
            <w:tcW w:w="120" w:type="dxa"/>
            <w:vAlign w:val="bottom"/>
            <w:tcBorders>
              <w:top w:val="single" w:sz="8" w:color="1E1E1E"/>
              <w:bottom w:val="single" w:sz="8" w:color="1E1E1E"/>
            </w:tcBorders>
            <w:shd w:val="clear" w:color="auto" w:fill="E4E4E4"/>
          </w:tcPr>
          <w:p>
            <w:pPr>
              <w:spacing w:after="0"/>
              <w:rPr>
                <w:sz w:val="19"/>
                <w:szCs w:val="19"/>
                <w:color w:val="auto"/>
              </w:rPr>
            </w:pPr>
          </w:p>
        </w:tc>
        <w:tc>
          <w:tcPr>
            <w:tcW w:w="134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101,752</w:t>
            </w:r>
          </w:p>
        </w:tc>
        <w:tc>
          <w:tcPr>
            <w:tcW w:w="20" w:type="dxa"/>
            <w:vAlign w:val="bottom"/>
            <w:tcBorders>
              <w:top w:val="single" w:sz="8" w:color="1E1E1E"/>
              <w:bottom w:val="single" w:sz="8" w:color="1E1E1E"/>
            </w:tcBorders>
            <w:shd w:val="clear" w:color="auto" w:fill="E4E4E4"/>
          </w:tcPr>
          <w:p>
            <w:pPr>
              <w:spacing w:after="0"/>
              <w:rPr>
                <w:sz w:val="19"/>
                <w:szCs w:val="19"/>
                <w:color w:val="auto"/>
              </w:rPr>
            </w:pPr>
          </w:p>
        </w:tc>
        <w:tc>
          <w:tcPr>
            <w:tcW w:w="100" w:type="dxa"/>
            <w:vAlign w:val="bottom"/>
            <w:tcBorders>
              <w:top w:val="single" w:sz="8" w:color="E4E4E4"/>
              <w:bottom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E4E4E4"/>
          </w:tcPr>
          <w:p>
            <w:pPr>
              <w:spacing w:after="0"/>
              <w:rPr>
                <w:sz w:val="20"/>
                <w:szCs w:val="20"/>
                <w:color w:val="auto"/>
              </w:rPr>
            </w:pPr>
            <w:r>
              <w:rPr>
                <w:rFonts w:ascii="Arial" w:cs="Arial" w:eastAsia="Arial" w:hAnsi="Arial"/>
                <w:sz w:val="20"/>
                <w:szCs w:val="20"/>
                <w:color w:val="1E1E1E"/>
              </w:rPr>
              <w:t>Long-term liabilities:</w:t>
            </w:r>
          </w:p>
        </w:tc>
        <w:tc>
          <w:tcPr>
            <w:tcW w:w="140" w:type="dxa"/>
            <w:vAlign w:val="bottom"/>
            <w:shd w:val="clear" w:color="auto" w:fill="E4E4E4"/>
          </w:tcPr>
          <w:p>
            <w:pPr>
              <w:spacing w:after="0"/>
              <w:rPr>
                <w:sz w:val="20"/>
                <w:szCs w:val="20"/>
                <w:color w:val="auto"/>
              </w:rPr>
            </w:pPr>
          </w:p>
        </w:tc>
        <w:tc>
          <w:tcPr>
            <w:tcW w:w="1340" w:type="dxa"/>
            <w:vAlign w:val="bottom"/>
            <w:shd w:val="clear" w:color="auto" w:fill="E4E4E4"/>
          </w:tcPr>
          <w:p>
            <w:pPr>
              <w:spacing w:after="0"/>
              <w:rPr>
                <w:sz w:val="20"/>
                <w:szCs w:val="20"/>
                <w:color w:val="auto"/>
              </w:rPr>
            </w:pPr>
          </w:p>
        </w:tc>
        <w:tc>
          <w:tcPr>
            <w:tcW w:w="3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3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420" w:type="dxa"/>
            <w:vAlign w:val="bottom"/>
          </w:tcPr>
          <w:p>
            <w:pPr>
              <w:ind w:left="200"/>
              <w:spacing w:after="0" w:line="228" w:lineRule="exact"/>
              <w:rPr>
                <w:sz w:val="20"/>
                <w:szCs w:val="20"/>
                <w:color w:val="auto"/>
              </w:rPr>
            </w:pPr>
            <w:r>
              <w:rPr>
                <w:rFonts w:ascii="Arial" w:cs="Arial" w:eastAsia="Arial" w:hAnsi="Arial"/>
                <w:sz w:val="20"/>
                <w:szCs w:val="20"/>
                <w:color w:val="1E1E1E"/>
              </w:rPr>
              <w:t>Operating leases, noncurrent</w:t>
            </w:r>
          </w:p>
        </w:tc>
        <w:tc>
          <w:tcPr>
            <w:tcW w:w="140" w:type="dxa"/>
            <w:vAlign w:val="bottom"/>
          </w:tcPr>
          <w:p>
            <w:pPr>
              <w:spacing w:after="0"/>
              <w:rPr>
                <w:sz w:val="19"/>
                <w:szCs w:val="19"/>
                <w:color w:val="auto"/>
              </w:rPr>
            </w:pPr>
          </w:p>
        </w:tc>
        <w:tc>
          <w:tcPr>
            <w:tcW w:w="1640" w:type="dxa"/>
            <w:vAlign w:val="bottom"/>
            <w:gridSpan w:val="2"/>
          </w:tcPr>
          <w:p>
            <w:pPr>
              <w:jc w:val="right"/>
              <w:ind w:right="280"/>
              <w:spacing w:after="0" w:line="228" w:lineRule="exact"/>
              <w:rPr>
                <w:sz w:val="20"/>
                <w:szCs w:val="20"/>
                <w:color w:val="auto"/>
              </w:rPr>
            </w:pPr>
            <w:r>
              <w:rPr>
                <w:rFonts w:ascii="Arial" w:cs="Arial" w:eastAsia="Arial" w:hAnsi="Arial"/>
                <w:sz w:val="20"/>
                <w:szCs w:val="20"/>
                <w:color w:val="1E1E1E"/>
              </w:rPr>
              <w:t>117,316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spacing w:after="0" w:line="228" w:lineRule="exact"/>
              <w:rPr>
                <w:sz w:val="20"/>
                <w:szCs w:val="20"/>
                <w:color w:val="auto"/>
              </w:rPr>
            </w:pPr>
            <w:r>
              <w:rPr>
                <w:rFonts w:ascii="Arial" w:cs="Arial" w:eastAsia="Arial" w:hAnsi="Arial"/>
                <w:sz w:val="20"/>
                <w:szCs w:val="20"/>
                <w:color w:val="1E1E1E"/>
              </w:rPr>
              <w:t>106,912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E4E4E4"/>
          </w:tcPr>
          <w:p>
            <w:pPr>
              <w:ind w:left="200"/>
              <w:spacing w:after="0"/>
              <w:rPr>
                <w:sz w:val="20"/>
                <w:szCs w:val="20"/>
                <w:color w:val="auto"/>
              </w:rPr>
            </w:pPr>
            <w:r>
              <w:rPr>
                <w:rFonts w:ascii="Arial" w:cs="Arial" w:eastAsia="Arial" w:hAnsi="Arial"/>
                <w:sz w:val="20"/>
                <w:szCs w:val="20"/>
                <w:color w:val="1E1E1E"/>
              </w:rPr>
              <w:t>Other long-term liabilities</w:t>
            </w:r>
          </w:p>
        </w:tc>
        <w:tc>
          <w:tcPr>
            <w:tcW w:w="140" w:type="dxa"/>
            <w:vAlign w:val="bottom"/>
            <w:shd w:val="clear" w:color="auto" w:fill="E4E4E4"/>
          </w:tcPr>
          <w:p>
            <w:pPr>
              <w:spacing w:after="0"/>
              <w:rPr>
                <w:sz w:val="20"/>
                <w:szCs w:val="20"/>
                <w:color w:val="auto"/>
              </w:rPr>
            </w:pPr>
          </w:p>
        </w:tc>
        <w:tc>
          <w:tcPr>
            <w:tcW w:w="1640" w:type="dxa"/>
            <w:vAlign w:val="bottom"/>
            <w:gridSpan w:val="2"/>
            <w:shd w:val="clear" w:color="auto" w:fill="E4E4E4"/>
          </w:tcPr>
          <w:p>
            <w:pPr>
              <w:jc w:val="right"/>
              <w:ind w:right="280"/>
              <w:spacing w:after="0"/>
              <w:rPr>
                <w:sz w:val="20"/>
                <w:szCs w:val="20"/>
                <w:color w:val="auto"/>
              </w:rPr>
            </w:pPr>
            <w:r>
              <w:rPr>
                <w:rFonts w:ascii="Arial" w:cs="Arial" w:eastAsia="Arial" w:hAnsi="Arial"/>
                <w:sz w:val="20"/>
                <w:szCs w:val="20"/>
                <w:color w:val="1E1E1E"/>
              </w:rPr>
              <w:t>1,596</w:t>
            </w: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460" w:type="dxa"/>
            <w:vAlign w:val="bottom"/>
            <w:gridSpan w:val="3"/>
            <w:shd w:val="clear" w:color="auto" w:fill="E4E4E4"/>
          </w:tcPr>
          <w:p>
            <w:pPr>
              <w:jc w:val="right"/>
              <w:ind w:right="100"/>
              <w:spacing w:after="0"/>
              <w:rPr>
                <w:sz w:val="20"/>
                <w:szCs w:val="20"/>
                <w:color w:val="auto"/>
              </w:rPr>
            </w:pPr>
            <w:r>
              <w:rPr>
                <w:rFonts w:ascii="Arial" w:cs="Arial" w:eastAsia="Arial" w:hAnsi="Arial"/>
                <w:sz w:val="20"/>
                <w:szCs w:val="20"/>
                <w:color w:val="1E1E1E"/>
              </w:rPr>
              <w:t>4,706</w:t>
            </w:r>
          </w:p>
        </w:tc>
        <w:tc>
          <w:tcPr>
            <w:tcW w:w="0" w:type="dxa"/>
            <w:vAlign w:val="bottom"/>
          </w:tcPr>
          <w:p>
            <w:pPr>
              <w:spacing w:after="0"/>
              <w:rPr>
                <w:sz w:val="1"/>
                <w:szCs w:val="1"/>
                <w:color w:val="auto"/>
              </w:rPr>
            </w:pPr>
          </w:p>
        </w:tc>
      </w:tr>
      <w:tr>
        <w:trPr>
          <w:trHeight w:val="220"/>
        </w:trPr>
        <w:tc>
          <w:tcPr>
            <w:tcW w:w="7420" w:type="dxa"/>
            <w:vAlign w:val="bottom"/>
            <w:tcBorders>
              <w:bottom w:val="single" w:sz="8" w:color="E4E4E4"/>
            </w:tcBorders>
          </w:tcPr>
          <w:p>
            <w:pPr>
              <w:ind w:left="400"/>
              <w:spacing w:after="0" w:line="220" w:lineRule="exact"/>
              <w:rPr>
                <w:sz w:val="20"/>
                <w:szCs w:val="20"/>
                <w:color w:val="auto"/>
              </w:rPr>
            </w:pPr>
            <w:r>
              <w:rPr>
                <w:rFonts w:ascii="Arial" w:cs="Arial" w:eastAsia="Arial" w:hAnsi="Arial"/>
                <w:sz w:val="20"/>
                <w:szCs w:val="20"/>
                <w:color w:val="1E1E1E"/>
              </w:rPr>
              <w:t>Total long-term liabilities</w:t>
            </w:r>
          </w:p>
        </w:tc>
        <w:tc>
          <w:tcPr>
            <w:tcW w:w="140" w:type="dxa"/>
            <w:vAlign w:val="bottom"/>
            <w:tcBorders>
              <w:top w:val="single" w:sz="8" w:color="1E1E1E"/>
              <w:bottom w:val="single" w:sz="8" w:color="1E1E1E"/>
            </w:tcBorders>
          </w:tcPr>
          <w:p>
            <w:pPr>
              <w:spacing w:after="0"/>
              <w:rPr>
                <w:sz w:val="19"/>
                <w:szCs w:val="19"/>
                <w:color w:val="auto"/>
              </w:rPr>
            </w:pPr>
          </w:p>
        </w:tc>
        <w:tc>
          <w:tcPr>
            <w:tcW w:w="1340" w:type="dxa"/>
            <w:vAlign w:val="bottom"/>
            <w:tcBorders>
              <w:top w:val="single" w:sz="8" w:color="1E1E1E"/>
              <w:bottom w:val="single" w:sz="8" w:color="1E1E1E"/>
            </w:tcBorders>
          </w:tcPr>
          <w:p>
            <w:pPr>
              <w:jc w:val="right"/>
              <w:spacing w:after="0" w:line="220" w:lineRule="exact"/>
              <w:rPr>
                <w:sz w:val="20"/>
                <w:szCs w:val="20"/>
                <w:color w:val="auto"/>
              </w:rPr>
            </w:pPr>
            <w:r>
              <w:rPr>
                <w:rFonts w:ascii="Arial" w:cs="Arial" w:eastAsia="Arial" w:hAnsi="Arial"/>
                <w:sz w:val="20"/>
                <w:szCs w:val="20"/>
                <w:color w:val="1E1E1E"/>
              </w:rPr>
              <w:t>118,912</w:t>
            </w:r>
          </w:p>
        </w:tc>
        <w:tc>
          <w:tcPr>
            <w:tcW w:w="300" w:type="dxa"/>
            <w:vAlign w:val="bottom"/>
            <w:tcBorders>
              <w:bottom w:val="single" w:sz="8" w:color="E4E4E4"/>
            </w:tcBorders>
          </w:tcPr>
          <w:p>
            <w:pPr>
              <w:spacing w:after="0"/>
              <w:rPr>
                <w:sz w:val="19"/>
                <w:szCs w:val="19"/>
                <w:color w:val="auto"/>
              </w:rPr>
            </w:pPr>
          </w:p>
        </w:tc>
        <w:tc>
          <w:tcPr>
            <w:tcW w:w="20" w:type="dxa"/>
            <w:vAlign w:val="bottom"/>
            <w:tcBorders>
              <w:top w:val="single" w:sz="8" w:color="1E1E1E"/>
              <w:bottom w:val="single" w:sz="8" w:color="1E1E1E"/>
            </w:tcBorders>
          </w:tcPr>
          <w:p>
            <w:pPr>
              <w:spacing w:after="0"/>
              <w:rPr>
                <w:sz w:val="19"/>
                <w:szCs w:val="19"/>
                <w:color w:val="auto"/>
              </w:rPr>
            </w:pPr>
          </w:p>
        </w:tc>
        <w:tc>
          <w:tcPr>
            <w:tcW w:w="120" w:type="dxa"/>
            <w:vAlign w:val="bottom"/>
            <w:tcBorders>
              <w:top w:val="single" w:sz="8" w:color="1E1E1E"/>
              <w:bottom w:val="single" w:sz="8" w:color="1E1E1E"/>
            </w:tcBorders>
          </w:tcPr>
          <w:p>
            <w:pPr>
              <w:spacing w:after="0"/>
              <w:rPr>
                <w:sz w:val="19"/>
                <w:szCs w:val="19"/>
                <w:color w:val="auto"/>
              </w:rPr>
            </w:pPr>
          </w:p>
        </w:tc>
        <w:tc>
          <w:tcPr>
            <w:tcW w:w="1340" w:type="dxa"/>
            <w:vAlign w:val="bottom"/>
            <w:tcBorders>
              <w:top w:val="single" w:sz="8" w:color="1E1E1E"/>
              <w:bottom w:val="single" w:sz="8" w:color="1E1E1E"/>
            </w:tcBorders>
          </w:tcPr>
          <w:p>
            <w:pPr>
              <w:jc w:val="right"/>
              <w:spacing w:after="0" w:line="220" w:lineRule="exact"/>
              <w:rPr>
                <w:sz w:val="20"/>
                <w:szCs w:val="20"/>
                <w:color w:val="auto"/>
              </w:rPr>
            </w:pPr>
            <w:r>
              <w:rPr>
                <w:rFonts w:ascii="Arial" w:cs="Arial" w:eastAsia="Arial" w:hAnsi="Arial"/>
                <w:sz w:val="20"/>
                <w:szCs w:val="20"/>
                <w:color w:val="1E1E1E"/>
              </w:rPr>
              <w:t>111,618</w:t>
            </w:r>
          </w:p>
        </w:tc>
        <w:tc>
          <w:tcPr>
            <w:tcW w:w="20" w:type="dxa"/>
            <w:vAlign w:val="bottom"/>
            <w:tcBorders>
              <w:top w:val="single" w:sz="8" w:color="1E1E1E"/>
              <w:bottom w:val="single" w:sz="8" w:color="1E1E1E"/>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4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34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3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20"/>
                <w:szCs w:val="20"/>
                <w:color w:val="1E1E1E"/>
              </w:rPr>
              <w:t>Commitments and contingencies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1340" w:type="dxa"/>
            <w:vAlign w:val="bottom"/>
            <w:shd w:val="clear" w:color="auto" w:fill="E4E4E4"/>
          </w:tcPr>
          <w:p>
            <w:pPr>
              <w:spacing w:after="0"/>
              <w:rPr>
                <w:sz w:val="20"/>
                <w:szCs w:val="20"/>
                <w:color w:val="auto"/>
              </w:rPr>
            </w:pPr>
          </w:p>
        </w:tc>
        <w:tc>
          <w:tcPr>
            <w:tcW w:w="3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3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20"/>
                <w:szCs w:val="20"/>
                <w:color w:val="1E1E1E"/>
              </w:rPr>
              <w:t>Stockholders' equity:</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E4E4E4"/>
          </w:tcPr>
          <w:p>
            <w:pPr>
              <w:ind w:left="200"/>
              <w:spacing w:after="0"/>
              <w:rPr>
                <w:sz w:val="20"/>
                <w:szCs w:val="20"/>
                <w:color w:val="auto"/>
              </w:rPr>
            </w:pPr>
            <w:r>
              <w:rPr>
                <w:rFonts w:ascii="Arial" w:cs="Arial" w:eastAsia="Arial" w:hAnsi="Arial"/>
                <w:sz w:val="20"/>
                <w:szCs w:val="20"/>
                <w:color w:val="1E1E1E"/>
              </w:rPr>
              <w:t>Preferred stock, $0.01 par value, 1,000,000 shares authorized, none issued</w:t>
            </w:r>
          </w:p>
        </w:tc>
        <w:tc>
          <w:tcPr>
            <w:tcW w:w="140" w:type="dxa"/>
            <w:vAlign w:val="bottom"/>
            <w:shd w:val="clear" w:color="auto" w:fill="E4E4E4"/>
          </w:tcPr>
          <w:p>
            <w:pPr>
              <w:spacing w:after="0"/>
              <w:rPr>
                <w:sz w:val="20"/>
                <w:szCs w:val="20"/>
                <w:color w:val="auto"/>
              </w:rPr>
            </w:pPr>
          </w:p>
        </w:tc>
        <w:tc>
          <w:tcPr>
            <w:tcW w:w="1640" w:type="dxa"/>
            <w:vAlign w:val="bottom"/>
            <w:gridSpan w:val="2"/>
            <w:shd w:val="clear" w:color="auto" w:fill="E4E4E4"/>
          </w:tcPr>
          <w:p>
            <w:pPr>
              <w:jc w:val="right"/>
              <w:ind w:right="300"/>
              <w:spacing w:after="0"/>
              <w:rPr>
                <w:sz w:val="20"/>
                <w:szCs w:val="20"/>
                <w:color w:val="auto"/>
              </w:rPr>
            </w:pPr>
            <w:r>
              <w:rPr>
                <w:rFonts w:ascii="Arial" w:cs="Arial" w:eastAsia="Arial" w:hAnsi="Arial"/>
                <w:sz w:val="20"/>
                <w:szCs w:val="20"/>
                <w:color w:val="1E1E1E"/>
              </w:rPr>
              <w:t>—</w:t>
            </w: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460" w:type="dxa"/>
            <w:vAlign w:val="bottom"/>
            <w:gridSpan w:val="3"/>
            <w:shd w:val="clear" w:color="auto" w:fill="E4E4E4"/>
          </w:tcPr>
          <w:p>
            <w:pPr>
              <w:jc w:val="right"/>
              <w:ind w:right="100"/>
              <w:spacing w:after="0"/>
              <w:rPr>
                <w:sz w:val="20"/>
                <w:szCs w:val="20"/>
                <w:color w:val="auto"/>
              </w:rPr>
            </w:pPr>
            <w:r>
              <w:rPr>
                <w:rFonts w:ascii="Arial" w:cs="Arial" w:eastAsia="Arial" w:hAnsi="Arial"/>
                <w:sz w:val="20"/>
                <w:szCs w:val="20"/>
                <w:color w:val="1E1E1E"/>
              </w:rPr>
              <w:t>—</w:t>
            </w:r>
          </w:p>
        </w:tc>
        <w:tc>
          <w:tcPr>
            <w:tcW w:w="0" w:type="dxa"/>
            <w:vAlign w:val="bottom"/>
          </w:tcPr>
          <w:p>
            <w:pPr>
              <w:spacing w:after="0"/>
              <w:rPr>
                <w:sz w:val="1"/>
                <w:szCs w:val="1"/>
                <w:color w:val="auto"/>
              </w:rPr>
            </w:pPr>
          </w:p>
        </w:tc>
      </w:tr>
      <w:tr>
        <w:trPr>
          <w:trHeight w:val="210"/>
        </w:trPr>
        <w:tc>
          <w:tcPr>
            <w:tcW w:w="7420" w:type="dxa"/>
            <w:vAlign w:val="bottom"/>
          </w:tcPr>
          <w:p>
            <w:pPr>
              <w:ind w:left="200"/>
              <w:spacing w:after="0" w:line="210" w:lineRule="exact"/>
              <w:rPr>
                <w:sz w:val="20"/>
                <w:szCs w:val="20"/>
                <w:color w:val="auto"/>
              </w:rPr>
            </w:pPr>
            <w:r>
              <w:rPr>
                <w:rFonts w:ascii="Arial" w:cs="Arial" w:eastAsia="Arial" w:hAnsi="Arial"/>
                <w:sz w:val="20"/>
                <w:szCs w:val="20"/>
                <w:color w:val="1E1E1E"/>
              </w:rPr>
              <w:t>Common stock, $0.01 par value, 125,000,000 shares authorized, 79,033,378 and</w:t>
            </w:r>
          </w:p>
        </w:tc>
        <w:tc>
          <w:tcPr>
            <w:tcW w:w="14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Arial" w:cs="Arial" w:eastAsia="Arial" w:hAnsi="Arial"/>
                <w:sz w:val="20"/>
                <w:szCs w:val="20"/>
                <w:color w:val="1E1E1E"/>
              </w:rPr>
              <w:t>790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20"/>
                <w:szCs w:val="20"/>
                <w:color w:val="1E1E1E"/>
              </w:rPr>
              <w:t>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420" w:type="dxa"/>
            <w:vAlign w:val="bottom"/>
          </w:tcPr>
          <w:p>
            <w:pPr>
              <w:ind w:left="200"/>
              <w:spacing w:after="0"/>
              <w:rPr>
                <w:sz w:val="20"/>
                <w:szCs w:val="20"/>
                <w:color w:val="auto"/>
              </w:rPr>
            </w:pPr>
            <w:r>
              <w:rPr>
                <w:rFonts w:ascii="Arial" w:cs="Arial" w:eastAsia="Arial" w:hAnsi="Arial"/>
                <w:sz w:val="20"/>
                <w:szCs w:val="20"/>
                <w:color w:val="1E1E1E"/>
                <w:w w:val="99"/>
              </w:rPr>
              <w:t>78,229,861 shares issued at February 3, 2024 and January 28, 2023, respectively</w:t>
            </w:r>
          </w:p>
        </w:tc>
        <w:tc>
          <w:tcPr>
            <w:tcW w:w="14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E4E4E4"/>
          </w:tcPr>
          <w:p>
            <w:pPr>
              <w:ind w:left="200"/>
              <w:spacing w:after="0"/>
              <w:rPr>
                <w:sz w:val="20"/>
                <w:szCs w:val="20"/>
                <w:color w:val="auto"/>
              </w:rPr>
            </w:pPr>
            <w:r>
              <w:rPr>
                <w:rFonts w:ascii="Arial" w:cs="Arial" w:eastAsia="Arial" w:hAnsi="Arial"/>
                <w:sz w:val="20"/>
                <w:szCs w:val="20"/>
                <w:color w:val="1E1E1E"/>
              </w:rPr>
              <w:t>Additional paid-in capital</w:t>
            </w:r>
          </w:p>
        </w:tc>
        <w:tc>
          <w:tcPr>
            <w:tcW w:w="140" w:type="dxa"/>
            <w:vAlign w:val="bottom"/>
            <w:shd w:val="clear" w:color="auto" w:fill="E4E4E4"/>
          </w:tcPr>
          <w:p>
            <w:pPr>
              <w:spacing w:after="0"/>
              <w:rPr>
                <w:sz w:val="20"/>
                <w:szCs w:val="20"/>
                <w:color w:val="auto"/>
              </w:rPr>
            </w:pPr>
          </w:p>
        </w:tc>
        <w:tc>
          <w:tcPr>
            <w:tcW w:w="1640" w:type="dxa"/>
            <w:vAlign w:val="bottom"/>
            <w:gridSpan w:val="2"/>
            <w:shd w:val="clear" w:color="auto" w:fill="E4E4E4"/>
          </w:tcPr>
          <w:p>
            <w:pPr>
              <w:jc w:val="right"/>
              <w:ind w:right="280"/>
              <w:spacing w:after="0"/>
              <w:rPr>
                <w:sz w:val="20"/>
                <w:szCs w:val="20"/>
                <w:color w:val="auto"/>
              </w:rPr>
            </w:pPr>
            <w:r>
              <w:rPr>
                <w:rFonts w:ascii="Arial" w:cs="Arial" w:eastAsia="Arial" w:hAnsi="Arial"/>
                <w:sz w:val="20"/>
                <w:szCs w:val="20"/>
                <w:color w:val="1E1E1E"/>
              </w:rPr>
              <w:t>325,202</w:t>
            </w: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36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321,516</w:t>
            </w: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20" w:type="dxa"/>
            <w:vAlign w:val="bottom"/>
          </w:tcPr>
          <w:p>
            <w:pPr>
              <w:ind w:left="200"/>
              <w:spacing w:after="0" w:line="210" w:lineRule="exact"/>
              <w:rPr>
                <w:sz w:val="20"/>
                <w:szCs w:val="20"/>
                <w:color w:val="auto"/>
              </w:rPr>
            </w:pPr>
            <w:r>
              <w:rPr>
                <w:rFonts w:ascii="Arial" w:cs="Arial" w:eastAsia="Arial" w:hAnsi="Arial"/>
                <w:sz w:val="20"/>
                <w:szCs w:val="20"/>
                <w:color w:val="1E1E1E"/>
                <w:w w:val="94"/>
              </w:rPr>
              <w:t>Treasury stock at cost, 21,041,661 shares and 15,625,172 shares at February 3, 2024</w:t>
            </w:r>
          </w:p>
        </w:tc>
        <w:tc>
          <w:tcPr>
            <w:tcW w:w="140" w:type="dxa"/>
            <w:vAlign w:val="bottom"/>
          </w:tcPr>
          <w:p>
            <w:pPr>
              <w:spacing w:after="0"/>
              <w:rPr>
                <w:sz w:val="18"/>
                <w:szCs w:val="18"/>
                <w:color w:val="auto"/>
              </w:rPr>
            </w:pPr>
          </w:p>
        </w:tc>
        <w:tc>
          <w:tcPr>
            <w:tcW w:w="1640" w:type="dxa"/>
            <w:vAlign w:val="bottom"/>
            <w:gridSpan w:val="2"/>
            <w:vMerge w:val="restart"/>
          </w:tcPr>
          <w:p>
            <w:pPr>
              <w:jc w:val="right"/>
              <w:ind w:right="220"/>
              <w:spacing w:after="0"/>
              <w:rPr>
                <w:sz w:val="20"/>
                <w:szCs w:val="20"/>
                <w:color w:val="auto"/>
              </w:rPr>
            </w:pPr>
            <w:r>
              <w:rPr>
                <w:rFonts w:ascii="Arial" w:cs="Arial" w:eastAsia="Arial" w:hAnsi="Arial"/>
                <w:sz w:val="20"/>
                <w:szCs w:val="20"/>
                <w:color w:val="1E1E1E"/>
              </w:rPr>
              <w:t>(130,137)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vMerge w:val="restart"/>
          </w:tcPr>
          <w:p>
            <w:pPr>
              <w:jc w:val="right"/>
              <w:ind w:right="40"/>
              <w:spacing w:after="0"/>
              <w:rPr>
                <w:sz w:val="20"/>
                <w:szCs w:val="20"/>
                <w:color w:val="auto"/>
              </w:rPr>
            </w:pPr>
            <w:r>
              <w:rPr>
                <w:rFonts w:ascii="Arial" w:cs="Arial" w:eastAsia="Arial" w:hAnsi="Arial"/>
                <w:sz w:val="20"/>
                <w:szCs w:val="20"/>
                <w:color w:val="1E1E1E"/>
              </w:rPr>
              <w:t>(105,386)</w:t>
            </w:r>
          </w:p>
        </w:tc>
        <w:tc>
          <w:tcPr>
            <w:tcW w:w="0" w:type="dxa"/>
            <w:vAlign w:val="bottom"/>
          </w:tcPr>
          <w:p>
            <w:pPr>
              <w:spacing w:after="0"/>
              <w:rPr>
                <w:sz w:val="1"/>
                <w:szCs w:val="1"/>
                <w:color w:val="auto"/>
              </w:rPr>
            </w:pPr>
          </w:p>
        </w:tc>
      </w:tr>
      <w:tr>
        <w:trPr>
          <w:trHeight w:val="250"/>
        </w:trPr>
        <w:tc>
          <w:tcPr>
            <w:tcW w:w="7420" w:type="dxa"/>
            <w:vAlign w:val="bottom"/>
          </w:tcPr>
          <w:p>
            <w:pPr>
              <w:ind w:left="200"/>
              <w:spacing w:after="0"/>
              <w:rPr>
                <w:sz w:val="20"/>
                <w:szCs w:val="20"/>
                <w:color w:val="auto"/>
              </w:rPr>
            </w:pPr>
            <w:r>
              <w:rPr>
                <w:rFonts w:ascii="Arial" w:cs="Arial" w:eastAsia="Arial" w:hAnsi="Arial"/>
                <w:sz w:val="20"/>
                <w:szCs w:val="20"/>
                <w:color w:val="1E1E1E"/>
              </w:rPr>
              <w:t>and January 28, 2023, respectively</w:t>
            </w:r>
          </w:p>
        </w:tc>
        <w:tc>
          <w:tcPr>
            <w:tcW w:w="14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E4E4E4"/>
          </w:tcPr>
          <w:p>
            <w:pPr>
              <w:ind w:left="200"/>
              <w:spacing w:after="0"/>
              <w:rPr>
                <w:sz w:val="20"/>
                <w:szCs w:val="20"/>
                <w:color w:val="auto"/>
              </w:rPr>
            </w:pPr>
            <w:r>
              <w:rPr>
                <w:rFonts w:ascii="Arial" w:cs="Arial" w:eastAsia="Arial" w:hAnsi="Arial"/>
                <w:sz w:val="20"/>
                <w:szCs w:val="20"/>
                <w:color w:val="1E1E1E"/>
              </w:rPr>
              <w:t>Accumulated deficit</w:t>
            </w:r>
          </w:p>
        </w:tc>
        <w:tc>
          <w:tcPr>
            <w:tcW w:w="140" w:type="dxa"/>
            <w:vAlign w:val="bottom"/>
            <w:shd w:val="clear" w:color="auto" w:fill="E4E4E4"/>
          </w:tcPr>
          <w:p>
            <w:pPr>
              <w:spacing w:after="0"/>
              <w:rPr>
                <w:sz w:val="20"/>
                <w:szCs w:val="20"/>
                <w:color w:val="auto"/>
              </w:rPr>
            </w:pPr>
          </w:p>
        </w:tc>
        <w:tc>
          <w:tcPr>
            <w:tcW w:w="1640" w:type="dxa"/>
            <w:vAlign w:val="bottom"/>
            <w:gridSpan w:val="2"/>
            <w:shd w:val="clear" w:color="auto" w:fill="E4E4E4"/>
          </w:tcPr>
          <w:p>
            <w:pPr>
              <w:jc w:val="right"/>
              <w:ind w:right="220"/>
              <w:spacing w:after="0"/>
              <w:rPr>
                <w:sz w:val="20"/>
                <w:szCs w:val="20"/>
                <w:color w:val="auto"/>
              </w:rPr>
            </w:pPr>
            <w:r>
              <w:rPr>
                <w:rFonts w:ascii="Arial" w:cs="Arial" w:eastAsia="Arial" w:hAnsi="Arial"/>
                <w:sz w:val="20"/>
                <w:szCs w:val="20"/>
                <w:color w:val="1E1E1E"/>
              </w:rPr>
              <w:t>(46,902)</w:t>
            </w: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460" w:type="dxa"/>
            <w:vAlign w:val="bottom"/>
            <w:gridSpan w:val="3"/>
            <w:shd w:val="clear" w:color="auto" w:fill="E4E4E4"/>
          </w:tcPr>
          <w:p>
            <w:pPr>
              <w:jc w:val="right"/>
              <w:ind w:right="40"/>
              <w:spacing w:after="0"/>
              <w:rPr>
                <w:sz w:val="20"/>
                <w:szCs w:val="20"/>
                <w:color w:val="auto"/>
              </w:rPr>
            </w:pPr>
            <w:r>
              <w:rPr>
                <w:rFonts w:ascii="Arial" w:cs="Arial" w:eastAsia="Arial" w:hAnsi="Arial"/>
                <w:sz w:val="20"/>
                <w:szCs w:val="20"/>
                <w:color w:val="1E1E1E"/>
              </w:rPr>
              <w:t>(74,756)</w:t>
            </w:r>
          </w:p>
        </w:tc>
        <w:tc>
          <w:tcPr>
            <w:tcW w:w="0" w:type="dxa"/>
            <w:vAlign w:val="bottom"/>
          </w:tcPr>
          <w:p>
            <w:pPr>
              <w:spacing w:after="0"/>
              <w:rPr>
                <w:sz w:val="1"/>
                <w:szCs w:val="1"/>
                <w:color w:val="auto"/>
              </w:rPr>
            </w:pPr>
          </w:p>
        </w:tc>
      </w:tr>
      <w:tr>
        <w:trPr>
          <w:trHeight w:val="228"/>
        </w:trPr>
        <w:tc>
          <w:tcPr>
            <w:tcW w:w="7420" w:type="dxa"/>
            <w:vAlign w:val="bottom"/>
          </w:tcPr>
          <w:p>
            <w:pPr>
              <w:ind w:left="200"/>
              <w:spacing w:after="0" w:line="228" w:lineRule="exact"/>
              <w:rPr>
                <w:sz w:val="20"/>
                <w:szCs w:val="20"/>
                <w:color w:val="auto"/>
              </w:rPr>
            </w:pPr>
            <w:r>
              <w:rPr>
                <w:rFonts w:ascii="Arial" w:cs="Arial" w:eastAsia="Arial" w:hAnsi="Arial"/>
                <w:sz w:val="20"/>
                <w:szCs w:val="20"/>
                <w:color w:val="1E1E1E"/>
              </w:rPr>
              <w:t>Accumulated other comprehensive loss</w:t>
            </w:r>
          </w:p>
        </w:tc>
        <w:tc>
          <w:tcPr>
            <w:tcW w:w="140" w:type="dxa"/>
            <w:vAlign w:val="bottom"/>
          </w:tcPr>
          <w:p>
            <w:pPr>
              <w:spacing w:after="0"/>
              <w:rPr>
                <w:sz w:val="19"/>
                <w:szCs w:val="19"/>
                <w:color w:val="auto"/>
              </w:rPr>
            </w:pPr>
          </w:p>
        </w:tc>
        <w:tc>
          <w:tcPr>
            <w:tcW w:w="1640" w:type="dxa"/>
            <w:vAlign w:val="bottom"/>
            <w:gridSpan w:val="2"/>
          </w:tcPr>
          <w:p>
            <w:pPr>
              <w:jc w:val="right"/>
              <w:ind w:right="280"/>
              <w:spacing w:after="0" w:line="228" w:lineRule="exact"/>
              <w:rPr>
                <w:sz w:val="20"/>
                <w:szCs w:val="20"/>
                <w:color w:val="auto"/>
              </w:rPr>
            </w:pPr>
            <w:r>
              <w:rPr>
                <w:rFonts w:ascii="Arial" w:cs="Arial" w:eastAsia="Arial" w:hAnsi="Arial"/>
                <w:sz w:val="20"/>
                <w:szCs w:val="20"/>
                <w:color w:val="1E1E1E"/>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3"/>
          </w:tcPr>
          <w:p>
            <w:pPr>
              <w:jc w:val="right"/>
              <w:ind w:right="40"/>
              <w:spacing w:after="0" w:line="228" w:lineRule="exact"/>
              <w:rPr>
                <w:sz w:val="20"/>
                <w:szCs w:val="20"/>
                <w:color w:val="auto"/>
              </w:rPr>
            </w:pPr>
            <w:r>
              <w:rPr>
                <w:rFonts w:ascii="Arial" w:cs="Arial" w:eastAsia="Arial" w:hAnsi="Arial"/>
                <w:sz w:val="20"/>
                <w:szCs w:val="20"/>
                <w:color w:val="1E1E1E"/>
              </w:rPr>
              <w:t>(4,928)</w:t>
            </w:r>
          </w:p>
        </w:tc>
        <w:tc>
          <w:tcPr>
            <w:tcW w:w="0" w:type="dxa"/>
            <w:vAlign w:val="bottom"/>
          </w:tcPr>
          <w:p>
            <w:pPr>
              <w:spacing w:after="0"/>
              <w:rPr>
                <w:sz w:val="1"/>
                <w:szCs w:val="1"/>
                <w:color w:val="auto"/>
              </w:rPr>
            </w:pPr>
          </w:p>
        </w:tc>
      </w:tr>
      <w:tr>
        <w:trPr>
          <w:trHeight w:val="220"/>
        </w:trPr>
        <w:tc>
          <w:tcPr>
            <w:tcW w:w="7420" w:type="dxa"/>
            <w:vAlign w:val="bottom"/>
            <w:tcBorders>
              <w:top w:val="single" w:sz="8" w:color="E4E4E4"/>
            </w:tcBorders>
            <w:shd w:val="clear" w:color="auto" w:fill="E4E4E4"/>
          </w:tcPr>
          <w:p>
            <w:pPr>
              <w:ind w:left="400"/>
              <w:spacing w:after="0" w:line="220" w:lineRule="exact"/>
              <w:rPr>
                <w:sz w:val="20"/>
                <w:szCs w:val="20"/>
                <w:color w:val="auto"/>
              </w:rPr>
            </w:pPr>
            <w:r>
              <w:rPr>
                <w:rFonts w:ascii="Arial" w:cs="Arial" w:eastAsia="Arial" w:hAnsi="Arial"/>
                <w:sz w:val="20"/>
                <w:szCs w:val="20"/>
                <w:color w:val="1E1E1E"/>
              </w:rPr>
              <w:t>Total stockholders' equity</w:t>
            </w:r>
          </w:p>
        </w:tc>
        <w:tc>
          <w:tcPr>
            <w:tcW w:w="140" w:type="dxa"/>
            <w:vAlign w:val="bottom"/>
            <w:tcBorders>
              <w:top w:val="single" w:sz="8" w:color="1E1E1E"/>
              <w:bottom w:val="single" w:sz="8" w:color="1E1E1E"/>
            </w:tcBorders>
            <w:shd w:val="clear" w:color="auto" w:fill="E4E4E4"/>
          </w:tcPr>
          <w:p>
            <w:pPr>
              <w:spacing w:after="0"/>
              <w:rPr>
                <w:sz w:val="19"/>
                <w:szCs w:val="19"/>
                <w:color w:val="auto"/>
              </w:rPr>
            </w:pPr>
          </w:p>
        </w:tc>
        <w:tc>
          <w:tcPr>
            <w:tcW w:w="134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148,953</w:t>
            </w:r>
          </w:p>
        </w:tc>
        <w:tc>
          <w:tcPr>
            <w:tcW w:w="30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1E1E1E"/>
              <w:bottom w:val="single" w:sz="8" w:color="1E1E1E"/>
            </w:tcBorders>
            <w:shd w:val="clear" w:color="auto" w:fill="E4E4E4"/>
          </w:tcPr>
          <w:p>
            <w:pPr>
              <w:spacing w:after="0"/>
              <w:rPr>
                <w:sz w:val="19"/>
                <w:szCs w:val="19"/>
                <w:color w:val="auto"/>
              </w:rPr>
            </w:pPr>
          </w:p>
        </w:tc>
        <w:tc>
          <w:tcPr>
            <w:tcW w:w="120" w:type="dxa"/>
            <w:vAlign w:val="bottom"/>
            <w:tcBorders>
              <w:top w:val="single" w:sz="8" w:color="1E1E1E"/>
              <w:bottom w:val="single" w:sz="8" w:color="1E1E1E"/>
            </w:tcBorders>
            <w:shd w:val="clear" w:color="auto" w:fill="E4E4E4"/>
          </w:tcPr>
          <w:p>
            <w:pPr>
              <w:spacing w:after="0"/>
              <w:rPr>
                <w:sz w:val="19"/>
                <w:szCs w:val="19"/>
                <w:color w:val="auto"/>
              </w:rPr>
            </w:pPr>
          </w:p>
        </w:tc>
        <w:tc>
          <w:tcPr>
            <w:tcW w:w="134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137,228</w:t>
            </w:r>
          </w:p>
        </w:tc>
        <w:tc>
          <w:tcPr>
            <w:tcW w:w="20" w:type="dxa"/>
            <w:vAlign w:val="bottom"/>
            <w:tcBorders>
              <w:top w:val="single" w:sz="8" w:color="1E1E1E"/>
              <w:bottom w:val="single" w:sz="8" w:color="1E1E1E"/>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420" w:type="dxa"/>
            <w:vAlign w:val="bottom"/>
          </w:tcPr>
          <w:p>
            <w:pPr>
              <w:ind w:left="600"/>
              <w:spacing w:after="0" w:line="223" w:lineRule="exact"/>
              <w:rPr>
                <w:sz w:val="20"/>
                <w:szCs w:val="20"/>
                <w:color w:val="auto"/>
              </w:rPr>
            </w:pPr>
            <w:r>
              <w:rPr>
                <w:rFonts w:ascii="Arial" w:cs="Arial" w:eastAsia="Arial" w:hAnsi="Arial"/>
                <w:sz w:val="20"/>
                <w:szCs w:val="20"/>
                <w:color w:val="1E1E1E"/>
              </w:rPr>
              <w:t>Total liabilities and stockholders' equity</w:t>
            </w:r>
          </w:p>
        </w:tc>
        <w:tc>
          <w:tcPr>
            <w:tcW w:w="140" w:type="dxa"/>
            <w:vAlign w:val="bottom"/>
          </w:tcPr>
          <w:p>
            <w:pPr>
              <w:jc w:val="right"/>
              <w:spacing w:after="0" w:line="223" w:lineRule="exact"/>
              <w:rPr>
                <w:sz w:val="20"/>
                <w:szCs w:val="20"/>
                <w:color w:val="auto"/>
              </w:rPr>
            </w:pPr>
            <w:r>
              <w:rPr>
                <w:rFonts w:ascii="Arial" w:cs="Arial" w:eastAsia="Arial" w:hAnsi="Arial"/>
                <w:sz w:val="20"/>
                <w:szCs w:val="20"/>
                <w:color w:val="1E1E1E"/>
                <w:w w:val="71"/>
              </w:rPr>
              <w:t>$</w:t>
            </w:r>
          </w:p>
        </w:tc>
        <w:tc>
          <w:tcPr>
            <w:tcW w:w="1340" w:type="dxa"/>
            <w:vAlign w:val="bottom"/>
          </w:tcPr>
          <w:p>
            <w:pPr>
              <w:jc w:val="right"/>
              <w:spacing w:after="0" w:line="223" w:lineRule="exact"/>
              <w:rPr>
                <w:sz w:val="20"/>
                <w:szCs w:val="20"/>
                <w:color w:val="auto"/>
              </w:rPr>
            </w:pPr>
            <w:r>
              <w:rPr>
                <w:rFonts w:ascii="Arial" w:cs="Arial" w:eastAsia="Arial" w:hAnsi="Arial"/>
                <w:sz w:val="20"/>
                <w:szCs w:val="20"/>
                <w:color w:val="1E1E1E"/>
              </w:rPr>
              <w:t>357,741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1E1E1E"/>
                <w:w w:val="71"/>
              </w:rPr>
              <w:t>$</w:t>
            </w:r>
          </w:p>
        </w:tc>
        <w:tc>
          <w:tcPr>
            <w:tcW w:w="1340" w:type="dxa"/>
            <w:vAlign w:val="bottom"/>
          </w:tcPr>
          <w:p>
            <w:pPr>
              <w:jc w:val="right"/>
              <w:spacing w:after="0" w:line="223" w:lineRule="exact"/>
              <w:rPr>
                <w:sz w:val="20"/>
                <w:szCs w:val="20"/>
                <w:color w:val="auto"/>
              </w:rPr>
            </w:pPr>
            <w:r>
              <w:rPr>
                <w:rFonts w:ascii="Arial" w:cs="Arial" w:eastAsia="Arial" w:hAnsi="Arial"/>
                <w:sz w:val="20"/>
                <w:szCs w:val="20"/>
                <w:color w:val="1E1E1E"/>
              </w:rPr>
              <w:t>350,598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4689475</wp:posOffset>
            </wp:positionH>
            <wp:positionV relativeFrom="paragraph">
              <wp:posOffset>-3879215</wp:posOffset>
            </wp:positionV>
            <wp:extent cx="2115185" cy="609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15185" cy="60960"/>
                    </a:xfrm>
                    <a:prstGeom prst="rect">
                      <a:avLst/>
                    </a:prstGeom>
                    <a:noFill/>
                  </pic:spPr>
                </pic:pic>
              </a:graphicData>
            </a:graphic>
          </wp:anchor>
        </w:drawing>
        <w:drawing>
          <wp:anchor simplePos="0" relativeHeight="251657728" behindDoc="1" locked="0" layoutInCell="0" allowOverlap="1">
            <wp:simplePos x="0" y="0"/>
            <wp:positionH relativeFrom="column">
              <wp:posOffset>4689475</wp:posOffset>
            </wp:positionH>
            <wp:positionV relativeFrom="paragraph">
              <wp:posOffset>-15875</wp:posOffset>
            </wp:positionV>
            <wp:extent cx="2115185" cy="609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15185" cy="60960"/>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1E1E1E"/>
        </w:rPr>
        <w:t>The accompanying notes are an integral part of the consolidated financial statements.</w:t>
      </w:r>
    </w:p>
    <w:p>
      <w:pPr>
        <w:sectPr>
          <w:pgSz w:w="11880" w:h="15480" w:orient="portrait"/>
          <w:cols w:equalWidth="0" w:num="1">
            <w:col w:w="10800"/>
          </w:cols>
          <w:pgMar w:left="540" w:top="653"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38</w:t>
      </w:r>
    </w:p>
    <w:p>
      <w:pPr>
        <w:sectPr>
          <w:pgSz w:w="11880" w:h="15480" w:orient="portrait"/>
          <w:cols w:equalWidth="0" w:num="1">
            <w:col w:w="10800"/>
          </w:cols>
          <w:pgMar w:left="540" w:top="653" w:right="540" w:bottom="31"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20"/>
          <w:szCs w:val="20"/>
          <w:color w:val="1E1E1E"/>
        </w:rPr>
        <w:t>DESTINATION XL GROUP, INC.</w:t>
      </w:r>
    </w:p>
    <w:p>
      <w:pPr>
        <w:jc w:val="center"/>
        <w:spacing w:after="0"/>
        <w:rPr>
          <w:sz w:val="20"/>
          <w:szCs w:val="20"/>
          <w:color w:val="auto"/>
        </w:rPr>
      </w:pPr>
      <w:r>
        <w:rPr>
          <w:rFonts w:ascii="Arial" w:cs="Arial" w:eastAsia="Arial" w:hAnsi="Arial"/>
          <w:sz w:val="20"/>
          <w:szCs w:val="20"/>
          <w:color w:val="1E1E1E"/>
        </w:rPr>
        <w:t>CONSOLIDATED STATEMENTS OF OPERATIONS</w:t>
      </w:r>
    </w:p>
    <w:p>
      <w:pPr>
        <w:jc w:val="center"/>
        <w:spacing w:after="0"/>
        <w:rPr>
          <w:sz w:val="20"/>
          <w:szCs w:val="20"/>
          <w:color w:val="auto"/>
        </w:rPr>
      </w:pPr>
      <w:r>
        <w:rPr>
          <w:rFonts w:ascii="Arial" w:cs="Arial" w:eastAsia="Arial" w:hAnsi="Arial"/>
          <w:sz w:val="20"/>
          <w:szCs w:val="20"/>
          <w:color w:val="1E1E1E"/>
        </w:rPr>
        <w:t>For the fiscal years ended February 3, 2024, January 28, 2023 and January 29, 2022</w:t>
      </w:r>
    </w:p>
    <w:p>
      <w:pPr>
        <w:jc w:val="center"/>
        <w:spacing w:after="0"/>
        <w:rPr>
          <w:sz w:val="20"/>
          <w:szCs w:val="20"/>
          <w:color w:val="auto"/>
        </w:rPr>
      </w:pPr>
      <w:r>
        <w:rPr>
          <w:rFonts w:ascii="Arial" w:cs="Arial" w:eastAsia="Arial" w:hAnsi="Arial"/>
          <w:sz w:val="20"/>
          <w:szCs w:val="20"/>
          <w:color w:val="1E1E1E"/>
        </w:rPr>
        <w:t>(In thousands, except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6"/>
                <w:szCs w:val="16"/>
                <w:color w:val="1E1E1E"/>
                <w:w w:val="93"/>
              </w:rPr>
              <w:t>February 3, 2024</w:t>
            </w:r>
          </w:p>
        </w:tc>
        <w:tc>
          <w:tcPr>
            <w:tcW w:w="1560" w:type="dxa"/>
            <w:vAlign w:val="bottom"/>
            <w:gridSpan w:val="5"/>
          </w:tcPr>
          <w:p>
            <w:pPr>
              <w:jc w:val="center"/>
              <w:ind w:right="300"/>
              <w:spacing w:after="0"/>
              <w:rPr>
                <w:sz w:val="20"/>
                <w:szCs w:val="20"/>
                <w:color w:val="auto"/>
              </w:rPr>
            </w:pPr>
            <w:r>
              <w:rPr>
                <w:rFonts w:ascii="Arial" w:cs="Arial" w:eastAsia="Arial" w:hAnsi="Arial"/>
                <w:sz w:val="16"/>
                <w:szCs w:val="16"/>
                <w:color w:val="1E1E1E"/>
                <w:w w:val="88"/>
              </w:rPr>
              <w:t>January 28, 2023</w:t>
            </w:r>
          </w:p>
        </w:tc>
        <w:tc>
          <w:tcPr>
            <w:tcW w:w="1280" w:type="dxa"/>
            <w:vAlign w:val="bottom"/>
            <w:gridSpan w:val="4"/>
          </w:tcPr>
          <w:p>
            <w:pPr>
              <w:jc w:val="right"/>
              <w:ind w:right="160"/>
              <w:spacing w:after="0"/>
              <w:rPr>
                <w:sz w:val="20"/>
                <w:szCs w:val="20"/>
                <w:color w:val="auto"/>
              </w:rPr>
            </w:pPr>
            <w:r>
              <w:rPr>
                <w:rFonts w:ascii="Arial" w:cs="Arial" w:eastAsia="Arial" w:hAnsi="Arial"/>
                <w:sz w:val="16"/>
                <w:szCs w:val="16"/>
                <w:color w:val="1E1E1E"/>
                <w:w w:val="88"/>
              </w:rPr>
              <w:t>January 29, 2022</w:t>
            </w:r>
          </w:p>
        </w:tc>
      </w:tr>
      <w:tr>
        <w:trPr>
          <w:trHeight w:val="198"/>
        </w:trPr>
        <w:tc>
          <w:tcPr>
            <w:tcW w:w="6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6"/>
                <w:szCs w:val="16"/>
                <w:color w:val="1E1E1E"/>
                <w:w w:val="95"/>
              </w:rPr>
              <w:t>(Fiscal 2023)</w:t>
            </w:r>
          </w:p>
        </w:tc>
        <w:tc>
          <w:tcPr>
            <w:tcW w:w="160" w:type="dxa"/>
            <w:vAlign w:val="bottom"/>
          </w:tcPr>
          <w:p>
            <w:pPr>
              <w:spacing w:after="0"/>
              <w:rPr>
                <w:sz w:val="17"/>
                <w:szCs w:val="17"/>
                <w:color w:val="auto"/>
              </w:rPr>
            </w:pPr>
          </w:p>
        </w:tc>
        <w:tc>
          <w:tcPr>
            <w:tcW w:w="1400" w:type="dxa"/>
            <w:vAlign w:val="bottom"/>
            <w:gridSpan w:val="4"/>
          </w:tcPr>
          <w:p>
            <w:pPr>
              <w:jc w:val="center"/>
              <w:ind w:right="440"/>
              <w:spacing w:after="0"/>
              <w:rPr>
                <w:sz w:val="20"/>
                <w:szCs w:val="20"/>
                <w:color w:val="auto"/>
              </w:rPr>
            </w:pPr>
            <w:r>
              <w:rPr>
                <w:rFonts w:ascii="Arial" w:cs="Arial" w:eastAsia="Arial" w:hAnsi="Arial"/>
                <w:sz w:val="16"/>
                <w:szCs w:val="16"/>
                <w:color w:val="1E1E1E"/>
                <w:w w:val="90"/>
              </w:rPr>
              <w:t>(Fiscal 2022)</w:t>
            </w:r>
          </w:p>
        </w:tc>
        <w:tc>
          <w:tcPr>
            <w:tcW w:w="120" w:type="dxa"/>
            <w:vAlign w:val="bottom"/>
          </w:tcPr>
          <w:p>
            <w:pPr>
              <w:spacing w:after="0"/>
              <w:rPr>
                <w:sz w:val="17"/>
                <w:szCs w:val="17"/>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6"/>
                <w:szCs w:val="16"/>
                <w:color w:val="1E1E1E"/>
                <w:w w:val="92"/>
              </w:rPr>
              <w:t>(Fiscal 2021)</w:t>
            </w:r>
          </w:p>
        </w:tc>
      </w:tr>
      <w:tr>
        <w:trPr>
          <w:trHeight w:val="220"/>
        </w:trPr>
        <w:tc>
          <w:tcPr>
            <w:tcW w:w="6420" w:type="dxa"/>
            <w:vAlign w:val="bottom"/>
            <w:tcBorders>
              <w:top w:val="single" w:sz="8" w:color="E4E4E4"/>
            </w:tcBorders>
            <w:shd w:val="clear" w:color="auto" w:fill="E4E4E4"/>
          </w:tcPr>
          <w:p>
            <w:pPr>
              <w:spacing w:after="0" w:line="220" w:lineRule="exact"/>
              <w:rPr>
                <w:sz w:val="20"/>
                <w:szCs w:val="20"/>
                <w:color w:val="auto"/>
              </w:rPr>
            </w:pPr>
            <w:r>
              <w:rPr>
                <w:rFonts w:ascii="Arial" w:cs="Arial" w:eastAsia="Arial" w:hAnsi="Arial"/>
                <w:sz w:val="20"/>
                <w:szCs w:val="20"/>
                <w:color w:val="1E1E1E"/>
              </w:rPr>
              <w:t>Sales</w:t>
            </w:r>
          </w:p>
        </w:tc>
        <w:tc>
          <w:tcPr>
            <w:tcW w:w="20" w:type="dxa"/>
            <w:vAlign w:val="bottom"/>
            <w:tcBorders>
              <w:top w:val="single" w:sz="8" w:color="1E1E1E"/>
            </w:tcBorders>
            <w:shd w:val="clear" w:color="auto" w:fill="E4E4E4"/>
          </w:tcPr>
          <w:p>
            <w:pPr>
              <w:spacing w:after="0"/>
              <w:rPr>
                <w:sz w:val="19"/>
                <w:szCs w:val="19"/>
                <w:color w:val="auto"/>
              </w:rPr>
            </w:pPr>
          </w:p>
        </w:tc>
        <w:tc>
          <w:tcPr>
            <w:tcW w:w="140" w:type="dxa"/>
            <w:vAlign w:val="bottom"/>
            <w:tcBorders>
              <w:top w:val="single" w:sz="8" w:color="1E1E1E"/>
            </w:tcBorders>
            <w:shd w:val="clear" w:color="auto" w:fill="E4E4E4"/>
          </w:tcPr>
          <w:p>
            <w:pPr>
              <w:jc w:val="right"/>
              <w:spacing w:after="0"/>
              <w:rPr>
                <w:sz w:val="20"/>
                <w:szCs w:val="20"/>
                <w:color w:val="auto"/>
              </w:rPr>
            </w:pPr>
            <w:r>
              <w:rPr>
                <w:rFonts w:ascii="Arial" w:cs="Arial" w:eastAsia="Arial" w:hAnsi="Arial"/>
                <w:sz w:val="15"/>
                <w:szCs w:val="15"/>
                <w:color w:val="1E1E1E"/>
                <w:w w:val="71"/>
              </w:rPr>
              <w:t>$</w:t>
            </w:r>
          </w:p>
        </w:tc>
        <w:tc>
          <w:tcPr>
            <w:tcW w:w="1120" w:type="dxa"/>
            <w:vAlign w:val="bottom"/>
            <w:tcBorders>
              <w:top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521,815</w:t>
            </w:r>
          </w:p>
        </w:tc>
        <w:tc>
          <w:tcPr>
            <w:tcW w:w="260" w:type="dxa"/>
            <w:vAlign w:val="bottom"/>
            <w:tcBorders>
              <w:top w:val="single" w:sz="8" w:color="E4E4E4"/>
            </w:tcBorders>
            <w:shd w:val="clear" w:color="auto" w:fill="E4E4E4"/>
          </w:tcPr>
          <w:p>
            <w:pPr>
              <w:spacing w:after="0"/>
              <w:rPr>
                <w:sz w:val="19"/>
                <w:szCs w:val="19"/>
                <w:color w:val="auto"/>
              </w:rPr>
            </w:pPr>
          </w:p>
        </w:tc>
        <w:tc>
          <w:tcPr>
            <w:tcW w:w="160" w:type="dxa"/>
            <w:vAlign w:val="bottom"/>
            <w:tcBorders>
              <w:top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w w:val="71"/>
              </w:rPr>
              <w:t>$</w:t>
            </w:r>
          </w:p>
        </w:tc>
        <w:tc>
          <w:tcPr>
            <w:tcW w:w="1120" w:type="dxa"/>
            <w:vAlign w:val="bottom"/>
            <w:tcBorders>
              <w:top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545,838</w:t>
            </w:r>
          </w:p>
        </w:tc>
        <w:tc>
          <w:tcPr>
            <w:tcW w:w="20" w:type="dxa"/>
            <w:vAlign w:val="bottom"/>
            <w:tcBorders>
              <w:top w:val="single" w:sz="8" w:color="1E1E1E"/>
            </w:tcBorders>
            <w:shd w:val="clear" w:color="auto" w:fill="E4E4E4"/>
          </w:tcPr>
          <w:p>
            <w:pPr>
              <w:spacing w:after="0"/>
              <w:rPr>
                <w:sz w:val="19"/>
                <w:szCs w:val="19"/>
                <w:color w:val="auto"/>
              </w:rPr>
            </w:pPr>
          </w:p>
        </w:tc>
        <w:tc>
          <w:tcPr>
            <w:tcW w:w="24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1E1E1E"/>
            </w:tcBorders>
            <w:shd w:val="clear" w:color="auto" w:fill="E4E4E4"/>
          </w:tcPr>
          <w:p>
            <w:pPr>
              <w:spacing w:after="0"/>
              <w:rPr>
                <w:sz w:val="19"/>
                <w:szCs w:val="19"/>
                <w:color w:val="auto"/>
              </w:rPr>
            </w:pPr>
          </w:p>
        </w:tc>
        <w:tc>
          <w:tcPr>
            <w:tcW w:w="120" w:type="dxa"/>
            <w:vAlign w:val="bottom"/>
            <w:tcBorders>
              <w:top w:val="single" w:sz="8" w:color="1E1E1E"/>
            </w:tcBorders>
            <w:shd w:val="clear" w:color="auto" w:fill="E4E4E4"/>
          </w:tcPr>
          <w:p>
            <w:pPr>
              <w:jc w:val="right"/>
              <w:spacing w:after="0"/>
              <w:rPr>
                <w:sz w:val="20"/>
                <w:szCs w:val="20"/>
                <w:color w:val="auto"/>
              </w:rPr>
            </w:pPr>
            <w:r>
              <w:rPr>
                <w:rFonts w:ascii="Arial" w:cs="Arial" w:eastAsia="Arial" w:hAnsi="Arial"/>
                <w:sz w:val="15"/>
                <w:szCs w:val="15"/>
                <w:color w:val="1E1E1E"/>
                <w:w w:val="71"/>
              </w:rPr>
              <w:t>$</w:t>
            </w:r>
          </w:p>
        </w:tc>
        <w:tc>
          <w:tcPr>
            <w:tcW w:w="1040" w:type="dxa"/>
            <w:vAlign w:val="bottom"/>
            <w:tcBorders>
              <w:top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505,021</w:t>
            </w:r>
          </w:p>
        </w:tc>
        <w:tc>
          <w:tcPr>
            <w:tcW w:w="20" w:type="dxa"/>
            <w:vAlign w:val="bottom"/>
            <w:tcBorders>
              <w:top w:val="single" w:sz="8" w:color="1E1E1E"/>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r>
      <w:tr>
        <w:trPr>
          <w:trHeight w:val="230"/>
        </w:trPr>
        <w:tc>
          <w:tcPr>
            <w:tcW w:w="6440" w:type="dxa"/>
            <w:vAlign w:val="bottom"/>
            <w:gridSpan w:val="2"/>
          </w:tcPr>
          <w:p>
            <w:pPr>
              <w:spacing w:after="0"/>
              <w:rPr>
                <w:sz w:val="20"/>
                <w:szCs w:val="20"/>
                <w:color w:val="auto"/>
              </w:rPr>
            </w:pPr>
            <w:r>
              <w:rPr>
                <w:rFonts w:ascii="Arial" w:cs="Arial" w:eastAsia="Arial" w:hAnsi="Arial"/>
                <w:sz w:val="20"/>
                <w:szCs w:val="20"/>
                <w:color w:val="1E1E1E"/>
              </w:rPr>
              <w:t>Cost of goods sold, including occupancy costs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1E1E1E"/>
              </w:rPr>
              <w:t>269,393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20"/>
                <w:szCs w:val="20"/>
                <w:color w:val="1E1E1E"/>
              </w:rPr>
              <w:t>273,240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color w:val="1E1E1E"/>
              </w:rPr>
              <w:t>255,197</w:t>
            </w:r>
          </w:p>
        </w:tc>
        <w:tc>
          <w:tcPr>
            <w:tcW w:w="100" w:type="dxa"/>
            <w:vAlign w:val="bottom"/>
          </w:tcPr>
          <w:p>
            <w:pPr>
              <w:spacing w:after="0"/>
              <w:rPr>
                <w:sz w:val="20"/>
                <w:szCs w:val="20"/>
                <w:color w:val="auto"/>
              </w:rPr>
            </w:pPr>
          </w:p>
        </w:tc>
      </w:tr>
      <w:tr>
        <w:trPr>
          <w:trHeight w:val="220"/>
        </w:trPr>
        <w:tc>
          <w:tcPr>
            <w:tcW w:w="6420" w:type="dxa"/>
            <w:vAlign w:val="bottom"/>
            <w:tcBorders>
              <w:top w:val="single" w:sz="8" w:color="E4E4E4"/>
            </w:tcBorders>
            <w:shd w:val="clear" w:color="auto" w:fill="E4E4E4"/>
          </w:tcPr>
          <w:p>
            <w:pPr>
              <w:spacing w:after="0" w:line="220" w:lineRule="exact"/>
              <w:rPr>
                <w:sz w:val="20"/>
                <w:szCs w:val="20"/>
                <w:color w:val="auto"/>
              </w:rPr>
            </w:pPr>
            <w:r>
              <w:rPr>
                <w:rFonts w:ascii="Arial" w:cs="Arial" w:eastAsia="Arial" w:hAnsi="Arial"/>
                <w:sz w:val="20"/>
                <w:szCs w:val="20"/>
                <w:color w:val="1E1E1E"/>
              </w:rPr>
              <w:t>Gross profit</w:t>
            </w:r>
          </w:p>
        </w:tc>
        <w:tc>
          <w:tcPr>
            <w:tcW w:w="20" w:type="dxa"/>
            <w:vAlign w:val="bottom"/>
            <w:tcBorders>
              <w:top w:val="single" w:sz="8" w:color="1E1E1E"/>
            </w:tcBorders>
            <w:shd w:val="clear" w:color="auto" w:fill="E4E4E4"/>
          </w:tcPr>
          <w:p>
            <w:pPr>
              <w:spacing w:after="0"/>
              <w:rPr>
                <w:sz w:val="19"/>
                <w:szCs w:val="19"/>
                <w:color w:val="auto"/>
              </w:rPr>
            </w:pPr>
          </w:p>
        </w:tc>
        <w:tc>
          <w:tcPr>
            <w:tcW w:w="140" w:type="dxa"/>
            <w:vAlign w:val="bottom"/>
            <w:tcBorders>
              <w:top w:val="single" w:sz="8" w:color="1E1E1E"/>
            </w:tcBorders>
            <w:shd w:val="clear" w:color="auto" w:fill="E4E4E4"/>
          </w:tcPr>
          <w:p>
            <w:pPr>
              <w:spacing w:after="0"/>
              <w:rPr>
                <w:sz w:val="19"/>
                <w:szCs w:val="19"/>
                <w:color w:val="auto"/>
              </w:rPr>
            </w:pPr>
          </w:p>
        </w:tc>
        <w:tc>
          <w:tcPr>
            <w:tcW w:w="1120" w:type="dxa"/>
            <w:vAlign w:val="bottom"/>
            <w:tcBorders>
              <w:top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252,422</w:t>
            </w:r>
          </w:p>
        </w:tc>
        <w:tc>
          <w:tcPr>
            <w:tcW w:w="260" w:type="dxa"/>
            <w:vAlign w:val="bottom"/>
            <w:tcBorders>
              <w:top w:val="single" w:sz="8" w:color="E4E4E4"/>
            </w:tcBorders>
            <w:shd w:val="clear" w:color="auto" w:fill="E4E4E4"/>
          </w:tcPr>
          <w:p>
            <w:pPr>
              <w:spacing w:after="0"/>
              <w:rPr>
                <w:sz w:val="19"/>
                <w:szCs w:val="19"/>
                <w:color w:val="auto"/>
              </w:rPr>
            </w:pPr>
          </w:p>
        </w:tc>
        <w:tc>
          <w:tcPr>
            <w:tcW w:w="160" w:type="dxa"/>
            <w:vAlign w:val="bottom"/>
            <w:tcBorders>
              <w:top w:val="single" w:sz="8" w:color="1E1E1E"/>
            </w:tcBorders>
            <w:shd w:val="clear" w:color="auto" w:fill="E4E4E4"/>
          </w:tcPr>
          <w:p>
            <w:pPr>
              <w:spacing w:after="0"/>
              <w:rPr>
                <w:sz w:val="19"/>
                <w:szCs w:val="19"/>
                <w:color w:val="auto"/>
              </w:rPr>
            </w:pPr>
          </w:p>
        </w:tc>
        <w:tc>
          <w:tcPr>
            <w:tcW w:w="1120" w:type="dxa"/>
            <w:vAlign w:val="bottom"/>
            <w:tcBorders>
              <w:top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272,598</w:t>
            </w:r>
          </w:p>
        </w:tc>
        <w:tc>
          <w:tcPr>
            <w:tcW w:w="20" w:type="dxa"/>
            <w:vAlign w:val="bottom"/>
            <w:tcBorders>
              <w:top w:val="single" w:sz="8" w:color="1E1E1E"/>
            </w:tcBorders>
            <w:shd w:val="clear" w:color="auto" w:fill="E4E4E4"/>
          </w:tcPr>
          <w:p>
            <w:pPr>
              <w:spacing w:after="0"/>
              <w:rPr>
                <w:sz w:val="19"/>
                <w:szCs w:val="19"/>
                <w:color w:val="auto"/>
              </w:rPr>
            </w:pPr>
          </w:p>
        </w:tc>
        <w:tc>
          <w:tcPr>
            <w:tcW w:w="24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1E1E1E"/>
            </w:tcBorders>
            <w:shd w:val="clear" w:color="auto" w:fill="E4E4E4"/>
          </w:tcPr>
          <w:p>
            <w:pPr>
              <w:spacing w:after="0"/>
              <w:rPr>
                <w:sz w:val="19"/>
                <w:szCs w:val="19"/>
                <w:color w:val="auto"/>
              </w:rPr>
            </w:pPr>
          </w:p>
        </w:tc>
        <w:tc>
          <w:tcPr>
            <w:tcW w:w="120" w:type="dxa"/>
            <w:vAlign w:val="bottom"/>
            <w:tcBorders>
              <w:top w:val="single" w:sz="8" w:color="1E1E1E"/>
            </w:tcBorders>
            <w:shd w:val="clear" w:color="auto" w:fill="E4E4E4"/>
          </w:tcPr>
          <w:p>
            <w:pPr>
              <w:spacing w:after="0"/>
              <w:rPr>
                <w:sz w:val="19"/>
                <w:szCs w:val="19"/>
                <w:color w:val="auto"/>
              </w:rPr>
            </w:pPr>
          </w:p>
        </w:tc>
        <w:tc>
          <w:tcPr>
            <w:tcW w:w="1040" w:type="dxa"/>
            <w:vAlign w:val="bottom"/>
            <w:tcBorders>
              <w:top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249,824</w:t>
            </w:r>
          </w:p>
        </w:tc>
        <w:tc>
          <w:tcPr>
            <w:tcW w:w="20" w:type="dxa"/>
            <w:vAlign w:val="bottom"/>
            <w:tcBorders>
              <w:top w:val="single" w:sz="8" w:color="1E1E1E"/>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r>
      <w:tr>
        <w:trPr>
          <w:trHeight w:val="230"/>
        </w:trPr>
        <w:tc>
          <w:tcPr>
            <w:tcW w:w="644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6440" w:type="dxa"/>
            <w:vAlign w:val="bottom"/>
            <w:gridSpan w:val="2"/>
            <w:shd w:val="clear" w:color="auto" w:fill="E4E4E4"/>
          </w:tcPr>
          <w:p>
            <w:pPr>
              <w:spacing w:after="0"/>
              <w:rPr>
                <w:sz w:val="20"/>
                <w:szCs w:val="20"/>
                <w:color w:val="auto"/>
              </w:rPr>
            </w:pPr>
            <w:r>
              <w:rPr>
                <w:rFonts w:ascii="Arial" w:cs="Arial" w:eastAsia="Arial" w:hAnsi="Arial"/>
                <w:sz w:val="20"/>
                <w:szCs w:val="20"/>
                <w:color w:val="1E1E1E"/>
              </w:rPr>
              <w:t>Expenses:</w:t>
            </w:r>
          </w:p>
        </w:tc>
        <w:tc>
          <w:tcPr>
            <w:tcW w:w="140" w:type="dxa"/>
            <w:vAlign w:val="bottom"/>
            <w:shd w:val="clear" w:color="auto" w:fill="E4E4E4"/>
          </w:tcPr>
          <w:p>
            <w:pPr>
              <w:spacing w:after="0"/>
              <w:rPr>
                <w:sz w:val="20"/>
                <w:szCs w:val="20"/>
                <w:color w:val="auto"/>
              </w:rPr>
            </w:pPr>
          </w:p>
        </w:tc>
        <w:tc>
          <w:tcPr>
            <w:tcW w:w="1120" w:type="dxa"/>
            <w:vAlign w:val="bottom"/>
            <w:shd w:val="clear" w:color="auto" w:fill="E4E4E4"/>
          </w:tcPr>
          <w:p>
            <w:pPr>
              <w:spacing w:after="0"/>
              <w:rPr>
                <w:sz w:val="20"/>
                <w:szCs w:val="20"/>
                <w:color w:val="auto"/>
              </w:rPr>
            </w:pPr>
          </w:p>
        </w:tc>
        <w:tc>
          <w:tcPr>
            <w:tcW w:w="26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12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2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0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r>
      <w:tr>
        <w:trPr>
          <w:trHeight w:val="230"/>
        </w:trPr>
        <w:tc>
          <w:tcPr>
            <w:tcW w:w="6440" w:type="dxa"/>
            <w:vAlign w:val="bottom"/>
            <w:gridSpan w:val="2"/>
          </w:tcPr>
          <w:p>
            <w:pPr>
              <w:ind w:left="200"/>
              <w:spacing w:after="0"/>
              <w:rPr>
                <w:sz w:val="20"/>
                <w:szCs w:val="20"/>
                <w:color w:val="auto"/>
              </w:rPr>
            </w:pPr>
            <w:r>
              <w:rPr>
                <w:rFonts w:ascii="Arial" w:cs="Arial" w:eastAsia="Arial" w:hAnsi="Arial"/>
                <w:sz w:val="20"/>
                <w:szCs w:val="20"/>
                <w:color w:val="1E1E1E"/>
              </w:rPr>
              <w:t>Selling, general and administrative</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1E1E1E"/>
              </w:rPr>
              <w:t>196,529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20"/>
                <w:szCs w:val="20"/>
                <w:color w:val="1E1E1E"/>
              </w:rPr>
              <w:t>198,790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color w:val="1E1E1E"/>
              </w:rPr>
              <w:t>172,962</w:t>
            </w:r>
          </w:p>
        </w:tc>
        <w:tc>
          <w:tcPr>
            <w:tcW w:w="100" w:type="dxa"/>
            <w:vAlign w:val="bottom"/>
          </w:tcPr>
          <w:p>
            <w:pPr>
              <w:spacing w:after="0"/>
              <w:rPr>
                <w:sz w:val="20"/>
                <w:szCs w:val="20"/>
                <w:color w:val="auto"/>
              </w:rPr>
            </w:pPr>
          </w:p>
        </w:tc>
      </w:tr>
      <w:tr>
        <w:trPr>
          <w:trHeight w:val="230"/>
        </w:trPr>
        <w:tc>
          <w:tcPr>
            <w:tcW w:w="6440" w:type="dxa"/>
            <w:vAlign w:val="bottom"/>
            <w:gridSpan w:val="2"/>
            <w:shd w:val="clear" w:color="auto" w:fill="E4E4E4"/>
          </w:tcPr>
          <w:p>
            <w:pPr>
              <w:ind w:left="200"/>
              <w:spacing w:after="0"/>
              <w:rPr>
                <w:sz w:val="20"/>
                <w:szCs w:val="20"/>
                <w:color w:val="auto"/>
              </w:rPr>
            </w:pPr>
            <w:r>
              <w:rPr>
                <w:rFonts w:ascii="Arial" w:cs="Arial" w:eastAsia="Arial" w:hAnsi="Arial"/>
                <w:sz w:val="20"/>
                <w:szCs w:val="20"/>
                <w:color w:val="1E1E1E"/>
              </w:rPr>
              <w:t>Impairment (gain) of assets</w:t>
            </w:r>
          </w:p>
        </w:tc>
        <w:tc>
          <w:tcPr>
            <w:tcW w:w="140" w:type="dxa"/>
            <w:vAlign w:val="bottom"/>
            <w:shd w:val="clear" w:color="auto" w:fill="E4E4E4"/>
          </w:tcPr>
          <w:p>
            <w:pPr>
              <w:spacing w:after="0"/>
              <w:rPr>
                <w:sz w:val="20"/>
                <w:szCs w:val="20"/>
                <w:color w:val="auto"/>
              </w:rPr>
            </w:pPr>
          </w:p>
        </w:tc>
        <w:tc>
          <w:tcPr>
            <w:tcW w:w="112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116</w:t>
            </w:r>
          </w:p>
        </w:tc>
        <w:tc>
          <w:tcPr>
            <w:tcW w:w="26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380" w:type="dxa"/>
            <w:vAlign w:val="bottom"/>
            <w:gridSpan w:val="3"/>
            <w:shd w:val="clear" w:color="auto" w:fill="E4E4E4"/>
          </w:tcPr>
          <w:p>
            <w:pPr>
              <w:jc w:val="right"/>
              <w:ind w:right="200"/>
              <w:spacing w:after="0"/>
              <w:rPr>
                <w:sz w:val="20"/>
                <w:szCs w:val="20"/>
                <w:color w:val="auto"/>
              </w:rPr>
            </w:pPr>
            <w:r>
              <w:rPr>
                <w:rFonts w:ascii="Arial" w:cs="Arial" w:eastAsia="Arial" w:hAnsi="Arial"/>
                <w:sz w:val="20"/>
                <w:szCs w:val="20"/>
                <w:color w:val="1E1E1E"/>
              </w:rPr>
              <w:t>(159)</w:t>
            </w: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160" w:type="dxa"/>
            <w:vAlign w:val="bottom"/>
            <w:gridSpan w:val="3"/>
            <w:shd w:val="clear" w:color="auto" w:fill="E4E4E4"/>
          </w:tcPr>
          <w:p>
            <w:pPr>
              <w:jc w:val="right"/>
              <w:ind w:right="40"/>
              <w:spacing w:after="0"/>
              <w:rPr>
                <w:sz w:val="20"/>
                <w:szCs w:val="20"/>
                <w:color w:val="auto"/>
              </w:rPr>
            </w:pPr>
            <w:r>
              <w:rPr>
                <w:rFonts w:ascii="Arial" w:cs="Arial" w:eastAsia="Arial" w:hAnsi="Arial"/>
                <w:sz w:val="20"/>
                <w:szCs w:val="20"/>
                <w:color w:val="1E1E1E"/>
              </w:rPr>
              <w:t>(2,344)</w:t>
            </w:r>
          </w:p>
        </w:tc>
      </w:tr>
      <w:tr>
        <w:trPr>
          <w:trHeight w:val="228"/>
        </w:trPr>
        <w:tc>
          <w:tcPr>
            <w:tcW w:w="6440" w:type="dxa"/>
            <w:vAlign w:val="bottom"/>
            <w:gridSpan w:val="2"/>
          </w:tcPr>
          <w:p>
            <w:pPr>
              <w:ind w:left="200"/>
              <w:spacing w:after="0" w:line="228" w:lineRule="exact"/>
              <w:rPr>
                <w:sz w:val="20"/>
                <w:szCs w:val="20"/>
                <w:color w:val="auto"/>
              </w:rPr>
            </w:pPr>
            <w:r>
              <w:rPr>
                <w:rFonts w:ascii="Arial" w:cs="Arial" w:eastAsia="Arial" w:hAnsi="Arial"/>
                <w:sz w:val="20"/>
                <w:szCs w:val="20"/>
                <w:color w:val="1E1E1E"/>
              </w:rPr>
              <w:t>Depreciation and amortization</w:t>
            </w:r>
          </w:p>
        </w:tc>
        <w:tc>
          <w:tcPr>
            <w:tcW w:w="140" w:type="dxa"/>
            <w:vAlign w:val="bottom"/>
          </w:tcPr>
          <w:p>
            <w:pPr>
              <w:spacing w:after="0"/>
              <w:rPr>
                <w:sz w:val="19"/>
                <w:szCs w:val="19"/>
                <w:color w:val="auto"/>
              </w:rPr>
            </w:pPr>
          </w:p>
        </w:tc>
        <w:tc>
          <w:tcPr>
            <w:tcW w:w="1120" w:type="dxa"/>
            <w:vAlign w:val="bottom"/>
          </w:tcPr>
          <w:p>
            <w:pPr>
              <w:jc w:val="right"/>
              <w:spacing w:after="0" w:line="228" w:lineRule="exact"/>
              <w:rPr>
                <w:sz w:val="20"/>
                <w:szCs w:val="20"/>
                <w:color w:val="auto"/>
              </w:rPr>
            </w:pPr>
            <w:r>
              <w:rPr>
                <w:rFonts w:ascii="Arial" w:cs="Arial" w:eastAsia="Arial" w:hAnsi="Arial"/>
                <w:sz w:val="20"/>
                <w:szCs w:val="20"/>
                <w:color w:val="1E1E1E"/>
              </w:rPr>
              <w:t>13,833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
              <w:spacing w:after="0" w:line="228" w:lineRule="exact"/>
              <w:rPr>
                <w:sz w:val="20"/>
                <w:szCs w:val="20"/>
                <w:color w:val="auto"/>
              </w:rPr>
            </w:pPr>
            <w:r>
              <w:rPr>
                <w:rFonts w:ascii="Arial" w:cs="Arial" w:eastAsia="Arial" w:hAnsi="Arial"/>
                <w:sz w:val="20"/>
                <w:szCs w:val="20"/>
                <w:color w:val="1E1E1E"/>
              </w:rPr>
              <w:t>15,381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100"/>
              <w:spacing w:after="0" w:line="228" w:lineRule="exact"/>
              <w:rPr>
                <w:sz w:val="20"/>
                <w:szCs w:val="20"/>
                <w:color w:val="auto"/>
              </w:rPr>
            </w:pPr>
            <w:r>
              <w:rPr>
                <w:rFonts w:ascii="Arial" w:cs="Arial" w:eastAsia="Arial" w:hAnsi="Arial"/>
                <w:sz w:val="20"/>
                <w:szCs w:val="20"/>
                <w:color w:val="1E1E1E"/>
              </w:rPr>
              <w:t>17,226</w:t>
            </w:r>
          </w:p>
        </w:tc>
      </w:tr>
      <w:tr>
        <w:trPr>
          <w:trHeight w:val="221"/>
        </w:trPr>
        <w:tc>
          <w:tcPr>
            <w:tcW w:w="6420" w:type="dxa"/>
            <w:vAlign w:val="bottom"/>
            <w:tcBorders>
              <w:top w:val="single" w:sz="8" w:color="E4E4E4"/>
            </w:tcBorders>
            <w:shd w:val="clear" w:color="auto" w:fill="E4E4E4"/>
          </w:tcPr>
          <w:p>
            <w:pPr>
              <w:spacing w:after="0" w:line="220" w:lineRule="exact"/>
              <w:rPr>
                <w:sz w:val="20"/>
                <w:szCs w:val="20"/>
                <w:color w:val="auto"/>
              </w:rPr>
            </w:pPr>
            <w:r>
              <w:rPr>
                <w:rFonts w:ascii="Arial" w:cs="Arial" w:eastAsia="Arial" w:hAnsi="Arial"/>
                <w:sz w:val="20"/>
                <w:szCs w:val="20"/>
                <w:color w:val="1E1E1E"/>
              </w:rPr>
              <w:t>Total expenses</w:t>
            </w:r>
          </w:p>
        </w:tc>
        <w:tc>
          <w:tcPr>
            <w:tcW w:w="20" w:type="dxa"/>
            <w:vAlign w:val="bottom"/>
            <w:tcBorders>
              <w:top w:val="single" w:sz="8" w:color="1E1E1E"/>
              <w:bottom w:val="single" w:sz="8" w:color="1E1E1E"/>
            </w:tcBorders>
            <w:shd w:val="clear" w:color="auto" w:fill="E4E4E4"/>
          </w:tcPr>
          <w:p>
            <w:pPr>
              <w:spacing w:after="0"/>
              <w:rPr>
                <w:sz w:val="19"/>
                <w:szCs w:val="19"/>
                <w:color w:val="auto"/>
              </w:rPr>
            </w:pPr>
          </w:p>
        </w:tc>
        <w:tc>
          <w:tcPr>
            <w:tcW w:w="140" w:type="dxa"/>
            <w:vAlign w:val="bottom"/>
            <w:tcBorders>
              <w:top w:val="single" w:sz="8" w:color="1E1E1E"/>
              <w:bottom w:val="single" w:sz="8" w:color="1E1E1E"/>
            </w:tcBorders>
            <w:shd w:val="clear" w:color="auto" w:fill="E4E4E4"/>
          </w:tcPr>
          <w:p>
            <w:pPr>
              <w:spacing w:after="0"/>
              <w:rPr>
                <w:sz w:val="19"/>
                <w:szCs w:val="19"/>
                <w:color w:val="auto"/>
              </w:rPr>
            </w:pPr>
          </w:p>
        </w:tc>
        <w:tc>
          <w:tcPr>
            <w:tcW w:w="1120" w:type="dxa"/>
            <w:vAlign w:val="bottom"/>
            <w:tcBorders>
              <w:top w:val="single" w:sz="8" w:color="1E1E1E"/>
              <w:bottom w:val="single" w:sz="8" w:color="1E1E1E"/>
            </w:tcBorders>
            <w:shd w:val="clear" w:color="auto" w:fill="E4E4E4"/>
          </w:tcPr>
          <w:p>
            <w:pPr>
              <w:jc w:val="right"/>
              <w:spacing w:after="0" w:line="221" w:lineRule="exact"/>
              <w:rPr>
                <w:sz w:val="20"/>
                <w:szCs w:val="20"/>
                <w:color w:val="auto"/>
              </w:rPr>
            </w:pPr>
            <w:r>
              <w:rPr>
                <w:rFonts w:ascii="Arial" w:cs="Arial" w:eastAsia="Arial" w:hAnsi="Arial"/>
                <w:sz w:val="20"/>
                <w:szCs w:val="20"/>
                <w:color w:val="1E1E1E"/>
              </w:rPr>
              <w:t>210,478</w:t>
            </w:r>
          </w:p>
        </w:tc>
        <w:tc>
          <w:tcPr>
            <w:tcW w:w="260" w:type="dxa"/>
            <w:vAlign w:val="bottom"/>
            <w:tcBorders>
              <w:top w:val="single" w:sz="8" w:color="E4E4E4"/>
            </w:tcBorders>
            <w:shd w:val="clear" w:color="auto" w:fill="E4E4E4"/>
          </w:tcPr>
          <w:p>
            <w:pPr>
              <w:spacing w:after="0"/>
              <w:rPr>
                <w:sz w:val="19"/>
                <w:szCs w:val="19"/>
                <w:color w:val="auto"/>
              </w:rPr>
            </w:pPr>
          </w:p>
        </w:tc>
        <w:tc>
          <w:tcPr>
            <w:tcW w:w="160" w:type="dxa"/>
            <w:vAlign w:val="bottom"/>
            <w:tcBorders>
              <w:top w:val="single" w:sz="8" w:color="1E1E1E"/>
              <w:bottom w:val="single" w:sz="8" w:color="1E1E1E"/>
            </w:tcBorders>
            <w:shd w:val="clear" w:color="auto" w:fill="E4E4E4"/>
          </w:tcPr>
          <w:p>
            <w:pPr>
              <w:spacing w:after="0"/>
              <w:rPr>
                <w:sz w:val="19"/>
                <w:szCs w:val="19"/>
                <w:color w:val="auto"/>
              </w:rPr>
            </w:pPr>
          </w:p>
        </w:tc>
        <w:tc>
          <w:tcPr>
            <w:tcW w:w="1120" w:type="dxa"/>
            <w:vAlign w:val="bottom"/>
            <w:tcBorders>
              <w:top w:val="single" w:sz="8" w:color="1E1E1E"/>
              <w:bottom w:val="single" w:sz="8" w:color="1E1E1E"/>
            </w:tcBorders>
            <w:shd w:val="clear" w:color="auto" w:fill="E4E4E4"/>
          </w:tcPr>
          <w:p>
            <w:pPr>
              <w:jc w:val="right"/>
              <w:spacing w:after="0" w:line="221" w:lineRule="exact"/>
              <w:rPr>
                <w:sz w:val="20"/>
                <w:szCs w:val="20"/>
                <w:color w:val="auto"/>
              </w:rPr>
            </w:pPr>
            <w:r>
              <w:rPr>
                <w:rFonts w:ascii="Arial" w:cs="Arial" w:eastAsia="Arial" w:hAnsi="Arial"/>
                <w:sz w:val="20"/>
                <w:szCs w:val="20"/>
                <w:color w:val="1E1E1E"/>
              </w:rPr>
              <w:t>214,012</w:t>
            </w:r>
          </w:p>
        </w:tc>
        <w:tc>
          <w:tcPr>
            <w:tcW w:w="20" w:type="dxa"/>
            <w:vAlign w:val="bottom"/>
            <w:tcBorders>
              <w:top w:val="single" w:sz="8" w:color="1E1E1E"/>
              <w:bottom w:val="single" w:sz="8" w:color="1E1E1E"/>
            </w:tcBorders>
            <w:shd w:val="clear" w:color="auto" w:fill="E4E4E4"/>
          </w:tcPr>
          <w:p>
            <w:pPr>
              <w:spacing w:after="0"/>
              <w:rPr>
                <w:sz w:val="19"/>
                <w:szCs w:val="19"/>
                <w:color w:val="auto"/>
              </w:rPr>
            </w:pPr>
          </w:p>
        </w:tc>
        <w:tc>
          <w:tcPr>
            <w:tcW w:w="24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1E1E1E"/>
              <w:bottom w:val="single" w:sz="8" w:color="1E1E1E"/>
            </w:tcBorders>
            <w:shd w:val="clear" w:color="auto" w:fill="E4E4E4"/>
          </w:tcPr>
          <w:p>
            <w:pPr>
              <w:spacing w:after="0"/>
              <w:rPr>
                <w:sz w:val="19"/>
                <w:szCs w:val="19"/>
                <w:color w:val="auto"/>
              </w:rPr>
            </w:pPr>
          </w:p>
        </w:tc>
        <w:tc>
          <w:tcPr>
            <w:tcW w:w="120" w:type="dxa"/>
            <w:vAlign w:val="bottom"/>
            <w:tcBorders>
              <w:top w:val="single" w:sz="8" w:color="1E1E1E"/>
              <w:bottom w:val="single" w:sz="8" w:color="1E1E1E"/>
            </w:tcBorders>
            <w:shd w:val="clear" w:color="auto" w:fill="E4E4E4"/>
          </w:tcPr>
          <w:p>
            <w:pPr>
              <w:spacing w:after="0"/>
              <w:rPr>
                <w:sz w:val="19"/>
                <w:szCs w:val="19"/>
                <w:color w:val="auto"/>
              </w:rPr>
            </w:pPr>
          </w:p>
        </w:tc>
        <w:tc>
          <w:tcPr>
            <w:tcW w:w="1040" w:type="dxa"/>
            <w:vAlign w:val="bottom"/>
            <w:tcBorders>
              <w:top w:val="single" w:sz="8" w:color="1E1E1E"/>
              <w:bottom w:val="single" w:sz="8" w:color="1E1E1E"/>
            </w:tcBorders>
            <w:shd w:val="clear" w:color="auto" w:fill="E4E4E4"/>
          </w:tcPr>
          <w:p>
            <w:pPr>
              <w:jc w:val="right"/>
              <w:spacing w:after="0" w:line="221" w:lineRule="exact"/>
              <w:rPr>
                <w:sz w:val="20"/>
                <w:szCs w:val="20"/>
                <w:color w:val="auto"/>
              </w:rPr>
            </w:pPr>
            <w:r>
              <w:rPr>
                <w:rFonts w:ascii="Arial" w:cs="Arial" w:eastAsia="Arial" w:hAnsi="Arial"/>
                <w:sz w:val="20"/>
                <w:szCs w:val="20"/>
                <w:color w:val="1E1E1E"/>
              </w:rPr>
              <w:t>187,844</w:t>
            </w:r>
          </w:p>
        </w:tc>
        <w:tc>
          <w:tcPr>
            <w:tcW w:w="20" w:type="dxa"/>
            <w:vAlign w:val="bottom"/>
            <w:tcBorders>
              <w:top w:val="single" w:sz="8" w:color="1E1E1E"/>
              <w:bottom w:val="single" w:sz="8" w:color="1E1E1E"/>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r>
      <w:tr>
        <w:trPr>
          <w:trHeight w:val="219"/>
        </w:trPr>
        <w:tc>
          <w:tcPr>
            <w:tcW w:w="6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440" w:type="dxa"/>
            <w:vAlign w:val="bottom"/>
            <w:gridSpan w:val="2"/>
            <w:shd w:val="clear" w:color="auto" w:fill="E4E4E4"/>
          </w:tcPr>
          <w:p>
            <w:pPr>
              <w:spacing w:after="0"/>
              <w:rPr>
                <w:sz w:val="20"/>
                <w:szCs w:val="20"/>
                <w:color w:val="auto"/>
              </w:rPr>
            </w:pPr>
            <w:r>
              <w:rPr>
                <w:rFonts w:ascii="Arial" w:cs="Arial" w:eastAsia="Arial" w:hAnsi="Arial"/>
                <w:sz w:val="20"/>
                <w:szCs w:val="20"/>
                <w:color w:val="1E1E1E"/>
              </w:rPr>
              <w:t>Operating income</w:t>
            </w:r>
          </w:p>
        </w:tc>
        <w:tc>
          <w:tcPr>
            <w:tcW w:w="140" w:type="dxa"/>
            <w:vAlign w:val="bottom"/>
            <w:shd w:val="clear" w:color="auto" w:fill="E4E4E4"/>
          </w:tcPr>
          <w:p>
            <w:pPr>
              <w:spacing w:after="0"/>
              <w:rPr>
                <w:sz w:val="20"/>
                <w:szCs w:val="20"/>
                <w:color w:val="auto"/>
              </w:rPr>
            </w:pPr>
          </w:p>
        </w:tc>
        <w:tc>
          <w:tcPr>
            <w:tcW w:w="112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41,944</w:t>
            </w:r>
          </w:p>
        </w:tc>
        <w:tc>
          <w:tcPr>
            <w:tcW w:w="26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140" w:type="dxa"/>
            <w:vAlign w:val="bottom"/>
            <w:gridSpan w:val="2"/>
            <w:shd w:val="clear" w:color="auto" w:fill="E4E4E4"/>
          </w:tcPr>
          <w:p>
            <w:pPr>
              <w:jc w:val="right"/>
              <w:ind w:right="20"/>
              <w:spacing w:after="0"/>
              <w:rPr>
                <w:sz w:val="20"/>
                <w:szCs w:val="20"/>
                <w:color w:val="auto"/>
              </w:rPr>
            </w:pPr>
            <w:r>
              <w:rPr>
                <w:rFonts w:ascii="Arial" w:cs="Arial" w:eastAsia="Arial" w:hAnsi="Arial"/>
                <w:sz w:val="20"/>
                <w:szCs w:val="20"/>
                <w:color w:val="1E1E1E"/>
              </w:rPr>
              <w:t>58,586</w:t>
            </w:r>
          </w:p>
        </w:tc>
        <w:tc>
          <w:tcPr>
            <w:tcW w:w="2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06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61,980</w:t>
            </w:r>
          </w:p>
        </w:tc>
        <w:tc>
          <w:tcPr>
            <w:tcW w:w="100" w:type="dxa"/>
            <w:vAlign w:val="bottom"/>
            <w:shd w:val="clear" w:color="auto" w:fill="E4E4E4"/>
          </w:tcPr>
          <w:p>
            <w:pPr>
              <w:spacing w:after="0"/>
              <w:rPr>
                <w:sz w:val="20"/>
                <w:szCs w:val="20"/>
                <w:color w:val="auto"/>
              </w:rPr>
            </w:pPr>
          </w:p>
        </w:tc>
      </w:tr>
      <w:tr>
        <w:trPr>
          <w:trHeight w:val="230"/>
        </w:trPr>
        <w:tc>
          <w:tcPr>
            <w:tcW w:w="644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4"/>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spacing w:after="0"/>
              <w:rPr>
                <w:sz w:val="20"/>
                <w:szCs w:val="20"/>
                <w:color w:val="auto"/>
              </w:rPr>
            </w:pPr>
          </w:p>
        </w:tc>
      </w:tr>
      <w:tr>
        <w:trPr>
          <w:trHeight w:val="230"/>
        </w:trPr>
        <w:tc>
          <w:tcPr>
            <w:tcW w:w="6440" w:type="dxa"/>
            <w:vAlign w:val="bottom"/>
            <w:gridSpan w:val="2"/>
            <w:shd w:val="clear" w:color="auto" w:fill="E4E4E4"/>
          </w:tcPr>
          <w:p>
            <w:pPr>
              <w:spacing w:after="0"/>
              <w:rPr>
                <w:sz w:val="20"/>
                <w:szCs w:val="20"/>
                <w:color w:val="auto"/>
              </w:rPr>
            </w:pPr>
            <w:r>
              <w:rPr>
                <w:rFonts w:ascii="Arial" w:cs="Arial" w:eastAsia="Arial" w:hAnsi="Arial"/>
                <w:sz w:val="20"/>
                <w:szCs w:val="20"/>
                <w:color w:val="1E1E1E"/>
              </w:rPr>
              <w:t>Loss from termination of retirement plans</w:t>
            </w:r>
          </w:p>
        </w:tc>
        <w:tc>
          <w:tcPr>
            <w:tcW w:w="140" w:type="dxa"/>
            <w:vAlign w:val="bottom"/>
            <w:shd w:val="clear" w:color="auto" w:fill="E4E4E4"/>
          </w:tcPr>
          <w:p>
            <w:pPr>
              <w:spacing w:after="0"/>
              <w:rPr>
                <w:sz w:val="20"/>
                <w:szCs w:val="20"/>
                <w:color w:val="auto"/>
              </w:rPr>
            </w:pPr>
          </w:p>
        </w:tc>
        <w:tc>
          <w:tcPr>
            <w:tcW w:w="1380" w:type="dxa"/>
            <w:vAlign w:val="bottom"/>
            <w:gridSpan w:val="2"/>
            <w:shd w:val="clear" w:color="auto" w:fill="E4E4E4"/>
          </w:tcPr>
          <w:p>
            <w:pPr>
              <w:jc w:val="right"/>
              <w:ind w:right="200"/>
              <w:spacing w:after="0"/>
              <w:rPr>
                <w:sz w:val="20"/>
                <w:szCs w:val="20"/>
                <w:color w:val="auto"/>
              </w:rPr>
            </w:pPr>
            <w:r>
              <w:rPr>
                <w:rFonts w:ascii="Arial" w:cs="Arial" w:eastAsia="Arial" w:hAnsi="Arial"/>
                <w:sz w:val="20"/>
                <w:szCs w:val="20"/>
                <w:color w:val="1E1E1E"/>
              </w:rPr>
              <w:t>(5,690)</w:t>
            </w:r>
          </w:p>
        </w:tc>
        <w:tc>
          <w:tcPr>
            <w:tcW w:w="160" w:type="dxa"/>
            <w:vAlign w:val="bottom"/>
            <w:shd w:val="clear" w:color="auto" w:fill="E4E4E4"/>
          </w:tcPr>
          <w:p>
            <w:pPr>
              <w:spacing w:after="0"/>
              <w:rPr>
                <w:sz w:val="20"/>
                <w:szCs w:val="20"/>
                <w:color w:val="auto"/>
              </w:rPr>
            </w:pPr>
          </w:p>
        </w:tc>
        <w:tc>
          <w:tcPr>
            <w:tcW w:w="1400" w:type="dxa"/>
            <w:vAlign w:val="bottom"/>
            <w:gridSpan w:val="4"/>
            <w:shd w:val="clear" w:color="auto" w:fill="E4E4E4"/>
          </w:tcPr>
          <w:p>
            <w:pPr>
              <w:jc w:val="right"/>
              <w:ind w:right="280"/>
              <w:spacing w:after="0"/>
              <w:rPr>
                <w:sz w:val="20"/>
                <w:szCs w:val="20"/>
                <w:color w:val="auto"/>
              </w:rPr>
            </w:pPr>
            <w:r>
              <w:rPr>
                <w:rFonts w:ascii="Arial" w:cs="Arial" w:eastAsia="Arial" w:hAnsi="Arial"/>
                <w:sz w:val="20"/>
                <w:szCs w:val="20"/>
                <w:color w:val="1E1E1E"/>
              </w:rPr>
              <w:t>—</w:t>
            </w:r>
          </w:p>
        </w:tc>
        <w:tc>
          <w:tcPr>
            <w:tcW w:w="120" w:type="dxa"/>
            <w:vAlign w:val="bottom"/>
            <w:shd w:val="clear" w:color="auto" w:fill="E4E4E4"/>
          </w:tcPr>
          <w:p>
            <w:pPr>
              <w:spacing w:after="0"/>
              <w:rPr>
                <w:sz w:val="20"/>
                <w:szCs w:val="20"/>
                <w:color w:val="auto"/>
              </w:rPr>
            </w:pPr>
          </w:p>
        </w:tc>
        <w:tc>
          <w:tcPr>
            <w:tcW w:w="1160" w:type="dxa"/>
            <w:vAlign w:val="bottom"/>
            <w:gridSpan w:val="3"/>
            <w:shd w:val="clear" w:color="auto" w:fill="E4E4E4"/>
          </w:tcPr>
          <w:p>
            <w:pPr>
              <w:jc w:val="right"/>
              <w:ind w:right="100"/>
              <w:spacing w:after="0"/>
              <w:rPr>
                <w:sz w:val="20"/>
                <w:szCs w:val="20"/>
                <w:color w:val="auto"/>
              </w:rPr>
            </w:pPr>
            <w:r>
              <w:rPr>
                <w:rFonts w:ascii="Arial" w:cs="Arial" w:eastAsia="Arial" w:hAnsi="Arial"/>
                <w:sz w:val="20"/>
                <w:szCs w:val="20"/>
                <w:color w:val="1E1E1E"/>
              </w:rPr>
              <w:t>—</w:t>
            </w:r>
          </w:p>
        </w:tc>
      </w:tr>
      <w:tr>
        <w:trPr>
          <w:trHeight w:val="229"/>
        </w:trPr>
        <w:tc>
          <w:tcPr>
            <w:tcW w:w="6440" w:type="dxa"/>
            <w:vAlign w:val="bottom"/>
            <w:gridSpan w:val="2"/>
          </w:tcPr>
          <w:p>
            <w:pPr>
              <w:spacing w:after="0"/>
              <w:rPr>
                <w:sz w:val="20"/>
                <w:szCs w:val="20"/>
                <w:color w:val="auto"/>
              </w:rPr>
            </w:pPr>
            <w:r>
              <w:rPr>
                <w:rFonts w:ascii="Arial" w:cs="Arial" w:eastAsia="Arial" w:hAnsi="Arial"/>
                <w:sz w:val="20"/>
                <w:szCs w:val="20"/>
                <w:color w:val="1E1E1E"/>
              </w:rPr>
              <w:t>Interest income (expense), net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1E1E1E"/>
              </w:rPr>
              <w:t>2,137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20"/>
                <w:szCs w:val="20"/>
                <w:color w:val="1E1E1E"/>
              </w:rPr>
              <w:t>(251)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20"/>
                <w:szCs w:val="20"/>
                <w:color w:val="1E1E1E"/>
              </w:rPr>
              <w:t>(4,350)</w:t>
            </w:r>
          </w:p>
        </w:tc>
      </w:tr>
      <w:tr>
        <w:trPr>
          <w:trHeight w:val="221"/>
        </w:trPr>
        <w:tc>
          <w:tcPr>
            <w:tcW w:w="642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1E1E1E"/>
            </w:tcBorders>
            <w:shd w:val="clear" w:color="auto" w:fill="E4E4E4"/>
          </w:tcPr>
          <w:p>
            <w:pPr>
              <w:spacing w:after="0"/>
              <w:rPr>
                <w:sz w:val="19"/>
                <w:szCs w:val="19"/>
                <w:color w:val="auto"/>
              </w:rPr>
            </w:pPr>
          </w:p>
        </w:tc>
        <w:tc>
          <w:tcPr>
            <w:tcW w:w="140" w:type="dxa"/>
            <w:vAlign w:val="bottom"/>
            <w:tcBorders>
              <w:top w:val="single" w:sz="8" w:color="1E1E1E"/>
            </w:tcBorders>
            <w:shd w:val="clear" w:color="auto" w:fill="E4E4E4"/>
          </w:tcPr>
          <w:p>
            <w:pPr>
              <w:spacing w:after="0"/>
              <w:rPr>
                <w:sz w:val="19"/>
                <w:szCs w:val="19"/>
                <w:color w:val="auto"/>
              </w:rPr>
            </w:pPr>
          </w:p>
        </w:tc>
        <w:tc>
          <w:tcPr>
            <w:tcW w:w="1120" w:type="dxa"/>
            <w:vAlign w:val="bottom"/>
            <w:tcBorders>
              <w:top w:val="single" w:sz="8" w:color="1E1E1E"/>
            </w:tcBorders>
            <w:shd w:val="clear" w:color="auto" w:fill="E4E4E4"/>
          </w:tcPr>
          <w:p>
            <w:pPr>
              <w:spacing w:after="0"/>
              <w:rPr>
                <w:sz w:val="19"/>
                <w:szCs w:val="19"/>
                <w:color w:val="auto"/>
              </w:rPr>
            </w:pPr>
          </w:p>
        </w:tc>
        <w:tc>
          <w:tcPr>
            <w:tcW w:w="260" w:type="dxa"/>
            <w:vAlign w:val="bottom"/>
            <w:tcBorders>
              <w:top w:val="single" w:sz="8" w:color="E4E4E4"/>
            </w:tcBorders>
            <w:shd w:val="clear" w:color="auto" w:fill="E4E4E4"/>
          </w:tcPr>
          <w:p>
            <w:pPr>
              <w:spacing w:after="0"/>
              <w:rPr>
                <w:sz w:val="19"/>
                <w:szCs w:val="19"/>
                <w:color w:val="auto"/>
              </w:rPr>
            </w:pPr>
          </w:p>
        </w:tc>
        <w:tc>
          <w:tcPr>
            <w:tcW w:w="160" w:type="dxa"/>
            <w:vAlign w:val="bottom"/>
            <w:tcBorders>
              <w:top w:val="single" w:sz="8" w:color="1E1E1E"/>
            </w:tcBorders>
            <w:shd w:val="clear" w:color="auto" w:fill="E4E4E4"/>
          </w:tcPr>
          <w:p>
            <w:pPr>
              <w:spacing w:after="0"/>
              <w:rPr>
                <w:sz w:val="19"/>
                <w:szCs w:val="19"/>
                <w:color w:val="auto"/>
              </w:rPr>
            </w:pPr>
          </w:p>
        </w:tc>
        <w:tc>
          <w:tcPr>
            <w:tcW w:w="1120" w:type="dxa"/>
            <w:vAlign w:val="bottom"/>
            <w:tcBorders>
              <w:top w:val="single" w:sz="8" w:color="1E1E1E"/>
            </w:tcBorders>
            <w:shd w:val="clear" w:color="auto" w:fill="E4E4E4"/>
          </w:tcPr>
          <w:p>
            <w:pPr>
              <w:spacing w:after="0"/>
              <w:rPr>
                <w:sz w:val="19"/>
                <w:szCs w:val="19"/>
                <w:color w:val="auto"/>
              </w:rPr>
            </w:pPr>
          </w:p>
        </w:tc>
        <w:tc>
          <w:tcPr>
            <w:tcW w:w="20" w:type="dxa"/>
            <w:vAlign w:val="bottom"/>
            <w:tcBorders>
              <w:top w:val="single" w:sz="8" w:color="1E1E1E"/>
            </w:tcBorders>
            <w:shd w:val="clear" w:color="auto" w:fill="E4E4E4"/>
          </w:tcPr>
          <w:p>
            <w:pPr>
              <w:spacing w:after="0"/>
              <w:rPr>
                <w:sz w:val="19"/>
                <w:szCs w:val="19"/>
                <w:color w:val="auto"/>
              </w:rPr>
            </w:pPr>
          </w:p>
        </w:tc>
        <w:tc>
          <w:tcPr>
            <w:tcW w:w="24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1E1E1E"/>
            </w:tcBorders>
            <w:shd w:val="clear" w:color="auto" w:fill="E4E4E4"/>
          </w:tcPr>
          <w:p>
            <w:pPr>
              <w:spacing w:after="0"/>
              <w:rPr>
                <w:sz w:val="19"/>
                <w:szCs w:val="19"/>
                <w:color w:val="auto"/>
              </w:rPr>
            </w:pPr>
          </w:p>
        </w:tc>
        <w:tc>
          <w:tcPr>
            <w:tcW w:w="120" w:type="dxa"/>
            <w:vAlign w:val="bottom"/>
            <w:tcBorders>
              <w:top w:val="single" w:sz="8" w:color="1E1E1E"/>
            </w:tcBorders>
            <w:shd w:val="clear" w:color="auto" w:fill="E4E4E4"/>
          </w:tcPr>
          <w:p>
            <w:pPr>
              <w:spacing w:after="0"/>
              <w:rPr>
                <w:sz w:val="19"/>
                <w:szCs w:val="19"/>
                <w:color w:val="auto"/>
              </w:rPr>
            </w:pPr>
          </w:p>
        </w:tc>
        <w:tc>
          <w:tcPr>
            <w:tcW w:w="1040" w:type="dxa"/>
            <w:vAlign w:val="bottom"/>
            <w:tcBorders>
              <w:top w:val="single" w:sz="8" w:color="1E1E1E"/>
            </w:tcBorders>
            <w:shd w:val="clear" w:color="auto" w:fill="E4E4E4"/>
          </w:tcPr>
          <w:p>
            <w:pPr>
              <w:spacing w:after="0"/>
              <w:rPr>
                <w:sz w:val="19"/>
                <w:szCs w:val="19"/>
                <w:color w:val="auto"/>
              </w:rPr>
            </w:pPr>
          </w:p>
        </w:tc>
        <w:tc>
          <w:tcPr>
            <w:tcW w:w="20" w:type="dxa"/>
            <w:vAlign w:val="bottom"/>
            <w:tcBorders>
              <w:top w:val="single" w:sz="8" w:color="1E1E1E"/>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r>
      <w:tr>
        <w:trPr>
          <w:trHeight w:val="228"/>
        </w:trPr>
        <w:tc>
          <w:tcPr>
            <w:tcW w:w="6440" w:type="dxa"/>
            <w:vAlign w:val="bottom"/>
            <w:gridSpan w:val="2"/>
          </w:tcPr>
          <w:p>
            <w:pPr>
              <w:spacing w:after="0" w:line="228" w:lineRule="exact"/>
              <w:rPr>
                <w:sz w:val="20"/>
                <w:szCs w:val="20"/>
                <w:color w:val="auto"/>
              </w:rPr>
            </w:pPr>
            <w:r>
              <w:rPr>
                <w:rFonts w:ascii="Arial" w:cs="Arial" w:eastAsia="Arial" w:hAnsi="Arial"/>
                <w:sz w:val="20"/>
                <w:szCs w:val="20"/>
                <w:color w:val="1E1E1E"/>
              </w:rPr>
              <w:t>Income before provision (benefit) for income taxes</w:t>
            </w:r>
          </w:p>
        </w:tc>
        <w:tc>
          <w:tcPr>
            <w:tcW w:w="140" w:type="dxa"/>
            <w:vAlign w:val="bottom"/>
          </w:tcPr>
          <w:p>
            <w:pPr>
              <w:spacing w:after="0"/>
              <w:rPr>
                <w:sz w:val="19"/>
                <w:szCs w:val="19"/>
                <w:color w:val="auto"/>
              </w:rPr>
            </w:pPr>
          </w:p>
        </w:tc>
        <w:tc>
          <w:tcPr>
            <w:tcW w:w="1120" w:type="dxa"/>
            <w:vAlign w:val="bottom"/>
          </w:tcPr>
          <w:p>
            <w:pPr>
              <w:jc w:val="right"/>
              <w:spacing w:after="0" w:line="228" w:lineRule="exact"/>
              <w:rPr>
                <w:sz w:val="20"/>
                <w:szCs w:val="20"/>
                <w:color w:val="auto"/>
              </w:rPr>
            </w:pPr>
            <w:r>
              <w:rPr>
                <w:rFonts w:ascii="Arial" w:cs="Arial" w:eastAsia="Arial" w:hAnsi="Arial"/>
                <w:sz w:val="20"/>
                <w:szCs w:val="20"/>
                <w:color w:val="1E1E1E"/>
              </w:rPr>
              <w:t>38,391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
              <w:spacing w:after="0" w:line="228" w:lineRule="exact"/>
              <w:rPr>
                <w:sz w:val="20"/>
                <w:szCs w:val="20"/>
                <w:color w:val="auto"/>
              </w:rPr>
            </w:pPr>
            <w:r>
              <w:rPr>
                <w:rFonts w:ascii="Arial" w:cs="Arial" w:eastAsia="Arial" w:hAnsi="Arial"/>
                <w:sz w:val="20"/>
                <w:szCs w:val="20"/>
                <w:color w:val="1E1E1E"/>
              </w:rPr>
              <w:t>58,335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spacing w:after="0" w:line="228" w:lineRule="exact"/>
              <w:rPr>
                <w:sz w:val="20"/>
                <w:szCs w:val="20"/>
                <w:color w:val="auto"/>
              </w:rPr>
            </w:pPr>
            <w:r>
              <w:rPr>
                <w:rFonts w:ascii="Arial" w:cs="Arial" w:eastAsia="Arial" w:hAnsi="Arial"/>
                <w:sz w:val="20"/>
                <w:szCs w:val="20"/>
                <w:color w:val="1E1E1E"/>
              </w:rPr>
              <w:t>57,630</w:t>
            </w:r>
          </w:p>
        </w:tc>
        <w:tc>
          <w:tcPr>
            <w:tcW w:w="100" w:type="dxa"/>
            <w:vAlign w:val="bottom"/>
          </w:tcPr>
          <w:p>
            <w:pPr>
              <w:spacing w:after="0"/>
              <w:rPr>
                <w:sz w:val="19"/>
                <w:szCs w:val="19"/>
                <w:color w:val="auto"/>
              </w:rPr>
            </w:pPr>
          </w:p>
        </w:tc>
      </w:tr>
      <w:tr>
        <w:trPr>
          <w:trHeight w:val="230"/>
        </w:trPr>
        <w:tc>
          <w:tcPr>
            <w:tcW w:w="6440" w:type="dxa"/>
            <w:vAlign w:val="bottom"/>
            <w:gridSpan w:val="2"/>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1120" w:type="dxa"/>
            <w:vAlign w:val="bottom"/>
            <w:shd w:val="clear" w:color="auto" w:fill="E4E4E4"/>
          </w:tcPr>
          <w:p>
            <w:pPr>
              <w:spacing w:after="0"/>
              <w:rPr>
                <w:sz w:val="20"/>
                <w:szCs w:val="20"/>
                <w:color w:val="auto"/>
              </w:rPr>
            </w:pPr>
          </w:p>
        </w:tc>
        <w:tc>
          <w:tcPr>
            <w:tcW w:w="26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380" w:type="dxa"/>
            <w:vAlign w:val="bottom"/>
            <w:gridSpan w:val="3"/>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060" w:type="dxa"/>
            <w:vAlign w:val="bottom"/>
            <w:gridSpan w:val="2"/>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r>
      <w:tr>
        <w:trPr>
          <w:trHeight w:val="230"/>
        </w:trPr>
        <w:tc>
          <w:tcPr>
            <w:tcW w:w="6440" w:type="dxa"/>
            <w:vAlign w:val="bottom"/>
            <w:gridSpan w:val="2"/>
          </w:tcPr>
          <w:p>
            <w:pPr>
              <w:spacing w:after="0"/>
              <w:rPr>
                <w:sz w:val="20"/>
                <w:szCs w:val="20"/>
                <w:color w:val="auto"/>
              </w:rPr>
            </w:pPr>
            <w:r>
              <w:rPr>
                <w:rFonts w:ascii="Arial" w:cs="Arial" w:eastAsia="Arial" w:hAnsi="Arial"/>
                <w:sz w:val="20"/>
                <w:szCs w:val="20"/>
                <w:color w:val="1E1E1E"/>
              </w:rPr>
              <w:t>Provision (benefit) for income taxes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1E1E1E"/>
              </w:rPr>
              <w:t>10,537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20"/>
                <w:szCs w:val="20"/>
                <w:color w:val="1E1E1E"/>
              </w:rPr>
              <w:t>(30,788)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color w:val="1E1E1E"/>
              </w:rPr>
              <w:t>917</w:t>
            </w:r>
          </w:p>
        </w:tc>
        <w:tc>
          <w:tcPr>
            <w:tcW w:w="100" w:type="dxa"/>
            <w:vAlign w:val="bottom"/>
          </w:tcPr>
          <w:p>
            <w:pPr>
              <w:spacing w:after="0"/>
              <w:rPr>
                <w:sz w:val="20"/>
                <w:szCs w:val="20"/>
                <w:color w:val="auto"/>
              </w:rPr>
            </w:pPr>
          </w:p>
        </w:tc>
      </w:tr>
      <w:tr>
        <w:trPr>
          <w:trHeight w:val="220"/>
        </w:trPr>
        <w:tc>
          <w:tcPr>
            <w:tcW w:w="642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1E1E1E"/>
            </w:tcBorders>
            <w:shd w:val="clear" w:color="auto" w:fill="E4E4E4"/>
          </w:tcPr>
          <w:p>
            <w:pPr>
              <w:spacing w:after="0"/>
              <w:rPr>
                <w:sz w:val="19"/>
                <w:szCs w:val="19"/>
                <w:color w:val="auto"/>
              </w:rPr>
            </w:pPr>
          </w:p>
        </w:tc>
        <w:tc>
          <w:tcPr>
            <w:tcW w:w="140" w:type="dxa"/>
            <w:vAlign w:val="bottom"/>
            <w:tcBorders>
              <w:top w:val="single" w:sz="8" w:color="1E1E1E"/>
            </w:tcBorders>
            <w:shd w:val="clear" w:color="auto" w:fill="E4E4E4"/>
          </w:tcPr>
          <w:p>
            <w:pPr>
              <w:spacing w:after="0"/>
              <w:rPr>
                <w:sz w:val="19"/>
                <w:szCs w:val="19"/>
                <w:color w:val="auto"/>
              </w:rPr>
            </w:pPr>
          </w:p>
        </w:tc>
        <w:tc>
          <w:tcPr>
            <w:tcW w:w="1120" w:type="dxa"/>
            <w:vAlign w:val="bottom"/>
            <w:tcBorders>
              <w:top w:val="single" w:sz="8" w:color="1E1E1E"/>
            </w:tcBorders>
            <w:shd w:val="clear" w:color="auto" w:fill="E4E4E4"/>
          </w:tcPr>
          <w:p>
            <w:pPr>
              <w:spacing w:after="0"/>
              <w:rPr>
                <w:sz w:val="19"/>
                <w:szCs w:val="19"/>
                <w:color w:val="auto"/>
              </w:rPr>
            </w:pPr>
          </w:p>
        </w:tc>
        <w:tc>
          <w:tcPr>
            <w:tcW w:w="260" w:type="dxa"/>
            <w:vAlign w:val="bottom"/>
            <w:tcBorders>
              <w:top w:val="single" w:sz="8" w:color="E4E4E4"/>
            </w:tcBorders>
            <w:shd w:val="clear" w:color="auto" w:fill="E4E4E4"/>
          </w:tcPr>
          <w:p>
            <w:pPr>
              <w:spacing w:after="0"/>
              <w:rPr>
                <w:sz w:val="19"/>
                <w:szCs w:val="19"/>
                <w:color w:val="auto"/>
              </w:rPr>
            </w:pPr>
          </w:p>
        </w:tc>
        <w:tc>
          <w:tcPr>
            <w:tcW w:w="160" w:type="dxa"/>
            <w:vAlign w:val="bottom"/>
            <w:tcBorders>
              <w:top w:val="single" w:sz="8" w:color="1E1E1E"/>
            </w:tcBorders>
            <w:shd w:val="clear" w:color="auto" w:fill="E4E4E4"/>
          </w:tcPr>
          <w:p>
            <w:pPr>
              <w:spacing w:after="0"/>
              <w:rPr>
                <w:sz w:val="19"/>
                <w:szCs w:val="19"/>
                <w:color w:val="auto"/>
              </w:rPr>
            </w:pPr>
          </w:p>
        </w:tc>
        <w:tc>
          <w:tcPr>
            <w:tcW w:w="1120" w:type="dxa"/>
            <w:vAlign w:val="bottom"/>
            <w:tcBorders>
              <w:top w:val="single" w:sz="8" w:color="1E1E1E"/>
            </w:tcBorders>
            <w:shd w:val="clear" w:color="auto" w:fill="E4E4E4"/>
          </w:tcPr>
          <w:p>
            <w:pPr>
              <w:spacing w:after="0"/>
              <w:rPr>
                <w:sz w:val="19"/>
                <w:szCs w:val="19"/>
                <w:color w:val="auto"/>
              </w:rPr>
            </w:pPr>
          </w:p>
        </w:tc>
        <w:tc>
          <w:tcPr>
            <w:tcW w:w="20" w:type="dxa"/>
            <w:vAlign w:val="bottom"/>
            <w:tcBorders>
              <w:top w:val="single" w:sz="8" w:color="1E1E1E"/>
            </w:tcBorders>
            <w:shd w:val="clear" w:color="auto" w:fill="E4E4E4"/>
          </w:tcPr>
          <w:p>
            <w:pPr>
              <w:spacing w:after="0"/>
              <w:rPr>
                <w:sz w:val="19"/>
                <w:szCs w:val="19"/>
                <w:color w:val="auto"/>
              </w:rPr>
            </w:pPr>
          </w:p>
        </w:tc>
        <w:tc>
          <w:tcPr>
            <w:tcW w:w="24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1E1E1E"/>
            </w:tcBorders>
            <w:shd w:val="clear" w:color="auto" w:fill="E4E4E4"/>
          </w:tcPr>
          <w:p>
            <w:pPr>
              <w:spacing w:after="0"/>
              <w:rPr>
                <w:sz w:val="19"/>
                <w:szCs w:val="19"/>
                <w:color w:val="auto"/>
              </w:rPr>
            </w:pPr>
          </w:p>
        </w:tc>
        <w:tc>
          <w:tcPr>
            <w:tcW w:w="120" w:type="dxa"/>
            <w:vAlign w:val="bottom"/>
            <w:tcBorders>
              <w:top w:val="single" w:sz="8" w:color="1E1E1E"/>
            </w:tcBorders>
            <w:shd w:val="clear" w:color="auto" w:fill="E4E4E4"/>
          </w:tcPr>
          <w:p>
            <w:pPr>
              <w:spacing w:after="0"/>
              <w:rPr>
                <w:sz w:val="19"/>
                <w:szCs w:val="19"/>
                <w:color w:val="auto"/>
              </w:rPr>
            </w:pPr>
          </w:p>
        </w:tc>
        <w:tc>
          <w:tcPr>
            <w:tcW w:w="1040" w:type="dxa"/>
            <w:vAlign w:val="bottom"/>
            <w:tcBorders>
              <w:top w:val="single" w:sz="8" w:color="1E1E1E"/>
            </w:tcBorders>
            <w:shd w:val="clear" w:color="auto" w:fill="E4E4E4"/>
          </w:tcPr>
          <w:p>
            <w:pPr>
              <w:spacing w:after="0"/>
              <w:rPr>
                <w:sz w:val="19"/>
                <w:szCs w:val="19"/>
                <w:color w:val="auto"/>
              </w:rPr>
            </w:pPr>
          </w:p>
        </w:tc>
        <w:tc>
          <w:tcPr>
            <w:tcW w:w="20" w:type="dxa"/>
            <w:vAlign w:val="bottom"/>
            <w:tcBorders>
              <w:top w:val="single" w:sz="8" w:color="1E1E1E"/>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r>
      <w:tr>
        <w:trPr>
          <w:trHeight w:val="256"/>
        </w:trPr>
        <w:tc>
          <w:tcPr>
            <w:tcW w:w="6440" w:type="dxa"/>
            <w:vAlign w:val="bottom"/>
            <w:gridSpan w:val="2"/>
          </w:tcPr>
          <w:p>
            <w:pPr>
              <w:spacing w:after="0"/>
              <w:rPr>
                <w:sz w:val="20"/>
                <w:szCs w:val="20"/>
                <w:color w:val="auto"/>
              </w:rPr>
            </w:pPr>
            <w:r>
              <w:rPr>
                <w:rFonts w:ascii="Arial" w:cs="Arial" w:eastAsia="Arial" w:hAnsi="Arial"/>
                <w:sz w:val="20"/>
                <w:szCs w:val="20"/>
                <w:color w:val="1E1E1E"/>
              </w:rPr>
              <w:t>Net income</w:t>
            </w:r>
          </w:p>
        </w:tc>
        <w:tc>
          <w:tcPr>
            <w:tcW w:w="140" w:type="dxa"/>
            <w:vAlign w:val="bottom"/>
          </w:tcPr>
          <w:p>
            <w:pPr>
              <w:jc w:val="right"/>
              <w:spacing w:after="0"/>
              <w:rPr>
                <w:sz w:val="20"/>
                <w:szCs w:val="20"/>
                <w:color w:val="auto"/>
              </w:rPr>
            </w:pPr>
            <w:r>
              <w:rPr>
                <w:rFonts w:ascii="Arial" w:cs="Arial" w:eastAsia="Arial" w:hAnsi="Arial"/>
                <w:sz w:val="15"/>
                <w:szCs w:val="15"/>
                <w:color w:val="1E1E1E"/>
                <w:w w:val="71"/>
              </w:rPr>
              <w:t>$</w:t>
            </w:r>
          </w:p>
        </w:tc>
        <w:tc>
          <w:tcPr>
            <w:tcW w:w="1120" w:type="dxa"/>
            <w:vAlign w:val="bottom"/>
          </w:tcPr>
          <w:p>
            <w:pPr>
              <w:jc w:val="right"/>
              <w:spacing w:after="0"/>
              <w:rPr>
                <w:sz w:val="20"/>
                <w:szCs w:val="20"/>
                <w:color w:val="auto"/>
              </w:rPr>
            </w:pPr>
            <w:r>
              <w:rPr>
                <w:rFonts w:ascii="Arial" w:cs="Arial" w:eastAsia="Arial" w:hAnsi="Arial"/>
                <w:sz w:val="20"/>
                <w:szCs w:val="20"/>
                <w:color w:val="1E1E1E"/>
              </w:rPr>
              <w:t>27,854</w:t>
            </w:r>
          </w:p>
        </w:tc>
        <w:tc>
          <w:tcPr>
            <w:tcW w:w="2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1E1E1E"/>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20"/>
                <w:szCs w:val="20"/>
                <w:color w:val="1E1E1E"/>
              </w:rPr>
              <w:t>89,123</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1E1E1E"/>
                <w:w w:val="71"/>
              </w:rPr>
              <w:t>$</w:t>
            </w:r>
          </w:p>
        </w:tc>
        <w:tc>
          <w:tcPr>
            <w:tcW w:w="1160" w:type="dxa"/>
            <w:vAlign w:val="bottom"/>
            <w:gridSpan w:val="3"/>
          </w:tcPr>
          <w:p>
            <w:pPr>
              <w:jc w:val="right"/>
              <w:ind w:right="100"/>
              <w:spacing w:after="0"/>
              <w:rPr>
                <w:sz w:val="20"/>
                <w:szCs w:val="20"/>
                <w:color w:val="auto"/>
              </w:rPr>
            </w:pPr>
            <w:r>
              <w:rPr>
                <w:rFonts w:ascii="Arial" w:cs="Arial" w:eastAsia="Arial" w:hAnsi="Arial"/>
                <w:sz w:val="20"/>
                <w:szCs w:val="20"/>
                <w:color w:val="1E1E1E"/>
              </w:rPr>
              <w:t>56,713</w:t>
            </w:r>
          </w:p>
        </w:tc>
      </w:tr>
      <w:tr>
        <w:trPr>
          <w:trHeight w:val="230"/>
        </w:trPr>
        <w:tc>
          <w:tcPr>
            <w:tcW w:w="6420" w:type="dxa"/>
            <w:vAlign w:val="bottom"/>
            <w:tcBorders>
              <w:top w:val="single" w:sz="8" w:color="E4E4E4"/>
            </w:tcBorders>
            <w:shd w:val="clear" w:color="auto" w:fill="E4E4E4"/>
          </w:tcPr>
          <w:p>
            <w:pPr>
              <w:spacing w:after="0"/>
              <w:rPr>
                <w:sz w:val="20"/>
                <w:szCs w:val="20"/>
                <w:color w:val="auto"/>
              </w:rPr>
            </w:pPr>
          </w:p>
        </w:tc>
        <w:tc>
          <w:tcPr>
            <w:tcW w:w="20" w:type="dxa"/>
            <w:vAlign w:val="bottom"/>
            <w:tcBorders>
              <w:top w:val="single" w:sz="8" w:color="E4E4E4"/>
            </w:tcBorders>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1120" w:type="dxa"/>
            <w:vAlign w:val="bottom"/>
            <w:shd w:val="clear" w:color="auto" w:fill="E4E4E4"/>
          </w:tcPr>
          <w:p>
            <w:pPr>
              <w:spacing w:after="0"/>
              <w:rPr>
                <w:sz w:val="20"/>
                <w:szCs w:val="20"/>
                <w:color w:val="auto"/>
              </w:rPr>
            </w:pPr>
          </w:p>
        </w:tc>
        <w:tc>
          <w:tcPr>
            <w:tcW w:w="260" w:type="dxa"/>
            <w:vAlign w:val="bottom"/>
            <w:tcBorders>
              <w:top w:val="single" w:sz="8" w:color="E4E4E4"/>
            </w:tcBorders>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120" w:type="dxa"/>
            <w:vAlign w:val="bottom"/>
            <w:shd w:val="clear" w:color="auto" w:fill="E4E4E4"/>
          </w:tcPr>
          <w:p>
            <w:pPr>
              <w:spacing w:after="0"/>
              <w:rPr>
                <w:sz w:val="20"/>
                <w:szCs w:val="20"/>
                <w:color w:val="auto"/>
              </w:rPr>
            </w:pPr>
          </w:p>
        </w:tc>
        <w:tc>
          <w:tcPr>
            <w:tcW w:w="20" w:type="dxa"/>
            <w:vAlign w:val="bottom"/>
            <w:tcBorders>
              <w:top w:val="single" w:sz="8" w:color="E4E4E4"/>
            </w:tcBorders>
            <w:shd w:val="clear" w:color="auto" w:fill="E4E4E4"/>
          </w:tcPr>
          <w:p>
            <w:pPr>
              <w:spacing w:after="0"/>
              <w:rPr>
                <w:sz w:val="20"/>
                <w:szCs w:val="20"/>
                <w:color w:val="auto"/>
              </w:rPr>
            </w:pPr>
          </w:p>
        </w:tc>
        <w:tc>
          <w:tcPr>
            <w:tcW w:w="240" w:type="dxa"/>
            <w:vAlign w:val="bottom"/>
            <w:tcBorders>
              <w:top w:val="single" w:sz="8" w:color="E4E4E4"/>
            </w:tcBorders>
            <w:shd w:val="clear" w:color="auto" w:fill="E4E4E4"/>
          </w:tcPr>
          <w:p>
            <w:pPr>
              <w:spacing w:after="0"/>
              <w:rPr>
                <w:sz w:val="20"/>
                <w:szCs w:val="20"/>
                <w:color w:val="auto"/>
              </w:rPr>
            </w:pPr>
          </w:p>
        </w:tc>
        <w:tc>
          <w:tcPr>
            <w:tcW w:w="20" w:type="dxa"/>
            <w:vAlign w:val="bottom"/>
            <w:tcBorders>
              <w:top w:val="single" w:sz="8" w:color="E4E4E4"/>
            </w:tcBorders>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040" w:type="dxa"/>
            <w:vAlign w:val="bottom"/>
            <w:shd w:val="clear" w:color="auto" w:fill="E4E4E4"/>
          </w:tcPr>
          <w:p>
            <w:pPr>
              <w:spacing w:after="0"/>
              <w:rPr>
                <w:sz w:val="20"/>
                <w:szCs w:val="20"/>
                <w:color w:val="auto"/>
              </w:rPr>
            </w:pPr>
          </w:p>
        </w:tc>
        <w:tc>
          <w:tcPr>
            <w:tcW w:w="20" w:type="dxa"/>
            <w:vAlign w:val="bottom"/>
            <w:tcBorders>
              <w:top w:val="single" w:sz="8" w:color="E4E4E4"/>
            </w:tcBorders>
            <w:shd w:val="clear" w:color="auto" w:fill="E4E4E4"/>
          </w:tcPr>
          <w:p>
            <w:pPr>
              <w:spacing w:after="0"/>
              <w:rPr>
                <w:sz w:val="20"/>
                <w:szCs w:val="20"/>
                <w:color w:val="auto"/>
              </w:rPr>
            </w:pPr>
          </w:p>
        </w:tc>
        <w:tc>
          <w:tcPr>
            <w:tcW w:w="100" w:type="dxa"/>
            <w:vAlign w:val="bottom"/>
            <w:tcBorders>
              <w:top w:val="single" w:sz="8" w:color="E4E4E4"/>
            </w:tcBorders>
            <w:shd w:val="clear" w:color="auto" w:fill="E4E4E4"/>
          </w:tcPr>
          <w:p>
            <w:pPr>
              <w:spacing w:after="0"/>
              <w:rPr>
                <w:sz w:val="20"/>
                <w:szCs w:val="20"/>
                <w:color w:val="auto"/>
              </w:rPr>
            </w:pPr>
          </w:p>
        </w:tc>
      </w:tr>
      <w:tr>
        <w:trPr>
          <w:trHeight w:val="228"/>
        </w:trPr>
        <w:tc>
          <w:tcPr>
            <w:tcW w:w="6440" w:type="dxa"/>
            <w:vAlign w:val="bottom"/>
            <w:gridSpan w:val="2"/>
          </w:tcPr>
          <w:p>
            <w:pPr>
              <w:spacing w:after="0" w:line="228" w:lineRule="exact"/>
              <w:rPr>
                <w:sz w:val="20"/>
                <w:szCs w:val="20"/>
                <w:color w:val="auto"/>
              </w:rPr>
            </w:pPr>
            <w:r>
              <w:rPr>
                <w:rFonts w:ascii="Arial" w:cs="Arial" w:eastAsia="Arial" w:hAnsi="Arial"/>
                <w:sz w:val="20"/>
                <w:szCs w:val="20"/>
                <w:color w:val="1E1E1E"/>
              </w:rPr>
              <w:t>Net income per share - basic</w:t>
            </w:r>
          </w:p>
        </w:tc>
        <w:tc>
          <w:tcPr>
            <w:tcW w:w="140" w:type="dxa"/>
            <w:vAlign w:val="bottom"/>
          </w:tcPr>
          <w:p>
            <w:pPr>
              <w:jc w:val="right"/>
              <w:spacing w:after="0"/>
              <w:rPr>
                <w:sz w:val="20"/>
                <w:szCs w:val="20"/>
                <w:color w:val="auto"/>
              </w:rPr>
            </w:pPr>
            <w:r>
              <w:rPr>
                <w:rFonts w:ascii="Arial" w:cs="Arial" w:eastAsia="Arial" w:hAnsi="Arial"/>
                <w:sz w:val="15"/>
                <w:szCs w:val="15"/>
                <w:color w:val="1E1E1E"/>
                <w:w w:val="71"/>
              </w:rPr>
              <w:t>$</w:t>
            </w:r>
          </w:p>
        </w:tc>
        <w:tc>
          <w:tcPr>
            <w:tcW w:w="1120" w:type="dxa"/>
            <w:vAlign w:val="bottom"/>
          </w:tcPr>
          <w:p>
            <w:pPr>
              <w:jc w:val="right"/>
              <w:spacing w:after="0" w:line="228" w:lineRule="exact"/>
              <w:rPr>
                <w:sz w:val="20"/>
                <w:szCs w:val="20"/>
                <w:color w:val="auto"/>
              </w:rPr>
            </w:pPr>
            <w:r>
              <w:rPr>
                <w:rFonts w:ascii="Arial" w:cs="Arial" w:eastAsia="Arial" w:hAnsi="Arial"/>
                <w:sz w:val="20"/>
                <w:szCs w:val="20"/>
                <w:color w:val="1E1E1E"/>
              </w:rPr>
              <w:t>0.46</w:t>
            </w:r>
          </w:p>
        </w:tc>
        <w:tc>
          <w:tcPr>
            <w:tcW w:w="260" w:type="dxa"/>
            <w:vAlign w:val="bottom"/>
          </w:tcPr>
          <w:p>
            <w:pPr>
              <w:spacing w:after="0"/>
              <w:rPr>
                <w:sz w:val="19"/>
                <w:szCs w:val="19"/>
                <w:color w:val="auto"/>
              </w:rPr>
            </w:pPr>
          </w:p>
        </w:tc>
        <w:tc>
          <w:tcPr>
            <w:tcW w:w="160" w:type="dxa"/>
            <w:vAlign w:val="bottom"/>
          </w:tcPr>
          <w:p>
            <w:pPr>
              <w:jc w:val="right"/>
              <w:spacing w:after="0" w:line="228" w:lineRule="exact"/>
              <w:rPr>
                <w:sz w:val="20"/>
                <w:szCs w:val="20"/>
                <w:color w:val="auto"/>
              </w:rPr>
            </w:pPr>
            <w:r>
              <w:rPr>
                <w:rFonts w:ascii="Arial" w:cs="Arial" w:eastAsia="Arial" w:hAnsi="Arial"/>
                <w:sz w:val="20"/>
                <w:szCs w:val="20"/>
                <w:color w:val="1E1E1E"/>
                <w:w w:val="71"/>
              </w:rPr>
              <w:t>$</w:t>
            </w:r>
          </w:p>
        </w:tc>
        <w:tc>
          <w:tcPr>
            <w:tcW w:w="1140" w:type="dxa"/>
            <w:vAlign w:val="bottom"/>
            <w:gridSpan w:val="2"/>
          </w:tcPr>
          <w:p>
            <w:pPr>
              <w:jc w:val="right"/>
              <w:ind w:right="20"/>
              <w:spacing w:after="0" w:line="228" w:lineRule="exact"/>
              <w:rPr>
                <w:sz w:val="20"/>
                <w:szCs w:val="20"/>
                <w:color w:val="auto"/>
              </w:rPr>
            </w:pPr>
            <w:r>
              <w:rPr>
                <w:rFonts w:ascii="Arial" w:cs="Arial" w:eastAsia="Arial" w:hAnsi="Arial"/>
                <w:sz w:val="20"/>
                <w:szCs w:val="20"/>
                <w:color w:val="1E1E1E"/>
              </w:rPr>
              <w:t>1.42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1E1E1E"/>
                <w:w w:val="71"/>
              </w:rPr>
              <w:t>$</w:t>
            </w:r>
          </w:p>
        </w:tc>
        <w:tc>
          <w:tcPr>
            <w:tcW w:w="1060" w:type="dxa"/>
            <w:vAlign w:val="bottom"/>
            <w:gridSpan w:val="2"/>
          </w:tcPr>
          <w:p>
            <w:pPr>
              <w:jc w:val="right"/>
              <w:spacing w:after="0" w:line="228" w:lineRule="exact"/>
              <w:rPr>
                <w:sz w:val="20"/>
                <w:szCs w:val="20"/>
                <w:color w:val="auto"/>
              </w:rPr>
            </w:pPr>
            <w:r>
              <w:rPr>
                <w:rFonts w:ascii="Arial" w:cs="Arial" w:eastAsia="Arial" w:hAnsi="Arial"/>
                <w:sz w:val="20"/>
                <w:szCs w:val="20"/>
                <w:color w:val="1E1E1E"/>
              </w:rPr>
              <w:t>0.89</w:t>
            </w:r>
          </w:p>
        </w:tc>
        <w:tc>
          <w:tcPr>
            <w:tcW w:w="100" w:type="dxa"/>
            <w:vAlign w:val="bottom"/>
          </w:tcPr>
          <w:p>
            <w:pPr>
              <w:spacing w:after="0"/>
              <w:rPr>
                <w:sz w:val="19"/>
                <w:szCs w:val="19"/>
                <w:color w:val="auto"/>
              </w:rPr>
            </w:pPr>
          </w:p>
        </w:tc>
      </w:tr>
      <w:tr>
        <w:trPr>
          <w:trHeight w:val="230"/>
        </w:trPr>
        <w:tc>
          <w:tcPr>
            <w:tcW w:w="6440" w:type="dxa"/>
            <w:vAlign w:val="bottom"/>
            <w:gridSpan w:val="2"/>
            <w:shd w:val="clear" w:color="auto" w:fill="E4E4E4"/>
          </w:tcPr>
          <w:p>
            <w:pPr>
              <w:spacing w:after="0"/>
              <w:rPr>
                <w:sz w:val="20"/>
                <w:szCs w:val="20"/>
                <w:color w:val="auto"/>
              </w:rPr>
            </w:pPr>
            <w:r>
              <w:rPr>
                <w:rFonts w:ascii="Arial" w:cs="Arial" w:eastAsia="Arial" w:hAnsi="Arial"/>
                <w:sz w:val="20"/>
                <w:szCs w:val="20"/>
                <w:color w:val="1E1E1E"/>
              </w:rPr>
              <w:t>Net income per share - diluted</w:t>
            </w:r>
          </w:p>
        </w:tc>
        <w:tc>
          <w:tcPr>
            <w:tcW w:w="140" w:type="dxa"/>
            <w:vAlign w:val="bottom"/>
            <w:shd w:val="clear" w:color="auto" w:fill="E4E4E4"/>
          </w:tcPr>
          <w:p>
            <w:pPr>
              <w:jc w:val="right"/>
              <w:spacing w:after="0"/>
              <w:rPr>
                <w:sz w:val="20"/>
                <w:szCs w:val="20"/>
                <w:color w:val="auto"/>
              </w:rPr>
            </w:pPr>
            <w:r>
              <w:rPr>
                <w:rFonts w:ascii="Arial" w:cs="Arial" w:eastAsia="Arial" w:hAnsi="Arial"/>
                <w:sz w:val="15"/>
                <w:szCs w:val="15"/>
                <w:color w:val="1E1E1E"/>
                <w:w w:val="71"/>
              </w:rPr>
              <w:t>$</w:t>
            </w:r>
          </w:p>
        </w:tc>
        <w:tc>
          <w:tcPr>
            <w:tcW w:w="112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0.43</w:t>
            </w:r>
          </w:p>
        </w:tc>
        <w:tc>
          <w:tcPr>
            <w:tcW w:w="260" w:type="dxa"/>
            <w:vAlign w:val="bottom"/>
            <w:shd w:val="clear" w:color="auto" w:fill="E4E4E4"/>
          </w:tcPr>
          <w:p>
            <w:pPr>
              <w:spacing w:after="0"/>
              <w:rPr>
                <w:sz w:val="20"/>
                <w:szCs w:val="20"/>
                <w:color w:val="auto"/>
              </w:rPr>
            </w:pPr>
          </w:p>
        </w:tc>
        <w:tc>
          <w:tcPr>
            <w:tcW w:w="160" w:type="dxa"/>
            <w:vAlign w:val="bottom"/>
            <w:shd w:val="clear" w:color="auto" w:fill="E4E4E4"/>
          </w:tcPr>
          <w:p>
            <w:pPr>
              <w:jc w:val="right"/>
              <w:spacing w:after="0"/>
              <w:rPr>
                <w:sz w:val="20"/>
                <w:szCs w:val="20"/>
                <w:color w:val="auto"/>
              </w:rPr>
            </w:pPr>
            <w:r>
              <w:rPr>
                <w:rFonts w:ascii="Arial" w:cs="Arial" w:eastAsia="Arial" w:hAnsi="Arial"/>
                <w:sz w:val="20"/>
                <w:szCs w:val="20"/>
                <w:color w:val="1E1E1E"/>
                <w:w w:val="71"/>
              </w:rPr>
              <w:t>$</w:t>
            </w:r>
          </w:p>
        </w:tc>
        <w:tc>
          <w:tcPr>
            <w:tcW w:w="1140" w:type="dxa"/>
            <w:vAlign w:val="bottom"/>
            <w:gridSpan w:val="2"/>
            <w:shd w:val="clear" w:color="auto" w:fill="E4E4E4"/>
          </w:tcPr>
          <w:p>
            <w:pPr>
              <w:jc w:val="right"/>
              <w:ind w:right="20"/>
              <w:spacing w:after="0"/>
              <w:rPr>
                <w:sz w:val="20"/>
                <w:szCs w:val="20"/>
                <w:color w:val="auto"/>
              </w:rPr>
            </w:pPr>
            <w:r>
              <w:rPr>
                <w:rFonts w:ascii="Arial" w:cs="Arial" w:eastAsia="Arial" w:hAnsi="Arial"/>
                <w:sz w:val="20"/>
                <w:szCs w:val="20"/>
                <w:color w:val="1E1E1E"/>
              </w:rPr>
              <w:t>1.33</w:t>
            </w:r>
          </w:p>
        </w:tc>
        <w:tc>
          <w:tcPr>
            <w:tcW w:w="2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jc w:val="right"/>
              <w:spacing w:after="0"/>
              <w:rPr>
                <w:sz w:val="20"/>
                <w:szCs w:val="20"/>
                <w:color w:val="auto"/>
              </w:rPr>
            </w:pPr>
            <w:r>
              <w:rPr>
                <w:rFonts w:ascii="Arial" w:cs="Arial" w:eastAsia="Arial" w:hAnsi="Arial"/>
                <w:sz w:val="15"/>
                <w:szCs w:val="15"/>
                <w:color w:val="1E1E1E"/>
                <w:w w:val="71"/>
              </w:rPr>
              <w:t>$</w:t>
            </w:r>
          </w:p>
        </w:tc>
        <w:tc>
          <w:tcPr>
            <w:tcW w:w="106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0.83</w:t>
            </w:r>
          </w:p>
        </w:tc>
        <w:tc>
          <w:tcPr>
            <w:tcW w:w="100" w:type="dxa"/>
            <w:vAlign w:val="bottom"/>
            <w:shd w:val="clear" w:color="auto" w:fill="E4E4E4"/>
          </w:tcPr>
          <w:p>
            <w:pPr>
              <w:spacing w:after="0"/>
              <w:rPr>
                <w:sz w:val="20"/>
                <w:szCs w:val="20"/>
                <w:color w:val="auto"/>
              </w:rPr>
            </w:pPr>
          </w:p>
        </w:tc>
      </w:tr>
      <w:tr>
        <w:trPr>
          <w:trHeight w:val="230"/>
        </w:trPr>
        <w:tc>
          <w:tcPr>
            <w:tcW w:w="644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6440" w:type="dxa"/>
            <w:vAlign w:val="bottom"/>
            <w:gridSpan w:val="2"/>
            <w:shd w:val="clear" w:color="auto" w:fill="E4E4E4"/>
          </w:tcPr>
          <w:p>
            <w:pPr>
              <w:spacing w:after="0"/>
              <w:rPr>
                <w:sz w:val="20"/>
                <w:szCs w:val="20"/>
                <w:color w:val="auto"/>
              </w:rPr>
            </w:pPr>
            <w:r>
              <w:rPr>
                <w:rFonts w:ascii="Arial" w:cs="Arial" w:eastAsia="Arial" w:hAnsi="Arial"/>
                <w:sz w:val="20"/>
                <w:szCs w:val="20"/>
                <w:color w:val="1E1E1E"/>
              </w:rPr>
              <w:t>Weighted-average number of common shares outstanding:</w:t>
            </w:r>
          </w:p>
        </w:tc>
        <w:tc>
          <w:tcPr>
            <w:tcW w:w="140" w:type="dxa"/>
            <w:vAlign w:val="bottom"/>
            <w:shd w:val="clear" w:color="auto" w:fill="E4E4E4"/>
          </w:tcPr>
          <w:p>
            <w:pPr>
              <w:spacing w:after="0"/>
              <w:rPr>
                <w:sz w:val="20"/>
                <w:szCs w:val="20"/>
                <w:color w:val="auto"/>
              </w:rPr>
            </w:pPr>
          </w:p>
        </w:tc>
        <w:tc>
          <w:tcPr>
            <w:tcW w:w="1120" w:type="dxa"/>
            <w:vAlign w:val="bottom"/>
            <w:shd w:val="clear" w:color="auto" w:fill="E4E4E4"/>
          </w:tcPr>
          <w:p>
            <w:pPr>
              <w:spacing w:after="0"/>
              <w:rPr>
                <w:sz w:val="20"/>
                <w:szCs w:val="20"/>
                <w:color w:val="auto"/>
              </w:rPr>
            </w:pPr>
          </w:p>
        </w:tc>
        <w:tc>
          <w:tcPr>
            <w:tcW w:w="26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12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2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0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r>
      <w:tr>
        <w:trPr>
          <w:trHeight w:val="230"/>
        </w:trPr>
        <w:tc>
          <w:tcPr>
            <w:tcW w:w="6440" w:type="dxa"/>
            <w:vAlign w:val="bottom"/>
            <w:gridSpan w:val="2"/>
          </w:tcPr>
          <w:p>
            <w:pPr>
              <w:spacing w:after="0"/>
              <w:rPr>
                <w:sz w:val="20"/>
                <w:szCs w:val="20"/>
                <w:color w:val="auto"/>
              </w:rPr>
            </w:pPr>
            <w:r>
              <w:rPr>
                <w:rFonts w:ascii="Arial" w:cs="Arial" w:eastAsia="Arial" w:hAnsi="Arial"/>
                <w:sz w:val="20"/>
                <w:szCs w:val="20"/>
                <w:color w:val="1E1E1E"/>
              </w:rPr>
              <w:t>Basic</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1E1E1E"/>
              </w:rPr>
              <w:t>61,018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20"/>
                <w:szCs w:val="20"/>
                <w:color w:val="1E1E1E"/>
              </w:rPr>
              <w:t>62,825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20"/>
                <w:szCs w:val="20"/>
                <w:color w:val="1E1E1E"/>
              </w:rPr>
              <w:t>63,401</w:t>
            </w:r>
          </w:p>
        </w:tc>
      </w:tr>
      <w:tr>
        <w:trPr>
          <w:trHeight w:val="230"/>
        </w:trPr>
        <w:tc>
          <w:tcPr>
            <w:tcW w:w="6440" w:type="dxa"/>
            <w:vAlign w:val="bottom"/>
            <w:gridSpan w:val="2"/>
            <w:shd w:val="clear" w:color="auto" w:fill="E4E4E4"/>
          </w:tcPr>
          <w:p>
            <w:pPr>
              <w:spacing w:after="0"/>
              <w:rPr>
                <w:sz w:val="20"/>
                <w:szCs w:val="20"/>
                <w:color w:val="auto"/>
              </w:rPr>
            </w:pPr>
            <w:r>
              <w:rPr>
                <w:rFonts w:ascii="Arial" w:cs="Arial" w:eastAsia="Arial" w:hAnsi="Arial"/>
                <w:sz w:val="20"/>
                <w:szCs w:val="20"/>
                <w:color w:val="1E1E1E"/>
              </w:rPr>
              <w:t>Diluted</w:t>
            </w:r>
          </w:p>
        </w:tc>
        <w:tc>
          <w:tcPr>
            <w:tcW w:w="140" w:type="dxa"/>
            <w:vAlign w:val="bottom"/>
            <w:shd w:val="clear" w:color="auto" w:fill="E4E4E4"/>
          </w:tcPr>
          <w:p>
            <w:pPr>
              <w:spacing w:after="0"/>
              <w:rPr>
                <w:sz w:val="20"/>
                <w:szCs w:val="20"/>
                <w:color w:val="auto"/>
              </w:rPr>
            </w:pPr>
          </w:p>
        </w:tc>
        <w:tc>
          <w:tcPr>
            <w:tcW w:w="112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64,305</w:t>
            </w:r>
          </w:p>
        </w:tc>
        <w:tc>
          <w:tcPr>
            <w:tcW w:w="26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140" w:type="dxa"/>
            <w:vAlign w:val="bottom"/>
            <w:gridSpan w:val="2"/>
            <w:shd w:val="clear" w:color="auto" w:fill="E4E4E4"/>
          </w:tcPr>
          <w:p>
            <w:pPr>
              <w:jc w:val="right"/>
              <w:ind w:right="20"/>
              <w:spacing w:after="0"/>
              <w:rPr>
                <w:sz w:val="20"/>
                <w:szCs w:val="20"/>
                <w:color w:val="auto"/>
              </w:rPr>
            </w:pPr>
            <w:r>
              <w:rPr>
                <w:rFonts w:ascii="Arial" w:cs="Arial" w:eastAsia="Arial" w:hAnsi="Arial"/>
                <w:sz w:val="20"/>
                <w:szCs w:val="20"/>
                <w:color w:val="1E1E1E"/>
              </w:rPr>
              <w:t>66,890</w:t>
            </w:r>
          </w:p>
        </w:tc>
        <w:tc>
          <w:tcPr>
            <w:tcW w:w="2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160" w:type="dxa"/>
            <w:vAlign w:val="bottom"/>
            <w:gridSpan w:val="3"/>
            <w:shd w:val="clear" w:color="auto" w:fill="E4E4E4"/>
          </w:tcPr>
          <w:p>
            <w:pPr>
              <w:jc w:val="right"/>
              <w:ind w:right="100"/>
              <w:spacing w:after="0"/>
              <w:rPr>
                <w:sz w:val="20"/>
                <w:szCs w:val="20"/>
                <w:color w:val="auto"/>
              </w:rPr>
            </w:pPr>
            <w:r>
              <w:rPr>
                <w:rFonts w:ascii="Arial" w:cs="Arial" w:eastAsia="Arial" w:hAnsi="Arial"/>
                <w:sz w:val="20"/>
                <w:szCs w:val="20"/>
                <w:color w:val="1E1E1E"/>
              </w:rPr>
              <w:t>68,031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-1066165</wp:posOffset>
            </wp:positionV>
            <wp:extent cx="2747645" cy="609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47645" cy="6096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1E1E1E"/>
        </w:rPr>
        <w:t>The accompanying notes are an integral part of the consolidated financial statements.</w:t>
      </w:r>
    </w:p>
    <w:p>
      <w:pPr>
        <w:sectPr>
          <w:pgSz w:w="11880" w:h="15480" w:orient="portrait"/>
          <w:cols w:equalWidth="0" w:num="1">
            <w:col w:w="10800"/>
          </w:cols>
          <w:pgMar w:left="540" w:top="653"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39</w:t>
      </w:r>
    </w:p>
    <w:p>
      <w:pPr>
        <w:sectPr>
          <w:pgSz w:w="11880" w:h="15480" w:orient="portrait"/>
          <w:cols w:equalWidth="0" w:num="1">
            <w:col w:w="10800"/>
          </w:cols>
          <w:pgMar w:left="540" w:top="653" w:right="540" w:bottom="31"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20"/>
          <w:szCs w:val="20"/>
          <w:color w:val="1E1E1E"/>
        </w:rPr>
        <w:t>DESTINATION XL GROUP, INC.</w:t>
      </w:r>
    </w:p>
    <w:p>
      <w:pPr>
        <w:jc w:val="center"/>
        <w:spacing w:after="0"/>
        <w:rPr>
          <w:sz w:val="20"/>
          <w:szCs w:val="20"/>
          <w:color w:val="auto"/>
        </w:rPr>
      </w:pPr>
      <w:r>
        <w:rPr>
          <w:rFonts w:ascii="Arial" w:cs="Arial" w:eastAsia="Arial" w:hAnsi="Arial"/>
          <w:sz w:val="20"/>
          <w:szCs w:val="20"/>
          <w:color w:val="1E1E1E"/>
        </w:rPr>
        <w:t>CONSOLIDATED STATEMENTS OF COMPREHENSIVE INCOME</w:t>
      </w:r>
    </w:p>
    <w:p>
      <w:pPr>
        <w:jc w:val="center"/>
        <w:spacing w:after="0"/>
        <w:rPr>
          <w:sz w:val="20"/>
          <w:szCs w:val="20"/>
          <w:color w:val="auto"/>
        </w:rPr>
      </w:pPr>
      <w:r>
        <w:rPr>
          <w:rFonts w:ascii="Arial" w:cs="Arial" w:eastAsia="Arial" w:hAnsi="Arial"/>
          <w:sz w:val="20"/>
          <w:szCs w:val="20"/>
          <w:color w:val="1E1E1E"/>
        </w:rPr>
        <w:t>For the fiscal years ended February 3, 2024, January 28, 2023 and January 29, 2022</w:t>
      </w:r>
    </w:p>
    <w:p>
      <w:pPr>
        <w:jc w:val="center"/>
        <w:spacing w:after="0"/>
        <w:rPr>
          <w:sz w:val="20"/>
          <w:szCs w:val="20"/>
          <w:color w:val="auto"/>
        </w:rPr>
      </w:pPr>
      <w:r>
        <w:rPr>
          <w:rFonts w:ascii="Arial" w:cs="Arial" w:eastAsia="Arial" w:hAnsi="Arial"/>
          <w:sz w:val="20"/>
          <w:szCs w:val="20"/>
          <w:color w:val="1E1E1E"/>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60" w:type="dxa"/>
            <w:vAlign w:val="bottom"/>
          </w:tcPr>
          <w:p>
            <w:pPr>
              <w:spacing w:after="0"/>
              <w:rPr>
                <w:sz w:val="16"/>
                <w:szCs w:val="16"/>
                <w:color w:val="auto"/>
              </w:rPr>
            </w:pPr>
          </w:p>
        </w:tc>
        <w:tc>
          <w:tcPr>
            <w:tcW w:w="1540" w:type="dxa"/>
            <w:vAlign w:val="bottom"/>
            <w:gridSpan w:val="3"/>
          </w:tcPr>
          <w:p>
            <w:pPr>
              <w:jc w:val="right"/>
              <w:ind w:right="360"/>
              <w:spacing w:after="0"/>
              <w:rPr>
                <w:sz w:val="20"/>
                <w:szCs w:val="20"/>
                <w:color w:val="auto"/>
              </w:rPr>
            </w:pPr>
            <w:r>
              <w:rPr>
                <w:rFonts w:ascii="Arial" w:cs="Arial" w:eastAsia="Arial" w:hAnsi="Arial"/>
                <w:sz w:val="16"/>
                <w:szCs w:val="16"/>
                <w:color w:val="1E1E1E"/>
                <w:w w:val="95"/>
              </w:rPr>
              <w:t>February 3, 2024</w:t>
            </w:r>
          </w:p>
        </w:tc>
        <w:tc>
          <w:tcPr>
            <w:tcW w:w="1520" w:type="dxa"/>
            <w:vAlign w:val="bottom"/>
            <w:gridSpan w:val="3"/>
          </w:tcPr>
          <w:p>
            <w:pPr>
              <w:jc w:val="right"/>
              <w:ind w:right="340"/>
              <w:spacing w:after="0"/>
              <w:rPr>
                <w:sz w:val="20"/>
                <w:szCs w:val="20"/>
                <w:color w:val="auto"/>
              </w:rPr>
            </w:pPr>
            <w:r>
              <w:rPr>
                <w:rFonts w:ascii="Arial" w:cs="Arial" w:eastAsia="Arial" w:hAnsi="Arial"/>
                <w:sz w:val="16"/>
                <w:szCs w:val="16"/>
                <w:color w:val="1E1E1E"/>
                <w:w w:val="93"/>
              </w:rPr>
              <w:t>January 28, 2023</w:t>
            </w:r>
          </w:p>
        </w:tc>
        <w:tc>
          <w:tcPr>
            <w:tcW w:w="1380" w:type="dxa"/>
            <w:vAlign w:val="bottom"/>
            <w:gridSpan w:val="3"/>
          </w:tcPr>
          <w:p>
            <w:pPr>
              <w:jc w:val="right"/>
              <w:ind w:right="200"/>
              <w:spacing w:after="0"/>
              <w:rPr>
                <w:sz w:val="20"/>
                <w:szCs w:val="20"/>
                <w:color w:val="auto"/>
              </w:rPr>
            </w:pPr>
            <w:r>
              <w:rPr>
                <w:rFonts w:ascii="Arial" w:cs="Arial" w:eastAsia="Arial" w:hAnsi="Arial"/>
                <w:sz w:val="16"/>
                <w:szCs w:val="16"/>
                <w:color w:val="1E1E1E"/>
                <w:w w:val="93"/>
              </w:rPr>
              <w:t>January 29, 2022</w:t>
            </w:r>
          </w:p>
        </w:tc>
      </w:tr>
      <w:tr>
        <w:trPr>
          <w:trHeight w:val="198"/>
        </w:trPr>
        <w:tc>
          <w:tcPr>
            <w:tcW w:w="6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6"/>
                <w:szCs w:val="16"/>
                <w:color w:val="1E1E1E"/>
                <w:w w:val="95"/>
              </w:rPr>
              <w:t>(Fiscal 2023)</w:t>
            </w:r>
          </w:p>
        </w:tc>
        <w:tc>
          <w:tcPr>
            <w:tcW w:w="140" w:type="dxa"/>
            <w:vAlign w:val="bottom"/>
          </w:tcPr>
          <w:p>
            <w:pPr>
              <w:spacing w:after="0"/>
              <w:rPr>
                <w:sz w:val="17"/>
                <w:szCs w:val="17"/>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6"/>
                <w:szCs w:val="16"/>
                <w:color w:val="1E1E1E"/>
                <w:w w:val="97"/>
              </w:rPr>
              <w:t>(Fiscal 2022)</w:t>
            </w:r>
          </w:p>
        </w:tc>
        <w:tc>
          <w:tcPr>
            <w:tcW w:w="16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1E1E1E"/>
                <w:w w:val="95"/>
              </w:rPr>
              <w:t>(Fiscal 2021)</w:t>
            </w:r>
          </w:p>
        </w:tc>
      </w:tr>
      <w:tr>
        <w:trPr>
          <w:trHeight w:val="220"/>
        </w:trPr>
        <w:tc>
          <w:tcPr>
            <w:tcW w:w="6360" w:type="dxa"/>
            <w:vAlign w:val="bottom"/>
            <w:tcBorders>
              <w:top w:val="single" w:sz="8" w:color="E4E4E4"/>
            </w:tcBorders>
            <w:shd w:val="clear" w:color="auto" w:fill="E4E4E4"/>
          </w:tcPr>
          <w:p>
            <w:pPr>
              <w:spacing w:after="0" w:line="220" w:lineRule="exact"/>
              <w:rPr>
                <w:sz w:val="20"/>
                <w:szCs w:val="20"/>
                <w:color w:val="auto"/>
              </w:rPr>
            </w:pPr>
            <w:r>
              <w:rPr>
                <w:rFonts w:ascii="Arial" w:cs="Arial" w:eastAsia="Arial" w:hAnsi="Arial"/>
                <w:sz w:val="20"/>
                <w:szCs w:val="20"/>
                <w:color w:val="1E1E1E"/>
              </w:rPr>
              <w:t>Net income</w:t>
            </w:r>
          </w:p>
        </w:tc>
        <w:tc>
          <w:tcPr>
            <w:tcW w:w="160" w:type="dxa"/>
            <w:vAlign w:val="bottom"/>
            <w:tcBorders>
              <w:top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w w:val="71"/>
              </w:rPr>
              <w:t>$</w:t>
            </w:r>
          </w:p>
        </w:tc>
        <w:tc>
          <w:tcPr>
            <w:tcW w:w="1120" w:type="dxa"/>
            <w:vAlign w:val="bottom"/>
            <w:tcBorders>
              <w:top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27,854</w:t>
            </w:r>
          </w:p>
        </w:tc>
        <w:tc>
          <w:tcPr>
            <w:tcW w:w="260" w:type="dxa"/>
            <w:vAlign w:val="bottom"/>
            <w:tcBorders>
              <w:top w:val="single" w:sz="8" w:color="E4E4E4"/>
            </w:tcBorders>
            <w:shd w:val="clear" w:color="auto" w:fill="E4E4E4"/>
          </w:tcPr>
          <w:p>
            <w:pPr>
              <w:spacing w:after="0"/>
              <w:rPr>
                <w:sz w:val="19"/>
                <w:szCs w:val="19"/>
                <w:color w:val="auto"/>
              </w:rPr>
            </w:pPr>
          </w:p>
        </w:tc>
        <w:tc>
          <w:tcPr>
            <w:tcW w:w="140" w:type="dxa"/>
            <w:vAlign w:val="bottom"/>
            <w:tcBorders>
              <w:top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w w:val="71"/>
              </w:rPr>
              <w:t>$</w:t>
            </w:r>
          </w:p>
        </w:tc>
        <w:tc>
          <w:tcPr>
            <w:tcW w:w="1120" w:type="dxa"/>
            <w:vAlign w:val="bottom"/>
            <w:tcBorders>
              <w:top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89,123</w:t>
            </w:r>
          </w:p>
        </w:tc>
        <w:tc>
          <w:tcPr>
            <w:tcW w:w="260" w:type="dxa"/>
            <w:vAlign w:val="bottom"/>
            <w:tcBorders>
              <w:top w:val="single" w:sz="8" w:color="E4E4E4"/>
            </w:tcBorders>
            <w:shd w:val="clear" w:color="auto" w:fill="E4E4E4"/>
          </w:tcPr>
          <w:p>
            <w:pPr>
              <w:spacing w:after="0"/>
              <w:rPr>
                <w:sz w:val="19"/>
                <w:szCs w:val="19"/>
                <w:color w:val="auto"/>
              </w:rPr>
            </w:pPr>
          </w:p>
        </w:tc>
        <w:tc>
          <w:tcPr>
            <w:tcW w:w="160" w:type="dxa"/>
            <w:vAlign w:val="bottom"/>
            <w:tcBorders>
              <w:top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w w:val="71"/>
              </w:rPr>
              <w:t>$</w:t>
            </w:r>
          </w:p>
        </w:tc>
        <w:tc>
          <w:tcPr>
            <w:tcW w:w="1120" w:type="dxa"/>
            <w:vAlign w:val="bottom"/>
            <w:tcBorders>
              <w:top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56,713</w:t>
            </w:r>
          </w:p>
        </w:tc>
        <w:tc>
          <w:tcPr>
            <w:tcW w:w="100" w:type="dxa"/>
            <w:vAlign w:val="bottom"/>
            <w:tcBorders>
              <w:top w:val="single" w:sz="8" w:color="E4E4E4"/>
            </w:tcBorders>
            <w:shd w:val="clear" w:color="auto" w:fill="E4E4E4"/>
          </w:tcPr>
          <w:p>
            <w:pPr>
              <w:spacing w:after="0"/>
              <w:rPr>
                <w:sz w:val="19"/>
                <w:szCs w:val="19"/>
                <w:color w:val="auto"/>
              </w:rPr>
            </w:pPr>
          </w:p>
        </w:tc>
      </w:tr>
      <w:tr>
        <w:trPr>
          <w:trHeight w:val="230"/>
        </w:trPr>
        <w:tc>
          <w:tcPr>
            <w:tcW w:w="6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6360" w:type="dxa"/>
            <w:vAlign w:val="bottom"/>
            <w:shd w:val="clear" w:color="auto" w:fill="E4E4E4"/>
          </w:tcPr>
          <w:p>
            <w:pPr>
              <w:spacing w:after="0"/>
              <w:rPr>
                <w:sz w:val="20"/>
                <w:szCs w:val="20"/>
                <w:color w:val="auto"/>
              </w:rPr>
            </w:pPr>
            <w:r>
              <w:rPr>
                <w:rFonts w:ascii="Arial" w:cs="Arial" w:eastAsia="Arial" w:hAnsi="Arial"/>
                <w:sz w:val="20"/>
                <w:szCs w:val="20"/>
                <w:color w:val="1E1E1E"/>
              </w:rPr>
              <w:t>Other comprehensive income (loss) before taxes:</w:t>
            </w:r>
          </w:p>
        </w:tc>
        <w:tc>
          <w:tcPr>
            <w:tcW w:w="160" w:type="dxa"/>
            <w:vAlign w:val="bottom"/>
            <w:shd w:val="clear" w:color="auto" w:fill="E4E4E4"/>
          </w:tcPr>
          <w:p>
            <w:pPr>
              <w:spacing w:after="0"/>
              <w:rPr>
                <w:sz w:val="20"/>
                <w:szCs w:val="20"/>
                <w:color w:val="auto"/>
              </w:rPr>
            </w:pPr>
          </w:p>
        </w:tc>
        <w:tc>
          <w:tcPr>
            <w:tcW w:w="1120" w:type="dxa"/>
            <w:vAlign w:val="bottom"/>
            <w:shd w:val="clear" w:color="auto" w:fill="E4E4E4"/>
          </w:tcPr>
          <w:p>
            <w:pPr>
              <w:spacing w:after="0"/>
              <w:rPr>
                <w:sz w:val="20"/>
                <w:szCs w:val="20"/>
                <w:color w:val="auto"/>
              </w:rPr>
            </w:pPr>
          </w:p>
        </w:tc>
        <w:tc>
          <w:tcPr>
            <w:tcW w:w="26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1120" w:type="dxa"/>
            <w:vAlign w:val="bottom"/>
            <w:shd w:val="clear" w:color="auto" w:fill="E4E4E4"/>
          </w:tcPr>
          <w:p>
            <w:pPr>
              <w:spacing w:after="0"/>
              <w:rPr>
                <w:sz w:val="20"/>
                <w:szCs w:val="20"/>
                <w:color w:val="auto"/>
              </w:rPr>
            </w:pPr>
          </w:p>
        </w:tc>
        <w:tc>
          <w:tcPr>
            <w:tcW w:w="26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1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r>
      <w:tr>
        <w:trPr>
          <w:trHeight w:val="230"/>
        </w:trPr>
        <w:tc>
          <w:tcPr>
            <w:tcW w:w="6360" w:type="dxa"/>
            <w:vAlign w:val="bottom"/>
          </w:tcPr>
          <w:p>
            <w:pPr>
              <w:ind w:left="200"/>
              <w:spacing w:after="0"/>
              <w:rPr>
                <w:sz w:val="20"/>
                <w:szCs w:val="20"/>
                <w:color w:val="auto"/>
              </w:rPr>
            </w:pPr>
            <w:r>
              <w:rPr>
                <w:rFonts w:ascii="Arial" w:cs="Arial" w:eastAsia="Arial" w:hAnsi="Arial"/>
                <w:sz w:val="20"/>
                <w:szCs w:val="20"/>
                <w:color w:val="1E1E1E"/>
              </w:rPr>
              <w:t>Recognition of accumulated foreign currency translation adjustment</w:t>
            </w:r>
          </w:p>
        </w:tc>
        <w:tc>
          <w:tcPr>
            <w:tcW w:w="16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20"/>
                <w:szCs w:val="20"/>
                <w:color w:val="1E1E1E"/>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1E1E1E"/>
              </w:rPr>
              <w:t>66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20"/>
                <w:szCs w:val="20"/>
                <w:color w:val="1E1E1E"/>
              </w:rPr>
              <w:t>—</w:t>
            </w:r>
          </w:p>
        </w:tc>
      </w:tr>
      <w:tr>
        <w:trPr>
          <w:trHeight w:val="230"/>
        </w:trPr>
        <w:tc>
          <w:tcPr>
            <w:tcW w:w="6360" w:type="dxa"/>
            <w:vAlign w:val="bottom"/>
            <w:shd w:val="clear" w:color="auto" w:fill="E4E4E4"/>
          </w:tcPr>
          <w:p>
            <w:pPr>
              <w:ind w:left="200"/>
              <w:spacing w:after="0"/>
              <w:rPr>
                <w:sz w:val="20"/>
                <w:szCs w:val="20"/>
                <w:color w:val="auto"/>
              </w:rPr>
            </w:pPr>
            <w:r>
              <w:rPr>
                <w:rFonts w:ascii="Arial" w:cs="Arial" w:eastAsia="Arial" w:hAnsi="Arial"/>
                <w:sz w:val="20"/>
                <w:szCs w:val="20"/>
                <w:color w:val="1E1E1E"/>
              </w:rPr>
              <w:t>Foreign currency translation</w:t>
            </w:r>
          </w:p>
        </w:tc>
        <w:tc>
          <w:tcPr>
            <w:tcW w:w="160" w:type="dxa"/>
            <w:vAlign w:val="bottom"/>
            <w:shd w:val="clear" w:color="auto" w:fill="E4E4E4"/>
          </w:tcPr>
          <w:p>
            <w:pPr>
              <w:spacing w:after="0"/>
              <w:rPr>
                <w:sz w:val="20"/>
                <w:szCs w:val="20"/>
                <w:color w:val="auto"/>
              </w:rPr>
            </w:pPr>
          </w:p>
        </w:tc>
        <w:tc>
          <w:tcPr>
            <w:tcW w:w="1380" w:type="dxa"/>
            <w:vAlign w:val="bottom"/>
            <w:gridSpan w:val="2"/>
            <w:shd w:val="clear" w:color="auto" w:fill="E4E4E4"/>
          </w:tcPr>
          <w:p>
            <w:pPr>
              <w:jc w:val="right"/>
              <w:ind w:right="260"/>
              <w:spacing w:after="0"/>
              <w:rPr>
                <w:sz w:val="20"/>
                <w:szCs w:val="20"/>
                <w:color w:val="auto"/>
              </w:rPr>
            </w:pPr>
            <w:r>
              <w:rPr>
                <w:rFonts w:ascii="Arial" w:cs="Arial" w:eastAsia="Arial" w:hAnsi="Arial"/>
                <w:sz w:val="20"/>
                <w:szCs w:val="20"/>
                <w:color w:val="1E1E1E"/>
              </w:rPr>
              <w:t>—</w:t>
            </w:r>
          </w:p>
        </w:tc>
        <w:tc>
          <w:tcPr>
            <w:tcW w:w="140" w:type="dxa"/>
            <w:vAlign w:val="bottom"/>
            <w:shd w:val="clear" w:color="auto" w:fill="E4E4E4"/>
          </w:tcPr>
          <w:p>
            <w:pPr>
              <w:spacing w:after="0"/>
              <w:rPr>
                <w:sz w:val="20"/>
                <w:szCs w:val="20"/>
                <w:color w:val="auto"/>
              </w:rPr>
            </w:pPr>
          </w:p>
        </w:tc>
        <w:tc>
          <w:tcPr>
            <w:tcW w:w="1380" w:type="dxa"/>
            <w:vAlign w:val="bottom"/>
            <w:gridSpan w:val="2"/>
            <w:shd w:val="clear" w:color="auto" w:fill="E4E4E4"/>
          </w:tcPr>
          <w:p>
            <w:pPr>
              <w:jc w:val="right"/>
              <w:ind w:right="180"/>
              <w:spacing w:after="0"/>
              <w:rPr>
                <w:sz w:val="20"/>
                <w:szCs w:val="20"/>
                <w:color w:val="auto"/>
              </w:rPr>
            </w:pPr>
            <w:r>
              <w:rPr>
                <w:rFonts w:ascii="Arial" w:cs="Arial" w:eastAsia="Arial" w:hAnsi="Arial"/>
                <w:sz w:val="20"/>
                <w:szCs w:val="20"/>
                <w:color w:val="1E1E1E"/>
              </w:rPr>
              <w:t>(7)</w:t>
            </w:r>
          </w:p>
        </w:tc>
        <w:tc>
          <w:tcPr>
            <w:tcW w:w="160" w:type="dxa"/>
            <w:vAlign w:val="bottom"/>
            <w:shd w:val="clear" w:color="auto" w:fill="E4E4E4"/>
          </w:tcPr>
          <w:p>
            <w:pPr>
              <w:spacing w:after="0"/>
              <w:rPr>
                <w:sz w:val="20"/>
                <w:szCs w:val="20"/>
                <w:color w:val="auto"/>
              </w:rPr>
            </w:pPr>
          </w:p>
        </w:tc>
        <w:tc>
          <w:tcPr>
            <w:tcW w:w="1220" w:type="dxa"/>
            <w:vAlign w:val="bottom"/>
            <w:gridSpan w:val="2"/>
            <w:shd w:val="clear" w:color="auto" w:fill="E4E4E4"/>
          </w:tcPr>
          <w:p>
            <w:pPr>
              <w:jc w:val="right"/>
              <w:ind w:right="40"/>
              <w:spacing w:after="0"/>
              <w:rPr>
                <w:sz w:val="20"/>
                <w:szCs w:val="20"/>
                <w:color w:val="auto"/>
              </w:rPr>
            </w:pPr>
            <w:r>
              <w:rPr>
                <w:rFonts w:ascii="Arial" w:cs="Arial" w:eastAsia="Arial" w:hAnsi="Arial"/>
                <w:sz w:val="20"/>
                <w:szCs w:val="20"/>
                <w:color w:val="1E1E1E"/>
              </w:rPr>
              <w:t>(62)</w:t>
            </w:r>
          </w:p>
        </w:tc>
      </w:tr>
      <w:tr>
        <w:trPr>
          <w:trHeight w:val="230"/>
        </w:trPr>
        <w:tc>
          <w:tcPr>
            <w:tcW w:w="6360" w:type="dxa"/>
            <w:vAlign w:val="bottom"/>
          </w:tcPr>
          <w:p>
            <w:pPr>
              <w:ind w:left="200"/>
              <w:spacing w:after="0"/>
              <w:rPr>
                <w:sz w:val="20"/>
                <w:szCs w:val="20"/>
                <w:color w:val="auto"/>
              </w:rPr>
            </w:pPr>
            <w:r>
              <w:rPr>
                <w:rFonts w:ascii="Arial" w:cs="Arial" w:eastAsia="Arial" w:hAnsi="Arial"/>
                <w:sz w:val="20"/>
                <w:szCs w:val="20"/>
                <w:color w:val="1E1E1E"/>
              </w:rPr>
              <w:t>Retirement plans</w:t>
            </w: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20"/>
                <w:szCs w:val="20"/>
                <w:color w:val="1E1E1E"/>
              </w:rPr>
              <w:t>(167)</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1E1E1E"/>
              </w:rPr>
              <w:t>704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1E1E1E"/>
              </w:rPr>
              <w:t>758</w:t>
            </w:r>
          </w:p>
        </w:tc>
        <w:tc>
          <w:tcPr>
            <w:tcW w:w="100" w:type="dxa"/>
            <w:vAlign w:val="bottom"/>
          </w:tcPr>
          <w:p>
            <w:pPr>
              <w:spacing w:after="0"/>
              <w:rPr>
                <w:sz w:val="20"/>
                <w:szCs w:val="20"/>
                <w:color w:val="auto"/>
              </w:rPr>
            </w:pPr>
          </w:p>
        </w:tc>
      </w:tr>
      <w:tr>
        <w:trPr>
          <w:trHeight w:val="228"/>
        </w:trPr>
        <w:tc>
          <w:tcPr>
            <w:tcW w:w="6360" w:type="dxa"/>
            <w:vAlign w:val="bottom"/>
            <w:shd w:val="clear" w:color="auto" w:fill="E4E4E4"/>
          </w:tcPr>
          <w:p>
            <w:pPr>
              <w:ind w:left="200"/>
              <w:spacing w:after="0" w:line="228" w:lineRule="exact"/>
              <w:rPr>
                <w:sz w:val="20"/>
                <w:szCs w:val="20"/>
                <w:color w:val="auto"/>
              </w:rPr>
            </w:pPr>
            <w:r>
              <w:rPr>
                <w:rFonts w:ascii="Arial" w:cs="Arial" w:eastAsia="Arial" w:hAnsi="Arial"/>
                <w:sz w:val="20"/>
                <w:szCs w:val="20"/>
                <w:color w:val="1E1E1E"/>
              </w:rPr>
              <w:t>Recognized loss from termination of retirement plans</w:t>
            </w:r>
          </w:p>
        </w:tc>
        <w:tc>
          <w:tcPr>
            <w:tcW w:w="160" w:type="dxa"/>
            <w:vAlign w:val="bottom"/>
            <w:shd w:val="clear" w:color="auto" w:fill="E4E4E4"/>
          </w:tcPr>
          <w:p>
            <w:pPr>
              <w:spacing w:after="0"/>
              <w:rPr>
                <w:sz w:val="19"/>
                <w:szCs w:val="19"/>
                <w:color w:val="auto"/>
              </w:rPr>
            </w:pPr>
          </w:p>
        </w:tc>
        <w:tc>
          <w:tcPr>
            <w:tcW w:w="1120" w:type="dxa"/>
            <w:vAlign w:val="bottom"/>
            <w:shd w:val="clear" w:color="auto" w:fill="E4E4E4"/>
          </w:tcPr>
          <w:p>
            <w:pPr>
              <w:jc w:val="right"/>
              <w:spacing w:after="0" w:line="228" w:lineRule="exact"/>
              <w:rPr>
                <w:sz w:val="20"/>
                <w:szCs w:val="20"/>
                <w:color w:val="auto"/>
              </w:rPr>
            </w:pPr>
            <w:r>
              <w:rPr>
                <w:rFonts w:ascii="Arial" w:cs="Arial" w:eastAsia="Arial" w:hAnsi="Arial"/>
                <w:sz w:val="20"/>
                <w:szCs w:val="20"/>
                <w:color w:val="1E1E1E"/>
              </w:rPr>
              <w:t>5,690</w:t>
            </w:r>
          </w:p>
        </w:tc>
        <w:tc>
          <w:tcPr>
            <w:tcW w:w="26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380" w:type="dxa"/>
            <w:vAlign w:val="bottom"/>
            <w:gridSpan w:val="2"/>
            <w:shd w:val="clear" w:color="auto" w:fill="E4E4E4"/>
          </w:tcPr>
          <w:p>
            <w:pPr>
              <w:jc w:val="right"/>
              <w:ind w:right="260"/>
              <w:spacing w:after="0" w:line="228" w:lineRule="exact"/>
              <w:rPr>
                <w:sz w:val="20"/>
                <w:szCs w:val="20"/>
                <w:color w:val="auto"/>
              </w:rPr>
            </w:pPr>
            <w:r>
              <w:rPr>
                <w:rFonts w:ascii="Arial" w:cs="Arial" w:eastAsia="Arial" w:hAnsi="Arial"/>
                <w:sz w:val="20"/>
                <w:szCs w:val="20"/>
                <w:color w:val="1E1E1E"/>
              </w:rPr>
              <w:t>—</w:t>
            </w:r>
          </w:p>
        </w:tc>
        <w:tc>
          <w:tcPr>
            <w:tcW w:w="160" w:type="dxa"/>
            <w:vAlign w:val="bottom"/>
            <w:shd w:val="clear" w:color="auto" w:fill="E4E4E4"/>
          </w:tcPr>
          <w:p>
            <w:pPr>
              <w:spacing w:after="0"/>
              <w:rPr>
                <w:sz w:val="19"/>
                <w:szCs w:val="19"/>
                <w:color w:val="auto"/>
              </w:rPr>
            </w:pPr>
          </w:p>
        </w:tc>
        <w:tc>
          <w:tcPr>
            <w:tcW w:w="1220" w:type="dxa"/>
            <w:vAlign w:val="bottom"/>
            <w:gridSpan w:val="2"/>
            <w:shd w:val="clear" w:color="auto" w:fill="E4E4E4"/>
          </w:tcPr>
          <w:p>
            <w:pPr>
              <w:jc w:val="right"/>
              <w:ind w:right="100"/>
              <w:spacing w:after="0" w:line="228" w:lineRule="exact"/>
              <w:rPr>
                <w:sz w:val="20"/>
                <w:szCs w:val="20"/>
                <w:color w:val="auto"/>
              </w:rPr>
            </w:pPr>
            <w:r>
              <w:rPr>
                <w:rFonts w:ascii="Arial" w:cs="Arial" w:eastAsia="Arial" w:hAnsi="Arial"/>
                <w:sz w:val="20"/>
                <w:szCs w:val="20"/>
                <w:color w:val="1E1E1E"/>
              </w:rPr>
              <w:t>—</w:t>
            </w:r>
          </w:p>
        </w:tc>
      </w:tr>
      <w:tr>
        <w:trPr>
          <w:trHeight w:val="220"/>
        </w:trPr>
        <w:tc>
          <w:tcPr>
            <w:tcW w:w="6360" w:type="dxa"/>
            <w:vAlign w:val="bottom"/>
          </w:tcPr>
          <w:p>
            <w:pPr>
              <w:ind w:left="400"/>
              <w:spacing w:after="0" w:line="220" w:lineRule="exact"/>
              <w:rPr>
                <w:sz w:val="20"/>
                <w:szCs w:val="20"/>
                <w:color w:val="auto"/>
              </w:rPr>
            </w:pPr>
            <w:r>
              <w:rPr>
                <w:rFonts w:ascii="Arial" w:cs="Arial" w:eastAsia="Arial" w:hAnsi="Arial"/>
                <w:sz w:val="20"/>
                <w:szCs w:val="20"/>
                <w:color w:val="1E1E1E"/>
              </w:rPr>
              <w:t>Other comprehensive income before taxes</w:t>
            </w:r>
          </w:p>
        </w:tc>
        <w:tc>
          <w:tcPr>
            <w:tcW w:w="160" w:type="dxa"/>
            <w:vAlign w:val="bottom"/>
            <w:tcBorders>
              <w:top w:val="single" w:sz="8" w:color="1E1E1E"/>
            </w:tcBorders>
          </w:tcPr>
          <w:p>
            <w:pPr>
              <w:spacing w:after="0"/>
              <w:rPr>
                <w:sz w:val="19"/>
                <w:szCs w:val="19"/>
                <w:color w:val="auto"/>
              </w:rPr>
            </w:pPr>
          </w:p>
        </w:tc>
        <w:tc>
          <w:tcPr>
            <w:tcW w:w="112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rPr>
              <w:t>5,523</w:t>
            </w:r>
          </w:p>
        </w:tc>
        <w:tc>
          <w:tcPr>
            <w:tcW w:w="260" w:type="dxa"/>
            <w:vAlign w:val="bottom"/>
          </w:tcPr>
          <w:p>
            <w:pPr>
              <w:spacing w:after="0"/>
              <w:rPr>
                <w:sz w:val="19"/>
                <w:szCs w:val="19"/>
                <w:color w:val="auto"/>
              </w:rPr>
            </w:pPr>
          </w:p>
        </w:tc>
        <w:tc>
          <w:tcPr>
            <w:tcW w:w="140" w:type="dxa"/>
            <w:vAlign w:val="bottom"/>
            <w:tcBorders>
              <w:top w:val="single" w:sz="8" w:color="1E1E1E"/>
            </w:tcBorders>
          </w:tcPr>
          <w:p>
            <w:pPr>
              <w:spacing w:after="0"/>
              <w:rPr>
                <w:sz w:val="19"/>
                <w:szCs w:val="19"/>
                <w:color w:val="auto"/>
              </w:rPr>
            </w:pPr>
          </w:p>
        </w:tc>
        <w:tc>
          <w:tcPr>
            <w:tcW w:w="112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rPr>
              <w:t>763</w:t>
            </w:r>
          </w:p>
        </w:tc>
        <w:tc>
          <w:tcPr>
            <w:tcW w:w="260" w:type="dxa"/>
            <w:vAlign w:val="bottom"/>
          </w:tcPr>
          <w:p>
            <w:pPr>
              <w:spacing w:after="0"/>
              <w:rPr>
                <w:sz w:val="19"/>
                <w:szCs w:val="19"/>
                <w:color w:val="auto"/>
              </w:rPr>
            </w:pPr>
          </w:p>
        </w:tc>
        <w:tc>
          <w:tcPr>
            <w:tcW w:w="160" w:type="dxa"/>
            <w:vAlign w:val="bottom"/>
            <w:tcBorders>
              <w:top w:val="single" w:sz="8" w:color="1E1E1E"/>
            </w:tcBorders>
          </w:tcPr>
          <w:p>
            <w:pPr>
              <w:spacing w:after="0"/>
              <w:rPr>
                <w:sz w:val="19"/>
                <w:szCs w:val="19"/>
                <w:color w:val="auto"/>
              </w:rPr>
            </w:pPr>
          </w:p>
        </w:tc>
        <w:tc>
          <w:tcPr>
            <w:tcW w:w="112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rPr>
              <w:t>696</w:t>
            </w:r>
          </w:p>
        </w:tc>
        <w:tc>
          <w:tcPr>
            <w:tcW w:w="100" w:type="dxa"/>
            <w:vAlign w:val="bottom"/>
          </w:tcPr>
          <w:p>
            <w:pPr>
              <w:spacing w:after="0"/>
              <w:rPr>
                <w:sz w:val="19"/>
                <w:szCs w:val="19"/>
                <w:color w:val="auto"/>
              </w:rPr>
            </w:pPr>
          </w:p>
        </w:tc>
      </w:tr>
      <w:tr>
        <w:trPr>
          <w:trHeight w:val="230"/>
        </w:trPr>
        <w:tc>
          <w:tcPr>
            <w:tcW w:w="6360" w:type="dxa"/>
            <w:vAlign w:val="bottom"/>
            <w:shd w:val="clear" w:color="auto" w:fill="E4E4E4"/>
          </w:tcPr>
          <w:p>
            <w:pPr>
              <w:spacing w:after="0"/>
              <w:rPr>
                <w:sz w:val="20"/>
                <w:szCs w:val="20"/>
                <w:color w:val="auto"/>
              </w:rPr>
            </w:pPr>
            <w:r>
              <w:rPr>
                <w:rFonts w:ascii="Arial" w:cs="Arial" w:eastAsia="Arial" w:hAnsi="Arial"/>
                <w:sz w:val="20"/>
                <w:szCs w:val="20"/>
                <w:color w:val="1E1E1E"/>
              </w:rPr>
              <w:t>Tax provision related to items of other comprehensive income</w:t>
            </w:r>
          </w:p>
        </w:tc>
        <w:tc>
          <w:tcPr>
            <w:tcW w:w="160" w:type="dxa"/>
            <w:vAlign w:val="bottom"/>
            <w:tcBorders>
              <w:bottom w:val="single" w:sz="8" w:color="1E1E1E"/>
            </w:tcBorders>
            <w:shd w:val="clear" w:color="auto" w:fill="E4E4E4"/>
          </w:tcPr>
          <w:p>
            <w:pPr>
              <w:spacing w:after="0"/>
              <w:rPr>
                <w:sz w:val="20"/>
                <w:szCs w:val="20"/>
                <w:color w:val="auto"/>
              </w:rPr>
            </w:pPr>
          </w:p>
        </w:tc>
        <w:tc>
          <w:tcPr>
            <w:tcW w:w="1120" w:type="dxa"/>
            <w:vAlign w:val="bottom"/>
            <w:tcBorders>
              <w:bottom w:val="single" w:sz="8" w:color="1E1E1E"/>
            </w:tcBorders>
            <w:shd w:val="clear" w:color="auto" w:fill="E4E4E4"/>
          </w:tcPr>
          <w:p>
            <w:pPr>
              <w:jc w:val="right"/>
              <w:spacing w:after="0"/>
              <w:rPr>
                <w:sz w:val="20"/>
                <w:szCs w:val="20"/>
                <w:color w:val="auto"/>
              </w:rPr>
            </w:pPr>
            <w:r>
              <w:rPr>
                <w:rFonts w:ascii="Arial" w:cs="Arial" w:eastAsia="Arial" w:hAnsi="Arial"/>
                <w:sz w:val="20"/>
                <w:szCs w:val="20"/>
                <w:color w:val="1E1E1E"/>
              </w:rPr>
              <w:t>(595)</w:t>
            </w:r>
          </w:p>
        </w:tc>
        <w:tc>
          <w:tcPr>
            <w:tcW w:w="260" w:type="dxa"/>
            <w:vAlign w:val="bottom"/>
            <w:shd w:val="clear" w:color="auto" w:fill="E4E4E4"/>
          </w:tcPr>
          <w:p>
            <w:pPr>
              <w:spacing w:after="0"/>
              <w:rPr>
                <w:sz w:val="20"/>
                <w:szCs w:val="20"/>
                <w:color w:val="auto"/>
              </w:rPr>
            </w:pPr>
          </w:p>
        </w:tc>
        <w:tc>
          <w:tcPr>
            <w:tcW w:w="140" w:type="dxa"/>
            <w:vAlign w:val="bottom"/>
            <w:tcBorders>
              <w:bottom w:val="single" w:sz="8" w:color="1E1E1E"/>
            </w:tcBorders>
            <w:shd w:val="clear" w:color="auto" w:fill="E4E4E4"/>
          </w:tcPr>
          <w:p>
            <w:pPr>
              <w:spacing w:after="0"/>
              <w:rPr>
                <w:sz w:val="20"/>
                <w:szCs w:val="20"/>
                <w:color w:val="auto"/>
              </w:rPr>
            </w:pPr>
          </w:p>
        </w:tc>
        <w:tc>
          <w:tcPr>
            <w:tcW w:w="1120" w:type="dxa"/>
            <w:vAlign w:val="bottom"/>
            <w:tcBorders>
              <w:bottom w:val="single" w:sz="8" w:color="1E1E1E"/>
            </w:tcBorders>
            <w:shd w:val="clear" w:color="auto" w:fill="E4E4E4"/>
          </w:tcPr>
          <w:p>
            <w:pPr>
              <w:jc w:val="right"/>
              <w:spacing w:after="0"/>
              <w:rPr>
                <w:sz w:val="20"/>
                <w:szCs w:val="20"/>
                <w:color w:val="auto"/>
              </w:rPr>
            </w:pPr>
            <w:r>
              <w:rPr>
                <w:rFonts w:ascii="Arial" w:cs="Arial" w:eastAsia="Arial" w:hAnsi="Arial"/>
                <w:sz w:val="20"/>
                <w:szCs w:val="20"/>
                <w:color w:val="1E1E1E"/>
              </w:rPr>
              <w:t>(166)</w:t>
            </w:r>
          </w:p>
        </w:tc>
        <w:tc>
          <w:tcPr>
            <w:tcW w:w="260" w:type="dxa"/>
            <w:vAlign w:val="bottom"/>
            <w:shd w:val="clear" w:color="auto" w:fill="E4E4E4"/>
          </w:tcPr>
          <w:p>
            <w:pPr>
              <w:spacing w:after="0"/>
              <w:rPr>
                <w:sz w:val="20"/>
                <w:szCs w:val="20"/>
                <w:color w:val="auto"/>
              </w:rPr>
            </w:pPr>
          </w:p>
        </w:tc>
        <w:tc>
          <w:tcPr>
            <w:tcW w:w="160" w:type="dxa"/>
            <w:vAlign w:val="bottom"/>
            <w:tcBorders>
              <w:bottom w:val="single" w:sz="8" w:color="1E1E1E"/>
            </w:tcBorders>
            <w:shd w:val="clear" w:color="auto" w:fill="E4E4E4"/>
          </w:tcPr>
          <w:p>
            <w:pPr>
              <w:spacing w:after="0"/>
              <w:rPr>
                <w:sz w:val="20"/>
                <w:szCs w:val="20"/>
                <w:color w:val="auto"/>
              </w:rPr>
            </w:pPr>
          </w:p>
        </w:tc>
        <w:tc>
          <w:tcPr>
            <w:tcW w:w="1120" w:type="dxa"/>
            <w:vAlign w:val="bottom"/>
            <w:tcBorders>
              <w:bottom w:val="single" w:sz="8" w:color="1E1E1E"/>
            </w:tcBorders>
            <w:shd w:val="clear" w:color="auto" w:fill="E4E4E4"/>
          </w:tcPr>
          <w:p>
            <w:pPr>
              <w:jc w:val="right"/>
              <w:spacing w:after="0"/>
              <w:rPr>
                <w:sz w:val="20"/>
                <w:szCs w:val="20"/>
                <w:color w:val="auto"/>
              </w:rPr>
            </w:pPr>
            <w:r>
              <w:rPr>
                <w:rFonts w:ascii="Arial" w:cs="Arial" w:eastAsia="Arial" w:hAnsi="Arial"/>
                <w:sz w:val="20"/>
                <w:szCs w:val="20"/>
                <w:color w:val="1E1E1E"/>
              </w:rPr>
              <w:t>—</w:t>
            </w:r>
          </w:p>
        </w:tc>
        <w:tc>
          <w:tcPr>
            <w:tcW w:w="100" w:type="dxa"/>
            <w:vAlign w:val="bottom"/>
            <w:shd w:val="clear" w:color="auto" w:fill="E4E4E4"/>
          </w:tcPr>
          <w:p>
            <w:pPr>
              <w:spacing w:after="0"/>
              <w:rPr>
                <w:sz w:val="20"/>
                <w:szCs w:val="20"/>
                <w:color w:val="auto"/>
              </w:rPr>
            </w:pPr>
          </w:p>
        </w:tc>
      </w:tr>
      <w:tr>
        <w:trPr>
          <w:trHeight w:val="220"/>
        </w:trPr>
        <w:tc>
          <w:tcPr>
            <w:tcW w:w="6360" w:type="dxa"/>
            <w:vAlign w:val="bottom"/>
            <w:tcBorders>
              <w:bottom w:val="single" w:sz="8" w:color="E4E4E4"/>
            </w:tcBorders>
          </w:tcPr>
          <w:p>
            <w:pPr>
              <w:spacing w:after="0" w:line="220" w:lineRule="exact"/>
              <w:rPr>
                <w:sz w:val="20"/>
                <w:szCs w:val="20"/>
                <w:color w:val="auto"/>
              </w:rPr>
            </w:pPr>
            <w:r>
              <w:rPr>
                <w:rFonts w:ascii="Arial" w:cs="Arial" w:eastAsia="Arial" w:hAnsi="Arial"/>
                <w:sz w:val="20"/>
                <w:szCs w:val="20"/>
                <w:color w:val="1E1E1E"/>
              </w:rPr>
              <w:t>Other comprehensive income, net of tax</w:t>
            </w:r>
          </w:p>
        </w:tc>
        <w:tc>
          <w:tcPr>
            <w:tcW w:w="16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spacing w:after="0" w:line="220" w:lineRule="exact"/>
              <w:rPr>
                <w:sz w:val="20"/>
                <w:szCs w:val="20"/>
                <w:color w:val="auto"/>
              </w:rPr>
            </w:pPr>
            <w:r>
              <w:rPr>
                <w:rFonts w:ascii="Arial" w:cs="Arial" w:eastAsia="Arial" w:hAnsi="Arial"/>
                <w:sz w:val="20"/>
                <w:szCs w:val="20"/>
                <w:color w:val="1E1E1E"/>
              </w:rPr>
              <w:t>4,928</w:t>
            </w:r>
          </w:p>
        </w:tc>
        <w:tc>
          <w:tcPr>
            <w:tcW w:w="260" w:type="dxa"/>
            <w:vAlign w:val="bottom"/>
            <w:tcBorders>
              <w:bottom w:val="single" w:sz="8" w:color="E4E4E4"/>
            </w:tcBorders>
          </w:tcPr>
          <w:p>
            <w:pPr>
              <w:spacing w:after="0"/>
              <w:rPr>
                <w:sz w:val="19"/>
                <w:szCs w:val="19"/>
                <w:color w:val="auto"/>
              </w:rPr>
            </w:pPr>
          </w:p>
        </w:tc>
        <w:tc>
          <w:tcPr>
            <w:tcW w:w="14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spacing w:after="0" w:line="220" w:lineRule="exact"/>
              <w:rPr>
                <w:sz w:val="20"/>
                <w:szCs w:val="20"/>
                <w:color w:val="auto"/>
              </w:rPr>
            </w:pPr>
            <w:r>
              <w:rPr>
                <w:rFonts w:ascii="Arial" w:cs="Arial" w:eastAsia="Arial" w:hAnsi="Arial"/>
                <w:sz w:val="20"/>
                <w:szCs w:val="20"/>
                <w:color w:val="1E1E1E"/>
              </w:rPr>
              <w:t>597</w:t>
            </w:r>
          </w:p>
        </w:tc>
        <w:tc>
          <w:tcPr>
            <w:tcW w:w="260" w:type="dxa"/>
            <w:vAlign w:val="bottom"/>
            <w:tcBorders>
              <w:bottom w:val="single" w:sz="8" w:color="E4E4E4"/>
            </w:tcBorders>
          </w:tcPr>
          <w:p>
            <w:pPr>
              <w:spacing w:after="0"/>
              <w:rPr>
                <w:sz w:val="19"/>
                <w:szCs w:val="19"/>
                <w:color w:val="auto"/>
              </w:rPr>
            </w:pPr>
          </w:p>
        </w:tc>
        <w:tc>
          <w:tcPr>
            <w:tcW w:w="16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spacing w:after="0" w:line="220" w:lineRule="exact"/>
              <w:rPr>
                <w:sz w:val="20"/>
                <w:szCs w:val="20"/>
                <w:color w:val="auto"/>
              </w:rPr>
            </w:pPr>
            <w:r>
              <w:rPr>
                <w:rFonts w:ascii="Arial" w:cs="Arial" w:eastAsia="Arial" w:hAnsi="Arial"/>
                <w:sz w:val="20"/>
                <w:szCs w:val="20"/>
                <w:color w:val="1E1E1E"/>
              </w:rPr>
              <w:t>696</w:t>
            </w:r>
          </w:p>
        </w:tc>
        <w:tc>
          <w:tcPr>
            <w:tcW w:w="100" w:type="dxa"/>
            <w:vAlign w:val="bottom"/>
            <w:tcBorders>
              <w:bottom w:val="single" w:sz="8" w:color="E4E4E4"/>
            </w:tcBorders>
          </w:tcPr>
          <w:p>
            <w:pPr>
              <w:spacing w:after="0"/>
              <w:rPr>
                <w:sz w:val="19"/>
                <w:szCs w:val="19"/>
                <w:color w:val="auto"/>
              </w:rPr>
            </w:pPr>
          </w:p>
        </w:tc>
      </w:tr>
      <w:tr>
        <w:trPr>
          <w:trHeight w:val="222"/>
        </w:trPr>
        <w:tc>
          <w:tcPr>
            <w:tcW w:w="6360" w:type="dxa"/>
            <w:vAlign w:val="bottom"/>
            <w:shd w:val="clear" w:color="auto" w:fill="E4E4E4"/>
          </w:tcPr>
          <w:p>
            <w:pPr>
              <w:spacing w:after="0" w:line="223" w:lineRule="exact"/>
              <w:rPr>
                <w:sz w:val="20"/>
                <w:szCs w:val="20"/>
                <w:color w:val="auto"/>
              </w:rPr>
            </w:pPr>
            <w:r>
              <w:rPr>
                <w:rFonts w:ascii="Arial" w:cs="Arial" w:eastAsia="Arial" w:hAnsi="Arial"/>
                <w:sz w:val="20"/>
                <w:szCs w:val="20"/>
                <w:color w:val="1E1E1E"/>
              </w:rPr>
              <w:t>Comprehensive income</w:t>
            </w:r>
          </w:p>
        </w:tc>
        <w:tc>
          <w:tcPr>
            <w:tcW w:w="160" w:type="dxa"/>
            <w:vAlign w:val="bottom"/>
            <w:shd w:val="clear" w:color="auto" w:fill="E4E4E4"/>
          </w:tcPr>
          <w:p>
            <w:pPr>
              <w:jc w:val="right"/>
              <w:spacing w:after="0" w:line="223" w:lineRule="exact"/>
              <w:rPr>
                <w:sz w:val="20"/>
                <w:szCs w:val="20"/>
                <w:color w:val="auto"/>
              </w:rPr>
            </w:pPr>
            <w:r>
              <w:rPr>
                <w:rFonts w:ascii="Arial" w:cs="Arial" w:eastAsia="Arial" w:hAnsi="Arial"/>
                <w:sz w:val="20"/>
                <w:szCs w:val="20"/>
                <w:color w:val="1E1E1E"/>
                <w:w w:val="71"/>
              </w:rPr>
              <w:t>$</w:t>
            </w:r>
          </w:p>
        </w:tc>
        <w:tc>
          <w:tcPr>
            <w:tcW w:w="1120" w:type="dxa"/>
            <w:vAlign w:val="bottom"/>
            <w:shd w:val="clear" w:color="auto" w:fill="E4E4E4"/>
          </w:tcPr>
          <w:p>
            <w:pPr>
              <w:jc w:val="right"/>
              <w:spacing w:after="0" w:line="223" w:lineRule="exact"/>
              <w:rPr>
                <w:sz w:val="20"/>
                <w:szCs w:val="20"/>
                <w:color w:val="auto"/>
              </w:rPr>
            </w:pPr>
            <w:r>
              <w:rPr>
                <w:rFonts w:ascii="Arial" w:cs="Arial" w:eastAsia="Arial" w:hAnsi="Arial"/>
                <w:sz w:val="20"/>
                <w:szCs w:val="20"/>
                <w:color w:val="1E1E1E"/>
              </w:rPr>
              <w:t>32,782</w:t>
            </w:r>
          </w:p>
        </w:tc>
        <w:tc>
          <w:tcPr>
            <w:tcW w:w="260" w:type="dxa"/>
            <w:vAlign w:val="bottom"/>
            <w:shd w:val="clear" w:color="auto" w:fill="E4E4E4"/>
          </w:tcPr>
          <w:p>
            <w:pPr>
              <w:spacing w:after="0"/>
              <w:rPr>
                <w:sz w:val="19"/>
                <w:szCs w:val="19"/>
                <w:color w:val="auto"/>
              </w:rPr>
            </w:pPr>
          </w:p>
        </w:tc>
        <w:tc>
          <w:tcPr>
            <w:tcW w:w="140" w:type="dxa"/>
            <w:vAlign w:val="bottom"/>
            <w:shd w:val="clear" w:color="auto" w:fill="E4E4E4"/>
          </w:tcPr>
          <w:p>
            <w:pPr>
              <w:jc w:val="right"/>
              <w:spacing w:after="0" w:line="223" w:lineRule="exact"/>
              <w:rPr>
                <w:sz w:val="20"/>
                <w:szCs w:val="20"/>
                <w:color w:val="auto"/>
              </w:rPr>
            </w:pPr>
            <w:r>
              <w:rPr>
                <w:rFonts w:ascii="Arial" w:cs="Arial" w:eastAsia="Arial" w:hAnsi="Arial"/>
                <w:sz w:val="20"/>
                <w:szCs w:val="20"/>
                <w:color w:val="1E1E1E"/>
                <w:w w:val="71"/>
              </w:rPr>
              <w:t>$</w:t>
            </w:r>
          </w:p>
        </w:tc>
        <w:tc>
          <w:tcPr>
            <w:tcW w:w="1120" w:type="dxa"/>
            <w:vAlign w:val="bottom"/>
            <w:shd w:val="clear" w:color="auto" w:fill="E4E4E4"/>
          </w:tcPr>
          <w:p>
            <w:pPr>
              <w:jc w:val="right"/>
              <w:spacing w:after="0" w:line="223" w:lineRule="exact"/>
              <w:rPr>
                <w:sz w:val="20"/>
                <w:szCs w:val="20"/>
                <w:color w:val="auto"/>
              </w:rPr>
            </w:pPr>
            <w:r>
              <w:rPr>
                <w:rFonts w:ascii="Arial" w:cs="Arial" w:eastAsia="Arial" w:hAnsi="Arial"/>
                <w:sz w:val="20"/>
                <w:szCs w:val="20"/>
                <w:color w:val="1E1E1E"/>
              </w:rPr>
              <w:t>89,720</w:t>
            </w:r>
          </w:p>
        </w:tc>
        <w:tc>
          <w:tcPr>
            <w:tcW w:w="260" w:type="dxa"/>
            <w:vAlign w:val="bottom"/>
            <w:shd w:val="clear" w:color="auto" w:fill="E4E4E4"/>
          </w:tcPr>
          <w:p>
            <w:pPr>
              <w:spacing w:after="0"/>
              <w:rPr>
                <w:sz w:val="19"/>
                <w:szCs w:val="19"/>
                <w:color w:val="auto"/>
              </w:rPr>
            </w:pPr>
          </w:p>
        </w:tc>
        <w:tc>
          <w:tcPr>
            <w:tcW w:w="160" w:type="dxa"/>
            <w:vAlign w:val="bottom"/>
            <w:shd w:val="clear" w:color="auto" w:fill="E4E4E4"/>
          </w:tcPr>
          <w:p>
            <w:pPr>
              <w:jc w:val="right"/>
              <w:spacing w:after="0" w:line="223" w:lineRule="exact"/>
              <w:rPr>
                <w:sz w:val="20"/>
                <w:szCs w:val="20"/>
                <w:color w:val="auto"/>
              </w:rPr>
            </w:pPr>
            <w:r>
              <w:rPr>
                <w:rFonts w:ascii="Arial" w:cs="Arial" w:eastAsia="Arial" w:hAnsi="Arial"/>
                <w:sz w:val="20"/>
                <w:szCs w:val="20"/>
                <w:color w:val="1E1E1E"/>
                <w:w w:val="71"/>
              </w:rPr>
              <w:t>$</w:t>
            </w:r>
          </w:p>
        </w:tc>
        <w:tc>
          <w:tcPr>
            <w:tcW w:w="1120" w:type="dxa"/>
            <w:vAlign w:val="bottom"/>
            <w:shd w:val="clear" w:color="auto" w:fill="E4E4E4"/>
          </w:tcPr>
          <w:p>
            <w:pPr>
              <w:jc w:val="right"/>
              <w:spacing w:after="0" w:line="223" w:lineRule="exact"/>
              <w:rPr>
                <w:sz w:val="20"/>
                <w:szCs w:val="20"/>
                <w:color w:val="auto"/>
              </w:rPr>
            </w:pPr>
            <w:r>
              <w:rPr>
                <w:rFonts w:ascii="Arial" w:cs="Arial" w:eastAsia="Arial" w:hAnsi="Arial"/>
                <w:sz w:val="20"/>
                <w:szCs w:val="20"/>
                <w:color w:val="1E1E1E"/>
              </w:rPr>
              <w:t>57,409</w:t>
            </w:r>
          </w:p>
        </w:tc>
        <w:tc>
          <w:tcPr>
            <w:tcW w:w="100" w:type="dxa"/>
            <w:vAlign w:val="bottom"/>
            <w:shd w:val="clear" w:color="auto" w:fill="E4E4E4"/>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4023360</wp:posOffset>
            </wp:positionH>
            <wp:positionV relativeFrom="paragraph">
              <wp:posOffset>-15875</wp:posOffset>
            </wp:positionV>
            <wp:extent cx="2784475" cy="609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84475" cy="60960"/>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1E1E1E"/>
        </w:rPr>
        <w:t>The accompanying notes are an integral part of the consolidated financial statements.</w:t>
      </w:r>
    </w:p>
    <w:p>
      <w:pPr>
        <w:sectPr>
          <w:pgSz w:w="11880" w:h="15480" w:orient="portrait"/>
          <w:cols w:equalWidth="0" w:num="1">
            <w:col w:w="10800"/>
          </w:cols>
          <w:pgMar w:left="540" w:top="653"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40</w:t>
      </w:r>
    </w:p>
    <w:p>
      <w:pPr>
        <w:sectPr>
          <w:pgSz w:w="11880" w:h="15480" w:orient="portrait"/>
          <w:cols w:equalWidth="0" w:num="1">
            <w:col w:w="10800"/>
          </w:cols>
          <w:pgMar w:left="540" w:top="653" w:right="540" w:bottom="31"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20"/>
          <w:szCs w:val="20"/>
          <w:color w:val="1E1E1E"/>
        </w:rPr>
        <w:t>DESTINATION XL GROUP, INC.</w:t>
      </w:r>
    </w:p>
    <w:p>
      <w:pPr>
        <w:jc w:val="center"/>
        <w:spacing w:after="0"/>
        <w:rPr>
          <w:sz w:val="20"/>
          <w:szCs w:val="20"/>
          <w:color w:val="auto"/>
        </w:rPr>
      </w:pPr>
      <w:r>
        <w:rPr>
          <w:rFonts w:ascii="Arial" w:cs="Arial" w:eastAsia="Arial" w:hAnsi="Arial"/>
          <w:sz w:val="20"/>
          <w:szCs w:val="20"/>
          <w:color w:val="1E1E1E"/>
        </w:rPr>
        <w:t>CONSOLIDATED STATEMENTS OF CHANGES IN STOCKHOLDERS’ EQUITY (DEFICIT)</w:t>
      </w:r>
    </w:p>
    <w:p>
      <w:pPr>
        <w:jc w:val="center"/>
        <w:spacing w:after="0"/>
        <w:rPr>
          <w:sz w:val="20"/>
          <w:szCs w:val="20"/>
          <w:color w:val="auto"/>
        </w:rPr>
      </w:pPr>
      <w:r>
        <w:rPr>
          <w:rFonts w:ascii="Arial" w:cs="Arial" w:eastAsia="Arial" w:hAnsi="Arial"/>
          <w:sz w:val="20"/>
          <w:szCs w:val="20"/>
          <w:color w:val="1E1E1E"/>
        </w:rPr>
        <w:t>For the fiscal years ended February 3, 2024, January 28, 2023 and January 29, 2022</w:t>
      </w:r>
    </w:p>
    <w:p>
      <w:pPr>
        <w:jc w:val="center"/>
        <w:spacing w:after="0"/>
        <w:rPr>
          <w:sz w:val="20"/>
          <w:szCs w:val="20"/>
          <w:color w:val="auto"/>
        </w:rPr>
      </w:pPr>
      <w:r>
        <w:rPr>
          <w:rFonts w:ascii="Arial" w:cs="Arial" w:eastAsia="Arial" w:hAnsi="Arial"/>
          <w:sz w:val="20"/>
          <w:szCs w:val="20"/>
          <w:color w:val="1E1E1E"/>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color w:val="1E1E1E"/>
                <w:w w:val="91"/>
              </w:rPr>
              <w:t>Accumulated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3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5"/>
          </w:tcPr>
          <w:p>
            <w:pPr>
              <w:spacing w:after="0"/>
              <w:rPr>
                <w:sz w:val="20"/>
                <w:szCs w:val="20"/>
                <w:color w:val="auto"/>
              </w:rPr>
            </w:pPr>
            <w:r>
              <w:rPr>
                <w:rFonts w:ascii="Arial" w:cs="Arial" w:eastAsia="Arial" w:hAnsi="Arial"/>
                <w:sz w:val="14"/>
                <w:szCs w:val="14"/>
                <w:color w:val="1E1E1E"/>
              </w:rPr>
              <w:t>Additional</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color w:val="1E1E1E"/>
                <w:w w:val="85"/>
              </w:rPr>
              <w:t>Other</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1"/>
        </w:trPr>
        <w:tc>
          <w:tcPr>
            <w:tcW w:w="3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1E1E1E"/>
                <w:w w:val="87"/>
              </w:rPr>
              <w:t>Common Stock</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4"/>
          </w:tcPr>
          <w:p>
            <w:pPr>
              <w:ind w:left="20"/>
              <w:spacing w:after="0"/>
              <w:rPr>
                <w:sz w:val="20"/>
                <w:szCs w:val="20"/>
                <w:color w:val="auto"/>
              </w:rPr>
            </w:pPr>
            <w:r>
              <w:rPr>
                <w:rFonts w:ascii="Arial" w:cs="Arial" w:eastAsia="Arial" w:hAnsi="Arial"/>
                <w:sz w:val="14"/>
                <w:szCs w:val="14"/>
                <w:color w:val="1E1E1E"/>
              </w:rPr>
              <w:t>Paid-in</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1E1E1E"/>
                <w:w w:val="87"/>
              </w:rPr>
              <w:t>Treasury Stock</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4"/>
          </w:tcPr>
          <w:p>
            <w:pPr>
              <w:spacing w:after="0"/>
              <w:rPr>
                <w:sz w:val="20"/>
                <w:szCs w:val="20"/>
                <w:color w:val="auto"/>
              </w:rPr>
            </w:pPr>
            <w:r>
              <w:rPr>
                <w:rFonts w:ascii="Arial" w:cs="Arial" w:eastAsia="Arial" w:hAnsi="Arial"/>
                <w:sz w:val="14"/>
                <w:szCs w:val="14"/>
                <w:color w:val="1E1E1E"/>
              </w:rPr>
              <w:t>Accumulated</w:t>
            </w:r>
          </w:p>
        </w:tc>
        <w:tc>
          <w:tcPr>
            <w:tcW w:w="1080" w:type="dxa"/>
            <w:vAlign w:val="bottom"/>
            <w:gridSpan w:val="4"/>
          </w:tcPr>
          <w:p>
            <w:pPr>
              <w:ind w:left="20"/>
              <w:spacing w:after="0"/>
              <w:rPr>
                <w:sz w:val="20"/>
                <w:szCs w:val="20"/>
                <w:color w:val="auto"/>
              </w:rPr>
            </w:pPr>
            <w:r>
              <w:rPr>
                <w:rFonts w:ascii="Arial" w:cs="Arial" w:eastAsia="Arial" w:hAnsi="Arial"/>
                <w:sz w:val="14"/>
                <w:szCs w:val="14"/>
                <w:color w:val="1E1E1E"/>
              </w:rPr>
              <w:t>Comprehens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4"/>
        </w:trPr>
        <w:tc>
          <w:tcPr>
            <w:tcW w:w="3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1E1E1E"/>
              </w:rPr>
              <w:t>Shares</w:t>
            </w:r>
          </w:p>
        </w:tc>
        <w:tc>
          <w:tcPr>
            <w:tcW w:w="20" w:type="dxa"/>
            <w:vAlign w:val="bottom"/>
          </w:tcPr>
          <w:p>
            <w:pPr>
              <w:spacing w:after="0"/>
              <w:rPr>
                <w:sz w:val="15"/>
                <w:szCs w:val="15"/>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1E1E1E"/>
                <w:w w:val="90"/>
              </w:rPr>
              <w:t>Amounts</w:t>
            </w:r>
          </w:p>
        </w:tc>
        <w:tc>
          <w:tcPr>
            <w:tcW w:w="80" w:type="dxa"/>
            <w:vAlign w:val="bottom"/>
          </w:tcPr>
          <w:p>
            <w:pPr>
              <w:spacing w:after="0"/>
              <w:rPr>
                <w:sz w:val="15"/>
                <w:szCs w:val="15"/>
                <w:color w:val="auto"/>
              </w:rPr>
            </w:pPr>
          </w:p>
        </w:tc>
        <w:tc>
          <w:tcPr>
            <w:tcW w:w="700" w:type="dxa"/>
            <w:vAlign w:val="bottom"/>
            <w:gridSpan w:val="4"/>
          </w:tcPr>
          <w:p>
            <w:pPr>
              <w:ind w:left="20"/>
              <w:spacing w:after="0"/>
              <w:rPr>
                <w:sz w:val="20"/>
                <w:szCs w:val="20"/>
                <w:color w:val="auto"/>
              </w:rPr>
            </w:pPr>
            <w:r>
              <w:rPr>
                <w:rFonts w:ascii="Arial" w:cs="Arial" w:eastAsia="Arial" w:hAnsi="Arial"/>
                <w:sz w:val="14"/>
                <w:szCs w:val="14"/>
                <w:color w:val="1E1E1E"/>
              </w:rPr>
              <w:t>Capital</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1E1E1E"/>
              </w:rPr>
              <w:t>Shares</w:t>
            </w:r>
          </w:p>
        </w:tc>
        <w:tc>
          <w:tcPr>
            <w:tcW w:w="20" w:type="dxa"/>
            <w:vAlign w:val="bottom"/>
          </w:tcPr>
          <w:p>
            <w:pPr>
              <w:spacing w:after="0"/>
              <w:rPr>
                <w:sz w:val="15"/>
                <w:szCs w:val="15"/>
                <w:color w:val="auto"/>
              </w:rPr>
            </w:pPr>
          </w:p>
        </w:tc>
        <w:tc>
          <w:tcPr>
            <w:tcW w:w="780" w:type="dxa"/>
            <w:vAlign w:val="bottom"/>
            <w:gridSpan w:val="4"/>
          </w:tcPr>
          <w:p>
            <w:pPr>
              <w:jc w:val="right"/>
              <w:ind w:right="234"/>
              <w:spacing w:after="0"/>
              <w:rPr>
                <w:sz w:val="20"/>
                <w:szCs w:val="20"/>
                <w:color w:val="auto"/>
              </w:rPr>
            </w:pPr>
            <w:r>
              <w:rPr>
                <w:rFonts w:ascii="Arial" w:cs="Arial" w:eastAsia="Arial" w:hAnsi="Arial"/>
                <w:sz w:val="14"/>
                <w:szCs w:val="14"/>
                <w:color w:val="1E1E1E"/>
                <w:w w:val="94"/>
              </w:rPr>
              <w:t>Amounts</w:t>
            </w:r>
          </w:p>
        </w:tc>
        <w:tc>
          <w:tcPr>
            <w:tcW w:w="12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color w:val="1E1E1E"/>
              </w:rPr>
              <w:t>Deficit</w:t>
            </w:r>
          </w:p>
        </w:tc>
        <w:tc>
          <w:tcPr>
            <w:tcW w:w="20" w:type="dxa"/>
            <w:vAlign w:val="bottom"/>
          </w:tcPr>
          <w:p>
            <w:pPr>
              <w:spacing w:after="0"/>
              <w:rPr>
                <w:sz w:val="15"/>
                <w:szCs w:val="15"/>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color w:val="1E1E1E"/>
                <w:w w:val="92"/>
              </w:rPr>
              <w:t>Income (Loss)</w:t>
            </w:r>
          </w:p>
        </w:tc>
        <w:tc>
          <w:tcPr>
            <w:tcW w:w="120" w:type="dxa"/>
            <w:vAlign w:val="bottom"/>
          </w:tcPr>
          <w:p>
            <w:pPr>
              <w:spacing w:after="0"/>
              <w:rPr>
                <w:sz w:val="15"/>
                <w:szCs w:val="15"/>
                <w:color w:val="auto"/>
              </w:rPr>
            </w:pPr>
          </w:p>
        </w:tc>
        <w:tc>
          <w:tcPr>
            <w:tcW w:w="640" w:type="dxa"/>
            <w:vAlign w:val="bottom"/>
            <w:gridSpan w:val="3"/>
          </w:tcPr>
          <w:p>
            <w:pPr>
              <w:jc w:val="right"/>
              <w:ind w:right="239"/>
              <w:spacing w:after="0"/>
              <w:rPr>
                <w:sz w:val="20"/>
                <w:szCs w:val="20"/>
                <w:color w:val="auto"/>
              </w:rPr>
            </w:pPr>
            <w:r>
              <w:rPr>
                <w:rFonts w:ascii="Arial" w:cs="Arial" w:eastAsia="Arial" w:hAnsi="Arial"/>
                <w:sz w:val="14"/>
                <w:szCs w:val="14"/>
                <w:color w:val="1E1E1E"/>
              </w:rPr>
              <w:t>Total</w:t>
            </w:r>
          </w:p>
        </w:tc>
      </w:tr>
      <w:tr>
        <w:trPr>
          <w:trHeight w:val="155"/>
        </w:trPr>
        <w:tc>
          <w:tcPr>
            <w:tcW w:w="3620" w:type="dxa"/>
            <w:vAlign w:val="bottom"/>
            <w:tcBorders>
              <w:top w:val="single" w:sz="8" w:color="E4E4E4"/>
            </w:tcBorders>
            <w:shd w:val="clear" w:color="auto" w:fill="E4E4E4"/>
          </w:tcPr>
          <w:p>
            <w:pPr>
              <w:spacing w:after="0" w:line="153" w:lineRule="exact"/>
              <w:rPr>
                <w:sz w:val="20"/>
                <w:szCs w:val="20"/>
                <w:color w:val="auto"/>
              </w:rPr>
            </w:pPr>
            <w:r>
              <w:rPr>
                <w:rFonts w:ascii="Arial" w:cs="Arial" w:eastAsia="Arial" w:hAnsi="Arial"/>
                <w:sz w:val="14"/>
                <w:szCs w:val="14"/>
                <w:color w:val="1E1E1E"/>
              </w:rPr>
              <w:t>Balance at January 30, 2021</w:t>
            </w:r>
          </w:p>
        </w:tc>
        <w:tc>
          <w:tcPr>
            <w:tcW w:w="20" w:type="dxa"/>
            <w:vAlign w:val="bottom"/>
            <w:tcBorders>
              <w:top w:val="single" w:sz="8" w:color="1E1E1E"/>
            </w:tcBorders>
            <w:shd w:val="clear" w:color="auto" w:fill="E4E4E4"/>
          </w:tcPr>
          <w:p>
            <w:pPr>
              <w:spacing w:after="0"/>
              <w:rPr>
                <w:sz w:val="13"/>
                <w:szCs w:val="13"/>
                <w:color w:val="auto"/>
              </w:rPr>
            </w:pPr>
          </w:p>
        </w:tc>
        <w:tc>
          <w:tcPr>
            <w:tcW w:w="86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rPr>
              <w:t>64,656</w:t>
            </w:r>
          </w:p>
        </w:tc>
        <w:tc>
          <w:tcPr>
            <w:tcW w:w="18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1E1E1E"/>
            </w:tcBorders>
            <w:shd w:val="clear" w:color="auto" w:fill="E4E4E4"/>
          </w:tcPr>
          <w:p>
            <w:pPr>
              <w:spacing w:after="0"/>
              <w:rPr>
                <w:sz w:val="13"/>
                <w:szCs w:val="13"/>
                <w:color w:val="auto"/>
              </w:rPr>
            </w:pPr>
          </w:p>
        </w:tc>
        <w:tc>
          <w:tcPr>
            <w:tcW w:w="200" w:type="dxa"/>
            <w:vAlign w:val="bottom"/>
            <w:tcBorders>
              <w:top w:val="single" w:sz="8" w:color="1E1E1E"/>
            </w:tcBorders>
            <w:shd w:val="clear" w:color="auto" w:fill="E4E4E4"/>
          </w:tcPr>
          <w:p>
            <w:pPr>
              <w:jc w:val="right"/>
              <w:ind w:right="84"/>
              <w:spacing w:after="0"/>
              <w:rPr>
                <w:sz w:val="20"/>
                <w:szCs w:val="20"/>
                <w:color w:val="auto"/>
              </w:rPr>
            </w:pPr>
            <w:r>
              <w:rPr>
                <w:rFonts w:ascii="Arial" w:cs="Arial" w:eastAsia="Arial" w:hAnsi="Arial"/>
                <w:sz w:val="10"/>
                <w:szCs w:val="10"/>
                <w:color w:val="1E1E1E"/>
                <w:w w:val="71"/>
              </w:rPr>
              <w:t>$</w:t>
            </w:r>
          </w:p>
        </w:tc>
        <w:tc>
          <w:tcPr>
            <w:tcW w:w="36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rPr>
              <w:t>647</w:t>
            </w:r>
          </w:p>
        </w:tc>
        <w:tc>
          <w:tcPr>
            <w:tcW w:w="180" w:type="dxa"/>
            <w:vAlign w:val="bottom"/>
            <w:tcBorders>
              <w:top w:val="single" w:sz="8" w:color="E4E4E4"/>
            </w:tcBorders>
            <w:shd w:val="clear" w:color="auto" w:fill="E4E4E4"/>
          </w:tcPr>
          <w:p>
            <w:pPr>
              <w:spacing w:after="0"/>
              <w:rPr>
                <w:sz w:val="13"/>
                <w:szCs w:val="13"/>
                <w:color w:val="auto"/>
              </w:rPr>
            </w:pPr>
          </w:p>
        </w:tc>
        <w:tc>
          <w:tcPr>
            <w:tcW w:w="80" w:type="dxa"/>
            <w:vAlign w:val="bottom"/>
            <w:tcBorders>
              <w:top w:val="single" w:sz="8" w:color="1E1E1E"/>
            </w:tcBorders>
            <w:shd w:val="clear" w:color="auto" w:fill="E4E4E4"/>
          </w:tcPr>
          <w:p>
            <w:pPr>
              <w:spacing w:after="0" w:line="155" w:lineRule="exact"/>
              <w:rPr>
                <w:sz w:val="20"/>
                <w:szCs w:val="20"/>
                <w:color w:val="auto"/>
              </w:rPr>
            </w:pPr>
            <w:r>
              <w:rPr>
                <w:rFonts w:ascii="Arial" w:cs="Arial" w:eastAsia="Arial" w:hAnsi="Arial"/>
                <w:sz w:val="14"/>
                <w:szCs w:val="14"/>
                <w:color w:val="1E1E1E"/>
                <w:w w:val="76"/>
                <w:shd w:val="clear" w:color="auto" w:fill="E4E4E4"/>
              </w:rPr>
              <w:t>$</w:t>
            </w:r>
          </w:p>
        </w:tc>
        <w:tc>
          <w:tcPr>
            <w:tcW w:w="52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w w:val="98"/>
                <w:shd w:val="clear" w:color="auto" w:fill="E4E4E4"/>
              </w:rPr>
              <w:t>314,747</w:t>
            </w:r>
          </w:p>
        </w:tc>
        <w:tc>
          <w:tcPr>
            <w:tcW w:w="20" w:type="dxa"/>
            <w:vAlign w:val="bottom"/>
            <w:tcBorders>
              <w:top w:val="single" w:sz="8" w:color="1E1E1E"/>
            </w:tcBorders>
            <w:shd w:val="clear" w:color="auto" w:fill="E4E4E4"/>
          </w:tcPr>
          <w:p>
            <w:pPr>
              <w:spacing w:after="0"/>
              <w:rPr>
                <w:sz w:val="13"/>
                <w:szCs w:val="13"/>
                <w:color w:val="auto"/>
              </w:rPr>
            </w:pPr>
          </w:p>
        </w:tc>
        <w:tc>
          <w:tcPr>
            <w:tcW w:w="14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1E1E1E"/>
            </w:tcBorders>
            <w:shd w:val="clear" w:color="auto" w:fill="E4E4E4"/>
          </w:tcPr>
          <w:p>
            <w:pPr>
              <w:spacing w:after="0"/>
              <w:rPr>
                <w:sz w:val="13"/>
                <w:szCs w:val="13"/>
                <w:color w:val="auto"/>
              </w:rPr>
            </w:pPr>
          </w:p>
        </w:tc>
        <w:tc>
          <w:tcPr>
            <w:tcW w:w="84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rPr>
              <w:t>(12,755)</w:t>
            </w:r>
          </w:p>
        </w:tc>
        <w:tc>
          <w:tcPr>
            <w:tcW w:w="18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1E1E1E"/>
            </w:tcBorders>
            <w:shd w:val="clear" w:color="auto" w:fill="E4E4E4"/>
          </w:tcPr>
          <w:p>
            <w:pPr>
              <w:spacing w:after="0"/>
              <w:rPr>
                <w:sz w:val="13"/>
                <w:szCs w:val="13"/>
                <w:color w:val="auto"/>
              </w:rPr>
            </w:pPr>
          </w:p>
        </w:tc>
        <w:tc>
          <w:tcPr>
            <w:tcW w:w="80" w:type="dxa"/>
            <w:vAlign w:val="bottom"/>
            <w:tcBorders>
              <w:top w:val="single" w:sz="8" w:color="1E1E1E"/>
            </w:tcBorders>
            <w:shd w:val="clear" w:color="auto" w:fill="E4E4E4"/>
          </w:tcPr>
          <w:p>
            <w:pPr>
              <w:jc w:val="right"/>
              <w:spacing w:after="0"/>
              <w:rPr>
                <w:sz w:val="20"/>
                <w:szCs w:val="20"/>
                <w:color w:val="auto"/>
              </w:rPr>
            </w:pPr>
            <w:r>
              <w:rPr>
                <w:rFonts w:ascii="Arial" w:cs="Arial" w:eastAsia="Arial" w:hAnsi="Arial"/>
                <w:sz w:val="10"/>
                <w:szCs w:val="10"/>
                <w:color w:val="1E1E1E"/>
                <w:w w:val="71"/>
                <w:shd w:val="clear" w:color="auto" w:fill="E4E4E4"/>
              </w:rPr>
              <w:t>$</w:t>
            </w:r>
          </w:p>
        </w:tc>
        <w:tc>
          <w:tcPr>
            <w:tcW w:w="52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shd w:val="clear" w:color="auto" w:fill="E4E4E4"/>
              </w:rPr>
              <w:t>(92,658</w:t>
            </w:r>
          </w:p>
        </w:tc>
        <w:tc>
          <w:tcPr>
            <w:tcW w:w="20" w:type="dxa"/>
            <w:vAlign w:val="bottom"/>
            <w:tcBorders>
              <w:top w:val="single" w:sz="8" w:color="1E1E1E"/>
            </w:tcBorders>
            <w:shd w:val="clear" w:color="auto" w:fill="E4E4E4"/>
          </w:tcPr>
          <w:p>
            <w:pPr>
              <w:spacing w:after="0"/>
              <w:rPr>
                <w:sz w:val="13"/>
                <w:szCs w:val="13"/>
                <w:color w:val="auto"/>
              </w:rPr>
            </w:pPr>
          </w:p>
        </w:tc>
        <w:tc>
          <w:tcPr>
            <w:tcW w:w="160" w:type="dxa"/>
            <w:vAlign w:val="bottom"/>
            <w:tcBorders>
              <w:top w:val="single" w:sz="8" w:color="E4E4E4"/>
            </w:tcBorders>
            <w:shd w:val="clear" w:color="auto" w:fill="E4E4E4"/>
          </w:tcPr>
          <w:p>
            <w:pPr>
              <w:jc w:val="right"/>
              <w:ind w:right="134"/>
              <w:spacing w:after="0"/>
              <w:rPr>
                <w:sz w:val="20"/>
                <w:szCs w:val="20"/>
                <w:color w:val="auto"/>
              </w:rPr>
            </w:pPr>
            <w:r>
              <w:rPr>
                <w:rFonts w:ascii="Arial" w:cs="Arial" w:eastAsia="Arial" w:hAnsi="Arial"/>
                <w:sz w:val="1"/>
                <w:szCs w:val="1"/>
                <w:color w:val="1E1E1E"/>
                <w:w w:val="4294967281"/>
              </w:rPr>
              <w:t>)</w:t>
            </w:r>
          </w:p>
        </w:tc>
        <w:tc>
          <w:tcPr>
            <w:tcW w:w="120" w:type="dxa"/>
            <w:vAlign w:val="bottom"/>
            <w:tcBorders>
              <w:top w:val="single" w:sz="8" w:color="1E1E1E"/>
            </w:tcBorders>
            <w:shd w:val="clear" w:color="auto" w:fill="E4E4E4"/>
          </w:tcPr>
          <w:p>
            <w:pPr>
              <w:spacing w:after="0" w:line="155" w:lineRule="exact"/>
              <w:rPr>
                <w:sz w:val="20"/>
                <w:szCs w:val="20"/>
                <w:color w:val="auto"/>
              </w:rPr>
            </w:pPr>
            <w:r>
              <w:rPr>
                <w:rFonts w:ascii="Arial" w:cs="Arial" w:eastAsia="Arial" w:hAnsi="Arial"/>
                <w:sz w:val="14"/>
                <w:szCs w:val="14"/>
                <w:color w:val="1E1E1E"/>
                <w:shd w:val="clear" w:color="auto" w:fill="E4E4E4"/>
              </w:rPr>
              <w:t>$</w:t>
            </w:r>
          </w:p>
        </w:tc>
        <w:tc>
          <w:tcPr>
            <w:tcW w:w="62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shd w:val="clear" w:color="auto" w:fill="E4E4E4"/>
              </w:rPr>
              <w:t>(220,592</w:t>
            </w:r>
          </w:p>
        </w:tc>
        <w:tc>
          <w:tcPr>
            <w:tcW w:w="20" w:type="dxa"/>
            <w:vAlign w:val="bottom"/>
            <w:tcBorders>
              <w:top w:val="single" w:sz="8" w:color="E4E4E4"/>
            </w:tcBorders>
            <w:shd w:val="clear" w:color="auto" w:fill="E4E4E4"/>
          </w:tcPr>
          <w:p>
            <w:pPr>
              <w:spacing w:after="0"/>
              <w:rPr>
                <w:sz w:val="13"/>
                <w:szCs w:val="13"/>
                <w:color w:val="auto"/>
              </w:rPr>
            </w:pPr>
          </w:p>
        </w:tc>
        <w:tc>
          <w:tcPr>
            <w:tcW w:w="160" w:type="dxa"/>
            <w:vAlign w:val="bottom"/>
            <w:tcBorders>
              <w:top w:val="single" w:sz="8" w:color="E4E4E4"/>
            </w:tcBorders>
            <w:shd w:val="clear" w:color="auto" w:fill="E4E4E4"/>
          </w:tcPr>
          <w:p>
            <w:pPr>
              <w:jc w:val="right"/>
              <w:ind w:right="79"/>
              <w:spacing w:after="0"/>
              <w:rPr>
                <w:sz w:val="20"/>
                <w:szCs w:val="20"/>
                <w:color w:val="auto"/>
              </w:rPr>
            </w:pPr>
            <w:r>
              <w:rPr>
                <w:rFonts w:ascii="Arial" w:cs="Arial" w:eastAsia="Arial" w:hAnsi="Arial"/>
                <w:sz w:val="8"/>
                <w:szCs w:val="8"/>
                <w:color w:val="1E1E1E"/>
                <w:w w:val="73"/>
              </w:rPr>
              <w:t>)</w:t>
            </w:r>
          </w:p>
        </w:tc>
        <w:tc>
          <w:tcPr>
            <w:tcW w:w="20" w:type="dxa"/>
            <w:vAlign w:val="bottom"/>
            <w:tcBorders>
              <w:top w:val="single" w:sz="8" w:color="E4E4E4"/>
            </w:tcBorders>
            <w:shd w:val="clear" w:color="auto" w:fill="E4E4E4"/>
          </w:tcPr>
          <w:p>
            <w:pPr>
              <w:spacing w:after="0"/>
              <w:rPr>
                <w:sz w:val="13"/>
                <w:szCs w:val="13"/>
                <w:color w:val="auto"/>
              </w:rPr>
            </w:pPr>
          </w:p>
        </w:tc>
        <w:tc>
          <w:tcPr>
            <w:tcW w:w="160" w:type="dxa"/>
            <w:vAlign w:val="bottom"/>
            <w:tcBorders>
              <w:top w:val="single" w:sz="8" w:color="1E1E1E"/>
            </w:tcBorders>
            <w:shd w:val="clear" w:color="auto" w:fill="E4E4E4"/>
          </w:tcPr>
          <w:p>
            <w:pPr>
              <w:spacing w:after="0" w:line="155" w:lineRule="exact"/>
              <w:rPr>
                <w:sz w:val="20"/>
                <w:szCs w:val="20"/>
                <w:color w:val="auto"/>
              </w:rPr>
            </w:pPr>
            <w:r>
              <w:rPr>
                <w:rFonts w:ascii="Arial" w:cs="Arial" w:eastAsia="Arial" w:hAnsi="Arial"/>
                <w:sz w:val="14"/>
                <w:szCs w:val="14"/>
                <w:color w:val="1E1E1E"/>
              </w:rPr>
              <w:t>$</w:t>
            </w:r>
          </w:p>
        </w:tc>
        <w:tc>
          <w:tcPr>
            <w:tcW w:w="70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rPr>
              <w:t>(6,221)</w:t>
            </w:r>
          </w:p>
        </w:tc>
        <w:tc>
          <w:tcPr>
            <w:tcW w:w="200" w:type="dxa"/>
            <w:vAlign w:val="bottom"/>
            <w:tcBorders>
              <w:top w:val="single" w:sz="8" w:color="E4E4E4"/>
            </w:tcBorders>
            <w:shd w:val="clear" w:color="auto" w:fill="E4E4E4"/>
          </w:tcPr>
          <w:p>
            <w:pPr>
              <w:spacing w:after="0"/>
              <w:rPr>
                <w:sz w:val="13"/>
                <w:szCs w:val="13"/>
                <w:color w:val="auto"/>
              </w:rPr>
            </w:pPr>
          </w:p>
        </w:tc>
        <w:tc>
          <w:tcPr>
            <w:tcW w:w="120" w:type="dxa"/>
            <w:vAlign w:val="bottom"/>
            <w:tcBorders>
              <w:top w:val="single" w:sz="8" w:color="1E1E1E"/>
            </w:tcBorders>
            <w:shd w:val="clear" w:color="auto" w:fill="E4E4E4"/>
          </w:tcPr>
          <w:p>
            <w:pPr>
              <w:jc w:val="right"/>
              <w:ind w:right="8"/>
              <w:spacing w:after="0"/>
              <w:rPr>
                <w:sz w:val="20"/>
                <w:szCs w:val="20"/>
                <w:color w:val="auto"/>
              </w:rPr>
            </w:pPr>
            <w:r>
              <w:rPr>
                <w:rFonts w:ascii="Arial" w:cs="Arial" w:eastAsia="Arial" w:hAnsi="Arial"/>
                <w:sz w:val="10"/>
                <w:szCs w:val="10"/>
                <w:color w:val="1E1E1E"/>
                <w:w w:val="71"/>
                <w:shd w:val="clear" w:color="auto" w:fill="E4E4E4"/>
              </w:rPr>
              <w:t>$</w:t>
            </w:r>
          </w:p>
        </w:tc>
        <w:tc>
          <w:tcPr>
            <w:tcW w:w="54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shd w:val="clear" w:color="auto" w:fill="E4E4E4"/>
              </w:rPr>
              <w:t>(4,077</w:t>
            </w:r>
          </w:p>
        </w:tc>
        <w:tc>
          <w:tcPr>
            <w:tcW w:w="20" w:type="dxa"/>
            <w:vAlign w:val="bottom"/>
            <w:tcBorders>
              <w:top w:val="single" w:sz="8" w:color="1E1E1E"/>
            </w:tcBorders>
            <w:shd w:val="clear" w:color="auto" w:fill="E4E4E4"/>
          </w:tcPr>
          <w:p>
            <w:pPr>
              <w:spacing w:after="0"/>
              <w:rPr>
                <w:sz w:val="13"/>
                <w:szCs w:val="13"/>
                <w:color w:val="auto"/>
              </w:rPr>
            </w:pPr>
          </w:p>
        </w:tc>
        <w:tc>
          <w:tcPr>
            <w:tcW w:w="80" w:type="dxa"/>
            <w:vAlign w:val="bottom"/>
            <w:tcBorders>
              <w:top w:val="single" w:sz="8" w:color="E4E4E4"/>
            </w:tcBorders>
            <w:shd w:val="clear" w:color="auto" w:fill="E4E4E4"/>
          </w:tcPr>
          <w:p>
            <w:pPr>
              <w:jc w:val="right"/>
              <w:spacing w:after="0"/>
              <w:rPr>
                <w:sz w:val="20"/>
                <w:szCs w:val="20"/>
                <w:color w:val="auto"/>
              </w:rPr>
            </w:pPr>
            <w:r>
              <w:rPr>
                <w:rFonts w:ascii="Arial" w:cs="Arial" w:eastAsia="Arial" w:hAnsi="Arial"/>
                <w:sz w:val="8"/>
                <w:szCs w:val="8"/>
                <w:color w:val="1E1E1E"/>
                <w:w w:val="73"/>
                <w:shd w:val="clear" w:color="auto" w:fill="E4E4E4"/>
              </w:rPr>
              <w:t>)</w:t>
            </w:r>
          </w:p>
        </w:tc>
      </w:tr>
      <w:tr>
        <w:trPr>
          <w:trHeight w:val="41"/>
        </w:trPr>
        <w:tc>
          <w:tcPr>
            <w:tcW w:w="364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61"/>
        </w:trPr>
        <w:tc>
          <w:tcPr>
            <w:tcW w:w="3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0"/>
        </w:trPr>
        <w:tc>
          <w:tcPr>
            <w:tcW w:w="3640" w:type="dxa"/>
            <w:vAlign w:val="bottom"/>
            <w:gridSpan w:val="2"/>
            <w:shd w:val="clear" w:color="auto" w:fill="E4E4E4"/>
          </w:tcPr>
          <w:p>
            <w:pPr>
              <w:spacing w:after="0" w:line="151" w:lineRule="exact"/>
              <w:rPr>
                <w:sz w:val="20"/>
                <w:szCs w:val="20"/>
                <w:color w:val="auto"/>
              </w:rPr>
            </w:pPr>
            <w:r>
              <w:rPr>
                <w:rFonts w:ascii="Arial" w:cs="Arial" w:eastAsia="Arial" w:hAnsi="Arial"/>
                <w:sz w:val="14"/>
                <w:szCs w:val="14"/>
                <w:color w:val="1E1E1E"/>
                <w:w w:val="95"/>
              </w:rPr>
              <w:t>Issuance of common stock through private direct offering, net</w:t>
            </w:r>
          </w:p>
        </w:tc>
        <w:tc>
          <w:tcPr>
            <w:tcW w:w="860" w:type="dxa"/>
            <w:vAlign w:val="bottom"/>
            <w:shd w:val="clear" w:color="auto" w:fill="E4E4E4"/>
          </w:tcPr>
          <w:p>
            <w:pPr>
              <w:spacing w:after="0"/>
              <w:rPr>
                <w:sz w:val="13"/>
                <w:szCs w:val="13"/>
                <w:color w:val="auto"/>
              </w:rPr>
            </w:pPr>
          </w:p>
        </w:tc>
        <w:tc>
          <w:tcPr>
            <w:tcW w:w="18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200" w:type="dxa"/>
            <w:vAlign w:val="bottom"/>
            <w:shd w:val="clear" w:color="auto" w:fill="E4E4E4"/>
          </w:tcPr>
          <w:p>
            <w:pPr>
              <w:spacing w:after="0"/>
              <w:rPr>
                <w:sz w:val="13"/>
                <w:szCs w:val="13"/>
                <w:color w:val="auto"/>
              </w:rPr>
            </w:pPr>
          </w:p>
        </w:tc>
        <w:tc>
          <w:tcPr>
            <w:tcW w:w="360" w:type="dxa"/>
            <w:vAlign w:val="bottom"/>
            <w:shd w:val="clear" w:color="auto" w:fill="E4E4E4"/>
          </w:tcPr>
          <w:p>
            <w:pPr>
              <w:spacing w:after="0"/>
              <w:rPr>
                <w:sz w:val="13"/>
                <w:szCs w:val="13"/>
                <w:color w:val="auto"/>
              </w:rPr>
            </w:pPr>
          </w:p>
        </w:tc>
        <w:tc>
          <w:tcPr>
            <w:tcW w:w="18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5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14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840" w:type="dxa"/>
            <w:vAlign w:val="bottom"/>
            <w:shd w:val="clear" w:color="auto" w:fill="E4E4E4"/>
          </w:tcPr>
          <w:p>
            <w:pPr>
              <w:spacing w:after="0"/>
              <w:rPr>
                <w:sz w:val="13"/>
                <w:szCs w:val="13"/>
                <w:color w:val="auto"/>
              </w:rPr>
            </w:pPr>
          </w:p>
        </w:tc>
        <w:tc>
          <w:tcPr>
            <w:tcW w:w="18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5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16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6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16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160" w:type="dxa"/>
            <w:vAlign w:val="bottom"/>
            <w:shd w:val="clear" w:color="auto" w:fill="E4E4E4"/>
          </w:tcPr>
          <w:p>
            <w:pPr>
              <w:spacing w:after="0"/>
              <w:rPr>
                <w:sz w:val="13"/>
                <w:szCs w:val="13"/>
                <w:color w:val="auto"/>
              </w:rPr>
            </w:pPr>
          </w:p>
        </w:tc>
        <w:tc>
          <w:tcPr>
            <w:tcW w:w="700" w:type="dxa"/>
            <w:vAlign w:val="bottom"/>
            <w:shd w:val="clear" w:color="auto" w:fill="E4E4E4"/>
          </w:tcPr>
          <w:p>
            <w:pPr>
              <w:spacing w:after="0"/>
              <w:rPr>
                <w:sz w:val="13"/>
                <w:szCs w:val="13"/>
                <w:color w:val="auto"/>
              </w:rPr>
            </w:pPr>
          </w:p>
        </w:tc>
        <w:tc>
          <w:tcPr>
            <w:tcW w:w="20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54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r>
      <w:tr>
        <w:trPr>
          <w:trHeight w:val="174"/>
        </w:trPr>
        <w:tc>
          <w:tcPr>
            <w:tcW w:w="3640" w:type="dxa"/>
            <w:vAlign w:val="bottom"/>
            <w:gridSpan w:val="2"/>
            <w:shd w:val="clear" w:color="auto" w:fill="E4E4E4"/>
          </w:tcPr>
          <w:p>
            <w:pPr>
              <w:spacing w:after="0"/>
              <w:rPr>
                <w:sz w:val="20"/>
                <w:szCs w:val="20"/>
                <w:color w:val="auto"/>
              </w:rPr>
            </w:pPr>
            <w:r>
              <w:rPr>
                <w:rFonts w:ascii="Arial" w:cs="Arial" w:eastAsia="Arial" w:hAnsi="Arial"/>
                <w:sz w:val="14"/>
                <w:szCs w:val="14"/>
                <w:color w:val="1E1E1E"/>
              </w:rPr>
              <w:t>of offering costs</w:t>
            </w:r>
          </w:p>
        </w:tc>
        <w:tc>
          <w:tcPr>
            <w:tcW w:w="86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11,111</w:t>
            </w:r>
          </w:p>
        </w:tc>
        <w:tc>
          <w:tcPr>
            <w:tcW w:w="18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200" w:type="dxa"/>
            <w:vAlign w:val="bottom"/>
            <w:shd w:val="clear" w:color="auto" w:fill="E4E4E4"/>
          </w:tcPr>
          <w:p>
            <w:pPr>
              <w:spacing w:after="0"/>
              <w:rPr>
                <w:sz w:val="15"/>
                <w:szCs w:val="15"/>
                <w:color w:val="auto"/>
              </w:rPr>
            </w:pPr>
          </w:p>
        </w:tc>
        <w:tc>
          <w:tcPr>
            <w:tcW w:w="36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111</w:t>
            </w:r>
          </w:p>
        </w:tc>
        <w:tc>
          <w:tcPr>
            <w:tcW w:w="180" w:type="dxa"/>
            <w:vAlign w:val="bottom"/>
            <w:shd w:val="clear" w:color="auto" w:fill="E4E4E4"/>
          </w:tcPr>
          <w:p>
            <w:pPr>
              <w:spacing w:after="0"/>
              <w:rPr>
                <w:sz w:val="15"/>
                <w:szCs w:val="15"/>
                <w:color w:val="auto"/>
              </w:rPr>
            </w:pPr>
          </w:p>
        </w:tc>
        <w:tc>
          <w:tcPr>
            <w:tcW w:w="80" w:type="dxa"/>
            <w:vAlign w:val="bottom"/>
            <w:shd w:val="clear" w:color="auto" w:fill="E4E4E4"/>
          </w:tcPr>
          <w:p>
            <w:pPr>
              <w:spacing w:after="0"/>
              <w:rPr>
                <w:sz w:val="15"/>
                <w:szCs w:val="15"/>
                <w:color w:val="auto"/>
              </w:rPr>
            </w:pPr>
          </w:p>
        </w:tc>
        <w:tc>
          <w:tcPr>
            <w:tcW w:w="540" w:type="dxa"/>
            <w:vAlign w:val="bottom"/>
            <w:gridSpan w:val="2"/>
            <w:shd w:val="clear" w:color="auto" w:fill="E4E4E4"/>
          </w:tcPr>
          <w:p>
            <w:pPr>
              <w:jc w:val="right"/>
              <w:ind w:right="20"/>
              <w:spacing w:after="0"/>
              <w:rPr>
                <w:sz w:val="20"/>
                <w:szCs w:val="20"/>
                <w:color w:val="auto"/>
              </w:rPr>
            </w:pPr>
            <w:r>
              <w:rPr>
                <w:rFonts w:ascii="Arial" w:cs="Arial" w:eastAsia="Arial" w:hAnsi="Arial"/>
                <w:sz w:val="14"/>
                <w:szCs w:val="14"/>
                <w:color w:val="1E1E1E"/>
              </w:rPr>
              <w:t>4,264</w:t>
            </w:r>
          </w:p>
        </w:tc>
        <w:tc>
          <w:tcPr>
            <w:tcW w:w="14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1020" w:type="dxa"/>
            <w:vAlign w:val="bottom"/>
            <w:gridSpan w:val="2"/>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5"/>
                <w:szCs w:val="15"/>
                <w:color w:val="auto"/>
              </w:rPr>
            </w:pPr>
          </w:p>
        </w:tc>
        <w:tc>
          <w:tcPr>
            <w:tcW w:w="80" w:type="dxa"/>
            <w:vAlign w:val="bottom"/>
            <w:shd w:val="clear" w:color="auto" w:fill="E4E4E4"/>
          </w:tcPr>
          <w:p>
            <w:pPr>
              <w:spacing w:after="0"/>
              <w:rPr>
                <w:sz w:val="15"/>
                <w:szCs w:val="15"/>
                <w:color w:val="auto"/>
              </w:rPr>
            </w:pPr>
          </w:p>
        </w:tc>
        <w:tc>
          <w:tcPr>
            <w:tcW w:w="700" w:type="dxa"/>
            <w:vAlign w:val="bottom"/>
            <w:gridSpan w:val="3"/>
            <w:shd w:val="clear" w:color="auto" w:fill="E4E4E4"/>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5"/>
                <w:szCs w:val="15"/>
                <w:color w:val="auto"/>
              </w:rPr>
            </w:pPr>
          </w:p>
        </w:tc>
        <w:tc>
          <w:tcPr>
            <w:tcW w:w="800" w:type="dxa"/>
            <w:vAlign w:val="bottom"/>
            <w:gridSpan w:val="3"/>
            <w:shd w:val="clear" w:color="auto" w:fill="E4E4E4"/>
          </w:tcPr>
          <w:p>
            <w:pPr>
              <w:ind w:left="4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5"/>
                <w:szCs w:val="15"/>
                <w:color w:val="auto"/>
              </w:rPr>
            </w:pPr>
          </w:p>
        </w:tc>
        <w:tc>
          <w:tcPr>
            <w:tcW w:w="160" w:type="dxa"/>
            <w:vAlign w:val="bottom"/>
            <w:shd w:val="clear" w:color="auto" w:fill="E4E4E4"/>
          </w:tcPr>
          <w:p>
            <w:pPr>
              <w:spacing w:after="0"/>
              <w:rPr>
                <w:sz w:val="15"/>
                <w:szCs w:val="15"/>
                <w:color w:val="auto"/>
              </w:rPr>
            </w:pPr>
          </w:p>
        </w:tc>
        <w:tc>
          <w:tcPr>
            <w:tcW w:w="900" w:type="dxa"/>
            <w:vAlign w:val="bottom"/>
            <w:gridSpan w:val="2"/>
            <w:shd w:val="clear" w:color="auto" w:fill="E4E4E4"/>
          </w:tcPr>
          <w:p>
            <w:pPr>
              <w:jc w:val="right"/>
              <w:ind w:right="200"/>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5"/>
                <w:szCs w:val="15"/>
                <w:color w:val="auto"/>
              </w:rPr>
            </w:pPr>
          </w:p>
        </w:tc>
        <w:tc>
          <w:tcPr>
            <w:tcW w:w="640" w:type="dxa"/>
            <w:vAlign w:val="bottom"/>
            <w:gridSpan w:val="3"/>
            <w:shd w:val="clear" w:color="auto" w:fill="E4E4E4"/>
          </w:tcPr>
          <w:p>
            <w:pPr>
              <w:jc w:val="right"/>
              <w:ind w:right="39"/>
              <w:spacing w:after="0"/>
              <w:rPr>
                <w:sz w:val="20"/>
                <w:szCs w:val="20"/>
                <w:color w:val="auto"/>
              </w:rPr>
            </w:pPr>
            <w:r>
              <w:rPr>
                <w:rFonts w:ascii="Arial" w:cs="Arial" w:eastAsia="Arial" w:hAnsi="Arial"/>
                <w:sz w:val="14"/>
                <w:szCs w:val="14"/>
                <w:color w:val="1E1E1E"/>
              </w:rPr>
              <w:t>4,375</w:t>
            </w:r>
          </w:p>
        </w:tc>
      </w:tr>
      <w:tr>
        <w:trPr>
          <w:trHeight w:val="161"/>
        </w:trPr>
        <w:tc>
          <w:tcPr>
            <w:tcW w:w="3640" w:type="dxa"/>
            <w:vAlign w:val="bottom"/>
            <w:gridSpan w:val="2"/>
          </w:tcPr>
          <w:p>
            <w:pPr>
              <w:spacing w:after="0"/>
              <w:rPr>
                <w:sz w:val="20"/>
                <w:szCs w:val="20"/>
                <w:color w:val="auto"/>
              </w:rPr>
            </w:pPr>
            <w:r>
              <w:rPr>
                <w:rFonts w:ascii="Arial" w:cs="Arial" w:eastAsia="Arial" w:hAnsi="Arial"/>
                <w:sz w:val="14"/>
                <w:szCs w:val="14"/>
                <w:color w:val="1E1E1E"/>
              </w:rPr>
              <w:t>Stock compensation expense</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8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1E1E1E"/>
              </w:rPr>
              <w:t>1,229</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tcPr>
          <w:p>
            <w:pPr>
              <w:spacing w:after="0"/>
              <w:rPr>
                <w:sz w:val="13"/>
                <w:szCs w:val="13"/>
                <w:color w:val="auto"/>
              </w:rPr>
            </w:pPr>
          </w:p>
        </w:tc>
        <w:tc>
          <w:tcPr>
            <w:tcW w:w="800" w:type="dxa"/>
            <w:vAlign w:val="bottom"/>
            <w:gridSpan w:val="3"/>
          </w:tcPr>
          <w:p>
            <w:pPr>
              <w:ind w:left="4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1E1E1E"/>
              </w:rPr>
              <w:t>—</w:t>
            </w:r>
          </w:p>
        </w:tc>
        <w:tc>
          <w:tcPr>
            <w:tcW w:w="120" w:type="dxa"/>
            <w:vAlign w:val="bottom"/>
          </w:tcPr>
          <w:p>
            <w:pPr>
              <w:spacing w:after="0"/>
              <w:rPr>
                <w:sz w:val="13"/>
                <w:szCs w:val="13"/>
                <w:color w:val="auto"/>
              </w:rPr>
            </w:pPr>
          </w:p>
        </w:tc>
        <w:tc>
          <w:tcPr>
            <w:tcW w:w="640" w:type="dxa"/>
            <w:vAlign w:val="bottom"/>
            <w:gridSpan w:val="3"/>
          </w:tcPr>
          <w:p>
            <w:pPr>
              <w:jc w:val="right"/>
              <w:ind w:right="39"/>
              <w:spacing w:after="0"/>
              <w:rPr>
                <w:sz w:val="20"/>
                <w:szCs w:val="20"/>
                <w:color w:val="auto"/>
              </w:rPr>
            </w:pPr>
            <w:r>
              <w:rPr>
                <w:rFonts w:ascii="Arial" w:cs="Arial" w:eastAsia="Arial" w:hAnsi="Arial"/>
                <w:sz w:val="14"/>
                <w:szCs w:val="14"/>
                <w:color w:val="1E1E1E"/>
              </w:rPr>
              <w:t>1,229</w:t>
            </w:r>
          </w:p>
        </w:tc>
      </w:tr>
      <w:tr>
        <w:trPr>
          <w:trHeight w:val="161"/>
        </w:trPr>
        <w:tc>
          <w:tcPr>
            <w:tcW w:w="3640" w:type="dxa"/>
            <w:vAlign w:val="bottom"/>
            <w:gridSpan w:val="2"/>
            <w:shd w:val="clear" w:color="auto" w:fill="E4E4E4"/>
          </w:tcPr>
          <w:p>
            <w:pPr>
              <w:spacing w:after="0"/>
              <w:rPr>
                <w:sz w:val="20"/>
                <w:szCs w:val="20"/>
                <w:color w:val="auto"/>
              </w:rPr>
            </w:pPr>
            <w:r>
              <w:rPr>
                <w:rFonts w:ascii="Arial" w:cs="Arial" w:eastAsia="Arial" w:hAnsi="Arial"/>
                <w:sz w:val="14"/>
                <w:szCs w:val="14"/>
                <w:color w:val="1E1E1E"/>
              </w:rPr>
              <w:t>Issuance of common stock, upon RSUs and PSUs release</w:t>
            </w:r>
          </w:p>
        </w:tc>
        <w:tc>
          <w:tcPr>
            <w:tcW w:w="86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788</w:t>
            </w:r>
          </w:p>
        </w:tc>
        <w:tc>
          <w:tcPr>
            <w:tcW w:w="18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200" w:type="dxa"/>
            <w:vAlign w:val="bottom"/>
            <w:shd w:val="clear" w:color="auto" w:fill="E4E4E4"/>
          </w:tcPr>
          <w:p>
            <w:pPr>
              <w:spacing w:after="0"/>
              <w:rPr>
                <w:sz w:val="13"/>
                <w:szCs w:val="13"/>
                <w:color w:val="auto"/>
              </w:rPr>
            </w:pPr>
          </w:p>
        </w:tc>
        <w:tc>
          <w:tcPr>
            <w:tcW w:w="36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8</w:t>
            </w:r>
          </w:p>
        </w:tc>
        <w:tc>
          <w:tcPr>
            <w:tcW w:w="18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680" w:type="dxa"/>
            <w:vAlign w:val="bottom"/>
            <w:gridSpan w:val="3"/>
            <w:shd w:val="clear" w:color="auto" w:fill="E4E4E4"/>
          </w:tcPr>
          <w:p>
            <w:pPr>
              <w:jc w:val="right"/>
              <w:ind w:right="120"/>
              <w:spacing w:after="0"/>
              <w:rPr>
                <w:sz w:val="20"/>
                <w:szCs w:val="20"/>
                <w:color w:val="auto"/>
              </w:rPr>
            </w:pPr>
            <w:r>
              <w:rPr>
                <w:rFonts w:ascii="Arial" w:cs="Arial" w:eastAsia="Arial" w:hAnsi="Arial"/>
                <w:sz w:val="14"/>
                <w:szCs w:val="14"/>
                <w:color w:val="1E1E1E"/>
              </w:rPr>
              <w:t>(8)</w:t>
            </w:r>
          </w:p>
        </w:tc>
        <w:tc>
          <w:tcPr>
            <w:tcW w:w="20" w:type="dxa"/>
            <w:vAlign w:val="bottom"/>
            <w:shd w:val="clear" w:color="auto" w:fill="E4E4E4"/>
          </w:tcPr>
          <w:p>
            <w:pPr>
              <w:spacing w:after="0"/>
              <w:rPr>
                <w:sz w:val="13"/>
                <w:szCs w:val="13"/>
                <w:color w:val="auto"/>
              </w:rPr>
            </w:pPr>
          </w:p>
        </w:tc>
        <w:tc>
          <w:tcPr>
            <w:tcW w:w="1020" w:type="dxa"/>
            <w:vAlign w:val="bottom"/>
            <w:gridSpan w:val="2"/>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700" w:type="dxa"/>
            <w:vAlign w:val="bottom"/>
            <w:gridSpan w:val="3"/>
            <w:shd w:val="clear" w:color="auto" w:fill="E4E4E4"/>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3"/>
                <w:szCs w:val="13"/>
                <w:color w:val="auto"/>
              </w:rPr>
            </w:pPr>
          </w:p>
        </w:tc>
        <w:tc>
          <w:tcPr>
            <w:tcW w:w="800" w:type="dxa"/>
            <w:vAlign w:val="bottom"/>
            <w:gridSpan w:val="3"/>
            <w:shd w:val="clear" w:color="auto" w:fill="E4E4E4"/>
          </w:tcPr>
          <w:p>
            <w:pPr>
              <w:ind w:left="4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3"/>
                <w:szCs w:val="13"/>
                <w:color w:val="auto"/>
              </w:rPr>
            </w:pPr>
          </w:p>
        </w:tc>
        <w:tc>
          <w:tcPr>
            <w:tcW w:w="160" w:type="dxa"/>
            <w:vAlign w:val="bottom"/>
            <w:shd w:val="clear" w:color="auto" w:fill="E4E4E4"/>
          </w:tcPr>
          <w:p>
            <w:pPr>
              <w:spacing w:after="0"/>
              <w:rPr>
                <w:sz w:val="13"/>
                <w:szCs w:val="13"/>
                <w:color w:val="auto"/>
              </w:rPr>
            </w:pPr>
          </w:p>
        </w:tc>
        <w:tc>
          <w:tcPr>
            <w:tcW w:w="900" w:type="dxa"/>
            <w:vAlign w:val="bottom"/>
            <w:gridSpan w:val="2"/>
            <w:shd w:val="clear" w:color="auto" w:fill="E4E4E4"/>
          </w:tcPr>
          <w:p>
            <w:pPr>
              <w:jc w:val="right"/>
              <w:ind w:right="200"/>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3"/>
                <w:szCs w:val="13"/>
                <w:color w:val="auto"/>
              </w:rPr>
            </w:pPr>
          </w:p>
        </w:tc>
        <w:tc>
          <w:tcPr>
            <w:tcW w:w="640" w:type="dxa"/>
            <w:vAlign w:val="bottom"/>
            <w:gridSpan w:val="3"/>
            <w:shd w:val="clear" w:color="auto" w:fill="E4E4E4"/>
          </w:tcPr>
          <w:p>
            <w:pPr>
              <w:jc w:val="right"/>
              <w:ind w:right="39"/>
              <w:spacing w:after="0"/>
              <w:rPr>
                <w:sz w:val="20"/>
                <w:szCs w:val="20"/>
                <w:color w:val="auto"/>
              </w:rPr>
            </w:pPr>
            <w:r>
              <w:rPr>
                <w:rFonts w:ascii="Arial" w:cs="Arial" w:eastAsia="Arial" w:hAnsi="Arial"/>
                <w:sz w:val="14"/>
                <w:szCs w:val="14"/>
                <w:color w:val="1E1E1E"/>
              </w:rPr>
              <w:t>—</w:t>
            </w:r>
          </w:p>
        </w:tc>
      </w:tr>
      <w:tr>
        <w:trPr>
          <w:trHeight w:val="161"/>
        </w:trPr>
        <w:tc>
          <w:tcPr>
            <w:tcW w:w="3640" w:type="dxa"/>
            <w:vAlign w:val="bottom"/>
            <w:gridSpan w:val="2"/>
          </w:tcPr>
          <w:p>
            <w:pPr>
              <w:spacing w:after="0"/>
              <w:rPr>
                <w:sz w:val="20"/>
                <w:szCs w:val="20"/>
                <w:color w:val="auto"/>
              </w:rPr>
            </w:pPr>
            <w:r>
              <w:rPr>
                <w:rFonts w:ascii="Arial" w:cs="Arial" w:eastAsia="Arial" w:hAnsi="Arial"/>
                <w:sz w:val="14"/>
                <w:szCs w:val="14"/>
                <w:color w:val="1E1E1E"/>
              </w:rPr>
              <w:t>Exercise of stock options</w:t>
            </w:r>
          </w:p>
        </w:tc>
        <w:tc>
          <w:tcPr>
            <w:tcW w:w="860" w:type="dxa"/>
            <w:vAlign w:val="bottom"/>
          </w:tcPr>
          <w:p>
            <w:pPr>
              <w:jc w:val="right"/>
              <w:spacing w:after="0"/>
              <w:rPr>
                <w:sz w:val="20"/>
                <w:szCs w:val="20"/>
                <w:color w:val="auto"/>
              </w:rPr>
            </w:pPr>
            <w:r>
              <w:rPr>
                <w:rFonts w:ascii="Arial" w:cs="Arial" w:eastAsia="Arial" w:hAnsi="Arial"/>
                <w:sz w:val="14"/>
                <w:szCs w:val="14"/>
                <w:color w:val="1E1E1E"/>
              </w:rPr>
              <w:t>522</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1E1E1E"/>
              </w:rPr>
              <w:t>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1E1E1E"/>
              </w:rPr>
              <w:t>771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tcPr>
          <w:p>
            <w:pPr>
              <w:spacing w:after="0"/>
              <w:rPr>
                <w:sz w:val="13"/>
                <w:szCs w:val="13"/>
                <w:color w:val="auto"/>
              </w:rPr>
            </w:pPr>
          </w:p>
        </w:tc>
        <w:tc>
          <w:tcPr>
            <w:tcW w:w="800" w:type="dxa"/>
            <w:vAlign w:val="bottom"/>
            <w:gridSpan w:val="3"/>
          </w:tcPr>
          <w:p>
            <w:pPr>
              <w:ind w:left="4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1E1E1E"/>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1E1E1E"/>
              </w:rPr>
              <w:t>776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1"/>
        </w:trPr>
        <w:tc>
          <w:tcPr>
            <w:tcW w:w="3640" w:type="dxa"/>
            <w:vAlign w:val="bottom"/>
            <w:gridSpan w:val="2"/>
            <w:shd w:val="clear" w:color="auto" w:fill="E4E4E4"/>
          </w:tcPr>
          <w:p>
            <w:pPr>
              <w:spacing w:after="0"/>
              <w:rPr>
                <w:sz w:val="20"/>
                <w:szCs w:val="20"/>
                <w:color w:val="auto"/>
              </w:rPr>
            </w:pPr>
            <w:r>
              <w:rPr>
                <w:rFonts w:ascii="Arial" w:cs="Arial" w:eastAsia="Arial" w:hAnsi="Arial"/>
                <w:sz w:val="14"/>
                <w:szCs w:val="14"/>
                <w:color w:val="1E1E1E"/>
              </w:rPr>
              <w:t>Shares withheld for taxes related to net share settlement</w:t>
            </w:r>
          </w:p>
        </w:tc>
        <w:tc>
          <w:tcPr>
            <w:tcW w:w="1040" w:type="dxa"/>
            <w:vAlign w:val="bottom"/>
            <w:gridSpan w:val="2"/>
            <w:shd w:val="clear" w:color="auto" w:fill="E4E4E4"/>
          </w:tcPr>
          <w:p>
            <w:pPr>
              <w:jc w:val="right"/>
              <w:ind w:right="120"/>
              <w:spacing w:after="0"/>
              <w:rPr>
                <w:sz w:val="20"/>
                <w:szCs w:val="20"/>
                <w:color w:val="auto"/>
              </w:rPr>
            </w:pPr>
            <w:r>
              <w:rPr>
                <w:rFonts w:ascii="Arial" w:cs="Arial" w:eastAsia="Arial" w:hAnsi="Arial"/>
                <w:sz w:val="14"/>
                <w:szCs w:val="14"/>
                <w:color w:val="1E1E1E"/>
              </w:rPr>
              <w:t>(285)</w:t>
            </w:r>
          </w:p>
        </w:tc>
        <w:tc>
          <w:tcPr>
            <w:tcW w:w="20" w:type="dxa"/>
            <w:vAlign w:val="bottom"/>
            <w:shd w:val="clear" w:color="auto" w:fill="E4E4E4"/>
          </w:tcPr>
          <w:p>
            <w:pPr>
              <w:spacing w:after="0"/>
              <w:rPr>
                <w:sz w:val="13"/>
                <w:szCs w:val="13"/>
                <w:color w:val="auto"/>
              </w:rPr>
            </w:pPr>
          </w:p>
        </w:tc>
        <w:tc>
          <w:tcPr>
            <w:tcW w:w="200" w:type="dxa"/>
            <w:vAlign w:val="bottom"/>
            <w:shd w:val="clear" w:color="auto" w:fill="E4E4E4"/>
          </w:tcPr>
          <w:p>
            <w:pPr>
              <w:spacing w:after="0"/>
              <w:rPr>
                <w:sz w:val="13"/>
                <w:szCs w:val="13"/>
                <w:color w:val="auto"/>
              </w:rPr>
            </w:pPr>
          </w:p>
        </w:tc>
        <w:tc>
          <w:tcPr>
            <w:tcW w:w="540" w:type="dxa"/>
            <w:vAlign w:val="bottom"/>
            <w:gridSpan w:val="2"/>
            <w:shd w:val="clear" w:color="auto" w:fill="E4E4E4"/>
          </w:tcPr>
          <w:p>
            <w:pPr>
              <w:jc w:val="right"/>
              <w:ind w:right="140"/>
              <w:spacing w:after="0"/>
              <w:rPr>
                <w:sz w:val="20"/>
                <w:szCs w:val="20"/>
                <w:color w:val="auto"/>
              </w:rPr>
            </w:pPr>
            <w:r>
              <w:rPr>
                <w:rFonts w:ascii="Arial" w:cs="Arial" w:eastAsia="Arial" w:hAnsi="Arial"/>
                <w:sz w:val="14"/>
                <w:szCs w:val="14"/>
                <w:color w:val="1E1E1E"/>
              </w:rPr>
              <w:t>(3)</w:t>
            </w:r>
          </w:p>
        </w:tc>
        <w:tc>
          <w:tcPr>
            <w:tcW w:w="80" w:type="dxa"/>
            <w:vAlign w:val="bottom"/>
            <w:shd w:val="clear" w:color="auto" w:fill="E4E4E4"/>
          </w:tcPr>
          <w:p>
            <w:pPr>
              <w:spacing w:after="0"/>
              <w:rPr>
                <w:sz w:val="13"/>
                <w:szCs w:val="13"/>
                <w:color w:val="auto"/>
              </w:rPr>
            </w:pPr>
          </w:p>
        </w:tc>
        <w:tc>
          <w:tcPr>
            <w:tcW w:w="680" w:type="dxa"/>
            <w:vAlign w:val="bottom"/>
            <w:gridSpan w:val="3"/>
            <w:shd w:val="clear" w:color="auto" w:fill="E4E4E4"/>
          </w:tcPr>
          <w:p>
            <w:pPr>
              <w:jc w:val="right"/>
              <w:ind w:right="120"/>
              <w:spacing w:after="0"/>
              <w:rPr>
                <w:sz w:val="20"/>
                <w:szCs w:val="20"/>
                <w:color w:val="auto"/>
              </w:rPr>
            </w:pPr>
            <w:r>
              <w:rPr>
                <w:rFonts w:ascii="Arial" w:cs="Arial" w:eastAsia="Arial" w:hAnsi="Arial"/>
                <w:sz w:val="14"/>
                <w:szCs w:val="14"/>
                <w:color w:val="1E1E1E"/>
              </w:rPr>
              <w:t>(1,864)</w:t>
            </w:r>
          </w:p>
        </w:tc>
        <w:tc>
          <w:tcPr>
            <w:tcW w:w="20" w:type="dxa"/>
            <w:vAlign w:val="bottom"/>
            <w:shd w:val="clear" w:color="auto" w:fill="E4E4E4"/>
          </w:tcPr>
          <w:p>
            <w:pPr>
              <w:spacing w:after="0"/>
              <w:rPr>
                <w:sz w:val="13"/>
                <w:szCs w:val="13"/>
                <w:color w:val="auto"/>
              </w:rPr>
            </w:pPr>
          </w:p>
        </w:tc>
        <w:tc>
          <w:tcPr>
            <w:tcW w:w="1020" w:type="dxa"/>
            <w:vAlign w:val="bottom"/>
            <w:gridSpan w:val="2"/>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700" w:type="dxa"/>
            <w:vAlign w:val="bottom"/>
            <w:gridSpan w:val="3"/>
            <w:shd w:val="clear" w:color="auto" w:fill="E4E4E4"/>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3"/>
                <w:szCs w:val="13"/>
                <w:color w:val="auto"/>
              </w:rPr>
            </w:pPr>
          </w:p>
        </w:tc>
        <w:tc>
          <w:tcPr>
            <w:tcW w:w="800" w:type="dxa"/>
            <w:vAlign w:val="bottom"/>
            <w:gridSpan w:val="3"/>
            <w:shd w:val="clear" w:color="auto" w:fill="E4E4E4"/>
          </w:tcPr>
          <w:p>
            <w:pPr>
              <w:ind w:left="4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3"/>
                <w:szCs w:val="13"/>
                <w:color w:val="auto"/>
              </w:rPr>
            </w:pPr>
          </w:p>
        </w:tc>
        <w:tc>
          <w:tcPr>
            <w:tcW w:w="160" w:type="dxa"/>
            <w:vAlign w:val="bottom"/>
            <w:shd w:val="clear" w:color="auto" w:fill="E4E4E4"/>
          </w:tcPr>
          <w:p>
            <w:pPr>
              <w:spacing w:after="0"/>
              <w:rPr>
                <w:sz w:val="13"/>
                <w:szCs w:val="13"/>
                <w:color w:val="auto"/>
              </w:rPr>
            </w:pPr>
          </w:p>
        </w:tc>
        <w:tc>
          <w:tcPr>
            <w:tcW w:w="900" w:type="dxa"/>
            <w:vAlign w:val="bottom"/>
            <w:gridSpan w:val="2"/>
            <w:shd w:val="clear" w:color="auto" w:fill="E4E4E4"/>
          </w:tcPr>
          <w:p>
            <w:pPr>
              <w:jc w:val="right"/>
              <w:ind w:right="200"/>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3"/>
                <w:szCs w:val="13"/>
                <w:color w:val="auto"/>
              </w:rPr>
            </w:pPr>
          </w:p>
        </w:tc>
        <w:tc>
          <w:tcPr>
            <w:tcW w:w="640" w:type="dxa"/>
            <w:vAlign w:val="bottom"/>
            <w:gridSpan w:val="3"/>
            <w:shd w:val="clear" w:color="auto" w:fill="E4E4E4"/>
          </w:tcPr>
          <w:p>
            <w:pPr>
              <w:jc w:val="right"/>
              <w:spacing w:after="0"/>
              <w:rPr>
                <w:sz w:val="20"/>
                <w:szCs w:val="20"/>
                <w:color w:val="auto"/>
              </w:rPr>
            </w:pPr>
            <w:r>
              <w:rPr>
                <w:rFonts w:ascii="Arial" w:cs="Arial" w:eastAsia="Arial" w:hAnsi="Arial"/>
                <w:sz w:val="14"/>
                <w:szCs w:val="14"/>
                <w:color w:val="1E1E1E"/>
              </w:rPr>
              <w:t>(1,867)</w:t>
            </w:r>
          </w:p>
        </w:tc>
      </w:tr>
      <w:tr>
        <w:trPr>
          <w:trHeight w:val="161"/>
        </w:trPr>
        <w:tc>
          <w:tcPr>
            <w:tcW w:w="3640" w:type="dxa"/>
            <w:vAlign w:val="bottom"/>
            <w:gridSpan w:val="2"/>
          </w:tcPr>
          <w:p>
            <w:pPr>
              <w:spacing w:after="0"/>
              <w:rPr>
                <w:sz w:val="20"/>
                <w:szCs w:val="20"/>
                <w:color w:val="auto"/>
              </w:rPr>
            </w:pPr>
            <w:r>
              <w:rPr>
                <w:rFonts w:ascii="Arial" w:cs="Arial" w:eastAsia="Arial" w:hAnsi="Arial"/>
                <w:sz w:val="14"/>
                <w:szCs w:val="14"/>
                <w:color w:val="1E1E1E"/>
              </w:rPr>
              <w:t>Board of directors' compensation</w:t>
            </w:r>
          </w:p>
        </w:tc>
        <w:tc>
          <w:tcPr>
            <w:tcW w:w="860" w:type="dxa"/>
            <w:vAlign w:val="bottom"/>
          </w:tcPr>
          <w:p>
            <w:pPr>
              <w:jc w:val="right"/>
              <w:spacing w:after="0"/>
              <w:rPr>
                <w:sz w:val="20"/>
                <w:szCs w:val="20"/>
                <w:color w:val="auto"/>
              </w:rPr>
            </w:pPr>
            <w:r>
              <w:rPr>
                <w:rFonts w:ascii="Arial" w:cs="Arial" w:eastAsia="Arial" w:hAnsi="Arial"/>
                <w:sz w:val="14"/>
                <w:szCs w:val="14"/>
                <w:color w:val="1E1E1E"/>
              </w:rPr>
              <w:t>233</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1E1E1E"/>
              </w:rPr>
              <w:t>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1E1E1E"/>
              </w:rPr>
              <w:t>372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tcPr>
          <w:p>
            <w:pPr>
              <w:spacing w:after="0"/>
              <w:rPr>
                <w:sz w:val="13"/>
                <w:szCs w:val="13"/>
                <w:color w:val="auto"/>
              </w:rPr>
            </w:pPr>
          </w:p>
        </w:tc>
        <w:tc>
          <w:tcPr>
            <w:tcW w:w="800" w:type="dxa"/>
            <w:vAlign w:val="bottom"/>
            <w:gridSpan w:val="3"/>
          </w:tcPr>
          <w:p>
            <w:pPr>
              <w:ind w:left="4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1E1E1E"/>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1E1E1E"/>
              </w:rPr>
              <w:t>374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1"/>
        </w:trPr>
        <w:tc>
          <w:tcPr>
            <w:tcW w:w="3640" w:type="dxa"/>
            <w:vAlign w:val="bottom"/>
            <w:gridSpan w:val="2"/>
            <w:shd w:val="clear" w:color="auto" w:fill="E4E4E4"/>
          </w:tcPr>
          <w:p>
            <w:pPr>
              <w:spacing w:after="0"/>
              <w:rPr>
                <w:sz w:val="20"/>
                <w:szCs w:val="20"/>
                <w:color w:val="auto"/>
              </w:rPr>
            </w:pPr>
            <w:r>
              <w:rPr>
                <w:rFonts w:ascii="Arial" w:cs="Arial" w:eastAsia="Arial" w:hAnsi="Arial"/>
                <w:sz w:val="14"/>
                <w:szCs w:val="14"/>
                <w:color w:val="1E1E1E"/>
              </w:rPr>
              <w:t>Accumulated other comprehensive income (loss):</w:t>
            </w:r>
          </w:p>
        </w:tc>
        <w:tc>
          <w:tcPr>
            <w:tcW w:w="860" w:type="dxa"/>
            <w:vAlign w:val="bottom"/>
            <w:shd w:val="clear" w:color="auto" w:fill="E4E4E4"/>
          </w:tcPr>
          <w:p>
            <w:pPr>
              <w:spacing w:after="0"/>
              <w:rPr>
                <w:sz w:val="13"/>
                <w:szCs w:val="13"/>
                <w:color w:val="auto"/>
              </w:rPr>
            </w:pPr>
          </w:p>
        </w:tc>
        <w:tc>
          <w:tcPr>
            <w:tcW w:w="18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200" w:type="dxa"/>
            <w:vAlign w:val="bottom"/>
            <w:shd w:val="clear" w:color="auto" w:fill="E4E4E4"/>
          </w:tcPr>
          <w:p>
            <w:pPr>
              <w:spacing w:after="0"/>
              <w:rPr>
                <w:sz w:val="13"/>
                <w:szCs w:val="13"/>
                <w:color w:val="auto"/>
              </w:rPr>
            </w:pPr>
          </w:p>
        </w:tc>
        <w:tc>
          <w:tcPr>
            <w:tcW w:w="360" w:type="dxa"/>
            <w:vAlign w:val="bottom"/>
            <w:shd w:val="clear" w:color="auto" w:fill="E4E4E4"/>
          </w:tcPr>
          <w:p>
            <w:pPr>
              <w:spacing w:after="0"/>
              <w:rPr>
                <w:sz w:val="13"/>
                <w:szCs w:val="13"/>
                <w:color w:val="auto"/>
              </w:rPr>
            </w:pPr>
          </w:p>
        </w:tc>
        <w:tc>
          <w:tcPr>
            <w:tcW w:w="18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5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14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840" w:type="dxa"/>
            <w:vAlign w:val="bottom"/>
            <w:shd w:val="clear" w:color="auto" w:fill="E4E4E4"/>
          </w:tcPr>
          <w:p>
            <w:pPr>
              <w:spacing w:after="0"/>
              <w:rPr>
                <w:sz w:val="13"/>
                <w:szCs w:val="13"/>
                <w:color w:val="auto"/>
              </w:rPr>
            </w:pPr>
          </w:p>
        </w:tc>
        <w:tc>
          <w:tcPr>
            <w:tcW w:w="18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5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16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62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16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160" w:type="dxa"/>
            <w:vAlign w:val="bottom"/>
            <w:shd w:val="clear" w:color="auto" w:fill="E4E4E4"/>
          </w:tcPr>
          <w:p>
            <w:pPr>
              <w:spacing w:after="0"/>
              <w:rPr>
                <w:sz w:val="13"/>
                <w:szCs w:val="13"/>
                <w:color w:val="auto"/>
              </w:rPr>
            </w:pPr>
          </w:p>
        </w:tc>
        <w:tc>
          <w:tcPr>
            <w:tcW w:w="700" w:type="dxa"/>
            <w:vAlign w:val="bottom"/>
            <w:shd w:val="clear" w:color="auto" w:fill="E4E4E4"/>
          </w:tcPr>
          <w:p>
            <w:pPr>
              <w:spacing w:after="0"/>
              <w:rPr>
                <w:sz w:val="13"/>
                <w:szCs w:val="13"/>
                <w:color w:val="auto"/>
              </w:rPr>
            </w:pPr>
          </w:p>
        </w:tc>
        <w:tc>
          <w:tcPr>
            <w:tcW w:w="20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54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r>
      <w:tr>
        <w:trPr>
          <w:trHeight w:val="161"/>
        </w:trPr>
        <w:tc>
          <w:tcPr>
            <w:tcW w:w="3640" w:type="dxa"/>
            <w:vAlign w:val="bottom"/>
            <w:gridSpan w:val="2"/>
          </w:tcPr>
          <w:p>
            <w:pPr>
              <w:ind w:left="200"/>
              <w:spacing w:after="0"/>
              <w:rPr>
                <w:sz w:val="20"/>
                <w:szCs w:val="20"/>
                <w:color w:val="auto"/>
              </w:rPr>
            </w:pPr>
            <w:r>
              <w:rPr>
                <w:rFonts w:ascii="Arial" w:cs="Arial" w:eastAsia="Arial" w:hAnsi="Arial"/>
                <w:sz w:val="14"/>
                <w:szCs w:val="14"/>
                <w:color w:val="1E1E1E"/>
              </w:rPr>
              <w:t>Unrecognized gain associated with Pension Plan</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80" w:type="dxa"/>
            <w:vAlign w:val="bottom"/>
          </w:tcPr>
          <w:p>
            <w:pPr>
              <w:spacing w:after="0"/>
              <w:rPr>
                <w:sz w:val="13"/>
                <w:szCs w:val="13"/>
                <w:color w:val="auto"/>
              </w:rPr>
            </w:pPr>
          </w:p>
        </w:tc>
        <w:tc>
          <w:tcPr>
            <w:tcW w:w="700" w:type="dxa"/>
            <w:vAlign w:val="bottom"/>
            <w:gridSpan w:val="4"/>
          </w:tcPr>
          <w:p>
            <w:pPr>
              <w:jc w:val="right"/>
              <w:ind w:right="180"/>
              <w:spacing w:after="0"/>
              <w:rPr>
                <w:sz w:val="20"/>
                <w:szCs w:val="20"/>
                <w:color w:val="auto"/>
              </w:rPr>
            </w:pPr>
            <w:r>
              <w:rPr>
                <w:rFonts w:ascii="Arial" w:cs="Arial" w:eastAsia="Arial" w:hAnsi="Arial"/>
                <w:sz w:val="14"/>
                <w:szCs w:val="14"/>
                <w:color w:val="1E1E1E"/>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tcPr>
          <w:p>
            <w:pPr>
              <w:spacing w:after="0"/>
              <w:rPr>
                <w:sz w:val="13"/>
                <w:szCs w:val="13"/>
                <w:color w:val="auto"/>
              </w:rPr>
            </w:pPr>
          </w:p>
        </w:tc>
        <w:tc>
          <w:tcPr>
            <w:tcW w:w="800" w:type="dxa"/>
            <w:vAlign w:val="bottom"/>
            <w:gridSpan w:val="3"/>
          </w:tcPr>
          <w:p>
            <w:pPr>
              <w:ind w:left="4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E1E1E"/>
              </w:rPr>
              <w:t>758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1E1E1E"/>
              </w:rPr>
              <w:t>758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1"/>
        </w:trPr>
        <w:tc>
          <w:tcPr>
            <w:tcW w:w="3640" w:type="dxa"/>
            <w:vAlign w:val="bottom"/>
            <w:gridSpan w:val="2"/>
            <w:shd w:val="clear" w:color="auto" w:fill="E4E4E4"/>
          </w:tcPr>
          <w:p>
            <w:pPr>
              <w:ind w:left="200"/>
              <w:spacing w:after="0"/>
              <w:rPr>
                <w:sz w:val="20"/>
                <w:szCs w:val="20"/>
                <w:color w:val="auto"/>
              </w:rPr>
            </w:pPr>
            <w:r>
              <w:rPr>
                <w:rFonts w:ascii="Arial" w:cs="Arial" w:eastAsia="Arial" w:hAnsi="Arial"/>
                <w:sz w:val="14"/>
                <w:szCs w:val="14"/>
                <w:color w:val="1E1E1E"/>
              </w:rPr>
              <w:t>Foreign currency</w:t>
            </w:r>
          </w:p>
        </w:tc>
        <w:tc>
          <w:tcPr>
            <w:tcW w:w="1040" w:type="dxa"/>
            <w:vAlign w:val="bottom"/>
            <w:gridSpan w:val="2"/>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3"/>
                <w:szCs w:val="13"/>
                <w:color w:val="auto"/>
              </w:rPr>
            </w:pPr>
          </w:p>
        </w:tc>
        <w:tc>
          <w:tcPr>
            <w:tcW w:w="200" w:type="dxa"/>
            <w:vAlign w:val="bottom"/>
            <w:shd w:val="clear" w:color="auto" w:fill="E4E4E4"/>
          </w:tcPr>
          <w:p>
            <w:pPr>
              <w:spacing w:after="0"/>
              <w:rPr>
                <w:sz w:val="13"/>
                <w:szCs w:val="13"/>
                <w:color w:val="auto"/>
              </w:rPr>
            </w:pPr>
          </w:p>
        </w:tc>
        <w:tc>
          <w:tcPr>
            <w:tcW w:w="540" w:type="dxa"/>
            <w:vAlign w:val="bottom"/>
            <w:gridSpan w:val="2"/>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80" w:type="dxa"/>
            <w:vAlign w:val="bottom"/>
            <w:shd w:val="clear" w:color="auto" w:fill="E4E4E4"/>
          </w:tcPr>
          <w:p>
            <w:pPr>
              <w:spacing w:after="0"/>
              <w:rPr>
                <w:sz w:val="13"/>
                <w:szCs w:val="13"/>
                <w:color w:val="auto"/>
              </w:rPr>
            </w:pPr>
          </w:p>
        </w:tc>
        <w:tc>
          <w:tcPr>
            <w:tcW w:w="700" w:type="dxa"/>
            <w:vAlign w:val="bottom"/>
            <w:gridSpan w:val="4"/>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1020" w:type="dxa"/>
            <w:vAlign w:val="bottom"/>
            <w:gridSpan w:val="2"/>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700" w:type="dxa"/>
            <w:vAlign w:val="bottom"/>
            <w:gridSpan w:val="3"/>
            <w:shd w:val="clear" w:color="auto" w:fill="E4E4E4"/>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3"/>
                <w:szCs w:val="13"/>
                <w:color w:val="auto"/>
              </w:rPr>
            </w:pPr>
          </w:p>
        </w:tc>
        <w:tc>
          <w:tcPr>
            <w:tcW w:w="800" w:type="dxa"/>
            <w:vAlign w:val="bottom"/>
            <w:gridSpan w:val="3"/>
            <w:shd w:val="clear" w:color="auto" w:fill="E4E4E4"/>
          </w:tcPr>
          <w:p>
            <w:pPr>
              <w:ind w:left="4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3"/>
                <w:szCs w:val="13"/>
                <w:color w:val="auto"/>
              </w:rPr>
            </w:pPr>
          </w:p>
        </w:tc>
        <w:tc>
          <w:tcPr>
            <w:tcW w:w="160" w:type="dxa"/>
            <w:vAlign w:val="bottom"/>
            <w:shd w:val="clear" w:color="auto" w:fill="E4E4E4"/>
          </w:tcPr>
          <w:p>
            <w:pPr>
              <w:spacing w:after="0"/>
              <w:rPr>
                <w:sz w:val="13"/>
                <w:szCs w:val="13"/>
                <w:color w:val="auto"/>
              </w:rPr>
            </w:pPr>
          </w:p>
        </w:tc>
        <w:tc>
          <w:tcPr>
            <w:tcW w:w="900" w:type="dxa"/>
            <w:vAlign w:val="bottom"/>
            <w:gridSpan w:val="2"/>
            <w:shd w:val="clear" w:color="auto" w:fill="E4E4E4"/>
          </w:tcPr>
          <w:p>
            <w:pPr>
              <w:jc w:val="right"/>
              <w:ind w:right="140"/>
              <w:spacing w:after="0"/>
              <w:rPr>
                <w:sz w:val="20"/>
                <w:szCs w:val="20"/>
                <w:color w:val="auto"/>
              </w:rPr>
            </w:pPr>
            <w:r>
              <w:rPr>
                <w:rFonts w:ascii="Arial" w:cs="Arial" w:eastAsia="Arial" w:hAnsi="Arial"/>
                <w:sz w:val="14"/>
                <w:szCs w:val="14"/>
                <w:color w:val="1E1E1E"/>
              </w:rPr>
              <w:t>(62)</w:t>
            </w:r>
          </w:p>
        </w:tc>
        <w:tc>
          <w:tcPr>
            <w:tcW w:w="120" w:type="dxa"/>
            <w:vAlign w:val="bottom"/>
            <w:shd w:val="clear" w:color="auto" w:fill="E4E4E4"/>
          </w:tcPr>
          <w:p>
            <w:pPr>
              <w:spacing w:after="0"/>
              <w:rPr>
                <w:sz w:val="13"/>
                <w:szCs w:val="13"/>
                <w:color w:val="auto"/>
              </w:rPr>
            </w:pPr>
          </w:p>
        </w:tc>
        <w:tc>
          <w:tcPr>
            <w:tcW w:w="640" w:type="dxa"/>
            <w:vAlign w:val="bottom"/>
            <w:gridSpan w:val="3"/>
            <w:shd w:val="clear" w:color="auto" w:fill="E4E4E4"/>
          </w:tcPr>
          <w:p>
            <w:pPr>
              <w:jc w:val="right"/>
              <w:spacing w:after="0"/>
              <w:rPr>
                <w:sz w:val="20"/>
                <w:szCs w:val="20"/>
                <w:color w:val="auto"/>
              </w:rPr>
            </w:pPr>
            <w:r>
              <w:rPr>
                <w:rFonts w:ascii="Arial" w:cs="Arial" w:eastAsia="Arial" w:hAnsi="Arial"/>
                <w:sz w:val="14"/>
                <w:szCs w:val="14"/>
                <w:color w:val="1E1E1E"/>
              </w:rPr>
              <w:t>(62)</w:t>
            </w:r>
          </w:p>
        </w:tc>
      </w:tr>
      <w:tr>
        <w:trPr>
          <w:trHeight w:val="161"/>
        </w:trPr>
        <w:tc>
          <w:tcPr>
            <w:tcW w:w="3640" w:type="dxa"/>
            <w:vAlign w:val="bottom"/>
            <w:gridSpan w:val="2"/>
          </w:tcPr>
          <w:p>
            <w:pPr>
              <w:spacing w:after="0"/>
              <w:rPr>
                <w:sz w:val="20"/>
                <w:szCs w:val="20"/>
                <w:color w:val="auto"/>
              </w:rPr>
            </w:pPr>
            <w:r>
              <w:rPr>
                <w:rFonts w:ascii="Arial" w:cs="Arial" w:eastAsia="Arial" w:hAnsi="Arial"/>
                <w:sz w:val="14"/>
                <w:szCs w:val="14"/>
                <w:color w:val="1E1E1E"/>
              </w:rPr>
              <w:t>Net income</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80" w:type="dxa"/>
            <w:vAlign w:val="bottom"/>
          </w:tcPr>
          <w:p>
            <w:pPr>
              <w:spacing w:after="0"/>
              <w:rPr>
                <w:sz w:val="13"/>
                <w:szCs w:val="13"/>
                <w:color w:val="auto"/>
              </w:rPr>
            </w:pPr>
          </w:p>
        </w:tc>
        <w:tc>
          <w:tcPr>
            <w:tcW w:w="700" w:type="dxa"/>
            <w:vAlign w:val="bottom"/>
            <w:gridSpan w:val="4"/>
          </w:tcPr>
          <w:p>
            <w:pPr>
              <w:jc w:val="right"/>
              <w:ind w:right="180"/>
              <w:spacing w:after="0"/>
              <w:rPr>
                <w:sz w:val="20"/>
                <w:szCs w:val="20"/>
                <w:color w:val="auto"/>
              </w:rPr>
            </w:pPr>
            <w:r>
              <w:rPr>
                <w:rFonts w:ascii="Arial" w:cs="Arial" w:eastAsia="Arial" w:hAnsi="Arial"/>
                <w:sz w:val="14"/>
                <w:szCs w:val="14"/>
                <w:color w:val="1E1E1E"/>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1E1E1E"/>
              </w:rPr>
              <w:t>56,713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1E1E1E"/>
              </w:rPr>
              <w:t>—</w:t>
            </w:r>
          </w:p>
        </w:tc>
        <w:tc>
          <w:tcPr>
            <w:tcW w:w="12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1E1E1E"/>
              </w:rPr>
              <w:t>56,713</w:t>
            </w:r>
          </w:p>
        </w:tc>
        <w:tc>
          <w:tcPr>
            <w:tcW w:w="80" w:type="dxa"/>
            <w:vAlign w:val="bottom"/>
          </w:tcPr>
          <w:p>
            <w:pPr>
              <w:spacing w:after="0"/>
              <w:rPr>
                <w:sz w:val="13"/>
                <w:szCs w:val="13"/>
                <w:color w:val="auto"/>
              </w:rPr>
            </w:pPr>
          </w:p>
        </w:tc>
      </w:tr>
      <w:tr>
        <w:trPr>
          <w:trHeight w:val="155"/>
        </w:trPr>
        <w:tc>
          <w:tcPr>
            <w:tcW w:w="3620" w:type="dxa"/>
            <w:vAlign w:val="bottom"/>
            <w:tcBorders>
              <w:top w:val="single" w:sz="8" w:color="E4E4E4"/>
            </w:tcBorders>
            <w:shd w:val="clear" w:color="auto" w:fill="E4E4E4"/>
          </w:tcPr>
          <w:p>
            <w:pPr>
              <w:spacing w:after="0" w:line="153" w:lineRule="exact"/>
              <w:rPr>
                <w:sz w:val="20"/>
                <w:szCs w:val="20"/>
                <w:color w:val="auto"/>
              </w:rPr>
            </w:pPr>
            <w:r>
              <w:rPr>
                <w:rFonts w:ascii="Arial" w:cs="Arial" w:eastAsia="Arial" w:hAnsi="Arial"/>
                <w:sz w:val="14"/>
                <w:szCs w:val="14"/>
                <w:color w:val="1E1E1E"/>
              </w:rPr>
              <w:t>Balance at January 29, 2022</w:t>
            </w:r>
          </w:p>
        </w:tc>
        <w:tc>
          <w:tcPr>
            <w:tcW w:w="20" w:type="dxa"/>
            <w:vAlign w:val="bottom"/>
            <w:tcBorders>
              <w:top w:val="single" w:sz="8" w:color="1E1E1E"/>
            </w:tcBorders>
            <w:shd w:val="clear" w:color="auto" w:fill="E4E4E4"/>
          </w:tcPr>
          <w:p>
            <w:pPr>
              <w:spacing w:after="0"/>
              <w:rPr>
                <w:sz w:val="13"/>
                <w:szCs w:val="13"/>
                <w:color w:val="auto"/>
              </w:rPr>
            </w:pPr>
          </w:p>
        </w:tc>
        <w:tc>
          <w:tcPr>
            <w:tcW w:w="86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rPr>
              <w:t>77,025</w:t>
            </w:r>
          </w:p>
        </w:tc>
        <w:tc>
          <w:tcPr>
            <w:tcW w:w="18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1E1E1E"/>
            </w:tcBorders>
            <w:shd w:val="clear" w:color="auto" w:fill="E4E4E4"/>
          </w:tcPr>
          <w:p>
            <w:pPr>
              <w:spacing w:after="0"/>
              <w:rPr>
                <w:sz w:val="13"/>
                <w:szCs w:val="13"/>
                <w:color w:val="auto"/>
              </w:rPr>
            </w:pPr>
          </w:p>
        </w:tc>
        <w:tc>
          <w:tcPr>
            <w:tcW w:w="200" w:type="dxa"/>
            <w:vAlign w:val="bottom"/>
            <w:tcBorders>
              <w:top w:val="single" w:sz="8" w:color="1E1E1E"/>
            </w:tcBorders>
            <w:shd w:val="clear" w:color="auto" w:fill="E4E4E4"/>
          </w:tcPr>
          <w:p>
            <w:pPr>
              <w:jc w:val="right"/>
              <w:ind w:right="84"/>
              <w:spacing w:after="0"/>
              <w:rPr>
                <w:sz w:val="20"/>
                <w:szCs w:val="20"/>
                <w:color w:val="auto"/>
              </w:rPr>
            </w:pPr>
            <w:r>
              <w:rPr>
                <w:rFonts w:ascii="Arial" w:cs="Arial" w:eastAsia="Arial" w:hAnsi="Arial"/>
                <w:sz w:val="10"/>
                <w:szCs w:val="10"/>
                <w:color w:val="1E1E1E"/>
                <w:w w:val="71"/>
              </w:rPr>
              <w:t>$</w:t>
            </w:r>
          </w:p>
        </w:tc>
        <w:tc>
          <w:tcPr>
            <w:tcW w:w="36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rPr>
              <w:t>770</w:t>
            </w:r>
          </w:p>
        </w:tc>
        <w:tc>
          <w:tcPr>
            <w:tcW w:w="180" w:type="dxa"/>
            <w:vAlign w:val="bottom"/>
            <w:tcBorders>
              <w:top w:val="single" w:sz="8" w:color="E4E4E4"/>
            </w:tcBorders>
            <w:shd w:val="clear" w:color="auto" w:fill="E4E4E4"/>
          </w:tcPr>
          <w:p>
            <w:pPr>
              <w:spacing w:after="0"/>
              <w:rPr>
                <w:sz w:val="13"/>
                <w:szCs w:val="13"/>
                <w:color w:val="auto"/>
              </w:rPr>
            </w:pPr>
          </w:p>
        </w:tc>
        <w:tc>
          <w:tcPr>
            <w:tcW w:w="80" w:type="dxa"/>
            <w:vAlign w:val="bottom"/>
            <w:tcBorders>
              <w:top w:val="single" w:sz="8" w:color="1E1E1E"/>
            </w:tcBorders>
            <w:shd w:val="clear" w:color="auto" w:fill="E4E4E4"/>
          </w:tcPr>
          <w:p>
            <w:pPr>
              <w:spacing w:after="0" w:line="155" w:lineRule="exact"/>
              <w:rPr>
                <w:sz w:val="20"/>
                <w:szCs w:val="20"/>
                <w:color w:val="auto"/>
              </w:rPr>
            </w:pPr>
            <w:r>
              <w:rPr>
                <w:rFonts w:ascii="Arial" w:cs="Arial" w:eastAsia="Arial" w:hAnsi="Arial"/>
                <w:sz w:val="14"/>
                <w:szCs w:val="14"/>
                <w:color w:val="1E1E1E"/>
                <w:w w:val="76"/>
                <w:shd w:val="clear" w:color="auto" w:fill="E4E4E4"/>
              </w:rPr>
              <w:t>$</w:t>
            </w:r>
          </w:p>
        </w:tc>
        <w:tc>
          <w:tcPr>
            <w:tcW w:w="52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w w:val="98"/>
                <w:shd w:val="clear" w:color="auto" w:fill="E4E4E4"/>
              </w:rPr>
              <w:t>319,511</w:t>
            </w:r>
          </w:p>
        </w:tc>
        <w:tc>
          <w:tcPr>
            <w:tcW w:w="20" w:type="dxa"/>
            <w:vAlign w:val="bottom"/>
            <w:tcBorders>
              <w:top w:val="single" w:sz="8" w:color="1E1E1E"/>
            </w:tcBorders>
            <w:shd w:val="clear" w:color="auto" w:fill="E4E4E4"/>
          </w:tcPr>
          <w:p>
            <w:pPr>
              <w:spacing w:after="0"/>
              <w:rPr>
                <w:sz w:val="13"/>
                <w:szCs w:val="13"/>
                <w:color w:val="auto"/>
              </w:rPr>
            </w:pPr>
          </w:p>
        </w:tc>
        <w:tc>
          <w:tcPr>
            <w:tcW w:w="14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1E1E1E"/>
            </w:tcBorders>
            <w:shd w:val="clear" w:color="auto" w:fill="E4E4E4"/>
          </w:tcPr>
          <w:p>
            <w:pPr>
              <w:spacing w:after="0"/>
              <w:rPr>
                <w:sz w:val="13"/>
                <w:szCs w:val="13"/>
                <w:color w:val="auto"/>
              </w:rPr>
            </w:pPr>
          </w:p>
        </w:tc>
        <w:tc>
          <w:tcPr>
            <w:tcW w:w="84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rPr>
              <w:t>(12,755)</w:t>
            </w:r>
          </w:p>
        </w:tc>
        <w:tc>
          <w:tcPr>
            <w:tcW w:w="18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1E1E1E"/>
            </w:tcBorders>
            <w:shd w:val="clear" w:color="auto" w:fill="E4E4E4"/>
          </w:tcPr>
          <w:p>
            <w:pPr>
              <w:spacing w:after="0"/>
              <w:rPr>
                <w:sz w:val="13"/>
                <w:szCs w:val="13"/>
                <w:color w:val="auto"/>
              </w:rPr>
            </w:pPr>
          </w:p>
        </w:tc>
        <w:tc>
          <w:tcPr>
            <w:tcW w:w="80" w:type="dxa"/>
            <w:vAlign w:val="bottom"/>
            <w:tcBorders>
              <w:top w:val="single" w:sz="8" w:color="1E1E1E"/>
            </w:tcBorders>
            <w:shd w:val="clear" w:color="auto" w:fill="E4E4E4"/>
          </w:tcPr>
          <w:p>
            <w:pPr>
              <w:jc w:val="right"/>
              <w:spacing w:after="0"/>
              <w:rPr>
                <w:sz w:val="20"/>
                <w:szCs w:val="20"/>
                <w:color w:val="auto"/>
              </w:rPr>
            </w:pPr>
            <w:r>
              <w:rPr>
                <w:rFonts w:ascii="Arial" w:cs="Arial" w:eastAsia="Arial" w:hAnsi="Arial"/>
                <w:sz w:val="10"/>
                <w:szCs w:val="10"/>
                <w:color w:val="1E1E1E"/>
                <w:w w:val="71"/>
                <w:shd w:val="clear" w:color="auto" w:fill="E4E4E4"/>
              </w:rPr>
              <w:t>$</w:t>
            </w:r>
          </w:p>
        </w:tc>
        <w:tc>
          <w:tcPr>
            <w:tcW w:w="52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shd w:val="clear" w:color="auto" w:fill="E4E4E4"/>
              </w:rPr>
              <w:t>(92,658</w:t>
            </w:r>
          </w:p>
        </w:tc>
        <w:tc>
          <w:tcPr>
            <w:tcW w:w="20" w:type="dxa"/>
            <w:vAlign w:val="bottom"/>
            <w:tcBorders>
              <w:top w:val="single" w:sz="8" w:color="1E1E1E"/>
            </w:tcBorders>
            <w:shd w:val="clear" w:color="auto" w:fill="E4E4E4"/>
          </w:tcPr>
          <w:p>
            <w:pPr>
              <w:spacing w:after="0"/>
              <w:rPr>
                <w:sz w:val="13"/>
                <w:szCs w:val="13"/>
                <w:color w:val="auto"/>
              </w:rPr>
            </w:pPr>
          </w:p>
        </w:tc>
        <w:tc>
          <w:tcPr>
            <w:tcW w:w="160" w:type="dxa"/>
            <w:vAlign w:val="bottom"/>
            <w:tcBorders>
              <w:top w:val="single" w:sz="8" w:color="E4E4E4"/>
            </w:tcBorders>
            <w:shd w:val="clear" w:color="auto" w:fill="E4E4E4"/>
          </w:tcPr>
          <w:p>
            <w:pPr>
              <w:jc w:val="right"/>
              <w:ind w:right="134"/>
              <w:spacing w:after="0"/>
              <w:rPr>
                <w:sz w:val="20"/>
                <w:szCs w:val="20"/>
                <w:color w:val="auto"/>
              </w:rPr>
            </w:pPr>
            <w:r>
              <w:rPr>
                <w:rFonts w:ascii="Arial" w:cs="Arial" w:eastAsia="Arial" w:hAnsi="Arial"/>
                <w:sz w:val="1"/>
                <w:szCs w:val="1"/>
                <w:color w:val="1E1E1E"/>
                <w:w w:val="4294967281"/>
              </w:rPr>
              <w:t>)</w:t>
            </w:r>
          </w:p>
        </w:tc>
        <w:tc>
          <w:tcPr>
            <w:tcW w:w="120" w:type="dxa"/>
            <w:vAlign w:val="bottom"/>
            <w:tcBorders>
              <w:top w:val="single" w:sz="8" w:color="1E1E1E"/>
            </w:tcBorders>
            <w:shd w:val="clear" w:color="auto" w:fill="E4E4E4"/>
          </w:tcPr>
          <w:p>
            <w:pPr>
              <w:spacing w:after="0" w:line="155" w:lineRule="exact"/>
              <w:rPr>
                <w:sz w:val="20"/>
                <w:szCs w:val="20"/>
                <w:color w:val="auto"/>
              </w:rPr>
            </w:pPr>
            <w:r>
              <w:rPr>
                <w:rFonts w:ascii="Arial" w:cs="Arial" w:eastAsia="Arial" w:hAnsi="Arial"/>
                <w:sz w:val="14"/>
                <w:szCs w:val="14"/>
                <w:color w:val="1E1E1E"/>
                <w:shd w:val="clear" w:color="auto" w:fill="E4E4E4"/>
              </w:rPr>
              <w:t>$</w:t>
            </w:r>
          </w:p>
        </w:tc>
        <w:tc>
          <w:tcPr>
            <w:tcW w:w="62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shd w:val="clear" w:color="auto" w:fill="E4E4E4"/>
              </w:rPr>
              <w:t>(163,879</w:t>
            </w:r>
          </w:p>
        </w:tc>
        <w:tc>
          <w:tcPr>
            <w:tcW w:w="20" w:type="dxa"/>
            <w:vAlign w:val="bottom"/>
            <w:tcBorders>
              <w:top w:val="single" w:sz="8" w:color="E4E4E4"/>
            </w:tcBorders>
            <w:shd w:val="clear" w:color="auto" w:fill="E4E4E4"/>
          </w:tcPr>
          <w:p>
            <w:pPr>
              <w:spacing w:after="0"/>
              <w:rPr>
                <w:sz w:val="13"/>
                <w:szCs w:val="13"/>
                <w:color w:val="auto"/>
              </w:rPr>
            </w:pPr>
          </w:p>
        </w:tc>
        <w:tc>
          <w:tcPr>
            <w:tcW w:w="160" w:type="dxa"/>
            <w:vAlign w:val="bottom"/>
            <w:tcBorders>
              <w:top w:val="single" w:sz="8" w:color="E4E4E4"/>
            </w:tcBorders>
            <w:shd w:val="clear" w:color="auto" w:fill="E4E4E4"/>
          </w:tcPr>
          <w:p>
            <w:pPr>
              <w:jc w:val="right"/>
              <w:ind w:right="79"/>
              <w:spacing w:after="0"/>
              <w:rPr>
                <w:sz w:val="20"/>
                <w:szCs w:val="20"/>
                <w:color w:val="auto"/>
              </w:rPr>
            </w:pPr>
            <w:r>
              <w:rPr>
                <w:rFonts w:ascii="Arial" w:cs="Arial" w:eastAsia="Arial" w:hAnsi="Arial"/>
                <w:sz w:val="8"/>
                <w:szCs w:val="8"/>
                <w:color w:val="1E1E1E"/>
                <w:w w:val="73"/>
              </w:rPr>
              <w:t>)</w:t>
            </w:r>
          </w:p>
        </w:tc>
        <w:tc>
          <w:tcPr>
            <w:tcW w:w="20" w:type="dxa"/>
            <w:vAlign w:val="bottom"/>
            <w:tcBorders>
              <w:top w:val="single" w:sz="8" w:color="E4E4E4"/>
            </w:tcBorders>
            <w:shd w:val="clear" w:color="auto" w:fill="E4E4E4"/>
          </w:tcPr>
          <w:p>
            <w:pPr>
              <w:spacing w:after="0"/>
              <w:rPr>
                <w:sz w:val="13"/>
                <w:szCs w:val="13"/>
                <w:color w:val="auto"/>
              </w:rPr>
            </w:pPr>
          </w:p>
        </w:tc>
        <w:tc>
          <w:tcPr>
            <w:tcW w:w="160" w:type="dxa"/>
            <w:vAlign w:val="bottom"/>
            <w:tcBorders>
              <w:top w:val="single" w:sz="8" w:color="1E1E1E"/>
            </w:tcBorders>
            <w:shd w:val="clear" w:color="auto" w:fill="E4E4E4"/>
          </w:tcPr>
          <w:p>
            <w:pPr>
              <w:spacing w:after="0" w:line="155" w:lineRule="exact"/>
              <w:rPr>
                <w:sz w:val="20"/>
                <w:szCs w:val="20"/>
                <w:color w:val="auto"/>
              </w:rPr>
            </w:pPr>
            <w:r>
              <w:rPr>
                <w:rFonts w:ascii="Arial" w:cs="Arial" w:eastAsia="Arial" w:hAnsi="Arial"/>
                <w:sz w:val="14"/>
                <w:szCs w:val="14"/>
                <w:color w:val="1E1E1E"/>
              </w:rPr>
              <w:t>$</w:t>
            </w:r>
          </w:p>
        </w:tc>
        <w:tc>
          <w:tcPr>
            <w:tcW w:w="70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rPr>
              <w:t>(5,525)</w:t>
            </w:r>
          </w:p>
        </w:tc>
        <w:tc>
          <w:tcPr>
            <w:tcW w:w="200" w:type="dxa"/>
            <w:vAlign w:val="bottom"/>
            <w:tcBorders>
              <w:top w:val="single" w:sz="8" w:color="E4E4E4"/>
            </w:tcBorders>
            <w:shd w:val="clear" w:color="auto" w:fill="E4E4E4"/>
          </w:tcPr>
          <w:p>
            <w:pPr>
              <w:spacing w:after="0"/>
              <w:rPr>
                <w:sz w:val="13"/>
                <w:szCs w:val="13"/>
                <w:color w:val="auto"/>
              </w:rPr>
            </w:pPr>
          </w:p>
        </w:tc>
        <w:tc>
          <w:tcPr>
            <w:tcW w:w="120" w:type="dxa"/>
            <w:vAlign w:val="bottom"/>
            <w:tcBorders>
              <w:top w:val="single" w:sz="8" w:color="1E1E1E"/>
            </w:tcBorders>
            <w:shd w:val="clear" w:color="auto" w:fill="E4E4E4"/>
          </w:tcPr>
          <w:p>
            <w:pPr>
              <w:jc w:val="right"/>
              <w:ind w:right="8"/>
              <w:spacing w:after="0"/>
              <w:rPr>
                <w:sz w:val="20"/>
                <w:szCs w:val="20"/>
                <w:color w:val="auto"/>
              </w:rPr>
            </w:pPr>
            <w:r>
              <w:rPr>
                <w:rFonts w:ascii="Arial" w:cs="Arial" w:eastAsia="Arial" w:hAnsi="Arial"/>
                <w:sz w:val="10"/>
                <w:szCs w:val="10"/>
                <w:color w:val="1E1E1E"/>
                <w:w w:val="71"/>
                <w:shd w:val="clear" w:color="auto" w:fill="E4E4E4"/>
              </w:rPr>
              <w:t>$</w:t>
            </w:r>
          </w:p>
        </w:tc>
        <w:tc>
          <w:tcPr>
            <w:tcW w:w="54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shd w:val="clear" w:color="auto" w:fill="E4E4E4"/>
              </w:rPr>
              <w:t>58,219</w:t>
            </w:r>
          </w:p>
        </w:tc>
        <w:tc>
          <w:tcPr>
            <w:tcW w:w="20" w:type="dxa"/>
            <w:vAlign w:val="bottom"/>
            <w:tcBorders>
              <w:top w:val="single" w:sz="8" w:color="1E1E1E"/>
            </w:tcBorders>
            <w:shd w:val="clear" w:color="auto" w:fill="E4E4E4"/>
          </w:tcPr>
          <w:p>
            <w:pPr>
              <w:spacing w:after="0"/>
              <w:rPr>
                <w:sz w:val="13"/>
                <w:szCs w:val="13"/>
                <w:color w:val="auto"/>
              </w:rPr>
            </w:pPr>
          </w:p>
        </w:tc>
        <w:tc>
          <w:tcPr>
            <w:tcW w:w="80" w:type="dxa"/>
            <w:vAlign w:val="bottom"/>
            <w:tcBorders>
              <w:top w:val="single" w:sz="8" w:color="E4E4E4"/>
            </w:tcBorders>
            <w:shd w:val="clear" w:color="auto" w:fill="E4E4E4"/>
          </w:tcPr>
          <w:p>
            <w:pPr>
              <w:spacing w:after="0"/>
              <w:rPr>
                <w:sz w:val="13"/>
                <w:szCs w:val="13"/>
                <w:color w:val="auto"/>
              </w:rPr>
            </w:pPr>
          </w:p>
        </w:tc>
      </w:tr>
      <w:tr>
        <w:trPr>
          <w:trHeight w:val="41"/>
        </w:trPr>
        <w:tc>
          <w:tcPr>
            <w:tcW w:w="364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gridSpan w:val="2"/>
          </w:tcPr>
          <w:p>
            <w:pPr>
              <w:spacing w:after="0"/>
              <w:rPr>
                <w:sz w:val="3"/>
                <w:szCs w:val="3"/>
                <w:color w:val="auto"/>
              </w:rPr>
            </w:pPr>
          </w:p>
        </w:tc>
      </w:tr>
      <w:tr>
        <w:trPr>
          <w:trHeight w:val="161"/>
        </w:trPr>
        <w:tc>
          <w:tcPr>
            <w:tcW w:w="3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1"/>
        </w:trPr>
        <w:tc>
          <w:tcPr>
            <w:tcW w:w="3640" w:type="dxa"/>
            <w:vAlign w:val="bottom"/>
            <w:gridSpan w:val="2"/>
            <w:shd w:val="clear" w:color="auto" w:fill="E4E4E4"/>
          </w:tcPr>
          <w:p>
            <w:pPr>
              <w:spacing w:after="0"/>
              <w:rPr>
                <w:sz w:val="20"/>
                <w:szCs w:val="20"/>
                <w:color w:val="auto"/>
              </w:rPr>
            </w:pPr>
            <w:r>
              <w:rPr>
                <w:rFonts w:ascii="Arial" w:cs="Arial" w:eastAsia="Arial" w:hAnsi="Arial"/>
                <w:sz w:val="14"/>
                <w:szCs w:val="14"/>
                <w:color w:val="1E1E1E"/>
              </w:rPr>
              <w:t>Stock compensation expense</w:t>
            </w:r>
          </w:p>
        </w:tc>
        <w:tc>
          <w:tcPr>
            <w:tcW w:w="86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w:t>
            </w:r>
          </w:p>
        </w:tc>
        <w:tc>
          <w:tcPr>
            <w:tcW w:w="18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200" w:type="dxa"/>
            <w:vAlign w:val="bottom"/>
            <w:shd w:val="clear" w:color="auto" w:fill="E4E4E4"/>
          </w:tcPr>
          <w:p>
            <w:pPr>
              <w:spacing w:after="0"/>
              <w:rPr>
                <w:sz w:val="13"/>
                <w:szCs w:val="13"/>
                <w:color w:val="auto"/>
              </w:rPr>
            </w:pPr>
          </w:p>
        </w:tc>
        <w:tc>
          <w:tcPr>
            <w:tcW w:w="36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w:t>
            </w:r>
          </w:p>
        </w:tc>
        <w:tc>
          <w:tcPr>
            <w:tcW w:w="18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540" w:type="dxa"/>
            <w:vAlign w:val="bottom"/>
            <w:gridSpan w:val="2"/>
            <w:shd w:val="clear" w:color="auto" w:fill="E4E4E4"/>
          </w:tcPr>
          <w:p>
            <w:pPr>
              <w:jc w:val="right"/>
              <w:ind w:right="20"/>
              <w:spacing w:after="0"/>
              <w:rPr>
                <w:sz w:val="20"/>
                <w:szCs w:val="20"/>
                <w:color w:val="auto"/>
              </w:rPr>
            </w:pPr>
            <w:r>
              <w:rPr>
                <w:rFonts w:ascii="Arial" w:cs="Arial" w:eastAsia="Arial" w:hAnsi="Arial"/>
                <w:sz w:val="14"/>
                <w:szCs w:val="14"/>
                <w:color w:val="1E1E1E"/>
              </w:rPr>
              <w:t>1,384</w:t>
            </w:r>
          </w:p>
        </w:tc>
        <w:tc>
          <w:tcPr>
            <w:tcW w:w="14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w:t>
            </w:r>
          </w:p>
        </w:tc>
        <w:tc>
          <w:tcPr>
            <w:tcW w:w="18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540" w:type="dxa"/>
            <w:vAlign w:val="bottom"/>
            <w:gridSpan w:val="2"/>
            <w:shd w:val="clear" w:color="auto" w:fill="E4E4E4"/>
          </w:tcPr>
          <w:p>
            <w:pPr>
              <w:jc w:val="right"/>
              <w:ind w:right="20"/>
              <w:spacing w:after="0"/>
              <w:rPr>
                <w:sz w:val="20"/>
                <w:szCs w:val="20"/>
                <w:color w:val="auto"/>
              </w:rPr>
            </w:pPr>
            <w:r>
              <w:rPr>
                <w:rFonts w:ascii="Arial" w:cs="Arial" w:eastAsia="Arial" w:hAnsi="Arial"/>
                <w:sz w:val="14"/>
                <w:szCs w:val="14"/>
                <w:color w:val="1E1E1E"/>
              </w:rPr>
              <w:t>—</w:t>
            </w:r>
          </w:p>
        </w:tc>
        <w:tc>
          <w:tcPr>
            <w:tcW w:w="16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640" w:type="dxa"/>
            <w:vAlign w:val="bottom"/>
            <w:gridSpan w:val="2"/>
            <w:shd w:val="clear" w:color="auto" w:fill="E4E4E4"/>
          </w:tcPr>
          <w:p>
            <w:pPr>
              <w:ind w:left="480"/>
              <w:spacing w:after="0"/>
              <w:rPr>
                <w:sz w:val="20"/>
                <w:szCs w:val="20"/>
                <w:color w:val="auto"/>
              </w:rPr>
            </w:pPr>
            <w:r>
              <w:rPr>
                <w:rFonts w:ascii="Arial" w:cs="Arial" w:eastAsia="Arial" w:hAnsi="Arial"/>
                <w:sz w:val="14"/>
                <w:szCs w:val="14"/>
                <w:color w:val="1E1E1E"/>
                <w:w w:val="99"/>
              </w:rPr>
              <w:t>—</w:t>
            </w:r>
          </w:p>
        </w:tc>
        <w:tc>
          <w:tcPr>
            <w:tcW w:w="16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160" w:type="dxa"/>
            <w:vAlign w:val="bottom"/>
            <w:shd w:val="clear" w:color="auto" w:fill="E4E4E4"/>
          </w:tcPr>
          <w:p>
            <w:pPr>
              <w:spacing w:after="0"/>
              <w:rPr>
                <w:sz w:val="13"/>
                <w:szCs w:val="13"/>
                <w:color w:val="auto"/>
              </w:rPr>
            </w:pPr>
          </w:p>
        </w:tc>
        <w:tc>
          <w:tcPr>
            <w:tcW w:w="900" w:type="dxa"/>
            <w:vAlign w:val="bottom"/>
            <w:gridSpan w:val="2"/>
            <w:shd w:val="clear" w:color="auto" w:fill="E4E4E4"/>
          </w:tcPr>
          <w:p>
            <w:pPr>
              <w:jc w:val="right"/>
              <w:ind w:right="200"/>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3"/>
                <w:szCs w:val="13"/>
                <w:color w:val="auto"/>
              </w:rPr>
            </w:pPr>
          </w:p>
        </w:tc>
        <w:tc>
          <w:tcPr>
            <w:tcW w:w="560" w:type="dxa"/>
            <w:vAlign w:val="bottom"/>
            <w:gridSpan w:val="2"/>
            <w:shd w:val="clear" w:color="auto" w:fill="E4E4E4"/>
          </w:tcPr>
          <w:p>
            <w:pPr>
              <w:jc w:val="right"/>
              <w:spacing w:after="0"/>
              <w:rPr>
                <w:sz w:val="20"/>
                <w:szCs w:val="20"/>
                <w:color w:val="auto"/>
              </w:rPr>
            </w:pPr>
            <w:r>
              <w:rPr>
                <w:rFonts w:ascii="Arial" w:cs="Arial" w:eastAsia="Arial" w:hAnsi="Arial"/>
                <w:sz w:val="14"/>
                <w:szCs w:val="14"/>
                <w:color w:val="1E1E1E"/>
              </w:rPr>
              <w:t>1,384</w:t>
            </w:r>
          </w:p>
        </w:tc>
        <w:tc>
          <w:tcPr>
            <w:tcW w:w="80" w:type="dxa"/>
            <w:vAlign w:val="bottom"/>
            <w:shd w:val="clear" w:color="auto" w:fill="E4E4E4"/>
          </w:tcPr>
          <w:p>
            <w:pPr>
              <w:spacing w:after="0"/>
              <w:rPr>
                <w:sz w:val="13"/>
                <w:szCs w:val="13"/>
                <w:color w:val="auto"/>
              </w:rPr>
            </w:pPr>
          </w:p>
        </w:tc>
      </w:tr>
      <w:tr>
        <w:trPr>
          <w:trHeight w:val="148"/>
        </w:trPr>
        <w:tc>
          <w:tcPr>
            <w:tcW w:w="3640" w:type="dxa"/>
            <w:vAlign w:val="bottom"/>
            <w:gridSpan w:val="2"/>
          </w:tcPr>
          <w:p>
            <w:pPr>
              <w:spacing w:after="0" w:line="148" w:lineRule="exact"/>
              <w:rPr>
                <w:sz w:val="20"/>
                <w:szCs w:val="20"/>
                <w:color w:val="auto"/>
              </w:rPr>
            </w:pPr>
            <w:r>
              <w:rPr>
                <w:rFonts w:ascii="Arial" w:cs="Arial" w:eastAsia="Arial" w:hAnsi="Arial"/>
                <w:sz w:val="14"/>
                <w:szCs w:val="14"/>
                <w:color w:val="1E1E1E"/>
              </w:rPr>
              <w:t>RSUs granted for achievement of performance-based</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6"/>
        </w:trPr>
        <w:tc>
          <w:tcPr>
            <w:tcW w:w="3640" w:type="dxa"/>
            <w:vAlign w:val="bottom"/>
            <w:gridSpan w:val="2"/>
          </w:tcPr>
          <w:p>
            <w:pPr>
              <w:spacing w:after="0"/>
              <w:rPr>
                <w:sz w:val="20"/>
                <w:szCs w:val="20"/>
                <w:color w:val="auto"/>
              </w:rPr>
            </w:pPr>
            <w:r>
              <w:rPr>
                <w:rFonts w:ascii="Arial" w:cs="Arial" w:eastAsia="Arial" w:hAnsi="Arial"/>
                <w:sz w:val="14"/>
                <w:szCs w:val="14"/>
                <w:color w:val="1E1E1E"/>
              </w:rPr>
              <w:t>compensation, reclassified from liability to equity</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8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1E1E1E"/>
              </w:rPr>
              <w:t>1,138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tcPr>
          <w:p>
            <w:pPr>
              <w:spacing w:after="0"/>
              <w:rPr>
                <w:sz w:val="15"/>
                <w:szCs w:val="15"/>
                <w:color w:val="auto"/>
              </w:rPr>
            </w:pPr>
          </w:p>
        </w:tc>
        <w:tc>
          <w:tcPr>
            <w:tcW w:w="800" w:type="dxa"/>
            <w:vAlign w:val="bottom"/>
            <w:gridSpan w:val="3"/>
          </w:tcPr>
          <w:p>
            <w:pPr>
              <w:ind w:left="4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1E1E1E"/>
              </w:rPr>
              <w:t>—</w:t>
            </w:r>
          </w:p>
        </w:tc>
        <w:tc>
          <w:tcPr>
            <w:tcW w:w="120" w:type="dxa"/>
            <w:vAlign w:val="bottom"/>
          </w:tcPr>
          <w:p>
            <w:pPr>
              <w:spacing w:after="0"/>
              <w:rPr>
                <w:sz w:val="15"/>
                <w:szCs w:val="15"/>
                <w:color w:val="auto"/>
              </w:rPr>
            </w:pPr>
          </w:p>
        </w:tc>
        <w:tc>
          <w:tcPr>
            <w:tcW w:w="640" w:type="dxa"/>
            <w:vAlign w:val="bottom"/>
            <w:gridSpan w:val="3"/>
          </w:tcPr>
          <w:p>
            <w:pPr>
              <w:jc w:val="right"/>
              <w:ind w:right="39"/>
              <w:spacing w:after="0"/>
              <w:rPr>
                <w:sz w:val="20"/>
                <w:szCs w:val="20"/>
                <w:color w:val="auto"/>
              </w:rPr>
            </w:pPr>
            <w:r>
              <w:rPr>
                <w:rFonts w:ascii="Arial" w:cs="Arial" w:eastAsia="Arial" w:hAnsi="Arial"/>
                <w:sz w:val="14"/>
                <w:szCs w:val="14"/>
                <w:color w:val="1E1E1E"/>
              </w:rPr>
              <w:t>1,138</w:t>
            </w:r>
          </w:p>
        </w:tc>
      </w:tr>
      <w:tr>
        <w:trPr>
          <w:trHeight w:val="161"/>
        </w:trPr>
        <w:tc>
          <w:tcPr>
            <w:tcW w:w="3640" w:type="dxa"/>
            <w:vAlign w:val="bottom"/>
            <w:gridSpan w:val="2"/>
            <w:shd w:val="clear" w:color="auto" w:fill="E4E4E4"/>
          </w:tcPr>
          <w:p>
            <w:pPr>
              <w:spacing w:after="0"/>
              <w:rPr>
                <w:sz w:val="20"/>
                <w:szCs w:val="20"/>
                <w:color w:val="auto"/>
              </w:rPr>
            </w:pPr>
            <w:r>
              <w:rPr>
                <w:rFonts w:ascii="Arial" w:cs="Arial" w:eastAsia="Arial" w:hAnsi="Arial"/>
                <w:sz w:val="14"/>
                <w:szCs w:val="14"/>
                <w:color w:val="1E1E1E"/>
              </w:rPr>
              <w:t>Issuance of common stock, upon RSUs release</w:t>
            </w:r>
          </w:p>
        </w:tc>
        <w:tc>
          <w:tcPr>
            <w:tcW w:w="86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584</w:t>
            </w:r>
          </w:p>
        </w:tc>
        <w:tc>
          <w:tcPr>
            <w:tcW w:w="18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200" w:type="dxa"/>
            <w:vAlign w:val="bottom"/>
            <w:shd w:val="clear" w:color="auto" w:fill="E4E4E4"/>
          </w:tcPr>
          <w:p>
            <w:pPr>
              <w:spacing w:after="0"/>
              <w:rPr>
                <w:sz w:val="13"/>
                <w:szCs w:val="13"/>
                <w:color w:val="auto"/>
              </w:rPr>
            </w:pPr>
          </w:p>
        </w:tc>
        <w:tc>
          <w:tcPr>
            <w:tcW w:w="36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6</w:t>
            </w:r>
          </w:p>
        </w:tc>
        <w:tc>
          <w:tcPr>
            <w:tcW w:w="18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680" w:type="dxa"/>
            <w:vAlign w:val="bottom"/>
            <w:gridSpan w:val="3"/>
            <w:shd w:val="clear" w:color="auto" w:fill="E4E4E4"/>
          </w:tcPr>
          <w:p>
            <w:pPr>
              <w:jc w:val="right"/>
              <w:ind w:right="120"/>
              <w:spacing w:after="0"/>
              <w:rPr>
                <w:sz w:val="20"/>
                <w:szCs w:val="20"/>
                <w:color w:val="auto"/>
              </w:rPr>
            </w:pPr>
            <w:r>
              <w:rPr>
                <w:rFonts w:ascii="Arial" w:cs="Arial" w:eastAsia="Arial" w:hAnsi="Arial"/>
                <w:sz w:val="14"/>
                <w:szCs w:val="14"/>
                <w:color w:val="1E1E1E"/>
              </w:rPr>
              <w:t>(6)</w:t>
            </w:r>
          </w:p>
        </w:tc>
        <w:tc>
          <w:tcPr>
            <w:tcW w:w="20" w:type="dxa"/>
            <w:vAlign w:val="bottom"/>
            <w:shd w:val="clear" w:color="auto" w:fill="E4E4E4"/>
          </w:tcPr>
          <w:p>
            <w:pPr>
              <w:spacing w:after="0"/>
              <w:rPr>
                <w:sz w:val="13"/>
                <w:szCs w:val="13"/>
                <w:color w:val="auto"/>
              </w:rPr>
            </w:pPr>
          </w:p>
        </w:tc>
        <w:tc>
          <w:tcPr>
            <w:tcW w:w="1020" w:type="dxa"/>
            <w:vAlign w:val="bottom"/>
            <w:gridSpan w:val="2"/>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700" w:type="dxa"/>
            <w:vAlign w:val="bottom"/>
            <w:gridSpan w:val="3"/>
            <w:shd w:val="clear" w:color="auto" w:fill="E4E4E4"/>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3"/>
                <w:szCs w:val="13"/>
                <w:color w:val="auto"/>
              </w:rPr>
            </w:pPr>
          </w:p>
        </w:tc>
        <w:tc>
          <w:tcPr>
            <w:tcW w:w="800" w:type="dxa"/>
            <w:vAlign w:val="bottom"/>
            <w:gridSpan w:val="3"/>
            <w:shd w:val="clear" w:color="auto" w:fill="E4E4E4"/>
          </w:tcPr>
          <w:p>
            <w:pPr>
              <w:ind w:left="4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3"/>
                <w:szCs w:val="13"/>
                <w:color w:val="auto"/>
              </w:rPr>
            </w:pPr>
          </w:p>
        </w:tc>
        <w:tc>
          <w:tcPr>
            <w:tcW w:w="160" w:type="dxa"/>
            <w:vAlign w:val="bottom"/>
            <w:shd w:val="clear" w:color="auto" w:fill="E4E4E4"/>
          </w:tcPr>
          <w:p>
            <w:pPr>
              <w:spacing w:after="0"/>
              <w:rPr>
                <w:sz w:val="13"/>
                <w:szCs w:val="13"/>
                <w:color w:val="auto"/>
              </w:rPr>
            </w:pPr>
          </w:p>
        </w:tc>
        <w:tc>
          <w:tcPr>
            <w:tcW w:w="900" w:type="dxa"/>
            <w:vAlign w:val="bottom"/>
            <w:gridSpan w:val="2"/>
            <w:shd w:val="clear" w:color="auto" w:fill="E4E4E4"/>
          </w:tcPr>
          <w:p>
            <w:pPr>
              <w:jc w:val="right"/>
              <w:ind w:right="200"/>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3"/>
                <w:szCs w:val="13"/>
                <w:color w:val="auto"/>
              </w:rPr>
            </w:pPr>
          </w:p>
        </w:tc>
        <w:tc>
          <w:tcPr>
            <w:tcW w:w="640" w:type="dxa"/>
            <w:vAlign w:val="bottom"/>
            <w:gridSpan w:val="3"/>
            <w:shd w:val="clear" w:color="auto" w:fill="E4E4E4"/>
          </w:tcPr>
          <w:p>
            <w:pPr>
              <w:jc w:val="right"/>
              <w:ind w:right="39"/>
              <w:spacing w:after="0"/>
              <w:rPr>
                <w:sz w:val="20"/>
                <w:szCs w:val="20"/>
                <w:color w:val="auto"/>
              </w:rPr>
            </w:pPr>
            <w:r>
              <w:rPr>
                <w:rFonts w:ascii="Arial" w:cs="Arial" w:eastAsia="Arial" w:hAnsi="Arial"/>
                <w:sz w:val="14"/>
                <w:szCs w:val="14"/>
                <w:color w:val="1E1E1E"/>
              </w:rPr>
              <w:t>—</w:t>
            </w:r>
          </w:p>
        </w:tc>
      </w:tr>
      <w:tr>
        <w:trPr>
          <w:trHeight w:val="161"/>
        </w:trPr>
        <w:tc>
          <w:tcPr>
            <w:tcW w:w="3640" w:type="dxa"/>
            <w:vAlign w:val="bottom"/>
            <w:gridSpan w:val="2"/>
          </w:tcPr>
          <w:p>
            <w:pPr>
              <w:spacing w:after="0"/>
              <w:rPr>
                <w:sz w:val="20"/>
                <w:szCs w:val="20"/>
                <w:color w:val="auto"/>
              </w:rPr>
            </w:pPr>
            <w:r>
              <w:rPr>
                <w:rFonts w:ascii="Arial" w:cs="Arial" w:eastAsia="Arial" w:hAnsi="Arial"/>
                <w:sz w:val="14"/>
                <w:szCs w:val="14"/>
                <w:color w:val="1E1E1E"/>
              </w:rPr>
              <w:t>Exercise of stock options</w:t>
            </w:r>
          </w:p>
        </w:tc>
        <w:tc>
          <w:tcPr>
            <w:tcW w:w="860" w:type="dxa"/>
            <w:vAlign w:val="bottom"/>
          </w:tcPr>
          <w:p>
            <w:pPr>
              <w:jc w:val="right"/>
              <w:spacing w:after="0"/>
              <w:rPr>
                <w:sz w:val="20"/>
                <w:szCs w:val="20"/>
                <w:color w:val="auto"/>
              </w:rPr>
            </w:pPr>
            <w:r>
              <w:rPr>
                <w:rFonts w:ascii="Arial" w:cs="Arial" w:eastAsia="Arial" w:hAnsi="Arial"/>
                <w:sz w:val="14"/>
                <w:szCs w:val="14"/>
                <w:color w:val="1E1E1E"/>
              </w:rPr>
              <w:t>907</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1E1E1E"/>
              </w:rPr>
              <w:t>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1E1E1E"/>
              </w:rPr>
              <w:t>830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tcPr>
          <w:p>
            <w:pPr>
              <w:spacing w:after="0"/>
              <w:rPr>
                <w:sz w:val="13"/>
                <w:szCs w:val="13"/>
                <w:color w:val="auto"/>
              </w:rPr>
            </w:pPr>
          </w:p>
        </w:tc>
        <w:tc>
          <w:tcPr>
            <w:tcW w:w="800" w:type="dxa"/>
            <w:vAlign w:val="bottom"/>
            <w:gridSpan w:val="3"/>
          </w:tcPr>
          <w:p>
            <w:pPr>
              <w:ind w:left="4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1E1E1E"/>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1E1E1E"/>
              </w:rPr>
              <w:t>839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1"/>
        </w:trPr>
        <w:tc>
          <w:tcPr>
            <w:tcW w:w="3640" w:type="dxa"/>
            <w:vAlign w:val="bottom"/>
            <w:gridSpan w:val="2"/>
            <w:shd w:val="clear" w:color="auto" w:fill="E4E4E4"/>
          </w:tcPr>
          <w:p>
            <w:pPr>
              <w:spacing w:after="0"/>
              <w:rPr>
                <w:sz w:val="20"/>
                <w:szCs w:val="20"/>
                <w:color w:val="auto"/>
              </w:rPr>
            </w:pPr>
            <w:r>
              <w:rPr>
                <w:rFonts w:ascii="Arial" w:cs="Arial" w:eastAsia="Arial" w:hAnsi="Arial"/>
                <w:sz w:val="14"/>
                <w:szCs w:val="14"/>
                <w:color w:val="1E1E1E"/>
              </w:rPr>
              <w:t>Shares withheld for taxes related to net share settlement</w:t>
            </w:r>
          </w:p>
        </w:tc>
        <w:tc>
          <w:tcPr>
            <w:tcW w:w="1040" w:type="dxa"/>
            <w:vAlign w:val="bottom"/>
            <w:gridSpan w:val="2"/>
            <w:shd w:val="clear" w:color="auto" w:fill="E4E4E4"/>
          </w:tcPr>
          <w:p>
            <w:pPr>
              <w:jc w:val="right"/>
              <w:ind w:right="120"/>
              <w:spacing w:after="0"/>
              <w:rPr>
                <w:sz w:val="20"/>
                <w:szCs w:val="20"/>
                <w:color w:val="auto"/>
              </w:rPr>
            </w:pPr>
            <w:r>
              <w:rPr>
                <w:rFonts w:ascii="Arial" w:cs="Arial" w:eastAsia="Arial" w:hAnsi="Arial"/>
                <w:sz w:val="14"/>
                <w:szCs w:val="14"/>
                <w:color w:val="1E1E1E"/>
              </w:rPr>
              <w:t>(390)</w:t>
            </w:r>
          </w:p>
        </w:tc>
        <w:tc>
          <w:tcPr>
            <w:tcW w:w="20" w:type="dxa"/>
            <w:vAlign w:val="bottom"/>
            <w:shd w:val="clear" w:color="auto" w:fill="E4E4E4"/>
          </w:tcPr>
          <w:p>
            <w:pPr>
              <w:spacing w:after="0"/>
              <w:rPr>
                <w:sz w:val="13"/>
                <w:szCs w:val="13"/>
                <w:color w:val="auto"/>
              </w:rPr>
            </w:pPr>
          </w:p>
        </w:tc>
        <w:tc>
          <w:tcPr>
            <w:tcW w:w="200" w:type="dxa"/>
            <w:vAlign w:val="bottom"/>
            <w:shd w:val="clear" w:color="auto" w:fill="E4E4E4"/>
          </w:tcPr>
          <w:p>
            <w:pPr>
              <w:spacing w:after="0"/>
              <w:rPr>
                <w:sz w:val="13"/>
                <w:szCs w:val="13"/>
                <w:color w:val="auto"/>
              </w:rPr>
            </w:pPr>
          </w:p>
        </w:tc>
        <w:tc>
          <w:tcPr>
            <w:tcW w:w="540" w:type="dxa"/>
            <w:vAlign w:val="bottom"/>
            <w:gridSpan w:val="2"/>
            <w:shd w:val="clear" w:color="auto" w:fill="E4E4E4"/>
          </w:tcPr>
          <w:p>
            <w:pPr>
              <w:jc w:val="right"/>
              <w:ind w:right="140"/>
              <w:spacing w:after="0"/>
              <w:rPr>
                <w:sz w:val="20"/>
                <w:szCs w:val="20"/>
                <w:color w:val="auto"/>
              </w:rPr>
            </w:pPr>
            <w:r>
              <w:rPr>
                <w:rFonts w:ascii="Arial" w:cs="Arial" w:eastAsia="Arial" w:hAnsi="Arial"/>
                <w:sz w:val="14"/>
                <w:szCs w:val="14"/>
                <w:color w:val="1E1E1E"/>
              </w:rPr>
              <w:t>(4)</w:t>
            </w:r>
          </w:p>
        </w:tc>
        <w:tc>
          <w:tcPr>
            <w:tcW w:w="80" w:type="dxa"/>
            <w:vAlign w:val="bottom"/>
            <w:shd w:val="clear" w:color="auto" w:fill="E4E4E4"/>
          </w:tcPr>
          <w:p>
            <w:pPr>
              <w:spacing w:after="0"/>
              <w:rPr>
                <w:sz w:val="13"/>
                <w:szCs w:val="13"/>
                <w:color w:val="auto"/>
              </w:rPr>
            </w:pPr>
          </w:p>
        </w:tc>
        <w:tc>
          <w:tcPr>
            <w:tcW w:w="680" w:type="dxa"/>
            <w:vAlign w:val="bottom"/>
            <w:gridSpan w:val="3"/>
            <w:shd w:val="clear" w:color="auto" w:fill="E4E4E4"/>
          </w:tcPr>
          <w:p>
            <w:pPr>
              <w:jc w:val="right"/>
              <w:ind w:right="120"/>
              <w:spacing w:after="0"/>
              <w:rPr>
                <w:sz w:val="20"/>
                <w:szCs w:val="20"/>
                <w:color w:val="auto"/>
              </w:rPr>
            </w:pPr>
            <w:r>
              <w:rPr>
                <w:rFonts w:ascii="Arial" w:cs="Arial" w:eastAsia="Arial" w:hAnsi="Arial"/>
                <w:sz w:val="14"/>
                <w:szCs w:val="14"/>
                <w:color w:val="1E1E1E"/>
              </w:rPr>
              <w:t>(1,841)</w:t>
            </w:r>
          </w:p>
        </w:tc>
        <w:tc>
          <w:tcPr>
            <w:tcW w:w="20" w:type="dxa"/>
            <w:vAlign w:val="bottom"/>
            <w:shd w:val="clear" w:color="auto" w:fill="E4E4E4"/>
          </w:tcPr>
          <w:p>
            <w:pPr>
              <w:spacing w:after="0"/>
              <w:rPr>
                <w:sz w:val="13"/>
                <w:szCs w:val="13"/>
                <w:color w:val="auto"/>
              </w:rPr>
            </w:pPr>
          </w:p>
        </w:tc>
        <w:tc>
          <w:tcPr>
            <w:tcW w:w="1020" w:type="dxa"/>
            <w:vAlign w:val="bottom"/>
            <w:gridSpan w:val="2"/>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700" w:type="dxa"/>
            <w:vAlign w:val="bottom"/>
            <w:gridSpan w:val="3"/>
            <w:shd w:val="clear" w:color="auto" w:fill="E4E4E4"/>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3"/>
                <w:szCs w:val="13"/>
                <w:color w:val="auto"/>
              </w:rPr>
            </w:pPr>
          </w:p>
        </w:tc>
        <w:tc>
          <w:tcPr>
            <w:tcW w:w="800" w:type="dxa"/>
            <w:vAlign w:val="bottom"/>
            <w:gridSpan w:val="3"/>
            <w:shd w:val="clear" w:color="auto" w:fill="E4E4E4"/>
          </w:tcPr>
          <w:p>
            <w:pPr>
              <w:ind w:left="4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3"/>
                <w:szCs w:val="13"/>
                <w:color w:val="auto"/>
              </w:rPr>
            </w:pPr>
          </w:p>
        </w:tc>
        <w:tc>
          <w:tcPr>
            <w:tcW w:w="160" w:type="dxa"/>
            <w:vAlign w:val="bottom"/>
            <w:shd w:val="clear" w:color="auto" w:fill="E4E4E4"/>
          </w:tcPr>
          <w:p>
            <w:pPr>
              <w:spacing w:after="0"/>
              <w:rPr>
                <w:sz w:val="13"/>
                <w:szCs w:val="13"/>
                <w:color w:val="auto"/>
              </w:rPr>
            </w:pPr>
          </w:p>
        </w:tc>
        <w:tc>
          <w:tcPr>
            <w:tcW w:w="900" w:type="dxa"/>
            <w:vAlign w:val="bottom"/>
            <w:gridSpan w:val="2"/>
            <w:shd w:val="clear" w:color="auto" w:fill="E4E4E4"/>
          </w:tcPr>
          <w:p>
            <w:pPr>
              <w:jc w:val="right"/>
              <w:ind w:right="200"/>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3"/>
                <w:szCs w:val="13"/>
                <w:color w:val="auto"/>
              </w:rPr>
            </w:pPr>
          </w:p>
        </w:tc>
        <w:tc>
          <w:tcPr>
            <w:tcW w:w="640" w:type="dxa"/>
            <w:vAlign w:val="bottom"/>
            <w:gridSpan w:val="3"/>
            <w:shd w:val="clear" w:color="auto" w:fill="E4E4E4"/>
          </w:tcPr>
          <w:p>
            <w:pPr>
              <w:jc w:val="right"/>
              <w:spacing w:after="0"/>
              <w:rPr>
                <w:sz w:val="20"/>
                <w:szCs w:val="20"/>
                <w:color w:val="auto"/>
              </w:rPr>
            </w:pPr>
            <w:r>
              <w:rPr>
                <w:rFonts w:ascii="Arial" w:cs="Arial" w:eastAsia="Arial" w:hAnsi="Arial"/>
                <w:sz w:val="14"/>
                <w:szCs w:val="14"/>
                <w:color w:val="1E1E1E"/>
              </w:rPr>
              <w:t>(1,845)</w:t>
            </w:r>
          </w:p>
        </w:tc>
      </w:tr>
      <w:tr>
        <w:trPr>
          <w:trHeight w:val="161"/>
        </w:trPr>
        <w:tc>
          <w:tcPr>
            <w:tcW w:w="3640" w:type="dxa"/>
            <w:vAlign w:val="bottom"/>
            <w:gridSpan w:val="2"/>
          </w:tcPr>
          <w:p>
            <w:pPr>
              <w:spacing w:after="0"/>
              <w:rPr>
                <w:sz w:val="20"/>
                <w:szCs w:val="20"/>
                <w:color w:val="auto"/>
              </w:rPr>
            </w:pPr>
            <w:r>
              <w:rPr>
                <w:rFonts w:ascii="Arial" w:cs="Arial" w:eastAsia="Arial" w:hAnsi="Arial"/>
                <w:sz w:val="14"/>
                <w:szCs w:val="14"/>
                <w:color w:val="1E1E1E"/>
              </w:rPr>
              <w:t>Repurchase of common stock</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80" w:type="dxa"/>
            <w:vAlign w:val="bottom"/>
          </w:tcPr>
          <w:p>
            <w:pPr>
              <w:spacing w:after="0"/>
              <w:rPr>
                <w:sz w:val="13"/>
                <w:szCs w:val="13"/>
                <w:color w:val="auto"/>
              </w:rPr>
            </w:pPr>
          </w:p>
        </w:tc>
        <w:tc>
          <w:tcPr>
            <w:tcW w:w="700" w:type="dxa"/>
            <w:vAlign w:val="bottom"/>
            <w:gridSpan w:val="4"/>
          </w:tcPr>
          <w:p>
            <w:pPr>
              <w:jc w:val="right"/>
              <w:ind w:right="180"/>
              <w:spacing w:after="0"/>
              <w:rPr>
                <w:sz w:val="20"/>
                <w:szCs w:val="20"/>
                <w:color w:val="auto"/>
              </w:rPr>
            </w:pPr>
            <w:r>
              <w:rPr>
                <w:rFonts w:ascii="Arial" w:cs="Arial" w:eastAsia="Arial" w:hAnsi="Arial"/>
                <w:sz w:val="14"/>
                <w:szCs w:val="14"/>
                <w:color w:val="1E1E1E"/>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1E1E1E"/>
              </w:rPr>
              <w:t>(2,870)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34"/>
              <w:spacing w:after="0"/>
              <w:rPr>
                <w:sz w:val="20"/>
                <w:szCs w:val="20"/>
                <w:color w:val="auto"/>
              </w:rPr>
            </w:pPr>
            <w:r>
              <w:rPr>
                <w:rFonts w:ascii="Arial" w:cs="Arial" w:eastAsia="Arial" w:hAnsi="Arial"/>
                <w:sz w:val="14"/>
                <w:szCs w:val="14"/>
                <w:color w:val="1E1E1E"/>
              </w:rPr>
              <w:t>(12,728)</w:t>
            </w:r>
          </w:p>
        </w:tc>
        <w:tc>
          <w:tcPr>
            <w:tcW w:w="120" w:type="dxa"/>
            <w:vAlign w:val="bottom"/>
          </w:tcPr>
          <w:p>
            <w:pPr>
              <w:spacing w:after="0"/>
              <w:rPr>
                <w:sz w:val="13"/>
                <w:szCs w:val="13"/>
                <w:color w:val="auto"/>
              </w:rPr>
            </w:pPr>
          </w:p>
        </w:tc>
        <w:tc>
          <w:tcPr>
            <w:tcW w:w="800" w:type="dxa"/>
            <w:vAlign w:val="bottom"/>
            <w:gridSpan w:val="3"/>
          </w:tcPr>
          <w:p>
            <w:pPr>
              <w:ind w:left="4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1E1E1E"/>
              </w:rPr>
              <w:t>—</w:t>
            </w:r>
          </w:p>
        </w:tc>
        <w:tc>
          <w:tcPr>
            <w:tcW w:w="120" w:type="dxa"/>
            <w:vAlign w:val="bottom"/>
          </w:tcPr>
          <w:p>
            <w:pPr>
              <w:spacing w:after="0"/>
              <w:rPr>
                <w:sz w:val="13"/>
                <w:szCs w:val="13"/>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1E1E1E"/>
              </w:rPr>
              <w:t>(12,728)</w:t>
            </w:r>
          </w:p>
        </w:tc>
      </w:tr>
      <w:tr>
        <w:trPr>
          <w:trHeight w:val="161"/>
        </w:trPr>
        <w:tc>
          <w:tcPr>
            <w:tcW w:w="3640" w:type="dxa"/>
            <w:vAlign w:val="bottom"/>
            <w:gridSpan w:val="2"/>
            <w:shd w:val="clear" w:color="auto" w:fill="E4E4E4"/>
          </w:tcPr>
          <w:p>
            <w:pPr>
              <w:spacing w:after="0"/>
              <w:rPr>
                <w:sz w:val="20"/>
                <w:szCs w:val="20"/>
                <w:color w:val="auto"/>
              </w:rPr>
            </w:pPr>
            <w:r>
              <w:rPr>
                <w:rFonts w:ascii="Arial" w:cs="Arial" w:eastAsia="Arial" w:hAnsi="Arial"/>
                <w:sz w:val="14"/>
                <w:szCs w:val="14"/>
                <w:color w:val="1E1E1E"/>
              </w:rPr>
              <w:t>Board of directors' compensation</w:t>
            </w:r>
          </w:p>
        </w:tc>
        <w:tc>
          <w:tcPr>
            <w:tcW w:w="86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104</w:t>
            </w:r>
          </w:p>
        </w:tc>
        <w:tc>
          <w:tcPr>
            <w:tcW w:w="18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200" w:type="dxa"/>
            <w:vAlign w:val="bottom"/>
            <w:shd w:val="clear" w:color="auto" w:fill="E4E4E4"/>
          </w:tcPr>
          <w:p>
            <w:pPr>
              <w:spacing w:after="0"/>
              <w:rPr>
                <w:sz w:val="13"/>
                <w:szCs w:val="13"/>
                <w:color w:val="auto"/>
              </w:rPr>
            </w:pPr>
          </w:p>
        </w:tc>
        <w:tc>
          <w:tcPr>
            <w:tcW w:w="36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1</w:t>
            </w:r>
          </w:p>
        </w:tc>
        <w:tc>
          <w:tcPr>
            <w:tcW w:w="18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52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500</w:t>
            </w:r>
          </w:p>
        </w:tc>
        <w:tc>
          <w:tcPr>
            <w:tcW w:w="20" w:type="dxa"/>
            <w:vAlign w:val="bottom"/>
            <w:shd w:val="clear" w:color="auto" w:fill="E4E4E4"/>
          </w:tcPr>
          <w:p>
            <w:pPr>
              <w:spacing w:after="0"/>
              <w:rPr>
                <w:sz w:val="13"/>
                <w:szCs w:val="13"/>
                <w:color w:val="auto"/>
              </w:rPr>
            </w:pPr>
          </w:p>
        </w:tc>
        <w:tc>
          <w:tcPr>
            <w:tcW w:w="14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1020" w:type="dxa"/>
            <w:vAlign w:val="bottom"/>
            <w:gridSpan w:val="2"/>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700" w:type="dxa"/>
            <w:vAlign w:val="bottom"/>
            <w:gridSpan w:val="3"/>
            <w:shd w:val="clear" w:color="auto" w:fill="E4E4E4"/>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3"/>
                <w:szCs w:val="13"/>
                <w:color w:val="auto"/>
              </w:rPr>
            </w:pPr>
          </w:p>
        </w:tc>
        <w:tc>
          <w:tcPr>
            <w:tcW w:w="800" w:type="dxa"/>
            <w:vAlign w:val="bottom"/>
            <w:gridSpan w:val="3"/>
            <w:shd w:val="clear" w:color="auto" w:fill="E4E4E4"/>
          </w:tcPr>
          <w:p>
            <w:pPr>
              <w:ind w:left="4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3"/>
                <w:szCs w:val="13"/>
                <w:color w:val="auto"/>
              </w:rPr>
            </w:pPr>
          </w:p>
        </w:tc>
        <w:tc>
          <w:tcPr>
            <w:tcW w:w="160" w:type="dxa"/>
            <w:vAlign w:val="bottom"/>
            <w:shd w:val="clear" w:color="auto" w:fill="E4E4E4"/>
          </w:tcPr>
          <w:p>
            <w:pPr>
              <w:spacing w:after="0"/>
              <w:rPr>
                <w:sz w:val="13"/>
                <w:szCs w:val="13"/>
                <w:color w:val="auto"/>
              </w:rPr>
            </w:pPr>
          </w:p>
        </w:tc>
        <w:tc>
          <w:tcPr>
            <w:tcW w:w="900" w:type="dxa"/>
            <w:vAlign w:val="bottom"/>
            <w:gridSpan w:val="2"/>
            <w:shd w:val="clear" w:color="auto" w:fill="E4E4E4"/>
          </w:tcPr>
          <w:p>
            <w:pPr>
              <w:jc w:val="right"/>
              <w:ind w:right="200"/>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3"/>
                <w:szCs w:val="13"/>
                <w:color w:val="auto"/>
              </w:rPr>
            </w:pPr>
          </w:p>
        </w:tc>
        <w:tc>
          <w:tcPr>
            <w:tcW w:w="54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501</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r>
      <w:tr>
        <w:trPr>
          <w:trHeight w:val="161"/>
        </w:trPr>
        <w:tc>
          <w:tcPr>
            <w:tcW w:w="3640" w:type="dxa"/>
            <w:vAlign w:val="bottom"/>
            <w:gridSpan w:val="2"/>
          </w:tcPr>
          <w:p>
            <w:pPr>
              <w:spacing w:after="0"/>
              <w:rPr>
                <w:sz w:val="20"/>
                <w:szCs w:val="20"/>
                <w:color w:val="auto"/>
              </w:rPr>
            </w:pPr>
            <w:r>
              <w:rPr>
                <w:rFonts w:ascii="Arial" w:cs="Arial" w:eastAsia="Arial" w:hAnsi="Arial"/>
                <w:sz w:val="14"/>
                <w:szCs w:val="14"/>
                <w:color w:val="1E1E1E"/>
              </w:rPr>
              <w:t>Accumulated other comprehensive income (loss):</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8"/>
        </w:trPr>
        <w:tc>
          <w:tcPr>
            <w:tcW w:w="3640" w:type="dxa"/>
            <w:vAlign w:val="bottom"/>
            <w:gridSpan w:val="2"/>
            <w:shd w:val="clear" w:color="auto" w:fill="E4E4E4"/>
          </w:tcPr>
          <w:p>
            <w:pPr>
              <w:ind w:left="200"/>
              <w:spacing w:after="0" w:line="148" w:lineRule="exact"/>
              <w:rPr>
                <w:sz w:val="20"/>
                <w:szCs w:val="20"/>
                <w:color w:val="auto"/>
              </w:rPr>
            </w:pPr>
            <w:r>
              <w:rPr>
                <w:rFonts w:ascii="Arial" w:cs="Arial" w:eastAsia="Arial" w:hAnsi="Arial"/>
                <w:sz w:val="14"/>
                <w:szCs w:val="14"/>
                <w:color w:val="1E1E1E"/>
                <w:w w:val="98"/>
              </w:rPr>
              <w:t>Unrecognized gain associated with Pension Plan, net of</w:t>
            </w:r>
          </w:p>
        </w:tc>
        <w:tc>
          <w:tcPr>
            <w:tcW w:w="860" w:type="dxa"/>
            <w:vAlign w:val="bottom"/>
            <w:shd w:val="clear" w:color="auto" w:fill="E4E4E4"/>
          </w:tcPr>
          <w:p>
            <w:pPr>
              <w:spacing w:after="0"/>
              <w:rPr>
                <w:sz w:val="12"/>
                <w:szCs w:val="12"/>
                <w:color w:val="auto"/>
              </w:rPr>
            </w:pPr>
          </w:p>
        </w:tc>
        <w:tc>
          <w:tcPr>
            <w:tcW w:w="180" w:type="dxa"/>
            <w:vAlign w:val="bottom"/>
            <w:shd w:val="clear" w:color="auto" w:fill="E4E4E4"/>
          </w:tcPr>
          <w:p>
            <w:pPr>
              <w:spacing w:after="0"/>
              <w:rPr>
                <w:sz w:val="12"/>
                <w:szCs w:val="12"/>
                <w:color w:val="auto"/>
              </w:rPr>
            </w:pPr>
          </w:p>
        </w:tc>
        <w:tc>
          <w:tcPr>
            <w:tcW w:w="20" w:type="dxa"/>
            <w:vAlign w:val="bottom"/>
            <w:shd w:val="clear" w:color="auto" w:fill="E4E4E4"/>
          </w:tcPr>
          <w:p>
            <w:pPr>
              <w:spacing w:after="0"/>
              <w:rPr>
                <w:sz w:val="12"/>
                <w:szCs w:val="12"/>
                <w:color w:val="auto"/>
              </w:rPr>
            </w:pPr>
          </w:p>
        </w:tc>
        <w:tc>
          <w:tcPr>
            <w:tcW w:w="200" w:type="dxa"/>
            <w:vAlign w:val="bottom"/>
            <w:shd w:val="clear" w:color="auto" w:fill="E4E4E4"/>
          </w:tcPr>
          <w:p>
            <w:pPr>
              <w:spacing w:after="0"/>
              <w:rPr>
                <w:sz w:val="12"/>
                <w:szCs w:val="12"/>
                <w:color w:val="auto"/>
              </w:rPr>
            </w:pPr>
          </w:p>
        </w:tc>
        <w:tc>
          <w:tcPr>
            <w:tcW w:w="360" w:type="dxa"/>
            <w:vAlign w:val="bottom"/>
            <w:shd w:val="clear" w:color="auto" w:fill="E4E4E4"/>
          </w:tcPr>
          <w:p>
            <w:pPr>
              <w:spacing w:after="0"/>
              <w:rPr>
                <w:sz w:val="12"/>
                <w:szCs w:val="12"/>
                <w:color w:val="auto"/>
              </w:rPr>
            </w:pPr>
          </w:p>
        </w:tc>
        <w:tc>
          <w:tcPr>
            <w:tcW w:w="180" w:type="dxa"/>
            <w:vAlign w:val="bottom"/>
            <w:shd w:val="clear" w:color="auto" w:fill="E4E4E4"/>
          </w:tcPr>
          <w:p>
            <w:pPr>
              <w:spacing w:after="0"/>
              <w:rPr>
                <w:sz w:val="12"/>
                <w:szCs w:val="12"/>
                <w:color w:val="auto"/>
              </w:rPr>
            </w:pPr>
          </w:p>
        </w:tc>
        <w:tc>
          <w:tcPr>
            <w:tcW w:w="80" w:type="dxa"/>
            <w:vAlign w:val="bottom"/>
            <w:shd w:val="clear" w:color="auto" w:fill="E4E4E4"/>
          </w:tcPr>
          <w:p>
            <w:pPr>
              <w:spacing w:after="0"/>
              <w:rPr>
                <w:sz w:val="12"/>
                <w:szCs w:val="12"/>
                <w:color w:val="auto"/>
              </w:rPr>
            </w:pPr>
          </w:p>
        </w:tc>
        <w:tc>
          <w:tcPr>
            <w:tcW w:w="520" w:type="dxa"/>
            <w:vAlign w:val="bottom"/>
            <w:shd w:val="clear" w:color="auto" w:fill="E4E4E4"/>
          </w:tcPr>
          <w:p>
            <w:pPr>
              <w:spacing w:after="0"/>
              <w:rPr>
                <w:sz w:val="12"/>
                <w:szCs w:val="12"/>
                <w:color w:val="auto"/>
              </w:rPr>
            </w:pPr>
          </w:p>
        </w:tc>
        <w:tc>
          <w:tcPr>
            <w:tcW w:w="20" w:type="dxa"/>
            <w:vAlign w:val="bottom"/>
            <w:shd w:val="clear" w:color="auto" w:fill="E4E4E4"/>
          </w:tcPr>
          <w:p>
            <w:pPr>
              <w:spacing w:after="0"/>
              <w:rPr>
                <w:sz w:val="12"/>
                <w:szCs w:val="12"/>
                <w:color w:val="auto"/>
              </w:rPr>
            </w:pPr>
          </w:p>
        </w:tc>
        <w:tc>
          <w:tcPr>
            <w:tcW w:w="140" w:type="dxa"/>
            <w:vAlign w:val="bottom"/>
            <w:shd w:val="clear" w:color="auto" w:fill="E4E4E4"/>
          </w:tcPr>
          <w:p>
            <w:pPr>
              <w:spacing w:after="0"/>
              <w:rPr>
                <w:sz w:val="12"/>
                <w:szCs w:val="12"/>
                <w:color w:val="auto"/>
              </w:rPr>
            </w:pPr>
          </w:p>
        </w:tc>
        <w:tc>
          <w:tcPr>
            <w:tcW w:w="20" w:type="dxa"/>
            <w:vAlign w:val="bottom"/>
            <w:shd w:val="clear" w:color="auto" w:fill="E4E4E4"/>
          </w:tcPr>
          <w:p>
            <w:pPr>
              <w:spacing w:after="0"/>
              <w:rPr>
                <w:sz w:val="12"/>
                <w:szCs w:val="12"/>
                <w:color w:val="auto"/>
              </w:rPr>
            </w:pPr>
          </w:p>
        </w:tc>
        <w:tc>
          <w:tcPr>
            <w:tcW w:w="840" w:type="dxa"/>
            <w:vAlign w:val="bottom"/>
            <w:shd w:val="clear" w:color="auto" w:fill="E4E4E4"/>
          </w:tcPr>
          <w:p>
            <w:pPr>
              <w:spacing w:after="0"/>
              <w:rPr>
                <w:sz w:val="12"/>
                <w:szCs w:val="12"/>
                <w:color w:val="auto"/>
              </w:rPr>
            </w:pPr>
          </w:p>
        </w:tc>
        <w:tc>
          <w:tcPr>
            <w:tcW w:w="180" w:type="dxa"/>
            <w:vAlign w:val="bottom"/>
            <w:shd w:val="clear" w:color="auto" w:fill="E4E4E4"/>
          </w:tcPr>
          <w:p>
            <w:pPr>
              <w:spacing w:after="0"/>
              <w:rPr>
                <w:sz w:val="12"/>
                <w:szCs w:val="12"/>
                <w:color w:val="auto"/>
              </w:rPr>
            </w:pPr>
          </w:p>
        </w:tc>
        <w:tc>
          <w:tcPr>
            <w:tcW w:w="20" w:type="dxa"/>
            <w:vAlign w:val="bottom"/>
            <w:shd w:val="clear" w:color="auto" w:fill="E4E4E4"/>
          </w:tcPr>
          <w:p>
            <w:pPr>
              <w:spacing w:after="0"/>
              <w:rPr>
                <w:sz w:val="12"/>
                <w:szCs w:val="12"/>
                <w:color w:val="auto"/>
              </w:rPr>
            </w:pPr>
          </w:p>
        </w:tc>
        <w:tc>
          <w:tcPr>
            <w:tcW w:w="80" w:type="dxa"/>
            <w:vAlign w:val="bottom"/>
            <w:shd w:val="clear" w:color="auto" w:fill="E4E4E4"/>
          </w:tcPr>
          <w:p>
            <w:pPr>
              <w:spacing w:after="0"/>
              <w:rPr>
                <w:sz w:val="12"/>
                <w:szCs w:val="12"/>
                <w:color w:val="auto"/>
              </w:rPr>
            </w:pPr>
          </w:p>
        </w:tc>
        <w:tc>
          <w:tcPr>
            <w:tcW w:w="520" w:type="dxa"/>
            <w:vAlign w:val="bottom"/>
            <w:shd w:val="clear" w:color="auto" w:fill="E4E4E4"/>
          </w:tcPr>
          <w:p>
            <w:pPr>
              <w:spacing w:after="0"/>
              <w:rPr>
                <w:sz w:val="12"/>
                <w:szCs w:val="12"/>
                <w:color w:val="auto"/>
              </w:rPr>
            </w:pPr>
          </w:p>
        </w:tc>
        <w:tc>
          <w:tcPr>
            <w:tcW w:w="20" w:type="dxa"/>
            <w:vAlign w:val="bottom"/>
            <w:shd w:val="clear" w:color="auto" w:fill="E4E4E4"/>
          </w:tcPr>
          <w:p>
            <w:pPr>
              <w:spacing w:after="0"/>
              <w:rPr>
                <w:sz w:val="12"/>
                <w:szCs w:val="12"/>
                <w:color w:val="auto"/>
              </w:rPr>
            </w:pPr>
          </w:p>
        </w:tc>
        <w:tc>
          <w:tcPr>
            <w:tcW w:w="160" w:type="dxa"/>
            <w:vAlign w:val="bottom"/>
            <w:shd w:val="clear" w:color="auto" w:fill="E4E4E4"/>
          </w:tcPr>
          <w:p>
            <w:pPr>
              <w:spacing w:after="0"/>
              <w:rPr>
                <w:sz w:val="12"/>
                <w:szCs w:val="12"/>
                <w:color w:val="auto"/>
              </w:rPr>
            </w:pPr>
          </w:p>
        </w:tc>
        <w:tc>
          <w:tcPr>
            <w:tcW w:w="120" w:type="dxa"/>
            <w:vAlign w:val="bottom"/>
            <w:shd w:val="clear" w:color="auto" w:fill="E4E4E4"/>
          </w:tcPr>
          <w:p>
            <w:pPr>
              <w:spacing w:after="0"/>
              <w:rPr>
                <w:sz w:val="12"/>
                <w:szCs w:val="12"/>
                <w:color w:val="auto"/>
              </w:rPr>
            </w:pPr>
          </w:p>
        </w:tc>
        <w:tc>
          <w:tcPr>
            <w:tcW w:w="620" w:type="dxa"/>
            <w:vAlign w:val="bottom"/>
            <w:shd w:val="clear" w:color="auto" w:fill="E4E4E4"/>
          </w:tcPr>
          <w:p>
            <w:pPr>
              <w:spacing w:after="0"/>
              <w:rPr>
                <w:sz w:val="12"/>
                <w:szCs w:val="12"/>
                <w:color w:val="auto"/>
              </w:rPr>
            </w:pPr>
          </w:p>
        </w:tc>
        <w:tc>
          <w:tcPr>
            <w:tcW w:w="20" w:type="dxa"/>
            <w:vAlign w:val="bottom"/>
            <w:shd w:val="clear" w:color="auto" w:fill="E4E4E4"/>
          </w:tcPr>
          <w:p>
            <w:pPr>
              <w:spacing w:after="0"/>
              <w:rPr>
                <w:sz w:val="12"/>
                <w:szCs w:val="12"/>
                <w:color w:val="auto"/>
              </w:rPr>
            </w:pPr>
          </w:p>
        </w:tc>
        <w:tc>
          <w:tcPr>
            <w:tcW w:w="160" w:type="dxa"/>
            <w:vAlign w:val="bottom"/>
            <w:shd w:val="clear" w:color="auto" w:fill="E4E4E4"/>
          </w:tcPr>
          <w:p>
            <w:pPr>
              <w:spacing w:after="0"/>
              <w:rPr>
                <w:sz w:val="12"/>
                <w:szCs w:val="12"/>
                <w:color w:val="auto"/>
              </w:rPr>
            </w:pPr>
          </w:p>
        </w:tc>
        <w:tc>
          <w:tcPr>
            <w:tcW w:w="20" w:type="dxa"/>
            <w:vAlign w:val="bottom"/>
            <w:shd w:val="clear" w:color="auto" w:fill="E4E4E4"/>
          </w:tcPr>
          <w:p>
            <w:pPr>
              <w:spacing w:after="0"/>
              <w:rPr>
                <w:sz w:val="12"/>
                <w:szCs w:val="12"/>
                <w:color w:val="auto"/>
              </w:rPr>
            </w:pPr>
          </w:p>
        </w:tc>
        <w:tc>
          <w:tcPr>
            <w:tcW w:w="160" w:type="dxa"/>
            <w:vAlign w:val="bottom"/>
            <w:shd w:val="clear" w:color="auto" w:fill="E4E4E4"/>
          </w:tcPr>
          <w:p>
            <w:pPr>
              <w:spacing w:after="0"/>
              <w:rPr>
                <w:sz w:val="12"/>
                <w:szCs w:val="12"/>
                <w:color w:val="auto"/>
              </w:rPr>
            </w:pPr>
          </w:p>
        </w:tc>
        <w:tc>
          <w:tcPr>
            <w:tcW w:w="700" w:type="dxa"/>
            <w:vAlign w:val="bottom"/>
            <w:shd w:val="clear" w:color="auto" w:fill="E4E4E4"/>
          </w:tcPr>
          <w:p>
            <w:pPr>
              <w:spacing w:after="0"/>
              <w:rPr>
                <w:sz w:val="12"/>
                <w:szCs w:val="12"/>
                <w:color w:val="auto"/>
              </w:rPr>
            </w:pPr>
          </w:p>
        </w:tc>
        <w:tc>
          <w:tcPr>
            <w:tcW w:w="200" w:type="dxa"/>
            <w:vAlign w:val="bottom"/>
            <w:shd w:val="clear" w:color="auto" w:fill="E4E4E4"/>
          </w:tcPr>
          <w:p>
            <w:pPr>
              <w:spacing w:after="0"/>
              <w:rPr>
                <w:sz w:val="12"/>
                <w:szCs w:val="12"/>
                <w:color w:val="auto"/>
              </w:rPr>
            </w:pPr>
          </w:p>
        </w:tc>
        <w:tc>
          <w:tcPr>
            <w:tcW w:w="120" w:type="dxa"/>
            <w:vAlign w:val="bottom"/>
            <w:shd w:val="clear" w:color="auto" w:fill="E4E4E4"/>
          </w:tcPr>
          <w:p>
            <w:pPr>
              <w:spacing w:after="0"/>
              <w:rPr>
                <w:sz w:val="12"/>
                <w:szCs w:val="12"/>
                <w:color w:val="auto"/>
              </w:rPr>
            </w:pPr>
          </w:p>
        </w:tc>
        <w:tc>
          <w:tcPr>
            <w:tcW w:w="540" w:type="dxa"/>
            <w:vAlign w:val="bottom"/>
            <w:shd w:val="clear" w:color="auto" w:fill="E4E4E4"/>
          </w:tcPr>
          <w:p>
            <w:pPr>
              <w:spacing w:after="0"/>
              <w:rPr>
                <w:sz w:val="12"/>
                <w:szCs w:val="12"/>
                <w:color w:val="auto"/>
              </w:rPr>
            </w:pPr>
          </w:p>
        </w:tc>
        <w:tc>
          <w:tcPr>
            <w:tcW w:w="20" w:type="dxa"/>
            <w:vAlign w:val="bottom"/>
            <w:shd w:val="clear" w:color="auto" w:fill="E4E4E4"/>
          </w:tcPr>
          <w:p>
            <w:pPr>
              <w:spacing w:after="0"/>
              <w:rPr>
                <w:sz w:val="12"/>
                <w:szCs w:val="12"/>
                <w:color w:val="auto"/>
              </w:rPr>
            </w:pPr>
          </w:p>
        </w:tc>
        <w:tc>
          <w:tcPr>
            <w:tcW w:w="80" w:type="dxa"/>
            <w:vAlign w:val="bottom"/>
            <w:shd w:val="clear" w:color="auto" w:fill="E4E4E4"/>
          </w:tcPr>
          <w:p>
            <w:pPr>
              <w:spacing w:after="0"/>
              <w:rPr>
                <w:sz w:val="12"/>
                <w:szCs w:val="12"/>
                <w:color w:val="auto"/>
              </w:rPr>
            </w:pPr>
          </w:p>
        </w:tc>
      </w:tr>
      <w:tr>
        <w:trPr>
          <w:trHeight w:val="174"/>
        </w:trPr>
        <w:tc>
          <w:tcPr>
            <w:tcW w:w="3640" w:type="dxa"/>
            <w:vAlign w:val="bottom"/>
            <w:gridSpan w:val="2"/>
            <w:shd w:val="clear" w:color="auto" w:fill="E4E4E4"/>
          </w:tcPr>
          <w:p>
            <w:pPr>
              <w:ind w:left="200"/>
              <w:spacing w:after="0"/>
              <w:rPr>
                <w:sz w:val="20"/>
                <w:szCs w:val="20"/>
                <w:color w:val="auto"/>
              </w:rPr>
            </w:pPr>
            <w:r>
              <w:rPr>
                <w:rFonts w:ascii="Arial" w:cs="Arial" w:eastAsia="Arial" w:hAnsi="Arial"/>
                <w:sz w:val="14"/>
                <w:szCs w:val="14"/>
                <w:color w:val="1E1E1E"/>
              </w:rPr>
              <w:t>taxes</w:t>
            </w:r>
          </w:p>
        </w:tc>
        <w:tc>
          <w:tcPr>
            <w:tcW w:w="1040" w:type="dxa"/>
            <w:vAlign w:val="bottom"/>
            <w:gridSpan w:val="2"/>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5"/>
                <w:szCs w:val="15"/>
                <w:color w:val="auto"/>
              </w:rPr>
            </w:pPr>
          </w:p>
        </w:tc>
        <w:tc>
          <w:tcPr>
            <w:tcW w:w="200" w:type="dxa"/>
            <w:vAlign w:val="bottom"/>
            <w:shd w:val="clear" w:color="auto" w:fill="E4E4E4"/>
          </w:tcPr>
          <w:p>
            <w:pPr>
              <w:spacing w:after="0"/>
              <w:rPr>
                <w:sz w:val="15"/>
                <w:szCs w:val="15"/>
                <w:color w:val="auto"/>
              </w:rPr>
            </w:pPr>
          </w:p>
        </w:tc>
        <w:tc>
          <w:tcPr>
            <w:tcW w:w="540" w:type="dxa"/>
            <w:vAlign w:val="bottom"/>
            <w:gridSpan w:val="2"/>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80" w:type="dxa"/>
            <w:vAlign w:val="bottom"/>
            <w:shd w:val="clear" w:color="auto" w:fill="E4E4E4"/>
          </w:tcPr>
          <w:p>
            <w:pPr>
              <w:spacing w:after="0"/>
              <w:rPr>
                <w:sz w:val="15"/>
                <w:szCs w:val="15"/>
                <w:color w:val="auto"/>
              </w:rPr>
            </w:pPr>
          </w:p>
        </w:tc>
        <w:tc>
          <w:tcPr>
            <w:tcW w:w="700" w:type="dxa"/>
            <w:vAlign w:val="bottom"/>
            <w:gridSpan w:val="4"/>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1020" w:type="dxa"/>
            <w:vAlign w:val="bottom"/>
            <w:gridSpan w:val="2"/>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5"/>
                <w:szCs w:val="15"/>
                <w:color w:val="auto"/>
              </w:rPr>
            </w:pPr>
          </w:p>
        </w:tc>
        <w:tc>
          <w:tcPr>
            <w:tcW w:w="80" w:type="dxa"/>
            <w:vAlign w:val="bottom"/>
            <w:shd w:val="clear" w:color="auto" w:fill="E4E4E4"/>
          </w:tcPr>
          <w:p>
            <w:pPr>
              <w:spacing w:after="0"/>
              <w:rPr>
                <w:sz w:val="15"/>
                <w:szCs w:val="15"/>
                <w:color w:val="auto"/>
              </w:rPr>
            </w:pPr>
          </w:p>
        </w:tc>
        <w:tc>
          <w:tcPr>
            <w:tcW w:w="700" w:type="dxa"/>
            <w:vAlign w:val="bottom"/>
            <w:gridSpan w:val="3"/>
            <w:shd w:val="clear" w:color="auto" w:fill="E4E4E4"/>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5"/>
                <w:szCs w:val="15"/>
                <w:color w:val="auto"/>
              </w:rPr>
            </w:pPr>
          </w:p>
        </w:tc>
        <w:tc>
          <w:tcPr>
            <w:tcW w:w="800" w:type="dxa"/>
            <w:vAlign w:val="bottom"/>
            <w:gridSpan w:val="3"/>
            <w:shd w:val="clear" w:color="auto" w:fill="E4E4E4"/>
          </w:tcPr>
          <w:p>
            <w:pPr>
              <w:ind w:left="4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5"/>
                <w:szCs w:val="15"/>
                <w:color w:val="auto"/>
              </w:rPr>
            </w:pPr>
          </w:p>
        </w:tc>
        <w:tc>
          <w:tcPr>
            <w:tcW w:w="160" w:type="dxa"/>
            <w:vAlign w:val="bottom"/>
            <w:shd w:val="clear" w:color="auto" w:fill="E4E4E4"/>
          </w:tcPr>
          <w:p>
            <w:pPr>
              <w:spacing w:after="0"/>
              <w:rPr>
                <w:sz w:val="15"/>
                <w:szCs w:val="15"/>
                <w:color w:val="auto"/>
              </w:rPr>
            </w:pPr>
          </w:p>
        </w:tc>
        <w:tc>
          <w:tcPr>
            <w:tcW w:w="70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538</w:t>
            </w:r>
          </w:p>
        </w:tc>
        <w:tc>
          <w:tcPr>
            <w:tcW w:w="20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54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538</w:t>
            </w:r>
          </w:p>
        </w:tc>
        <w:tc>
          <w:tcPr>
            <w:tcW w:w="20" w:type="dxa"/>
            <w:vAlign w:val="bottom"/>
            <w:shd w:val="clear" w:color="auto" w:fill="E4E4E4"/>
          </w:tcPr>
          <w:p>
            <w:pPr>
              <w:spacing w:after="0"/>
              <w:rPr>
                <w:sz w:val="15"/>
                <w:szCs w:val="15"/>
                <w:color w:val="auto"/>
              </w:rPr>
            </w:pPr>
          </w:p>
        </w:tc>
        <w:tc>
          <w:tcPr>
            <w:tcW w:w="80" w:type="dxa"/>
            <w:vAlign w:val="bottom"/>
            <w:shd w:val="clear" w:color="auto" w:fill="E4E4E4"/>
          </w:tcPr>
          <w:p>
            <w:pPr>
              <w:spacing w:after="0"/>
              <w:rPr>
                <w:sz w:val="15"/>
                <w:szCs w:val="15"/>
                <w:color w:val="auto"/>
              </w:rPr>
            </w:pPr>
          </w:p>
        </w:tc>
      </w:tr>
      <w:tr>
        <w:trPr>
          <w:trHeight w:val="161"/>
        </w:trPr>
        <w:tc>
          <w:tcPr>
            <w:tcW w:w="3640" w:type="dxa"/>
            <w:vAlign w:val="bottom"/>
            <w:gridSpan w:val="2"/>
          </w:tcPr>
          <w:p>
            <w:pPr>
              <w:ind w:left="200"/>
              <w:spacing w:after="0"/>
              <w:rPr>
                <w:sz w:val="20"/>
                <w:szCs w:val="20"/>
                <w:color w:val="auto"/>
              </w:rPr>
            </w:pPr>
            <w:r>
              <w:rPr>
                <w:rFonts w:ascii="Arial" w:cs="Arial" w:eastAsia="Arial" w:hAnsi="Arial"/>
                <w:sz w:val="14"/>
                <w:szCs w:val="14"/>
                <w:color w:val="1E1E1E"/>
              </w:rPr>
              <w:t>Foreign currency, net of taxes</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80" w:type="dxa"/>
            <w:vAlign w:val="bottom"/>
          </w:tcPr>
          <w:p>
            <w:pPr>
              <w:spacing w:after="0"/>
              <w:rPr>
                <w:sz w:val="13"/>
                <w:szCs w:val="13"/>
                <w:color w:val="auto"/>
              </w:rPr>
            </w:pPr>
          </w:p>
        </w:tc>
        <w:tc>
          <w:tcPr>
            <w:tcW w:w="700" w:type="dxa"/>
            <w:vAlign w:val="bottom"/>
            <w:gridSpan w:val="4"/>
          </w:tcPr>
          <w:p>
            <w:pPr>
              <w:jc w:val="right"/>
              <w:ind w:right="180"/>
              <w:spacing w:after="0"/>
              <w:rPr>
                <w:sz w:val="20"/>
                <w:szCs w:val="20"/>
                <w:color w:val="auto"/>
              </w:rPr>
            </w:pPr>
            <w:r>
              <w:rPr>
                <w:rFonts w:ascii="Arial" w:cs="Arial" w:eastAsia="Arial" w:hAnsi="Arial"/>
                <w:sz w:val="14"/>
                <w:szCs w:val="14"/>
                <w:color w:val="1E1E1E"/>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tcPr>
          <w:p>
            <w:pPr>
              <w:spacing w:after="0"/>
              <w:rPr>
                <w:sz w:val="13"/>
                <w:szCs w:val="13"/>
                <w:color w:val="auto"/>
              </w:rPr>
            </w:pPr>
          </w:p>
        </w:tc>
        <w:tc>
          <w:tcPr>
            <w:tcW w:w="800" w:type="dxa"/>
            <w:vAlign w:val="bottom"/>
            <w:gridSpan w:val="3"/>
          </w:tcPr>
          <w:p>
            <w:pPr>
              <w:ind w:left="4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1E1E1E"/>
              </w:rPr>
              <w:t>(7)</w:t>
            </w:r>
          </w:p>
        </w:tc>
        <w:tc>
          <w:tcPr>
            <w:tcW w:w="120" w:type="dxa"/>
            <w:vAlign w:val="bottom"/>
          </w:tcPr>
          <w:p>
            <w:pPr>
              <w:spacing w:after="0"/>
              <w:rPr>
                <w:sz w:val="13"/>
                <w:szCs w:val="13"/>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1E1E1E"/>
              </w:rPr>
              <w:t>(7)</w:t>
            </w:r>
          </w:p>
        </w:tc>
      </w:tr>
      <w:tr>
        <w:trPr>
          <w:trHeight w:val="148"/>
        </w:trPr>
        <w:tc>
          <w:tcPr>
            <w:tcW w:w="3640" w:type="dxa"/>
            <w:vAlign w:val="bottom"/>
            <w:gridSpan w:val="2"/>
            <w:shd w:val="clear" w:color="auto" w:fill="E4E4E4"/>
          </w:tcPr>
          <w:p>
            <w:pPr>
              <w:ind w:left="200"/>
              <w:spacing w:after="0" w:line="148" w:lineRule="exact"/>
              <w:rPr>
                <w:sz w:val="20"/>
                <w:szCs w:val="20"/>
                <w:color w:val="auto"/>
              </w:rPr>
            </w:pPr>
            <w:r>
              <w:rPr>
                <w:rFonts w:ascii="Arial" w:cs="Arial" w:eastAsia="Arial" w:hAnsi="Arial"/>
                <w:sz w:val="14"/>
                <w:szCs w:val="14"/>
                <w:color w:val="1E1E1E"/>
                <w:w w:val="98"/>
              </w:rPr>
              <w:t>Recognition of accumulated foreign currency translation</w:t>
            </w:r>
          </w:p>
        </w:tc>
        <w:tc>
          <w:tcPr>
            <w:tcW w:w="860" w:type="dxa"/>
            <w:vAlign w:val="bottom"/>
            <w:shd w:val="clear" w:color="auto" w:fill="E4E4E4"/>
          </w:tcPr>
          <w:p>
            <w:pPr>
              <w:spacing w:after="0"/>
              <w:rPr>
                <w:sz w:val="12"/>
                <w:szCs w:val="12"/>
                <w:color w:val="auto"/>
              </w:rPr>
            </w:pPr>
          </w:p>
        </w:tc>
        <w:tc>
          <w:tcPr>
            <w:tcW w:w="180" w:type="dxa"/>
            <w:vAlign w:val="bottom"/>
            <w:shd w:val="clear" w:color="auto" w:fill="E4E4E4"/>
          </w:tcPr>
          <w:p>
            <w:pPr>
              <w:spacing w:after="0"/>
              <w:rPr>
                <w:sz w:val="12"/>
                <w:szCs w:val="12"/>
                <w:color w:val="auto"/>
              </w:rPr>
            </w:pPr>
          </w:p>
        </w:tc>
        <w:tc>
          <w:tcPr>
            <w:tcW w:w="20" w:type="dxa"/>
            <w:vAlign w:val="bottom"/>
            <w:shd w:val="clear" w:color="auto" w:fill="E4E4E4"/>
          </w:tcPr>
          <w:p>
            <w:pPr>
              <w:spacing w:after="0"/>
              <w:rPr>
                <w:sz w:val="12"/>
                <w:szCs w:val="12"/>
                <w:color w:val="auto"/>
              </w:rPr>
            </w:pPr>
          </w:p>
        </w:tc>
        <w:tc>
          <w:tcPr>
            <w:tcW w:w="200" w:type="dxa"/>
            <w:vAlign w:val="bottom"/>
            <w:shd w:val="clear" w:color="auto" w:fill="E4E4E4"/>
          </w:tcPr>
          <w:p>
            <w:pPr>
              <w:spacing w:after="0"/>
              <w:rPr>
                <w:sz w:val="12"/>
                <w:szCs w:val="12"/>
                <w:color w:val="auto"/>
              </w:rPr>
            </w:pPr>
          </w:p>
        </w:tc>
        <w:tc>
          <w:tcPr>
            <w:tcW w:w="360" w:type="dxa"/>
            <w:vAlign w:val="bottom"/>
            <w:shd w:val="clear" w:color="auto" w:fill="E4E4E4"/>
          </w:tcPr>
          <w:p>
            <w:pPr>
              <w:spacing w:after="0"/>
              <w:rPr>
                <w:sz w:val="12"/>
                <w:szCs w:val="12"/>
                <w:color w:val="auto"/>
              </w:rPr>
            </w:pPr>
          </w:p>
        </w:tc>
        <w:tc>
          <w:tcPr>
            <w:tcW w:w="180" w:type="dxa"/>
            <w:vAlign w:val="bottom"/>
            <w:shd w:val="clear" w:color="auto" w:fill="E4E4E4"/>
          </w:tcPr>
          <w:p>
            <w:pPr>
              <w:spacing w:after="0"/>
              <w:rPr>
                <w:sz w:val="12"/>
                <w:szCs w:val="12"/>
                <w:color w:val="auto"/>
              </w:rPr>
            </w:pPr>
          </w:p>
        </w:tc>
        <w:tc>
          <w:tcPr>
            <w:tcW w:w="80" w:type="dxa"/>
            <w:vAlign w:val="bottom"/>
            <w:shd w:val="clear" w:color="auto" w:fill="E4E4E4"/>
          </w:tcPr>
          <w:p>
            <w:pPr>
              <w:spacing w:after="0"/>
              <w:rPr>
                <w:sz w:val="12"/>
                <w:szCs w:val="12"/>
                <w:color w:val="auto"/>
              </w:rPr>
            </w:pPr>
          </w:p>
        </w:tc>
        <w:tc>
          <w:tcPr>
            <w:tcW w:w="520" w:type="dxa"/>
            <w:vAlign w:val="bottom"/>
            <w:shd w:val="clear" w:color="auto" w:fill="E4E4E4"/>
          </w:tcPr>
          <w:p>
            <w:pPr>
              <w:spacing w:after="0"/>
              <w:rPr>
                <w:sz w:val="12"/>
                <w:szCs w:val="12"/>
                <w:color w:val="auto"/>
              </w:rPr>
            </w:pPr>
          </w:p>
        </w:tc>
        <w:tc>
          <w:tcPr>
            <w:tcW w:w="20" w:type="dxa"/>
            <w:vAlign w:val="bottom"/>
            <w:shd w:val="clear" w:color="auto" w:fill="E4E4E4"/>
          </w:tcPr>
          <w:p>
            <w:pPr>
              <w:spacing w:after="0"/>
              <w:rPr>
                <w:sz w:val="12"/>
                <w:szCs w:val="12"/>
                <w:color w:val="auto"/>
              </w:rPr>
            </w:pPr>
          </w:p>
        </w:tc>
        <w:tc>
          <w:tcPr>
            <w:tcW w:w="140" w:type="dxa"/>
            <w:vAlign w:val="bottom"/>
            <w:shd w:val="clear" w:color="auto" w:fill="E4E4E4"/>
          </w:tcPr>
          <w:p>
            <w:pPr>
              <w:spacing w:after="0"/>
              <w:rPr>
                <w:sz w:val="12"/>
                <w:szCs w:val="12"/>
                <w:color w:val="auto"/>
              </w:rPr>
            </w:pPr>
          </w:p>
        </w:tc>
        <w:tc>
          <w:tcPr>
            <w:tcW w:w="20" w:type="dxa"/>
            <w:vAlign w:val="bottom"/>
            <w:shd w:val="clear" w:color="auto" w:fill="E4E4E4"/>
          </w:tcPr>
          <w:p>
            <w:pPr>
              <w:spacing w:after="0"/>
              <w:rPr>
                <w:sz w:val="12"/>
                <w:szCs w:val="12"/>
                <w:color w:val="auto"/>
              </w:rPr>
            </w:pPr>
          </w:p>
        </w:tc>
        <w:tc>
          <w:tcPr>
            <w:tcW w:w="840" w:type="dxa"/>
            <w:vAlign w:val="bottom"/>
            <w:shd w:val="clear" w:color="auto" w:fill="E4E4E4"/>
          </w:tcPr>
          <w:p>
            <w:pPr>
              <w:spacing w:after="0"/>
              <w:rPr>
                <w:sz w:val="12"/>
                <w:szCs w:val="12"/>
                <w:color w:val="auto"/>
              </w:rPr>
            </w:pPr>
          </w:p>
        </w:tc>
        <w:tc>
          <w:tcPr>
            <w:tcW w:w="180" w:type="dxa"/>
            <w:vAlign w:val="bottom"/>
            <w:shd w:val="clear" w:color="auto" w:fill="E4E4E4"/>
          </w:tcPr>
          <w:p>
            <w:pPr>
              <w:spacing w:after="0"/>
              <w:rPr>
                <w:sz w:val="12"/>
                <w:szCs w:val="12"/>
                <w:color w:val="auto"/>
              </w:rPr>
            </w:pPr>
          </w:p>
        </w:tc>
        <w:tc>
          <w:tcPr>
            <w:tcW w:w="20" w:type="dxa"/>
            <w:vAlign w:val="bottom"/>
            <w:shd w:val="clear" w:color="auto" w:fill="E4E4E4"/>
          </w:tcPr>
          <w:p>
            <w:pPr>
              <w:spacing w:after="0"/>
              <w:rPr>
                <w:sz w:val="12"/>
                <w:szCs w:val="12"/>
                <w:color w:val="auto"/>
              </w:rPr>
            </w:pPr>
          </w:p>
        </w:tc>
        <w:tc>
          <w:tcPr>
            <w:tcW w:w="80" w:type="dxa"/>
            <w:vAlign w:val="bottom"/>
            <w:shd w:val="clear" w:color="auto" w:fill="E4E4E4"/>
          </w:tcPr>
          <w:p>
            <w:pPr>
              <w:spacing w:after="0"/>
              <w:rPr>
                <w:sz w:val="12"/>
                <w:szCs w:val="12"/>
                <w:color w:val="auto"/>
              </w:rPr>
            </w:pPr>
          </w:p>
        </w:tc>
        <w:tc>
          <w:tcPr>
            <w:tcW w:w="520" w:type="dxa"/>
            <w:vAlign w:val="bottom"/>
            <w:shd w:val="clear" w:color="auto" w:fill="E4E4E4"/>
          </w:tcPr>
          <w:p>
            <w:pPr>
              <w:spacing w:after="0"/>
              <w:rPr>
                <w:sz w:val="12"/>
                <w:szCs w:val="12"/>
                <w:color w:val="auto"/>
              </w:rPr>
            </w:pPr>
          </w:p>
        </w:tc>
        <w:tc>
          <w:tcPr>
            <w:tcW w:w="20" w:type="dxa"/>
            <w:vAlign w:val="bottom"/>
            <w:shd w:val="clear" w:color="auto" w:fill="E4E4E4"/>
          </w:tcPr>
          <w:p>
            <w:pPr>
              <w:spacing w:after="0"/>
              <w:rPr>
                <w:sz w:val="12"/>
                <w:szCs w:val="12"/>
                <w:color w:val="auto"/>
              </w:rPr>
            </w:pPr>
          </w:p>
        </w:tc>
        <w:tc>
          <w:tcPr>
            <w:tcW w:w="160" w:type="dxa"/>
            <w:vAlign w:val="bottom"/>
            <w:shd w:val="clear" w:color="auto" w:fill="E4E4E4"/>
          </w:tcPr>
          <w:p>
            <w:pPr>
              <w:spacing w:after="0"/>
              <w:rPr>
                <w:sz w:val="12"/>
                <w:szCs w:val="12"/>
                <w:color w:val="auto"/>
              </w:rPr>
            </w:pPr>
          </w:p>
        </w:tc>
        <w:tc>
          <w:tcPr>
            <w:tcW w:w="120" w:type="dxa"/>
            <w:vAlign w:val="bottom"/>
            <w:shd w:val="clear" w:color="auto" w:fill="E4E4E4"/>
          </w:tcPr>
          <w:p>
            <w:pPr>
              <w:spacing w:after="0"/>
              <w:rPr>
                <w:sz w:val="12"/>
                <w:szCs w:val="12"/>
                <w:color w:val="auto"/>
              </w:rPr>
            </w:pPr>
          </w:p>
        </w:tc>
        <w:tc>
          <w:tcPr>
            <w:tcW w:w="620" w:type="dxa"/>
            <w:vAlign w:val="bottom"/>
            <w:shd w:val="clear" w:color="auto" w:fill="E4E4E4"/>
          </w:tcPr>
          <w:p>
            <w:pPr>
              <w:spacing w:after="0"/>
              <w:rPr>
                <w:sz w:val="12"/>
                <w:szCs w:val="12"/>
                <w:color w:val="auto"/>
              </w:rPr>
            </w:pPr>
          </w:p>
        </w:tc>
        <w:tc>
          <w:tcPr>
            <w:tcW w:w="20" w:type="dxa"/>
            <w:vAlign w:val="bottom"/>
            <w:shd w:val="clear" w:color="auto" w:fill="E4E4E4"/>
          </w:tcPr>
          <w:p>
            <w:pPr>
              <w:spacing w:after="0"/>
              <w:rPr>
                <w:sz w:val="12"/>
                <w:szCs w:val="12"/>
                <w:color w:val="auto"/>
              </w:rPr>
            </w:pPr>
          </w:p>
        </w:tc>
        <w:tc>
          <w:tcPr>
            <w:tcW w:w="160" w:type="dxa"/>
            <w:vAlign w:val="bottom"/>
            <w:shd w:val="clear" w:color="auto" w:fill="E4E4E4"/>
          </w:tcPr>
          <w:p>
            <w:pPr>
              <w:spacing w:after="0"/>
              <w:rPr>
                <w:sz w:val="12"/>
                <w:szCs w:val="12"/>
                <w:color w:val="auto"/>
              </w:rPr>
            </w:pPr>
          </w:p>
        </w:tc>
        <w:tc>
          <w:tcPr>
            <w:tcW w:w="20" w:type="dxa"/>
            <w:vAlign w:val="bottom"/>
            <w:shd w:val="clear" w:color="auto" w:fill="E4E4E4"/>
          </w:tcPr>
          <w:p>
            <w:pPr>
              <w:spacing w:after="0"/>
              <w:rPr>
                <w:sz w:val="12"/>
                <w:szCs w:val="12"/>
                <w:color w:val="auto"/>
              </w:rPr>
            </w:pPr>
          </w:p>
        </w:tc>
        <w:tc>
          <w:tcPr>
            <w:tcW w:w="160" w:type="dxa"/>
            <w:vAlign w:val="bottom"/>
            <w:shd w:val="clear" w:color="auto" w:fill="E4E4E4"/>
          </w:tcPr>
          <w:p>
            <w:pPr>
              <w:spacing w:after="0"/>
              <w:rPr>
                <w:sz w:val="12"/>
                <w:szCs w:val="12"/>
                <w:color w:val="auto"/>
              </w:rPr>
            </w:pPr>
          </w:p>
        </w:tc>
        <w:tc>
          <w:tcPr>
            <w:tcW w:w="700" w:type="dxa"/>
            <w:vAlign w:val="bottom"/>
            <w:shd w:val="clear" w:color="auto" w:fill="E4E4E4"/>
          </w:tcPr>
          <w:p>
            <w:pPr>
              <w:spacing w:after="0"/>
              <w:rPr>
                <w:sz w:val="12"/>
                <w:szCs w:val="12"/>
                <w:color w:val="auto"/>
              </w:rPr>
            </w:pPr>
          </w:p>
        </w:tc>
        <w:tc>
          <w:tcPr>
            <w:tcW w:w="200" w:type="dxa"/>
            <w:vAlign w:val="bottom"/>
            <w:shd w:val="clear" w:color="auto" w:fill="E4E4E4"/>
          </w:tcPr>
          <w:p>
            <w:pPr>
              <w:spacing w:after="0"/>
              <w:rPr>
                <w:sz w:val="12"/>
                <w:szCs w:val="12"/>
                <w:color w:val="auto"/>
              </w:rPr>
            </w:pPr>
          </w:p>
        </w:tc>
        <w:tc>
          <w:tcPr>
            <w:tcW w:w="120" w:type="dxa"/>
            <w:vAlign w:val="bottom"/>
            <w:shd w:val="clear" w:color="auto" w:fill="E4E4E4"/>
          </w:tcPr>
          <w:p>
            <w:pPr>
              <w:spacing w:after="0"/>
              <w:rPr>
                <w:sz w:val="12"/>
                <w:szCs w:val="12"/>
                <w:color w:val="auto"/>
              </w:rPr>
            </w:pPr>
          </w:p>
        </w:tc>
        <w:tc>
          <w:tcPr>
            <w:tcW w:w="540" w:type="dxa"/>
            <w:vAlign w:val="bottom"/>
            <w:shd w:val="clear" w:color="auto" w:fill="E4E4E4"/>
          </w:tcPr>
          <w:p>
            <w:pPr>
              <w:spacing w:after="0"/>
              <w:rPr>
                <w:sz w:val="12"/>
                <w:szCs w:val="12"/>
                <w:color w:val="auto"/>
              </w:rPr>
            </w:pPr>
          </w:p>
        </w:tc>
        <w:tc>
          <w:tcPr>
            <w:tcW w:w="20" w:type="dxa"/>
            <w:vAlign w:val="bottom"/>
            <w:shd w:val="clear" w:color="auto" w:fill="E4E4E4"/>
          </w:tcPr>
          <w:p>
            <w:pPr>
              <w:spacing w:after="0"/>
              <w:rPr>
                <w:sz w:val="12"/>
                <w:szCs w:val="12"/>
                <w:color w:val="auto"/>
              </w:rPr>
            </w:pPr>
          </w:p>
        </w:tc>
        <w:tc>
          <w:tcPr>
            <w:tcW w:w="80" w:type="dxa"/>
            <w:vAlign w:val="bottom"/>
            <w:shd w:val="clear" w:color="auto" w:fill="E4E4E4"/>
          </w:tcPr>
          <w:p>
            <w:pPr>
              <w:spacing w:after="0"/>
              <w:rPr>
                <w:sz w:val="12"/>
                <w:szCs w:val="12"/>
                <w:color w:val="auto"/>
              </w:rPr>
            </w:pPr>
          </w:p>
        </w:tc>
      </w:tr>
      <w:tr>
        <w:trPr>
          <w:trHeight w:val="174"/>
        </w:trPr>
        <w:tc>
          <w:tcPr>
            <w:tcW w:w="3640" w:type="dxa"/>
            <w:vAlign w:val="bottom"/>
            <w:gridSpan w:val="2"/>
            <w:shd w:val="clear" w:color="auto" w:fill="E4E4E4"/>
          </w:tcPr>
          <w:p>
            <w:pPr>
              <w:ind w:left="200"/>
              <w:spacing w:after="0"/>
              <w:rPr>
                <w:sz w:val="20"/>
                <w:szCs w:val="20"/>
                <w:color w:val="auto"/>
              </w:rPr>
            </w:pPr>
            <w:r>
              <w:rPr>
                <w:rFonts w:ascii="Arial" w:cs="Arial" w:eastAsia="Arial" w:hAnsi="Arial"/>
                <w:sz w:val="14"/>
                <w:szCs w:val="14"/>
                <w:color w:val="1E1E1E"/>
              </w:rPr>
              <w:t>adjustment (Note A)</w:t>
            </w:r>
          </w:p>
        </w:tc>
        <w:tc>
          <w:tcPr>
            <w:tcW w:w="1040" w:type="dxa"/>
            <w:vAlign w:val="bottom"/>
            <w:gridSpan w:val="2"/>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5"/>
                <w:szCs w:val="15"/>
                <w:color w:val="auto"/>
              </w:rPr>
            </w:pPr>
          </w:p>
        </w:tc>
        <w:tc>
          <w:tcPr>
            <w:tcW w:w="200" w:type="dxa"/>
            <w:vAlign w:val="bottom"/>
            <w:shd w:val="clear" w:color="auto" w:fill="E4E4E4"/>
          </w:tcPr>
          <w:p>
            <w:pPr>
              <w:spacing w:after="0"/>
              <w:rPr>
                <w:sz w:val="15"/>
                <w:szCs w:val="15"/>
                <w:color w:val="auto"/>
              </w:rPr>
            </w:pPr>
          </w:p>
        </w:tc>
        <w:tc>
          <w:tcPr>
            <w:tcW w:w="540" w:type="dxa"/>
            <w:vAlign w:val="bottom"/>
            <w:gridSpan w:val="2"/>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80" w:type="dxa"/>
            <w:vAlign w:val="bottom"/>
            <w:shd w:val="clear" w:color="auto" w:fill="E4E4E4"/>
          </w:tcPr>
          <w:p>
            <w:pPr>
              <w:spacing w:after="0"/>
              <w:rPr>
                <w:sz w:val="15"/>
                <w:szCs w:val="15"/>
                <w:color w:val="auto"/>
              </w:rPr>
            </w:pPr>
          </w:p>
        </w:tc>
        <w:tc>
          <w:tcPr>
            <w:tcW w:w="700" w:type="dxa"/>
            <w:vAlign w:val="bottom"/>
            <w:gridSpan w:val="4"/>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1020" w:type="dxa"/>
            <w:vAlign w:val="bottom"/>
            <w:gridSpan w:val="2"/>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5"/>
                <w:szCs w:val="15"/>
                <w:color w:val="auto"/>
              </w:rPr>
            </w:pPr>
          </w:p>
        </w:tc>
        <w:tc>
          <w:tcPr>
            <w:tcW w:w="80" w:type="dxa"/>
            <w:vAlign w:val="bottom"/>
            <w:shd w:val="clear" w:color="auto" w:fill="E4E4E4"/>
          </w:tcPr>
          <w:p>
            <w:pPr>
              <w:spacing w:after="0"/>
              <w:rPr>
                <w:sz w:val="15"/>
                <w:szCs w:val="15"/>
                <w:color w:val="auto"/>
              </w:rPr>
            </w:pPr>
          </w:p>
        </w:tc>
        <w:tc>
          <w:tcPr>
            <w:tcW w:w="700" w:type="dxa"/>
            <w:vAlign w:val="bottom"/>
            <w:gridSpan w:val="3"/>
            <w:shd w:val="clear" w:color="auto" w:fill="E4E4E4"/>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5"/>
                <w:szCs w:val="15"/>
                <w:color w:val="auto"/>
              </w:rPr>
            </w:pPr>
          </w:p>
        </w:tc>
        <w:tc>
          <w:tcPr>
            <w:tcW w:w="800" w:type="dxa"/>
            <w:vAlign w:val="bottom"/>
            <w:gridSpan w:val="3"/>
            <w:shd w:val="clear" w:color="auto" w:fill="E4E4E4"/>
          </w:tcPr>
          <w:p>
            <w:pPr>
              <w:ind w:left="4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5"/>
                <w:szCs w:val="15"/>
                <w:color w:val="auto"/>
              </w:rPr>
            </w:pPr>
          </w:p>
        </w:tc>
        <w:tc>
          <w:tcPr>
            <w:tcW w:w="160" w:type="dxa"/>
            <w:vAlign w:val="bottom"/>
            <w:shd w:val="clear" w:color="auto" w:fill="E4E4E4"/>
          </w:tcPr>
          <w:p>
            <w:pPr>
              <w:spacing w:after="0"/>
              <w:rPr>
                <w:sz w:val="15"/>
                <w:szCs w:val="15"/>
                <w:color w:val="auto"/>
              </w:rPr>
            </w:pPr>
          </w:p>
        </w:tc>
        <w:tc>
          <w:tcPr>
            <w:tcW w:w="70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66</w:t>
            </w:r>
          </w:p>
        </w:tc>
        <w:tc>
          <w:tcPr>
            <w:tcW w:w="20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560" w:type="dxa"/>
            <w:vAlign w:val="bottom"/>
            <w:gridSpan w:val="2"/>
            <w:shd w:val="clear" w:color="auto" w:fill="E4E4E4"/>
          </w:tcPr>
          <w:p>
            <w:pPr>
              <w:jc w:val="right"/>
              <w:spacing w:after="0"/>
              <w:rPr>
                <w:sz w:val="20"/>
                <w:szCs w:val="20"/>
                <w:color w:val="auto"/>
              </w:rPr>
            </w:pPr>
            <w:r>
              <w:rPr>
                <w:rFonts w:ascii="Arial" w:cs="Arial" w:eastAsia="Arial" w:hAnsi="Arial"/>
                <w:sz w:val="14"/>
                <w:szCs w:val="14"/>
                <w:color w:val="1E1E1E"/>
              </w:rPr>
              <w:t>66</w:t>
            </w:r>
          </w:p>
        </w:tc>
        <w:tc>
          <w:tcPr>
            <w:tcW w:w="80" w:type="dxa"/>
            <w:vAlign w:val="bottom"/>
            <w:shd w:val="clear" w:color="auto" w:fill="E4E4E4"/>
          </w:tcPr>
          <w:p>
            <w:pPr>
              <w:spacing w:after="0"/>
              <w:rPr>
                <w:sz w:val="15"/>
                <w:szCs w:val="15"/>
                <w:color w:val="auto"/>
              </w:rPr>
            </w:pPr>
          </w:p>
        </w:tc>
      </w:tr>
      <w:tr>
        <w:trPr>
          <w:trHeight w:val="161"/>
        </w:trPr>
        <w:tc>
          <w:tcPr>
            <w:tcW w:w="3640" w:type="dxa"/>
            <w:vAlign w:val="bottom"/>
            <w:gridSpan w:val="2"/>
          </w:tcPr>
          <w:p>
            <w:pPr>
              <w:spacing w:after="0"/>
              <w:rPr>
                <w:sz w:val="20"/>
                <w:szCs w:val="20"/>
                <w:color w:val="auto"/>
              </w:rPr>
            </w:pPr>
            <w:r>
              <w:rPr>
                <w:rFonts w:ascii="Arial" w:cs="Arial" w:eastAsia="Arial" w:hAnsi="Arial"/>
                <w:sz w:val="14"/>
                <w:szCs w:val="14"/>
                <w:color w:val="1E1E1E"/>
              </w:rPr>
              <w:t>Net income</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80" w:type="dxa"/>
            <w:vAlign w:val="bottom"/>
          </w:tcPr>
          <w:p>
            <w:pPr>
              <w:spacing w:after="0"/>
              <w:rPr>
                <w:sz w:val="13"/>
                <w:szCs w:val="13"/>
                <w:color w:val="auto"/>
              </w:rPr>
            </w:pPr>
          </w:p>
        </w:tc>
        <w:tc>
          <w:tcPr>
            <w:tcW w:w="700" w:type="dxa"/>
            <w:vAlign w:val="bottom"/>
            <w:gridSpan w:val="4"/>
          </w:tcPr>
          <w:p>
            <w:pPr>
              <w:jc w:val="right"/>
              <w:ind w:right="180"/>
              <w:spacing w:after="0"/>
              <w:rPr>
                <w:sz w:val="20"/>
                <w:szCs w:val="20"/>
                <w:color w:val="auto"/>
              </w:rPr>
            </w:pPr>
            <w:r>
              <w:rPr>
                <w:rFonts w:ascii="Arial" w:cs="Arial" w:eastAsia="Arial" w:hAnsi="Arial"/>
                <w:sz w:val="14"/>
                <w:szCs w:val="14"/>
                <w:color w:val="1E1E1E"/>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1E1E1E"/>
              </w:rPr>
              <w:t>89,123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1E1E1E"/>
              </w:rPr>
              <w:t>—</w:t>
            </w:r>
          </w:p>
        </w:tc>
        <w:tc>
          <w:tcPr>
            <w:tcW w:w="12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1E1E1E"/>
              </w:rPr>
              <w:t>89,123</w:t>
            </w:r>
          </w:p>
        </w:tc>
        <w:tc>
          <w:tcPr>
            <w:tcW w:w="80" w:type="dxa"/>
            <w:vAlign w:val="bottom"/>
          </w:tcPr>
          <w:p>
            <w:pPr>
              <w:spacing w:after="0"/>
              <w:rPr>
                <w:sz w:val="13"/>
                <w:szCs w:val="13"/>
                <w:color w:val="auto"/>
              </w:rPr>
            </w:pPr>
          </w:p>
        </w:tc>
      </w:tr>
      <w:tr>
        <w:trPr>
          <w:trHeight w:val="155"/>
        </w:trPr>
        <w:tc>
          <w:tcPr>
            <w:tcW w:w="3620" w:type="dxa"/>
            <w:vAlign w:val="bottom"/>
            <w:tcBorders>
              <w:top w:val="single" w:sz="8" w:color="E4E4E4"/>
            </w:tcBorders>
            <w:shd w:val="clear" w:color="auto" w:fill="E4E4E4"/>
          </w:tcPr>
          <w:p>
            <w:pPr>
              <w:spacing w:after="0" w:line="153" w:lineRule="exact"/>
              <w:rPr>
                <w:sz w:val="20"/>
                <w:szCs w:val="20"/>
                <w:color w:val="auto"/>
              </w:rPr>
            </w:pPr>
            <w:r>
              <w:rPr>
                <w:rFonts w:ascii="Arial" w:cs="Arial" w:eastAsia="Arial" w:hAnsi="Arial"/>
                <w:sz w:val="14"/>
                <w:szCs w:val="14"/>
                <w:color w:val="1E1E1E"/>
              </w:rPr>
              <w:t>Balance at January 28, 2023</w:t>
            </w:r>
          </w:p>
        </w:tc>
        <w:tc>
          <w:tcPr>
            <w:tcW w:w="20" w:type="dxa"/>
            <w:vAlign w:val="bottom"/>
            <w:tcBorders>
              <w:top w:val="single" w:sz="8" w:color="1E1E1E"/>
            </w:tcBorders>
            <w:shd w:val="clear" w:color="auto" w:fill="E4E4E4"/>
          </w:tcPr>
          <w:p>
            <w:pPr>
              <w:spacing w:after="0"/>
              <w:rPr>
                <w:sz w:val="13"/>
                <w:szCs w:val="13"/>
                <w:color w:val="auto"/>
              </w:rPr>
            </w:pPr>
          </w:p>
        </w:tc>
        <w:tc>
          <w:tcPr>
            <w:tcW w:w="86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rPr>
              <w:t>78,230</w:t>
            </w:r>
          </w:p>
        </w:tc>
        <w:tc>
          <w:tcPr>
            <w:tcW w:w="18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1E1E1E"/>
            </w:tcBorders>
            <w:shd w:val="clear" w:color="auto" w:fill="E4E4E4"/>
          </w:tcPr>
          <w:p>
            <w:pPr>
              <w:spacing w:after="0"/>
              <w:rPr>
                <w:sz w:val="13"/>
                <w:szCs w:val="13"/>
                <w:color w:val="auto"/>
              </w:rPr>
            </w:pPr>
          </w:p>
        </w:tc>
        <w:tc>
          <w:tcPr>
            <w:tcW w:w="200" w:type="dxa"/>
            <w:vAlign w:val="bottom"/>
            <w:tcBorders>
              <w:top w:val="single" w:sz="8" w:color="1E1E1E"/>
            </w:tcBorders>
            <w:shd w:val="clear" w:color="auto" w:fill="E4E4E4"/>
          </w:tcPr>
          <w:p>
            <w:pPr>
              <w:jc w:val="right"/>
              <w:ind w:right="84"/>
              <w:spacing w:after="0"/>
              <w:rPr>
                <w:sz w:val="20"/>
                <w:szCs w:val="20"/>
                <w:color w:val="auto"/>
              </w:rPr>
            </w:pPr>
            <w:r>
              <w:rPr>
                <w:rFonts w:ascii="Arial" w:cs="Arial" w:eastAsia="Arial" w:hAnsi="Arial"/>
                <w:sz w:val="10"/>
                <w:szCs w:val="10"/>
                <w:color w:val="1E1E1E"/>
                <w:w w:val="71"/>
              </w:rPr>
              <w:t>$</w:t>
            </w:r>
          </w:p>
        </w:tc>
        <w:tc>
          <w:tcPr>
            <w:tcW w:w="36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rPr>
              <w:t>782</w:t>
            </w:r>
          </w:p>
        </w:tc>
        <w:tc>
          <w:tcPr>
            <w:tcW w:w="180" w:type="dxa"/>
            <w:vAlign w:val="bottom"/>
            <w:tcBorders>
              <w:top w:val="single" w:sz="8" w:color="E4E4E4"/>
            </w:tcBorders>
            <w:shd w:val="clear" w:color="auto" w:fill="E4E4E4"/>
          </w:tcPr>
          <w:p>
            <w:pPr>
              <w:spacing w:after="0"/>
              <w:rPr>
                <w:sz w:val="13"/>
                <w:szCs w:val="13"/>
                <w:color w:val="auto"/>
              </w:rPr>
            </w:pPr>
          </w:p>
        </w:tc>
        <w:tc>
          <w:tcPr>
            <w:tcW w:w="80" w:type="dxa"/>
            <w:vAlign w:val="bottom"/>
            <w:tcBorders>
              <w:top w:val="single" w:sz="8" w:color="1E1E1E"/>
            </w:tcBorders>
            <w:shd w:val="clear" w:color="auto" w:fill="E4E4E4"/>
          </w:tcPr>
          <w:p>
            <w:pPr>
              <w:spacing w:after="0" w:line="155" w:lineRule="exact"/>
              <w:rPr>
                <w:sz w:val="20"/>
                <w:szCs w:val="20"/>
                <w:color w:val="auto"/>
              </w:rPr>
            </w:pPr>
            <w:r>
              <w:rPr>
                <w:rFonts w:ascii="Arial" w:cs="Arial" w:eastAsia="Arial" w:hAnsi="Arial"/>
                <w:sz w:val="14"/>
                <w:szCs w:val="14"/>
                <w:color w:val="1E1E1E"/>
                <w:w w:val="76"/>
                <w:shd w:val="clear" w:color="auto" w:fill="E4E4E4"/>
              </w:rPr>
              <w:t>$</w:t>
            </w:r>
          </w:p>
        </w:tc>
        <w:tc>
          <w:tcPr>
            <w:tcW w:w="52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w w:val="98"/>
                <w:shd w:val="clear" w:color="auto" w:fill="E4E4E4"/>
              </w:rPr>
              <w:t>321,516</w:t>
            </w:r>
          </w:p>
        </w:tc>
        <w:tc>
          <w:tcPr>
            <w:tcW w:w="20" w:type="dxa"/>
            <w:vAlign w:val="bottom"/>
            <w:tcBorders>
              <w:top w:val="single" w:sz="8" w:color="1E1E1E"/>
            </w:tcBorders>
            <w:shd w:val="clear" w:color="auto" w:fill="E4E4E4"/>
          </w:tcPr>
          <w:p>
            <w:pPr>
              <w:spacing w:after="0"/>
              <w:rPr>
                <w:sz w:val="13"/>
                <w:szCs w:val="13"/>
                <w:color w:val="auto"/>
              </w:rPr>
            </w:pPr>
          </w:p>
        </w:tc>
        <w:tc>
          <w:tcPr>
            <w:tcW w:w="14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1E1E1E"/>
            </w:tcBorders>
            <w:shd w:val="clear" w:color="auto" w:fill="E4E4E4"/>
          </w:tcPr>
          <w:p>
            <w:pPr>
              <w:spacing w:after="0"/>
              <w:rPr>
                <w:sz w:val="13"/>
                <w:szCs w:val="13"/>
                <w:color w:val="auto"/>
              </w:rPr>
            </w:pPr>
          </w:p>
        </w:tc>
        <w:tc>
          <w:tcPr>
            <w:tcW w:w="84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rPr>
              <w:t>(15,625)</w:t>
            </w:r>
          </w:p>
        </w:tc>
        <w:tc>
          <w:tcPr>
            <w:tcW w:w="180" w:type="dxa"/>
            <w:vAlign w:val="bottom"/>
            <w:tcBorders>
              <w:top w:val="single" w:sz="8" w:color="E4E4E4"/>
            </w:tcBorders>
            <w:shd w:val="clear" w:color="auto" w:fill="E4E4E4"/>
          </w:tcPr>
          <w:p>
            <w:pPr>
              <w:spacing w:after="0"/>
              <w:rPr>
                <w:sz w:val="13"/>
                <w:szCs w:val="13"/>
                <w:color w:val="auto"/>
              </w:rPr>
            </w:pPr>
          </w:p>
        </w:tc>
        <w:tc>
          <w:tcPr>
            <w:tcW w:w="20" w:type="dxa"/>
            <w:vAlign w:val="bottom"/>
            <w:tcBorders>
              <w:top w:val="single" w:sz="8" w:color="1E1E1E"/>
            </w:tcBorders>
            <w:shd w:val="clear" w:color="auto" w:fill="E4E4E4"/>
          </w:tcPr>
          <w:p>
            <w:pPr>
              <w:spacing w:after="0"/>
              <w:rPr>
                <w:sz w:val="13"/>
                <w:szCs w:val="13"/>
                <w:color w:val="auto"/>
              </w:rPr>
            </w:pPr>
          </w:p>
        </w:tc>
        <w:tc>
          <w:tcPr>
            <w:tcW w:w="80" w:type="dxa"/>
            <w:vAlign w:val="bottom"/>
            <w:tcBorders>
              <w:top w:val="single" w:sz="8" w:color="1E1E1E"/>
            </w:tcBorders>
            <w:shd w:val="clear" w:color="auto" w:fill="E4E4E4"/>
          </w:tcPr>
          <w:p>
            <w:pPr>
              <w:jc w:val="right"/>
              <w:spacing w:after="0"/>
              <w:rPr>
                <w:sz w:val="20"/>
                <w:szCs w:val="20"/>
                <w:color w:val="auto"/>
              </w:rPr>
            </w:pPr>
            <w:r>
              <w:rPr>
                <w:rFonts w:ascii="Arial" w:cs="Arial" w:eastAsia="Arial" w:hAnsi="Arial"/>
                <w:sz w:val="10"/>
                <w:szCs w:val="10"/>
                <w:color w:val="1E1E1E"/>
                <w:w w:val="71"/>
                <w:shd w:val="clear" w:color="auto" w:fill="E4E4E4"/>
              </w:rPr>
              <w:t>$</w:t>
            </w:r>
          </w:p>
        </w:tc>
        <w:tc>
          <w:tcPr>
            <w:tcW w:w="52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w w:val="90"/>
                <w:shd w:val="clear" w:color="auto" w:fill="E4E4E4"/>
              </w:rPr>
              <w:t>(105,386</w:t>
            </w:r>
          </w:p>
        </w:tc>
        <w:tc>
          <w:tcPr>
            <w:tcW w:w="20" w:type="dxa"/>
            <w:vAlign w:val="bottom"/>
            <w:tcBorders>
              <w:top w:val="single" w:sz="8" w:color="1E1E1E"/>
            </w:tcBorders>
            <w:shd w:val="clear" w:color="auto" w:fill="E4E4E4"/>
          </w:tcPr>
          <w:p>
            <w:pPr>
              <w:spacing w:after="0"/>
              <w:rPr>
                <w:sz w:val="13"/>
                <w:szCs w:val="13"/>
                <w:color w:val="auto"/>
              </w:rPr>
            </w:pPr>
          </w:p>
        </w:tc>
        <w:tc>
          <w:tcPr>
            <w:tcW w:w="160" w:type="dxa"/>
            <w:vAlign w:val="bottom"/>
            <w:tcBorders>
              <w:top w:val="single" w:sz="8" w:color="E4E4E4"/>
            </w:tcBorders>
            <w:shd w:val="clear" w:color="auto" w:fill="E4E4E4"/>
          </w:tcPr>
          <w:p>
            <w:pPr>
              <w:jc w:val="right"/>
              <w:ind w:right="134"/>
              <w:spacing w:after="0"/>
              <w:rPr>
                <w:sz w:val="20"/>
                <w:szCs w:val="20"/>
                <w:color w:val="auto"/>
              </w:rPr>
            </w:pPr>
            <w:r>
              <w:rPr>
                <w:rFonts w:ascii="Arial" w:cs="Arial" w:eastAsia="Arial" w:hAnsi="Arial"/>
                <w:sz w:val="1"/>
                <w:szCs w:val="1"/>
                <w:color w:val="1E1E1E"/>
                <w:w w:val="4294967281"/>
              </w:rPr>
              <w:t>)</w:t>
            </w:r>
          </w:p>
        </w:tc>
        <w:tc>
          <w:tcPr>
            <w:tcW w:w="120" w:type="dxa"/>
            <w:vAlign w:val="bottom"/>
            <w:tcBorders>
              <w:top w:val="single" w:sz="8" w:color="1E1E1E"/>
            </w:tcBorders>
            <w:shd w:val="clear" w:color="auto" w:fill="E4E4E4"/>
          </w:tcPr>
          <w:p>
            <w:pPr>
              <w:spacing w:after="0" w:line="155" w:lineRule="exact"/>
              <w:rPr>
                <w:sz w:val="20"/>
                <w:szCs w:val="20"/>
                <w:color w:val="auto"/>
              </w:rPr>
            </w:pPr>
            <w:r>
              <w:rPr>
                <w:rFonts w:ascii="Arial" w:cs="Arial" w:eastAsia="Arial" w:hAnsi="Arial"/>
                <w:sz w:val="14"/>
                <w:szCs w:val="14"/>
                <w:color w:val="1E1E1E"/>
                <w:shd w:val="clear" w:color="auto" w:fill="E4E4E4"/>
              </w:rPr>
              <w:t>$</w:t>
            </w:r>
          </w:p>
        </w:tc>
        <w:tc>
          <w:tcPr>
            <w:tcW w:w="62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shd w:val="clear" w:color="auto" w:fill="E4E4E4"/>
              </w:rPr>
              <w:t>(74,756</w:t>
            </w:r>
          </w:p>
        </w:tc>
        <w:tc>
          <w:tcPr>
            <w:tcW w:w="20" w:type="dxa"/>
            <w:vAlign w:val="bottom"/>
            <w:tcBorders>
              <w:top w:val="single" w:sz="8" w:color="E4E4E4"/>
            </w:tcBorders>
            <w:shd w:val="clear" w:color="auto" w:fill="E4E4E4"/>
          </w:tcPr>
          <w:p>
            <w:pPr>
              <w:spacing w:after="0"/>
              <w:rPr>
                <w:sz w:val="13"/>
                <w:szCs w:val="13"/>
                <w:color w:val="auto"/>
              </w:rPr>
            </w:pPr>
          </w:p>
        </w:tc>
        <w:tc>
          <w:tcPr>
            <w:tcW w:w="160" w:type="dxa"/>
            <w:vAlign w:val="bottom"/>
            <w:tcBorders>
              <w:top w:val="single" w:sz="8" w:color="E4E4E4"/>
            </w:tcBorders>
            <w:shd w:val="clear" w:color="auto" w:fill="E4E4E4"/>
          </w:tcPr>
          <w:p>
            <w:pPr>
              <w:jc w:val="right"/>
              <w:ind w:right="79"/>
              <w:spacing w:after="0"/>
              <w:rPr>
                <w:sz w:val="20"/>
                <w:szCs w:val="20"/>
                <w:color w:val="auto"/>
              </w:rPr>
            </w:pPr>
            <w:r>
              <w:rPr>
                <w:rFonts w:ascii="Arial" w:cs="Arial" w:eastAsia="Arial" w:hAnsi="Arial"/>
                <w:sz w:val="8"/>
                <w:szCs w:val="8"/>
                <w:color w:val="1E1E1E"/>
                <w:w w:val="73"/>
              </w:rPr>
              <w:t>)</w:t>
            </w:r>
          </w:p>
        </w:tc>
        <w:tc>
          <w:tcPr>
            <w:tcW w:w="20" w:type="dxa"/>
            <w:vAlign w:val="bottom"/>
            <w:tcBorders>
              <w:top w:val="single" w:sz="8" w:color="E4E4E4"/>
            </w:tcBorders>
            <w:shd w:val="clear" w:color="auto" w:fill="E4E4E4"/>
          </w:tcPr>
          <w:p>
            <w:pPr>
              <w:spacing w:after="0"/>
              <w:rPr>
                <w:sz w:val="13"/>
                <w:szCs w:val="13"/>
                <w:color w:val="auto"/>
              </w:rPr>
            </w:pPr>
          </w:p>
        </w:tc>
        <w:tc>
          <w:tcPr>
            <w:tcW w:w="160" w:type="dxa"/>
            <w:vAlign w:val="bottom"/>
            <w:tcBorders>
              <w:top w:val="single" w:sz="8" w:color="1E1E1E"/>
            </w:tcBorders>
            <w:shd w:val="clear" w:color="auto" w:fill="E4E4E4"/>
          </w:tcPr>
          <w:p>
            <w:pPr>
              <w:spacing w:after="0" w:line="155" w:lineRule="exact"/>
              <w:rPr>
                <w:sz w:val="20"/>
                <w:szCs w:val="20"/>
                <w:color w:val="auto"/>
              </w:rPr>
            </w:pPr>
            <w:r>
              <w:rPr>
                <w:rFonts w:ascii="Arial" w:cs="Arial" w:eastAsia="Arial" w:hAnsi="Arial"/>
                <w:sz w:val="14"/>
                <w:szCs w:val="14"/>
                <w:color w:val="1E1E1E"/>
              </w:rPr>
              <w:t>$</w:t>
            </w:r>
          </w:p>
        </w:tc>
        <w:tc>
          <w:tcPr>
            <w:tcW w:w="70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rPr>
              <w:t>(4,928)</w:t>
            </w:r>
          </w:p>
        </w:tc>
        <w:tc>
          <w:tcPr>
            <w:tcW w:w="200" w:type="dxa"/>
            <w:vAlign w:val="bottom"/>
            <w:tcBorders>
              <w:top w:val="single" w:sz="8" w:color="E4E4E4"/>
            </w:tcBorders>
            <w:shd w:val="clear" w:color="auto" w:fill="E4E4E4"/>
          </w:tcPr>
          <w:p>
            <w:pPr>
              <w:spacing w:after="0"/>
              <w:rPr>
                <w:sz w:val="13"/>
                <w:szCs w:val="13"/>
                <w:color w:val="auto"/>
              </w:rPr>
            </w:pPr>
          </w:p>
        </w:tc>
        <w:tc>
          <w:tcPr>
            <w:tcW w:w="120" w:type="dxa"/>
            <w:vAlign w:val="bottom"/>
            <w:tcBorders>
              <w:top w:val="single" w:sz="8" w:color="1E1E1E"/>
            </w:tcBorders>
            <w:shd w:val="clear" w:color="auto" w:fill="E4E4E4"/>
          </w:tcPr>
          <w:p>
            <w:pPr>
              <w:jc w:val="right"/>
              <w:ind w:right="8"/>
              <w:spacing w:after="0"/>
              <w:rPr>
                <w:sz w:val="20"/>
                <w:szCs w:val="20"/>
                <w:color w:val="auto"/>
              </w:rPr>
            </w:pPr>
            <w:r>
              <w:rPr>
                <w:rFonts w:ascii="Arial" w:cs="Arial" w:eastAsia="Arial" w:hAnsi="Arial"/>
                <w:sz w:val="10"/>
                <w:szCs w:val="10"/>
                <w:color w:val="1E1E1E"/>
                <w:w w:val="71"/>
                <w:shd w:val="clear" w:color="auto" w:fill="E4E4E4"/>
              </w:rPr>
              <w:t>$</w:t>
            </w:r>
          </w:p>
        </w:tc>
        <w:tc>
          <w:tcPr>
            <w:tcW w:w="540" w:type="dxa"/>
            <w:vAlign w:val="bottom"/>
            <w:tcBorders>
              <w:top w:val="single" w:sz="8" w:color="1E1E1E"/>
            </w:tcBorders>
            <w:shd w:val="clear" w:color="auto" w:fill="E4E4E4"/>
          </w:tcPr>
          <w:p>
            <w:pPr>
              <w:jc w:val="right"/>
              <w:spacing w:after="0" w:line="155" w:lineRule="exact"/>
              <w:rPr>
                <w:sz w:val="20"/>
                <w:szCs w:val="20"/>
                <w:color w:val="auto"/>
              </w:rPr>
            </w:pPr>
            <w:r>
              <w:rPr>
                <w:rFonts w:ascii="Arial" w:cs="Arial" w:eastAsia="Arial" w:hAnsi="Arial"/>
                <w:sz w:val="14"/>
                <w:szCs w:val="14"/>
                <w:color w:val="1E1E1E"/>
                <w:shd w:val="clear" w:color="auto" w:fill="E4E4E4"/>
              </w:rPr>
              <w:t>137,228</w:t>
            </w:r>
          </w:p>
        </w:tc>
        <w:tc>
          <w:tcPr>
            <w:tcW w:w="20" w:type="dxa"/>
            <w:vAlign w:val="bottom"/>
            <w:tcBorders>
              <w:top w:val="single" w:sz="8" w:color="1E1E1E"/>
            </w:tcBorders>
            <w:shd w:val="clear" w:color="auto" w:fill="E4E4E4"/>
          </w:tcPr>
          <w:p>
            <w:pPr>
              <w:spacing w:after="0"/>
              <w:rPr>
                <w:sz w:val="13"/>
                <w:szCs w:val="13"/>
                <w:color w:val="auto"/>
              </w:rPr>
            </w:pPr>
          </w:p>
        </w:tc>
        <w:tc>
          <w:tcPr>
            <w:tcW w:w="80" w:type="dxa"/>
            <w:vAlign w:val="bottom"/>
            <w:tcBorders>
              <w:top w:val="single" w:sz="8" w:color="E4E4E4"/>
            </w:tcBorders>
            <w:shd w:val="clear" w:color="auto" w:fill="E4E4E4"/>
          </w:tcPr>
          <w:p>
            <w:pPr>
              <w:spacing w:after="0"/>
              <w:rPr>
                <w:sz w:val="13"/>
                <w:szCs w:val="13"/>
                <w:color w:val="auto"/>
              </w:rPr>
            </w:pPr>
          </w:p>
        </w:tc>
      </w:tr>
      <w:tr>
        <w:trPr>
          <w:trHeight w:val="41"/>
        </w:trPr>
        <w:tc>
          <w:tcPr>
            <w:tcW w:w="364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gridSpan w:val="2"/>
          </w:tcPr>
          <w:p>
            <w:pPr>
              <w:spacing w:after="0"/>
              <w:rPr>
                <w:sz w:val="3"/>
                <w:szCs w:val="3"/>
                <w:color w:val="auto"/>
              </w:rPr>
            </w:pPr>
          </w:p>
        </w:tc>
      </w:tr>
      <w:tr>
        <w:trPr>
          <w:trHeight w:val="163"/>
        </w:trPr>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3640" w:type="dxa"/>
            <w:vAlign w:val="bottom"/>
            <w:gridSpan w:val="2"/>
            <w:shd w:val="clear" w:color="auto" w:fill="E4E4E4"/>
          </w:tcPr>
          <w:p>
            <w:pPr>
              <w:spacing w:after="0"/>
              <w:rPr>
                <w:sz w:val="20"/>
                <w:szCs w:val="20"/>
                <w:color w:val="auto"/>
              </w:rPr>
            </w:pPr>
            <w:r>
              <w:rPr>
                <w:rFonts w:ascii="Arial" w:cs="Arial" w:eastAsia="Arial" w:hAnsi="Arial"/>
                <w:sz w:val="14"/>
                <w:szCs w:val="14"/>
                <w:color w:val="1E1E1E"/>
              </w:rPr>
              <w:t>Stock compensation expense</w:t>
            </w:r>
          </w:p>
        </w:tc>
        <w:tc>
          <w:tcPr>
            <w:tcW w:w="86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w:t>
            </w:r>
          </w:p>
        </w:tc>
        <w:tc>
          <w:tcPr>
            <w:tcW w:w="18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200" w:type="dxa"/>
            <w:vAlign w:val="bottom"/>
            <w:shd w:val="clear" w:color="auto" w:fill="E4E4E4"/>
          </w:tcPr>
          <w:p>
            <w:pPr>
              <w:spacing w:after="0"/>
              <w:rPr>
                <w:sz w:val="13"/>
                <w:szCs w:val="13"/>
                <w:color w:val="auto"/>
              </w:rPr>
            </w:pPr>
          </w:p>
        </w:tc>
        <w:tc>
          <w:tcPr>
            <w:tcW w:w="36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w:t>
            </w:r>
          </w:p>
        </w:tc>
        <w:tc>
          <w:tcPr>
            <w:tcW w:w="18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540" w:type="dxa"/>
            <w:vAlign w:val="bottom"/>
            <w:gridSpan w:val="2"/>
            <w:shd w:val="clear" w:color="auto" w:fill="E4E4E4"/>
          </w:tcPr>
          <w:p>
            <w:pPr>
              <w:jc w:val="right"/>
              <w:ind w:right="20"/>
              <w:spacing w:after="0"/>
              <w:rPr>
                <w:sz w:val="20"/>
                <w:szCs w:val="20"/>
                <w:color w:val="auto"/>
              </w:rPr>
            </w:pPr>
            <w:r>
              <w:rPr>
                <w:rFonts w:ascii="Arial" w:cs="Arial" w:eastAsia="Arial" w:hAnsi="Arial"/>
                <w:sz w:val="14"/>
                <w:szCs w:val="14"/>
                <w:color w:val="1E1E1E"/>
              </w:rPr>
              <w:t>2,496</w:t>
            </w:r>
          </w:p>
        </w:tc>
        <w:tc>
          <w:tcPr>
            <w:tcW w:w="14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w:t>
            </w:r>
          </w:p>
        </w:tc>
        <w:tc>
          <w:tcPr>
            <w:tcW w:w="18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540" w:type="dxa"/>
            <w:vAlign w:val="bottom"/>
            <w:gridSpan w:val="2"/>
            <w:shd w:val="clear" w:color="auto" w:fill="E4E4E4"/>
          </w:tcPr>
          <w:p>
            <w:pPr>
              <w:jc w:val="right"/>
              <w:ind w:right="20"/>
              <w:spacing w:after="0"/>
              <w:rPr>
                <w:sz w:val="20"/>
                <w:szCs w:val="20"/>
                <w:color w:val="auto"/>
              </w:rPr>
            </w:pPr>
            <w:r>
              <w:rPr>
                <w:rFonts w:ascii="Arial" w:cs="Arial" w:eastAsia="Arial" w:hAnsi="Arial"/>
                <w:sz w:val="14"/>
                <w:szCs w:val="14"/>
                <w:color w:val="1E1E1E"/>
              </w:rPr>
              <w:t>—</w:t>
            </w:r>
          </w:p>
        </w:tc>
        <w:tc>
          <w:tcPr>
            <w:tcW w:w="16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640" w:type="dxa"/>
            <w:vAlign w:val="bottom"/>
            <w:gridSpan w:val="2"/>
            <w:shd w:val="clear" w:color="auto" w:fill="E4E4E4"/>
          </w:tcPr>
          <w:p>
            <w:pPr>
              <w:ind w:left="480"/>
              <w:spacing w:after="0"/>
              <w:rPr>
                <w:sz w:val="20"/>
                <w:szCs w:val="20"/>
                <w:color w:val="auto"/>
              </w:rPr>
            </w:pPr>
            <w:r>
              <w:rPr>
                <w:rFonts w:ascii="Arial" w:cs="Arial" w:eastAsia="Arial" w:hAnsi="Arial"/>
                <w:sz w:val="14"/>
                <w:szCs w:val="14"/>
                <w:color w:val="1E1E1E"/>
                <w:w w:val="99"/>
              </w:rPr>
              <w:t>—</w:t>
            </w:r>
          </w:p>
        </w:tc>
        <w:tc>
          <w:tcPr>
            <w:tcW w:w="16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160" w:type="dxa"/>
            <w:vAlign w:val="bottom"/>
            <w:shd w:val="clear" w:color="auto" w:fill="E4E4E4"/>
          </w:tcPr>
          <w:p>
            <w:pPr>
              <w:spacing w:after="0"/>
              <w:rPr>
                <w:sz w:val="13"/>
                <w:szCs w:val="13"/>
                <w:color w:val="auto"/>
              </w:rPr>
            </w:pPr>
          </w:p>
        </w:tc>
        <w:tc>
          <w:tcPr>
            <w:tcW w:w="900" w:type="dxa"/>
            <w:vAlign w:val="bottom"/>
            <w:gridSpan w:val="2"/>
            <w:shd w:val="clear" w:color="auto" w:fill="E4E4E4"/>
          </w:tcPr>
          <w:p>
            <w:pPr>
              <w:jc w:val="right"/>
              <w:ind w:right="200"/>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3"/>
                <w:szCs w:val="13"/>
                <w:color w:val="auto"/>
              </w:rPr>
            </w:pPr>
          </w:p>
        </w:tc>
        <w:tc>
          <w:tcPr>
            <w:tcW w:w="560" w:type="dxa"/>
            <w:vAlign w:val="bottom"/>
            <w:gridSpan w:val="2"/>
            <w:shd w:val="clear" w:color="auto" w:fill="E4E4E4"/>
          </w:tcPr>
          <w:p>
            <w:pPr>
              <w:jc w:val="right"/>
              <w:spacing w:after="0"/>
              <w:rPr>
                <w:sz w:val="20"/>
                <w:szCs w:val="20"/>
                <w:color w:val="auto"/>
              </w:rPr>
            </w:pPr>
            <w:r>
              <w:rPr>
                <w:rFonts w:ascii="Arial" w:cs="Arial" w:eastAsia="Arial" w:hAnsi="Arial"/>
                <w:sz w:val="14"/>
                <w:szCs w:val="14"/>
                <w:color w:val="1E1E1E"/>
              </w:rPr>
              <w:t>2,496</w:t>
            </w:r>
          </w:p>
        </w:tc>
        <w:tc>
          <w:tcPr>
            <w:tcW w:w="80" w:type="dxa"/>
            <w:vAlign w:val="bottom"/>
            <w:shd w:val="clear" w:color="auto" w:fill="E4E4E4"/>
          </w:tcPr>
          <w:p>
            <w:pPr>
              <w:spacing w:after="0"/>
              <w:rPr>
                <w:sz w:val="13"/>
                <w:szCs w:val="13"/>
                <w:color w:val="auto"/>
              </w:rPr>
            </w:pPr>
          </w:p>
        </w:tc>
      </w:tr>
      <w:tr>
        <w:trPr>
          <w:trHeight w:val="148"/>
        </w:trPr>
        <w:tc>
          <w:tcPr>
            <w:tcW w:w="3640" w:type="dxa"/>
            <w:vAlign w:val="bottom"/>
            <w:gridSpan w:val="2"/>
          </w:tcPr>
          <w:p>
            <w:pPr>
              <w:spacing w:after="0" w:line="148" w:lineRule="exact"/>
              <w:rPr>
                <w:sz w:val="20"/>
                <w:szCs w:val="20"/>
                <w:color w:val="auto"/>
              </w:rPr>
            </w:pPr>
            <w:r>
              <w:rPr>
                <w:rFonts w:ascii="Arial" w:cs="Arial" w:eastAsia="Arial" w:hAnsi="Arial"/>
                <w:sz w:val="14"/>
                <w:szCs w:val="14"/>
                <w:color w:val="1E1E1E"/>
              </w:rPr>
              <w:t>RSUs granted for achievement of performance-based</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4"/>
        </w:trPr>
        <w:tc>
          <w:tcPr>
            <w:tcW w:w="3640" w:type="dxa"/>
            <w:vAlign w:val="bottom"/>
            <w:gridSpan w:val="2"/>
          </w:tcPr>
          <w:p>
            <w:pPr>
              <w:spacing w:after="0"/>
              <w:rPr>
                <w:sz w:val="20"/>
                <w:szCs w:val="20"/>
                <w:color w:val="auto"/>
              </w:rPr>
            </w:pPr>
            <w:r>
              <w:rPr>
                <w:rFonts w:ascii="Arial" w:cs="Arial" w:eastAsia="Arial" w:hAnsi="Arial"/>
                <w:sz w:val="14"/>
                <w:szCs w:val="14"/>
                <w:color w:val="1E1E1E"/>
              </w:rPr>
              <w:t>compensation, reclassified from liability to equity</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8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1E1E1E"/>
              </w:rPr>
              <w:t>1,146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tcPr>
          <w:p>
            <w:pPr>
              <w:spacing w:after="0"/>
              <w:rPr>
                <w:sz w:val="15"/>
                <w:szCs w:val="15"/>
                <w:color w:val="auto"/>
              </w:rPr>
            </w:pPr>
          </w:p>
        </w:tc>
        <w:tc>
          <w:tcPr>
            <w:tcW w:w="800" w:type="dxa"/>
            <w:vAlign w:val="bottom"/>
            <w:gridSpan w:val="3"/>
          </w:tcPr>
          <w:p>
            <w:pPr>
              <w:ind w:left="4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1E1E1E"/>
              </w:rPr>
              <w:t>—</w:t>
            </w:r>
          </w:p>
        </w:tc>
        <w:tc>
          <w:tcPr>
            <w:tcW w:w="120" w:type="dxa"/>
            <w:vAlign w:val="bottom"/>
          </w:tcPr>
          <w:p>
            <w:pPr>
              <w:spacing w:after="0"/>
              <w:rPr>
                <w:sz w:val="15"/>
                <w:szCs w:val="15"/>
                <w:color w:val="auto"/>
              </w:rPr>
            </w:pPr>
          </w:p>
        </w:tc>
        <w:tc>
          <w:tcPr>
            <w:tcW w:w="640" w:type="dxa"/>
            <w:vAlign w:val="bottom"/>
            <w:gridSpan w:val="3"/>
          </w:tcPr>
          <w:p>
            <w:pPr>
              <w:jc w:val="right"/>
              <w:ind w:right="39"/>
              <w:spacing w:after="0"/>
              <w:rPr>
                <w:sz w:val="20"/>
                <w:szCs w:val="20"/>
                <w:color w:val="auto"/>
              </w:rPr>
            </w:pPr>
            <w:r>
              <w:rPr>
                <w:rFonts w:ascii="Arial" w:cs="Arial" w:eastAsia="Arial" w:hAnsi="Arial"/>
                <w:sz w:val="14"/>
                <w:szCs w:val="14"/>
                <w:color w:val="1E1E1E"/>
              </w:rPr>
              <w:t>1,146</w:t>
            </w:r>
          </w:p>
        </w:tc>
      </w:tr>
      <w:tr>
        <w:trPr>
          <w:trHeight w:val="161"/>
        </w:trPr>
        <w:tc>
          <w:tcPr>
            <w:tcW w:w="3640" w:type="dxa"/>
            <w:vAlign w:val="bottom"/>
            <w:gridSpan w:val="2"/>
            <w:shd w:val="clear" w:color="auto" w:fill="E4E4E4"/>
          </w:tcPr>
          <w:p>
            <w:pPr>
              <w:spacing w:after="0"/>
              <w:rPr>
                <w:sz w:val="20"/>
                <w:szCs w:val="20"/>
                <w:color w:val="auto"/>
              </w:rPr>
            </w:pPr>
            <w:r>
              <w:rPr>
                <w:rFonts w:ascii="Arial" w:cs="Arial" w:eastAsia="Arial" w:hAnsi="Arial"/>
                <w:sz w:val="14"/>
                <w:szCs w:val="14"/>
                <w:color w:val="1E1E1E"/>
              </w:rPr>
              <w:t>Issuance of common stock, upon RSUs release</w:t>
            </w:r>
          </w:p>
        </w:tc>
        <w:tc>
          <w:tcPr>
            <w:tcW w:w="86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538</w:t>
            </w:r>
          </w:p>
        </w:tc>
        <w:tc>
          <w:tcPr>
            <w:tcW w:w="18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200" w:type="dxa"/>
            <w:vAlign w:val="bottom"/>
            <w:shd w:val="clear" w:color="auto" w:fill="E4E4E4"/>
          </w:tcPr>
          <w:p>
            <w:pPr>
              <w:spacing w:after="0"/>
              <w:rPr>
                <w:sz w:val="13"/>
                <w:szCs w:val="13"/>
                <w:color w:val="auto"/>
              </w:rPr>
            </w:pPr>
          </w:p>
        </w:tc>
        <w:tc>
          <w:tcPr>
            <w:tcW w:w="36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5</w:t>
            </w:r>
          </w:p>
        </w:tc>
        <w:tc>
          <w:tcPr>
            <w:tcW w:w="18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680" w:type="dxa"/>
            <w:vAlign w:val="bottom"/>
            <w:gridSpan w:val="3"/>
            <w:shd w:val="clear" w:color="auto" w:fill="E4E4E4"/>
          </w:tcPr>
          <w:p>
            <w:pPr>
              <w:jc w:val="right"/>
              <w:ind w:right="120"/>
              <w:spacing w:after="0"/>
              <w:rPr>
                <w:sz w:val="20"/>
                <w:szCs w:val="20"/>
                <w:color w:val="auto"/>
              </w:rPr>
            </w:pPr>
            <w:r>
              <w:rPr>
                <w:rFonts w:ascii="Arial" w:cs="Arial" w:eastAsia="Arial" w:hAnsi="Arial"/>
                <w:sz w:val="14"/>
                <w:szCs w:val="14"/>
                <w:color w:val="1E1E1E"/>
              </w:rPr>
              <w:t>(5)</w:t>
            </w:r>
          </w:p>
        </w:tc>
        <w:tc>
          <w:tcPr>
            <w:tcW w:w="20" w:type="dxa"/>
            <w:vAlign w:val="bottom"/>
            <w:shd w:val="clear" w:color="auto" w:fill="E4E4E4"/>
          </w:tcPr>
          <w:p>
            <w:pPr>
              <w:spacing w:after="0"/>
              <w:rPr>
                <w:sz w:val="13"/>
                <w:szCs w:val="13"/>
                <w:color w:val="auto"/>
              </w:rPr>
            </w:pPr>
          </w:p>
        </w:tc>
        <w:tc>
          <w:tcPr>
            <w:tcW w:w="1020" w:type="dxa"/>
            <w:vAlign w:val="bottom"/>
            <w:gridSpan w:val="2"/>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700" w:type="dxa"/>
            <w:vAlign w:val="bottom"/>
            <w:gridSpan w:val="3"/>
            <w:shd w:val="clear" w:color="auto" w:fill="E4E4E4"/>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3"/>
                <w:szCs w:val="13"/>
                <w:color w:val="auto"/>
              </w:rPr>
            </w:pPr>
          </w:p>
        </w:tc>
        <w:tc>
          <w:tcPr>
            <w:tcW w:w="800" w:type="dxa"/>
            <w:vAlign w:val="bottom"/>
            <w:gridSpan w:val="3"/>
            <w:shd w:val="clear" w:color="auto" w:fill="E4E4E4"/>
          </w:tcPr>
          <w:p>
            <w:pPr>
              <w:ind w:left="4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3"/>
                <w:szCs w:val="13"/>
                <w:color w:val="auto"/>
              </w:rPr>
            </w:pPr>
          </w:p>
        </w:tc>
        <w:tc>
          <w:tcPr>
            <w:tcW w:w="160" w:type="dxa"/>
            <w:vAlign w:val="bottom"/>
            <w:shd w:val="clear" w:color="auto" w:fill="E4E4E4"/>
          </w:tcPr>
          <w:p>
            <w:pPr>
              <w:spacing w:after="0"/>
              <w:rPr>
                <w:sz w:val="13"/>
                <w:szCs w:val="13"/>
                <w:color w:val="auto"/>
              </w:rPr>
            </w:pPr>
          </w:p>
        </w:tc>
        <w:tc>
          <w:tcPr>
            <w:tcW w:w="900" w:type="dxa"/>
            <w:vAlign w:val="bottom"/>
            <w:gridSpan w:val="2"/>
            <w:shd w:val="clear" w:color="auto" w:fill="E4E4E4"/>
          </w:tcPr>
          <w:p>
            <w:pPr>
              <w:jc w:val="right"/>
              <w:ind w:right="200"/>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3"/>
                <w:szCs w:val="13"/>
                <w:color w:val="auto"/>
              </w:rPr>
            </w:pPr>
          </w:p>
        </w:tc>
        <w:tc>
          <w:tcPr>
            <w:tcW w:w="640" w:type="dxa"/>
            <w:vAlign w:val="bottom"/>
            <w:gridSpan w:val="3"/>
            <w:shd w:val="clear" w:color="auto" w:fill="E4E4E4"/>
          </w:tcPr>
          <w:p>
            <w:pPr>
              <w:jc w:val="right"/>
              <w:ind w:right="39"/>
              <w:spacing w:after="0"/>
              <w:rPr>
                <w:sz w:val="20"/>
                <w:szCs w:val="20"/>
                <w:color w:val="auto"/>
              </w:rPr>
            </w:pPr>
            <w:r>
              <w:rPr>
                <w:rFonts w:ascii="Arial" w:cs="Arial" w:eastAsia="Arial" w:hAnsi="Arial"/>
                <w:sz w:val="14"/>
                <w:szCs w:val="14"/>
                <w:color w:val="1E1E1E"/>
              </w:rPr>
              <w:t>—</w:t>
            </w:r>
          </w:p>
        </w:tc>
      </w:tr>
      <w:tr>
        <w:trPr>
          <w:trHeight w:val="161"/>
        </w:trPr>
        <w:tc>
          <w:tcPr>
            <w:tcW w:w="3640" w:type="dxa"/>
            <w:vAlign w:val="bottom"/>
            <w:gridSpan w:val="2"/>
          </w:tcPr>
          <w:p>
            <w:pPr>
              <w:spacing w:after="0"/>
              <w:rPr>
                <w:sz w:val="20"/>
                <w:szCs w:val="20"/>
                <w:color w:val="auto"/>
              </w:rPr>
            </w:pPr>
            <w:r>
              <w:rPr>
                <w:rFonts w:ascii="Arial" w:cs="Arial" w:eastAsia="Arial" w:hAnsi="Arial"/>
                <w:sz w:val="14"/>
                <w:szCs w:val="14"/>
                <w:color w:val="1E1E1E"/>
              </w:rPr>
              <w:t>Exercise of stock options</w:t>
            </w:r>
          </w:p>
        </w:tc>
        <w:tc>
          <w:tcPr>
            <w:tcW w:w="860" w:type="dxa"/>
            <w:vAlign w:val="bottom"/>
          </w:tcPr>
          <w:p>
            <w:pPr>
              <w:jc w:val="right"/>
              <w:spacing w:after="0"/>
              <w:rPr>
                <w:sz w:val="20"/>
                <w:szCs w:val="20"/>
                <w:color w:val="auto"/>
              </w:rPr>
            </w:pPr>
            <w:r>
              <w:rPr>
                <w:rFonts w:ascii="Arial" w:cs="Arial" w:eastAsia="Arial" w:hAnsi="Arial"/>
                <w:sz w:val="14"/>
                <w:szCs w:val="14"/>
                <w:color w:val="1E1E1E"/>
              </w:rPr>
              <w:t>329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1E1E1E"/>
              </w:rPr>
              <w:t>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1E1E1E"/>
              </w:rPr>
              <w:t>365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tcPr>
          <w:p>
            <w:pPr>
              <w:spacing w:after="0"/>
              <w:rPr>
                <w:sz w:val="13"/>
                <w:szCs w:val="13"/>
                <w:color w:val="auto"/>
              </w:rPr>
            </w:pPr>
          </w:p>
        </w:tc>
        <w:tc>
          <w:tcPr>
            <w:tcW w:w="800" w:type="dxa"/>
            <w:vAlign w:val="bottom"/>
            <w:gridSpan w:val="3"/>
          </w:tcPr>
          <w:p>
            <w:pPr>
              <w:ind w:left="4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1E1E1E"/>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1E1E1E"/>
              </w:rPr>
              <w:t>368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1"/>
        </w:trPr>
        <w:tc>
          <w:tcPr>
            <w:tcW w:w="3640" w:type="dxa"/>
            <w:vAlign w:val="bottom"/>
            <w:gridSpan w:val="2"/>
            <w:shd w:val="clear" w:color="auto" w:fill="E4E4E4"/>
          </w:tcPr>
          <w:p>
            <w:pPr>
              <w:spacing w:after="0"/>
              <w:rPr>
                <w:sz w:val="20"/>
                <w:szCs w:val="20"/>
                <w:color w:val="auto"/>
              </w:rPr>
            </w:pPr>
            <w:r>
              <w:rPr>
                <w:rFonts w:ascii="Arial" w:cs="Arial" w:eastAsia="Arial" w:hAnsi="Arial"/>
                <w:sz w:val="14"/>
                <w:szCs w:val="14"/>
                <w:color w:val="1E1E1E"/>
              </w:rPr>
              <w:t>Shares withheld for taxes related to net share settlement</w:t>
            </w:r>
          </w:p>
        </w:tc>
        <w:tc>
          <w:tcPr>
            <w:tcW w:w="1040" w:type="dxa"/>
            <w:vAlign w:val="bottom"/>
            <w:gridSpan w:val="2"/>
            <w:shd w:val="clear" w:color="auto" w:fill="E4E4E4"/>
          </w:tcPr>
          <w:p>
            <w:pPr>
              <w:jc w:val="right"/>
              <w:ind w:right="120"/>
              <w:spacing w:after="0"/>
              <w:rPr>
                <w:sz w:val="20"/>
                <w:szCs w:val="20"/>
                <w:color w:val="auto"/>
              </w:rPr>
            </w:pPr>
            <w:r>
              <w:rPr>
                <w:rFonts w:ascii="Arial" w:cs="Arial" w:eastAsia="Arial" w:hAnsi="Arial"/>
                <w:sz w:val="14"/>
                <w:szCs w:val="14"/>
                <w:color w:val="1E1E1E"/>
              </w:rPr>
              <w:t>(153)</w:t>
            </w:r>
          </w:p>
        </w:tc>
        <w:tc>
          <w:tcPr>
            <w:tcW w:w="20" w:type="dxa"/>
            <w:vAlign w:val="bottom"/>
            <w:shd w:val="clear" w:color="auto" w:fill="E4E4E4"/>
          </w:tcPr>
          <w:p>
            <w:pPr>
              <w:spacing w:after="0"/>
              <w:rPr>
                <w:sz w:val="13"/>
                <w:szCs w:val="13"/>
                <w:color w:val="auto"/>
              </w:rPr>
            </w:pPr>
          </w:p>
        </w:tc>
        <w:tc>
          <w:tcPr>
            <w:tcW w:w="200" w:type="dxa"/>
            <w:vAlign w:val="bottom"/>
            <w:shd w:val="clear" w:color="auto" w:fill="E4E4E4"/>
          </w:tcPr>
          <w:p>
            <w:pPr>
              <w:spacing w:after="0"/>
              <w:rPr>
                <w:sz w:val="13"/>
                <w:szCs w:val="13"/>
                <w:color w:val="auto"/>
              </w:rPr>
            </w:pPr>
          </w:p>
        </w:tc>
        <w:tc>
          <w:tcPr>
            <w:tcW w:w="540" w:type="dxa"/>
            <w:vAlign w:val="bottom"/>
            <w:gridSpan w:val="2"/>
            <w:shd w:val="clear" w:color="auto" w:fill="E4E4E4"/>
          </w:tcPr>
          <w:p>
            <w:pPr>
              <w:jc w:val="right"/>
              <w:ind w:right="140"/>
              <w:spacing w:after="0"/>
              <w:rPr>
                <w:sz w:val="20"/>
                <w:szCs w:val="20"/>
                <w:color w:val="auto"/>
              </w:rPr>
            </w:pPr>
            <w:r>
              <w:rPr>
                <w:rFonts w:ascii="Arial" w:cs="Arial" w:eastAsia="Arial" w:hAnsi="Arial"/>
                <w:sz w:val="14"/>
                <w:szCs w:val="14"/>
                <w:color w:val="1E1E1E"/>
              </w:rPr>
              <w:t>(1)</w:t>
            </w:r>
          </w:p>
        </w:tc>
        <w:tc>
          <w:tcPr>
            <w:tcW w:w="80" w:type="dxa"/>
            <w:vAlign w:val="bottom"/>
            <w:shd w:val="clear" w:color="auto" w:fill="E4E4E4"/>
          </w:tcPr>
          <w:p>
            <w:pPr>
              <w:spacing w:after="0"/>
              <w:rPr>
                <w:sz w:val="13"/>
                <w:szCs w:val="13"/>
                <w:color w:val="auto"/>
              </w:rPr>
            </w:pPr>
          </w:p>
        </w:tc>
        <w:tc>
          <w:tcPr>
            <w:tcW w:w="680" w:type="dxa"/>
            <w:vAlign w:val="bottom"/>
            <w:gridSpan w:val="3"/>
            <w:shd w:val="clear" w:color="auto" w:fill="E4E4E4"/>
          </w:tcPr>
          <w:p>
            <w:pPr>
              <w:jc w:val="right"/>
              <w:ind w:right="120"/>
              <w:spacing w:after="0"/>
              <w:rPr>
                <w:sz w:val="20"/>
                <w:szCs w:val="20"/>
                <w:color w:val="auto"/>
              </w:rPr>
            </w:pPr>
            <w:r>
              <w:rPr>
                <w:rFonts w:ascii="Arial" w:cs="Arial" w:eastAsia="Arial" w:hAnsi="Arial"/>
                <w:sz w:val="14"/>
                <w:szCs w:val="14"/>
                <w:color w:val="1E1E1E"/>
              </w:rPr>
              <w:t>(758)</w:t>
            </w:r>
          </w:p>
        </w:tc>
        <w:tc>
          <w:tcPr>
            <w:tcW w:w="20" w:type="dxa"/>
            <w:vAlign w:val="bottom"/>
            <w:shd w:val="clear" w:color="auto" w:fill="E4E4E4"/>
          </w:tcPr>
          <w:p>
            <w:pPr>
              <w:spacing w:after="0"/>
              <w:rPr>
                <w:sz w:val="13"/>
                <w:szCs w:val="13"/>
                <w:color w:val="auto"/>
              </w:rPr>
            </w:pPr>
          </w:p>
        </w:tc>
        <w:tc>
          <w:tcPr>
            <w:tcW w:w="1020" w:type="dxa"/>
            <w:vAlign w:val="bottom"/>
            <w:gridSpan w:val="2"/>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700" w:type="dxa"/>
            <w:vAlign w:val="bottom"/>
            <w:gridSpan w:val="3"/>
            <w:shd w:val="clear" w:color="auto" w:fill="E4E4E4"/>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3"/>
                <w:szCs w:val="13"/>
                <w:color w:val="auto"/>
              </w:rPr>
            </w:pPr>
          </w:p>
        </w:tc>
        <w:tc>
          <w:tcPr>
            <w:tcW w:w="800" w:type="dxa"/>
            <w:vAlign w:val="bottom"/>
            <w:gridSpan w:val="3"/>
            <w:shd w:val="clear" w:color="auto" w:fill="E4E4E4"/>
          </w:tcPr>
          <w:p>
            <w:pPr>
              <w:ind w:left="4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3"/>
                <w:szCs w:val="13"/>
                <w:color w:val="auto"/>
              </w:rPr>
            </w:pPr>
          </w:p>
        </w:tc>
        <w:tc>
          <w:tcPr>
            <w:tcW w:w="160" w:type="dxa"/>
            <w:vAlign w:val="bottom"/>
            <w:shd w:val="clear" w:color="auto" w:fill="E4E4E4"/>
          </w:tcPr>
          <w:p>
            <w:pPr>
              <w:spacing w:after="0"/>
              <w:rPr>
                <w:sz w:val="13"/>
                <w:szCs w:val="13"/>
                <w:color w:val="auto"/>
              </w:rPr>
            </w:pPr>
          </w:p>
        </w:tc>
        <w:tc>
          <w:tcPr>
            <w:tcW w:w="900" w:type="dxa"/>
            <w:vAlign w:val="bottom"/>
            <w:gridSpan w:val="2"/>
            <w:shd w:val="clear" w:color="auto" w:fill="E4E4E4"/>
          </w:tcPr>
          <w:p>
            <w:pPr>
              <w:jc w:val="right"/>
              <w:ind w:right="200"/>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3"/>
                <w:szCs w:val="13"/>
                <w:color w:val="auto"/>
              </w:rPr>
            </w:pPr>
          </w:p>
        </w:tc>
        <w:tc>
          <w:tcPr>
            <w:tcW w:w="640" w:type="dxa"/>
            <w:vAlign w:val="bottom"/>
            <w:gridSpan w:val="3"/>
            <w:shd w:val="clear" w:color="auto" w:fill="E4E4E4"/>
          </w:tcPr>
          <w:p>
            <w:pPr>
              <w:jc w:val="right"/>
              <w:spacing w:after="0"/>
              <w:rPr>
                <w:sz w:val="20"/>
                <w:szCs w:val="20"/>
                <w:color w:val="auto"/>
              </w:rPr>
            </w:pPr>
            <w:r>
              <w:rPr>
                <w:rFonts w:ascii="Arial" w:cs="Arial" w:eastAsia="Arial" w:hAnsi="Arial"/>
                <w:sz w:val="14"/>
                <w:szCs w:val="14"/>
                <w:color w:val="1E1E1E"/>
              </w:rPr>
              <w:t>(759)</w:t>
            </w:r>
          </w:p>
        </w:tc>
      </w:tr>
      <w:tr>
        <w:trPr>
          <w:trHeight w:val="161"/>
        </w:trPr>
        <w:tc>
          <w:tcPr>
            <w:tcW w:w="3640" w:type="dxa"/>
            <w:vAlign w:val="bottom"/>
            <w:gridSpan w:val="2"/>
          </w:tcPr>
          <w:p>
            <w:pPr>
              <w:spacing w:after="0"/>
              <w:rPr>
                <w:sz w:val="20"/>
                <w:szCs w:val="20"/>
                <w:color w:val="auto"/>
              </w:rPr>
            </w:pPr>
            <w:r>
              <w:rPr>
                <w:rFonts w:ascii="Arial" w:cs="Arial" w:eastAsia="Arial" w:hAnsi="Arial"/>
                <w:sz w:val="14"/>
                <w:szCs w:val="14"/>
                <w:color w:val="1E1E1E"/>
              </w:rPr>
              <w:t>Repurchase of common stock</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80" w:type="dxa"/>
            <w:vAlign w:val="bottom"/>
          </w:tcPr>
          <w:p>
            <w:pPr>
              <w:spacing w:after="0"/>
              <w:rPr>
                <w:sz w:val="13"/>
                <w:szCs w:val="13"/>
                <w:color w:val="auto"/>
              </w:rPr>
            </w:pPr>
          </w:p>
        </w:tc>
        <w:tc>
          <w:tcPr>
            <w:tcW w:w="700" w:type="dxa"/>
            <w:vAlign w:val="bottom"/>
            <w:gridSpan w:val="4"/>
          </w:tcPr>
          <w:p>
            <w:pPr>
              <w:jc w:val="right"/>
              <w:ind w:right="180"/>
              <w:spacing w:after="0"/>
              <w:rPr>
                <w:sz w:val="20"/>
                <w:szCs w:val="20"/>
                <w:color w:val="auto"/>
              </w:rPr>
            </w:pPr>
            <w:r>
              <w:rPr>
                <w:rFonts w:ascii="Arial" w:cs="Arial" w:eastAsia="Arial" w:hAnsi="Arial"/>
                <w:sz w:val="14"/>
                <w:szCs w:val="14"/>
                <w:color w:val="1E1E1E"/>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1E1E1E"/>
              </w:rPr>
              <w:t>(5,416)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34"/>
              <w:spacing w:after="0"/>
              <w:rPr>
                <w:sz w:val="20"/>
                <w:szCs w:val="20"/>
                <w:color w:val="auto"/>
              </w:rPr>
            </w:pPr>
            <w:r>
              <w:rPr>
                <w:rFonts w:ascii="Arial" w:cs="Arial" w:eastAsia="Arial" w:hAnsi="Arial"/>
                <w:sz w:val="14"/>
                <w:szCs w:val="14"/>
                <w:color w:val="1E1E1E"/>
              </w:rPr>
              <w:t>(24,751)</w:t>
            </w:r>
          </w:p>
        </w:tc>
        <w:tc>
          <w:tcPr>
            <w:tcW w:w="120" w:type="dxa"/>
            <w:vAlign w:val="bottom"/>
          </w:tcPr>
          <w:p>
            <w:pPr>
              <w:spacing w:after="0"/>
              <w:rPr>
                <w:sz w:val="13"/>
                <w:szCs w:val="13"/>
                <w:color w:val="auto"/>
              </w:rPr>
            </w:pPr>
          </w:p>
        </w:tc>
        <w:tc>
          <w:tcPr>
            <w:tcW w:w="800" w:type="dxa"/>
            <w:vAlign w:val="bottom"/>
            <w:gridSpan w:val="3"/>
          </w:tcPr>
          <w:p>
            <w:pPr>
              <w:ind w:left="4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1E1E1E"/>
              </w:rPr>
              <w:t>—</w:t>
            </w:r>
          </w:p>
        </w:tc>
        <w:tc>
          <w:tcPr>
            <w:tcW w:w="120" w:type="dxa"/>
            <w:vAlign w:val="bottom"/>
          </w:tcPr>
          <w:p>
            <w:pPr>
              <w:spacing w:after="0"/>
              <w:rPr>
                <w:sz w:val="13"/>
                <w:szCs w:val="13"/>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1E1E1E"/>
              </w:rPr>
              <w:t>(24,751)</w:t>
            </w:r>
          </w:p>
        </w:tc>
      </w:tr>
      <w:tr>
        <w:trPr>
          <w:trHeight w:val="161"/>
        </w:trPr>
        <w:tc>
          <w:tcPr>
            <w:tcW w:w="3640" w:type="dxa"/>
            <w:vAlign w:val="bottom"/>
            <w:gridSpan w:val="2"/>
            <w:shd w:val="clear" w:color="auto" w:fill="E4E4E4"/>
          </w:tcPr>
          <w:p>
            <w:pPr>
              <w:spacing w:after="0"/>
              <w:rPr>
                <w:sz w:val="20"/>
                <w:szCs w:val="20"/>
                <w:color w:val="auto"/>
              </w:rPr>
            </w:pPr>
            <w:r>
              <w:rPr>
                <w:rFonts w:ascii="Arial" w:cs="Arial" w:eastAsia="Arial" w:hAnsi="Arial"/>
                <w:sz w:val="14"/>
                <w:szCs w:val="14"/>
                <w:color w:val="1E1E1E"/>
              </w:rPr>
              <w:t>Board of directors' compensation</w:t>
            </w:r>
          </w:p>
        </w:tc>
        <w:tc>
          <w:tcPr>
            <w:tcW w:w="86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89</w:t>
            </w:r>
          </w:p>
        </w:tc>
        <w:tc>
          <w:tcPr>
            <w:tcW w:w="18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200" w:type="dxa"/>
            <w:vAlign w:val="bottom"/>
            <w:shd w:val="clear" w:color="auto" w:fill="E4E4E4"/>
          </w:tcPr>
          <w:p>
            <w:pPr>
              <w:spacing w:after="0"/>
              <w:rPr>
                <w:sz w:val="13"/>
                <w:szCs w:val="13"/>
                <w:color w:val="auto"/>
              </w:rPr>
            </w:pPr>
          </w:p>
        </w:tc>
        <w:tc>
          <w:tcPr>
            <w:tcW w:w="36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1</w:t>
            </w:r>
          </w:p>
        </w:tc>
        <w:tc>
          <w:tcPr>
            <w:tcW w:w="18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52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442</w:t>
            </w:r>
          </w:p>
        </w:tc>
        <w:tc>
          <w:tcPr>
            <w:tcW w:w="20" w:type="dxa"/>
            <w:vAlign w:val="bottom"/>
            <w:shd w:val="clear" w:color="auto" w:fill="E4E4E4"/>
          </w:tcPr>
          <w:p>
            <w:pPr>
              <w:spacing w:after="0"/>
              <w:rPr>
                <w:sz w:val="13"/>
                <w:szCs w:val="13"/>
                <w:color w:val="auto"/>
              </w:rPr>
            </w:pPr>
          </w:p>
        </w:tc>
        <w:tc>
          <w:tcPr>
            <w:tcW w:w="14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1020" w:type="dxa"/>
            <w:vAlign w:val="bottom"/>
            <w:gridSpan w:val="2"/>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700" w:type="dxa"/>
            <w:vAlign w:val="bottom"/>
            <w:gridSpan w:val="3"/>
            <w:shd w:val="clear" w:color="auto" w:fill="E4E4E4"/>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3"/>
                <w:szCs w:val="13"/>
                <w:color w:val="auto"/>
              </w:rPr>
            </w:pPr>
          </w:p>
        </w:tc>
        <w:tc>
          <w:tcPr>
            <w:tcW w:w="800" w:type="dxa"/>
            <w:vAlign w:val="bottom"/>
            <w:gridSpan w:val="3"/>
            <w:shd w:val="clear" w:color="auto" w:fill="E4E4E4"/>
          </w:tcPr>
          <w:p>
            <w:pPr>
              <w:ind w:left="4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3"/>
                <w:szCs w:val="13"/>
                <w:color w:val="auto"/>
              </w:rPr>
            </w:pPr>
          </w:p>
        </w:tc>
        <w:tc>
          <w:tcPr>
            <w:tcW w:w="160" w:type="dxa"/>
            <w:vAlign w:val="bottom"/>
            <w:shd w:val="clear" w:color="auto" w:fill="E4E4E4"/>
          </w:tcPr>
          <w:p>
            <w:pPr>
              <w:spacing w:after="0"/>
              <w:rPr>
                <w:sz w:val="13"/>
                <w:szCs w:val="13"/>
                <w:color w:val="auto"/>
              </w:rPr>
            </w:pPr>
          </w:p>
        </w:tc>
        <w:tc>
          <w:tcPr>
            <w:tcW w:w="900" w:type="dxa"/>
            <w:vAlign w:val="bottom"/>
            <w:gridSpan w:val="2"/>
            <w:shd w:val="clear" w:color="auto" w:fill="E4E4E4"/>
          </w:tcPr>
          <w:p>
            <w:pPr>
              <w:jc w:val="right"/>
              <w:ind w:right="200"/>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3"/>
                <w:szCs w:val="13"/>
                <w:color w:val="auto"/>
              </w:rPr>
            </w:pPr>
          </w:p>
        </w:tc>
        <w:tc>
          <w:tcPr>
            <w:tcW w:w="54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443</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r>
      <w:tr>
        <w:trPr>
          <w:trHeight w:val="161"/>
        </w:trPr>
        <w:tc>
          <w:tcPr>
            <w:tcW w:w="3640" w:type="dxa"/>
            <w:vAlign w:val="bottom"/>
            <w:gridSpan w:val="2"/>
          </w:tcPr>
          <w:p>
            <w:pPr>
              <w:spacing w:after="0"/>
              <w:rPr>
                <w:sz w:val="20"/>
                <w:szCs w:val="20"/>
                <w:color w:val="auto"/>
              </w:rPr>
            </w:pPr>
            <w:r>
              <w:rPr>
                <w:rFonts w:ascii="Arial" w:cs="Arial" w:eastAsia="Arial" w:hAnsi="Arial"/>
                <w:sz w:val="14"/>
                <w:szCs w:val="14"/>
                <w:color w:val="1E1E1E"/>
              </w:rPr>
              <w:t>Other comprehensive income</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80" w:type="dxa"/>
            <w:vAlign w:val="bottom"/>
          </w:tcPr>
          <w:p>
            <w:pPr>
              <w:spacing w:after="0"/>
              <w:rPr>
                <w:sz w:val="13"/>
                <w:szCs w:val="13"/>
                <w:color w:val="auto"/>
              </w:rPr>
            </w:pPr>
          </w:p>
        </w:tc>
        <w:tc>
          <w:tcPr>
            <w:tcW w:w="700" w:type="dxa"/>
            <w:vAlign w:val="bottom"/>
            <w:gridSpan w:val="4"/>
          </w:tcPr>
          <w:p>
            <w:pPr>
              <w:jc w:val="right"/>
              <w:ind w:right="180"/>
              <w:spacing w:after="0"/>
              <w:rPr>
                <w:sz w:val="20"/>
                <w:szCs w:val="20"/>
                <w:color w:val="auto"/>
              </w:rPr>
            </w:pPr>
            <w:r>
              <w:rPr>
                <w:rFonts w:ascii="Arial" w:cs="Arial" w:eastAsia="Arial" w:hAnsi="Arial"/>
                <w:sz w:val="14"/>
                <w:szCs w:val="14"/>
                <w:color w:val="1E1E1E"/>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tcPr>
          <w:p>
            <w:pPr>
              <w:spacing w:after="0"/>
              <w:rPr>
                <w:sz w:val="13"/>
                <w:szCs w:val="13"/>
                <w:color w:val="auto"/>
              </w:rPr>
            </w:pPr>
          </w:p>
        </w:tc>
        <w:tc>
          <w:tcPr>
            <w:tcW w:w="800" w:type="dxa"/>
            <w:vAlign w:val="bottom"/>
            <w:gridSpan w:val="3"/>
          </w:tcPr>
          <w:p>
            <w:pPr>
              <w:ind w:left="480"/>
              <w:spacing w:after="0"/>
              <w:rPr>
                <w:sz w:val="20"/>
                <w:szCs w:val="20"/>
                <w:color w:val="auto"/>
              </w:rPr>
            </w:pPr>
            <w:r>
              <w:rPr>
                <w:rFonts w:ascii="Arial" w:cs="Arial" w:eastAsia="Arial" w:hAnsi="Arial"/>
                <w:sz w:val="14"/>
                <w:szCs w:val="14"/>
                <w:color w:val="1E1E1E"/>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E1E1E"/>
              </w:rPr>
              <w:t>4,928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jc w:val="right"/>
              <w:ind w:right="39"/>
              <w:spacing w:after="0"/>
              <w:rPr>
                <w:sz w:val="20"/>
                <w:szCs w:val="20"/>
                <w:color w:val="auto"/>
              </w:rPr>
            </w:pPr>
            <w:r>
              <w:rPr>
                <w:rFonts w:ascii="Arial" w:cs="Arial" w:eastAsia="Arial" w:hAnsi="Arial"/>
                <w:sz w:val="14"/>
                <w:szCs w:val="14"/>
                <w:color w:val="1E1E1E"/>
              </w:rPr>
              <w:t>4,928</w:t>
            </w:r>
          </w:p>
        </w:tc>
      </w:tr>
      <w:tr>
        <w:trPr>
          <w:trHeight w:val="161"/>
        </w:trPr>
        <w:tc>
          <w:tcPr>
            <w:tcW w:w="3640" w:type="dxa"/>
            <w:vAlign w:val="bottom"/>
            <w:gridSpan w:val="2"/>
            <w:shd w:val="clear" w:color="auto" w:fill="E4E4E4"/>
          </w:tcPr>
          <w:p>
            <w:pPr>
              <w:spacing w:after="0"/>
              <w:rPr>
                <w:sz w:val="20"/>
                <w:szCs w:val="20"/>
                <w:color w:val="auto"/>
              </w:rPr>
            </w:pPr>
            <w:r>
              <w:rPr>
                <w:rFonts w:ascii="Arial" w:cs="Arial" w:eastAsia="Arial" w:hAnsi="Arial"/>
                <w:sz w:val="14"/>
                <w:szCs w:val="14"/>
                <w:color w:val="1E1E1E"/>
              </w:rPr>
              <w:t>Net income</w:t>
            </w:r>
          </w:p>
        </w:tc>
        <w:tc>
          <w:tcPr>
            <w:tcW w:w="1040" w:type="dxa"/>
            <w:vAlign w:val="bottom"/>
            <w:gridSpan w:val="2"/>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3"/>
                <w:szCs w:val="13"/>
                <w:color w:val="auto"/>
              </w:rPr>
            </w:pPr>
          </w:p>
        </w:tc>
        <w:tc>
          <w:tcPr>
            <w:tcW w:w="200" w:type="dxa"/>
            <w:vAlign w:val="bottom"/>
            <w:shd w:val="clear" w:color="auto" w:fill="E4E4E4"/>
          </w:tcPr>
          <w:p>
            <w:pPr>
              <w:spacing w:after="0"/>
              <w:rPr>
                <w:sz w:val="13"/>
                <w:szCs w:val="13"/>
                <w:color w:val="auto"/>
              </w:rPr>
            </w:pPr>
          </w:p>
        </w:tc>
        <w:tc>
          <w:tcPr>
            <w:tcW w:w="540" w:type="dxa"/>
            <w:vAlign w:val="bottom"/>
            <w:gridSpan w:val="2"/>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80" w:type="dxa"/>
            <w:vAlign w:val="bottom"/>
            <w:shd w:val="clear" w:color="auto" w:fill="E4E4E4"/>
          </w:tcPr>
          <w:p>
            <w:pPr>
              <w:spacing w:after="0"/>
              <w:rPr>
                <w:sz w:val="13"/>
                <w:szCs w:val="13"/>
                <w:color w:val="auto"/>
              </w:rPr>
            </w:pPr>
          </w:p>
        </w:tc>
        <w:tc>
          <w:tcPr>
            <w:tcW w:w="700" w:type="dxa"/>
            <w:vAlign w:val="bottom"/>
            <w:gridSpan w:val="4"/>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1020" w:type="dxa"/>
            <w:vAlign w:val="bottom"/>
            <w:gridSpan w:val="2"/>
            <w:shd w:val="clear" w:color="auto" w:fill="E4E4E4"/>
          </w:tcPr>
          <w:p>
            <w:pPr>
              <w:jc w:val="right"/>
              <w:ind w:right="180"/>
              <w:spacing w:after="0"/>
              <w:rPr>
                <w:sz w:val="20"/>
                <w:szCs w:val="20"/>
                <w:color w:val="auto"/>
              </w:rPr>
            </w:pPr>
            <w:r>
              <w:rPr>
                <w:rFonts w:ascii="Arial" w:cs="Arial" w:eastAsia="Arial" w:hAnsi="Arial"/>
                <w:sz w:val="14"/>
                <w:szCs w:val="14"/>
                <w:color w:val="1E1E1E"/>
              </w:rPr>
              <w:t>—</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700" w:type="dxa"/>
            <w:vAlign w:val="bottom"/>
            <w:gridSpan w:val="3"/>
            <w:shd w:val="clear" w:color="auto" w:fill="E4E4E4"/>
          </w:tcPr>
          <w:p>
            <w:pPr>
              <w:jc w:val="right"/>
              <w:ind w:right="174"/>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3"/>
                <w:szCs w:val="13"/>
                <w:color w:val="auto"/>
              </w:rPr>
            </w:pPr>
          </w:p>
        </w:tc>
        <w:tc>
          <w:tcPr>
            <w:tcW w:w="62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27,854</w:t>
            </w:r>
          </w:p>
        </w:tc>
        <w:tc>
          <w:tcPr>
            <w:tcW w:w="20" w:type="dxa"/>
            <w:vAlign w:val="bottom"/>
            <w:shd w:val="clear" w:color="auto" w:fill="E4E4E4"/>
          </w:tcPr>
          <w:p>
            <w:pPr>
              <w:spacing w:after="0"/>
              <w:rPr>
                <w:sz w:val="13"/>
                <w:szCs w:val="13"/>
                <w:color w:val="auto"/>
              </w:rPr>
            </w:pPr>
          </w:p>
        </w:tc>
        <w:tc>
          <w:tcPr>
            <w:tcW w:w="160" w:type="dxa"/>
            <w:vAlign w:val="bottom"/>
            <w:shd w:val="clear" w:color="auto" w:fill="E4E4E4"/>
          </w:tcPr>
          <w:p>
            <w:pPr>
              <w:spacing w:after="0"/>
              <w:rPr>
                <w:sz w:val="13"/>
                <w:szCs w:val="13"/>
                <w:color w:val="auto"/>
              </w:rPr>
            </w:pPr>
          </w:p>
        </w:tc>
        <w:tc>
          <w:tcPr>
            <w:tcW w:w="20" w:type="dxa"/>
            <w:vAlign w:val="bottom"/>
            <w:shd w:val="clear" w:color="auto" w:fill="E4E4E4"/>
          </w:tcPr>
          <w:p>
            <w:pPr>
              <w:spacing w:after="0"/>
              <w:rPr>
                <w:sz w:val="13"/>
                <w:szCs w:val="13"/>
                <w:color w:val="auto"/>
              </w:rPr>
            </w:pPr>
          </w:p>
        </w:tc>
        <w:tc>
          <w:tcPr>
            <w:tcW w:w="160" w:type="dxa"/>
            <w:vAlign w:val="bottom"/>
            <w:shd w:val="clear" w:color="auto" w:fill="E4E4E4"/>
          </w:tcPr>
          <w:p>
            <w:pPr>
              <w:spacing w:after="0"/>
              <w:rPr>
                <w:sz w:val="13"/>
                <w:szCs w:val="13"/>
                <w:color w:val="auto"/>
              </w:rPr>
            </w:pPr>
          </w:p>
        </w:tc>
        <w:tc>
          <w:tcPr>
            <w:tcW w:w="900" w:type="dxa"/>
            <w:vAlign w:val="bottom"/>
            <w:gridSpan w:val="2"/>
            <w:shd w:val="clear" w:color="auto" w:fill="E4E4E4"/>
          </w:tcPr>
          <w:p>
            <w:pPr>
              <w:jc w:val="right"/>
              <w:ind w:right="200"/>
              <w:spacing w:after="0"/>
              <w:rPr>
                <w:sz w:val="20"/>
                <w:szCs w:val="20"/>
                <w:color w:val="auto"/>
              </w:rPr>
            </w:pPr>
            <w:r>
              <w:rPr>
                <w:rFonts w:ascii="Arial" w:cs="Arial" w:eastAsia="Arial" w:hAnsi="Arial"/>
                <w:sz w:val="14"/>
                <w:szCs w:val="14"/>
                <w:color w:val="1E1E1E"/>
              </w:rPr>
              <w:t>—</w:t>
            </w:r>
          </w:p>
        </w:tc>
        <w:tc>
          <w:tcPr>
            <w:tcW w:w="120" w:type="dxa"/>
            <w:vAlign w:val="bottom"/>
            <w:shd w:val="clear" w:color="auto" w:fill="E4E4E4"/>
          </w:tcPr>
          <w:p>
            <w:pPr>
              <w:spacing w:after="0"/>
              <w:rPr>
                <w:sz w:val="13"/>
                <w:szCs w:val="13"/>
                <w:color w:val="auto"/>
              </w:rPr>
            </w:pPr>
          </w:p>
        </w:tc>
        <w:tc>
          <w:tcPr>
            <w:tcW w:w="560" w:type="dxa"/>
            <w:vAlign w:val="bottom"/>
            <w:gridSpan w:val="2"/>
            <w:shd w:val="clear" w:color="auto" w:fill="E4E4E4"/>
          </w:tcPr>
          <w:p>
            <w:pPr>
              <w:jc w:val="right"/>
              <w:spacing w:after="0"/>
              <w:rPr>
                <w:sz w:val="20"/>
                <w:szCs w:val="20"/>
                <w:color w:val="auto"/>
              </w:rPr>
            </w:pPr>
            <w:r>
              <w:rPr>
                <w:rFonts w:ascii="Arial" w:cs="Arial" w:eastAsia="Arial" w:hAnsi="Arial"/>
                <w:sz w:val="14"/>
                <w:szCs w:val="14"/>
                <w:color w:val="1E1E1E"/>
              </w:rPr>
              <w:t>27,854</w:t>
            </w:r>
          </w:p>
        </w:tc>
        <w:tc>
          <w:tcPr>
            <w:tcW w:w="80" w:type="dxa"/>
            <w:vAlign w:val="bottom"/>
            <w:shd w:val="clear" w:color="auto" w:fill="E4E4E4"/>
          </w:tcPr>
          <w:p>
            <w:pPr>
              <w:spacing w:after="0"/>
              <w:rPr>
                <w:sz w:val="13"/>
                <w:szCs w:val="13"/>
                <w:color w:val="auto"/>
              </w:rPr>
            </w:pPr>
          </w:p>
        </w:tc>
      </w:tr>
      <w:tr>
        <w:trPr>
          <w:trHeight w:val="155"/>
        </w:trPr>
        <w:tc>
          <w:tcPr>
            <w:tcW w:w="3620" w:type="dxa"/>
            <w:vAlign w:val="bottom"/>
          </w:tcPr>
          <w:p>
            <w:pPr>
              <w:spacing w:after="0" w:line="155" w:lineRule="exact"/>
              <w:rPr>
                <w:sz w:val="20"/>
                <w:szCs w:val="20"/>
                <w:color w:val="auto"/>
              </w:rPr>
            </w:pPr>
            <w:r>
              <w:rPr>
                <w:rFonts w:ascii="Arial" w:cs="Arial" w:eastAsia="Arial" w:hAnsi="Arial"/>
                <w:sz w:val="14"/>
                <w:szCs w:val="14"/>
                <w:color w:val="1E1E1E"/>
              </w:rPr>
              <w:t>Balance at February 3, 2024</w:t>
            </w:r>
          </w:p>
        </w:tc>
        <w:tc>
          <w:tcPr>
            <w:tcW w:w="20" w:type="dxa"/>
            <w:vAlign w:val="bottom"/>
            <w:tcBorders>
              <w:top w:val="single" w:sz="8" w:color="1E1E1E"/>
            </w:tcBorders>
          </w:tcPr>
          <w:p>
            <w:pPr>
              <w:spacing w:after="0"/>
              <w:rPr>
                <w:sz w:val="13"/>
                <w:szCs w:val="13"/>
                <w:color w:val="auto"/>
              </w:rPr>
            </w:pPr>
          </w:p>
        </w:tc>
        <w:tc>
          <w:tcPr>
            <w:tcW w:w="860" w:type="dxa"/>
            <w:vAlign w:val="bottom"/>
            <w:tcBorders>
              <w:top w:val="single" w:sz="8" w:color="1E1E1E"/>
            </w:tcBorders>
          </w:tcPr>
          <w:p>
            <w:pPr>
              <w:jc w:val="right"/>
              <w:spacing w:after="0" w:line="155" w:lineRule="exact"/>
              <w:rPr>
                <w:sz w:val="20"/>
                <w:szCs w:val="20"/>
                <w:color w:val="auto"/>
              </w:rPr>
            </w:pPr>
            <w:r>
              <w:rPr>
                <w:rFonts w:ascii="Arial" w:cs="Arial" w:eastAsia="Arial" w:hAnsi="Arial"/>
                <w:sz w:val="14"/>
                <w:szCs w:val="14"/>
                <w:color w:val="1E1E1E"/>
              </w:rPr>
              <w:t>79,033</w:t>
            </w:r>
          </w:p>
        </w:tc>
        <w:tc>
          <w:tcPr>
            <w:tcW w:w="180" w:type="dxa"/>
            <w:vAlign w:val="bottom"/>
          </w:tcPr>
          <w:p>
            <w:pPr>
              <w:spacing w:after="0"/>
              <w:rPr>
                <w:sz w:val="13"/>
                <w:szCs w:val="13"/>
                <w:color w:val="auto"/>
              </w:rPr>
            </w:pPr>
          </w:p>
        </w:tc>
        <w:tc>
          <w:tcPr>
            <w:tcW w:w="20" w:type="dxa"/>
            <w:vAlign w:val="bottom"/>
            <w:tcBorders>
              <w:top w:val="single" w:sz="8" w:color="1E1E1E"/>
            </w:tcBorders>
          </w:tcPr>
          <w:p>
            <w:pPr>
              <w:spacing w:after="0"/>
              <w:rPr>
                <w:sz w:val="13"/>
                <w:szCs w:val="13"/>
                <w:color w:val="auto"/>
              </w:rPr>
            </w:pPr>
          </w:p>
        </w:tc>
        <w:tc>
          <w:tcPr>
            <w:tcW w:w="200" w:type="dxa"/>
            <w:vAlign w:val="bottom"/>
            <w:tcBorders>
              <w:top w:val="single" w:sz="8" w:color="1E1E1E"/>
            </w:tcBorders>
          </w:tcPr>
          <w:p>
            <w:pPr>
              <w:jc w:val="right"/>
              <w:ind w:right="84"/>
              <w:spacing w:after="0"/>
              <w:rPr>
                <w:sz w:val="20"/>
                <w:szCs w:val="20"/>
                <w:color w:val="auto"/>
              </w:rPr>
            </w:pPr>
            <w:r>
              <w:rPr>
                <w:rFonts w:ascii="Arial" w:cs="Arial" w:eastAsia="Arial" w:hAnsi="Arial"/>
                <w:sz w:val="10"/>
                <w:szCs w:val="10"/>
                <w:color w:val="1E1E1E"/>
                <w:w w:val="71"/>
              </w:rPr>
              <w:t>$</w:t>
            </w:r>
          </w:p>
        </w:tc>
        <w:tc>
          <w:tcPr>
            <w:tcW w:w="360" w:type="dxa"/>
            <w:vAlign w:val="bottom"/>
            <w:tcBorders>
              <w:top w:val="single" w:sz="8" w:color="1E1E1E"/>
            </w:tcBorders>
          </w:tcPr>
          <w:p>
            <w:pPr>
              <w:jc w:val="right"/>
              <w:spacing w:after="0" w:line="155" w:lineRule="exact"/>
              <w:rPr>
                <w:sz w:val="20"/>
                <w:szCs w:val="20"/>
                <w:color w:val="auto"/>
              </w:rPr>
            </w:pPr>
            <w:r>
              <w:rPr>
                <w:rFonts w:ascii="Arial" w:cs="Arial" w:eastAsia="Arial" w:hAnsi="Arial"/>
                <w:sz w:val="14"/>
                <w:szCs w:val="14"/>
                <w:color w:val="1E1E1E"/>
              </w:rPr>
              <w:t>790</w:t>
            </w:r>
          </w:p>
        </w:tc>
        <w:tc>
          <w:tcPr>
            <w:tcW w:w="180" w:type="dxa"/>
            <w:vAlign w:val="bottom"/>
          </w:tcPr>
          <w:p>
            <w:pPr>
              <w:spacing w:after="0"/>
              <w:rPr>
                <w:sz w:val="13"/>
                <w:szCs w:val="13"/>
                <w:color w:val="auto"/>
              </w:rPr>
            </w:pPr>
          </w:p>
        </w:tc>
        <w:tc>
          <w:tcPr>
            <w:tcW w:w="80" w:type="dxa"/>
            <w:vAlign w:val="bottom"/>
            <w:tcBorders>
              <w:top w:val="single" w:sz="8" w:color="1E1E1E"/>
            </w:tcBorders>
          </w:tcPr>
          <w:p>
            <w:pPr>
              <w:spacing w:after="0" w:line="155" w:lineRule="exact"/>
              <w:rPr>
                <w:sz w:val="20"/>
                <w:szCs w:val="20"/>
                <w:color w:val="auto"/>
              </w:rPr>
            </w:pPr>
            <w:r>
              <w:rPr>
                <w:rFonts w:ascii="Arial" w:cs="Arial" w:eastAsia="Arial" w:hAnsi="Arial"/>
                <w:sz w:val="14"/>
                <w:szCs w:val="14"/>
                <w:color w:val="1E1E1E"/>
                <w:highlight w:val="white"/>
                <w:w w:val="76"/>
              </w:rPr>
              <w:t>$</w:t>
            </w:r>
          </w:p>
        </w:tc>
        <w:tc>
          <w:tcPr>
            <w:tcW w:w="520" w:type="dxa"/>
            <w:vAlign w:val="bottom"/>
            <w:tcBorders>
              <w:top w:val="single" w:sz="8" w:color="1E1E1E"/>
            </w:tcBorders>
          </w:tcPr>
          <w:p>
            <w:pPr>
              <w:jc w:val="right"/>
              <w:spacing w:after="0" w:line="155" w:lineRule="exact"/>
              <w:rPr>
                <w:sz w:val="20"/>
                <w:szCs w:val="20"/>
                <w:color w:val="auto"/>
              </w:rPr>
            </w:pPr>
            <w:r>
              <w:rPr>
                <w:rFonts w:ascii="Arial" w:cs="Arial" w:eastAsia="Arial" w:hAnsi="Arial"/>
                <w:sz w:val="14"/>
                <w:szCs w:val="14"/>
                <w:color w:val="1E1E1E"/>
                <w:highlight w:val="white"/>
                <w:w w:val="98"/>
              </w:rPr>
              <w:t>325,202</w:t>
            </w:r>
          </w:p>
        </w:tc>
        <w:tc>
          <w:tcPr>
            <w:tcW w:w="20" w:type="dxa"/>
            <w:vAlign w:val="bottom"/>
            <w:tcBorders>
              <w:top w:val="single" w:sz="8" w:color="1E1E1E"/>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top w:val="single" w:sz="8" w:color="1E1E1E"/>
            </w:tcBorders>
          </w:tcPr>
          <w:p>
            <w:pPr>
              <w:spacing w:after="0"/>
              <w:rPr>
                <w:sz w:val="13"/>
                <w:szCs w:val="13"/>
                <w:color w:val="auto"/>
              </w:rPr>
            </w:pPr>
          </w:p>
        </w:tc>
        <w:tc>
          <w:tcPr>
            <w:tcW w:w="840" w:type="dxa"/>
            <w:vAlign w:val="bottom"/>
            <w:tcBorders>
              <w:top w:val="single" w:sz="8" w:color="1E1E1E"/>
            </w:tcBorders>
          </w:tcPr>
          <w:p>
            <w:pPr>
              <w:jc w:val="right"/>
              <w:spacing w:after="0" w:line="155" w:lineRule="exact"/>
              <w:rPr>
                <w:sz w:val="20"/>
                <w:szCs w:val="20"/>
                <w:color w:val="auto"/>
              </w:rPr>
            </w:pPr>
            <w:r>
              <w:rPr>
                <w:rFonts w:ascii="Arial" w:cs="Arial" w:eastAsia="Arial" w:hAnsi="Arial"/>
                <w:sz w:val="14"/>
                <w:szCs w:val="14"/>
                <w:color w:val="1E1E1E"/>
              </w:rPr>
              <w:t>(21,041)</w:t>
            </w:r>
          </w:p>
        </w:tc>
        <w:tc>
          <w:tcPr>
            <w:tcW w:w="180" w:type="dxa"/>
            <w:vAlign w:val="bottom"/>
          </w:tcPr>
          <w:p>
            <w:pPr>
              <w:spacing w:after="0"/>
              <w:rPr>
                <w:sz w:val="13"/>
                <w:szCs w:val="13"/>
                <w:color w:val="auto"/>
              </w:rPr>
            </w:pPr>
          </w:p>
        </w:tc>
        <w:tc>
          <w:tcPr>
            <w:tcW w:w="20" w:type="dxa"/>
            <w:vAlign w:val="bottom"/>
            <w:tcBorders>
              <w:top w:val="single" w:sz="8" w:color="1E1E1E"/>
            </w:tcBorders>
          </w:tcPr>
          <w:p>
            <w:pPr>
              <w:spacing w:after="0"/>
              <w:rPr>
                <w:sz w:val="13"/>
                <w:szCs w:val="13"/>
                <w:color w:val="auto"/>
              </w:rPr>
            </w:pPr>
          </w:p>
        </w:tc>
        <w:tc>
          <w:tcPr>
            <w:tcW w:w="80" w:type="dxa"/>
            <w:vAlign w:val="bottom"/>
            <w:tcBorders>
              <w:top w:val="single" w:sz="8" w:color="1E1E1E"/>
            </w:tcBorders>
          </w:tcPr>
          <w:p>
            <w:pPr>
              <w:jc w:val="right"/>
              <w:spacing w:after="0"/>
              <w:rPr>
                <w:sz w:val="20"/>
                <w:szCs w:val="20"/>
                <w:color w:val="auto"/>
              </w:rPr>
            </w:pPr>
            <w:r>
              <w:rPr>
                <w:rFonts w:ascii="Arial" w:cs="Arial" w:eastAsia="Arial" w:hAnsi="Arial"/>
                <w:sz w:val="10"/>
                <w:szCs w:val="10"/>
                <w:color w:val="1E1E1E"/>
                <w:highlight w:val="white"/>
                <w:w w:val="71"/>
              </w:rPr>
              <w:t>$</w:t>
            </w:r>
          </w:p>
        </w:tc>
        <w:tc>
          <w:tcPr>
            <w:tcW w:w="520" w:type="dxa"/>
            <w:vAlign w:val="bottom"/>
            <w:tcBorders>
              <w:top w:val="single" w:sz="8" w:color="1E1E1E"/>
            </w:tcBorders>
          </w:tcPr>
          <w:p>
            <w:pPr>
              <w:jc w:val="right"/>
              <w:spacing w:after="0" w:line="155" w:lineRule="exact"/>
              <w:rPr>
                <w:sz w:val="20"/>
                <w:szCs w:val="20"/>
                <w:color w:val="auto"/>
              </w:rPr>
            </w:pPr>
            <w:r>
              <w:rPr>
                <w:rFonts w:ascii="Arial" w:cs="Arial" w:eastAsia="Arial" w:hAnsi="Arial"/>
                <w:sz w:val="14"/>
                <w:szCs w:val="14"/>
                <w:color w:val="1E1E1E"/>
                <w:highlight w:val="white"/>
                <w:w w:val="90"/>
              </w:rPr>
              <w:t>(130,137</w:t>
            </w:r>
          </w:p>
        </w:tc>
        <w:tc>
          <w:tcPr>
            <w:tcW w:w="20" w:type="dxa"/>
            <w:vAlign w:val="bottom"/>
            <w:tcBorders>
              <w:top w:val="single" w:sz="8" w:color="1E1E1E"/>
            </w:tcBorders>
          </w:tcPr>
          <w:p>
            <w:pPr>
              <w:spacing w:after="0"/>
              <w:rPr>
                <w:sz w:val="13"/>
                <w:szCs w:val="13"/>
                <w:color w:val="auto"/>
              </w:rPr>
            </w:pPr>
          </w:p>
        </w:tc>
        <w:tc>
          <w:tcPr>
            <w:tcW w:w="160" w:type="dxa"/>
            <w:vAlign w:val="bottom"/>
          </w:tcPr>
          <w:p>
            <w:pPr>
              <w:jc w:val="right"/>
              <w:ind w:right="134"/>
              <w:spacing w:after="0"/>
              <w:rPr>
                <w:sz w:val="20"/>
                <w:szCs w:val="20"/>
                <w:color w:val="auto"/>
              </w:rPr>
            </w:pPr>
            <w:r>
              <w:rPr>
                <w:rFonts w:ascii="Arial" w:cs="Arial" w:eastAsia="Arial" w:hAnsi="Arial"/>
                <w:sz w:val="1"/>
                <w:szCs w:val="1"/>
                <w:color w:val="1E1E1E"/>
                <w:w w:val="4294967281"/>
              </w:rPr>
              <w:t>)</w:t>
            </w:r>
          </w:p>
        </w:tc>
        <w:tc>
          <w:tcPr>
            <w:tcW w:w="120" w:type="dxa"/>
            <w:vAlign w:val="bottom"/>
            <w:tcBorders>
              <w:top w:val="single" w:sz="8" w:color="1E1E1E"/>
            </w:tcBorders>
          </w:tcPr>
          <w:p>
            <w:pPr>
              <w:spacing w:after="0" w:line="155" w:lineRule="exact"/>
              <w:rPr>
                <w:sz w:val="20"/>
                <w:szCs w:val="20"/>
                <w:color w:val="auto"/>
              </w:rPr>
            </w:pPr>
            <w:r>
              <w:rPr>
                <w:rFonts w:ascii="Arial" w:cs="Arial" w:eastAsia="Arial" w:hAnsi="Arial"/>
                <w:sz w:val="14"/>
                <w:szCs w:val="14"/>
                <w:color w:val="1E1E1E"/>
                <w:highlight w:val="white"/>
              </w:rPr>
              <w:t>$</w:t>
            </w:r>
          </w:p>
        </w:tc>
        <w:tc>
          <w:tcPr>
            <w:tcW w:w="620" w:type="dxa"/>
            <w:vAlign w:val="bottom"/>
            <w:tcBorders>
              <w:top w:val="single" w:sz="8" w:color="1E1E1E"/>
            </w:tcBorders>
          </w:tcPr>
          <w:p>
            <w:pPr>
              <w:jc w:val="right"/>
              <w:spacing w:after="0" w:line="155" w:lineRule="exact"/>
              <w:rPr>
                <w:sz w:val="20"/>
                <w:szCs w:val="20"/>
                <w:color w:val="auto"/>
              </w:rPr>
            </w:pPr>
            <w:r>
              <w:rPr>
                <w:rFonts w:ascii="Arial" w:cs="Arial" w:eastAsia="Arial" w:hAnsi="Arial"/>
                <w:sz w:val="14"/>
                <w:szCs w:val="14"/>
                <w:color w:val="1E1E1E"/>
                <w:highlight w:val="white"/>
              </w:rPr>
              <w:t>(46,902</w:t>
            </w:r>
          </w:p>
        </w:tc>
        <w:tc>
          <w:tcPr>
            <w:tcW w:w="20" w:type="dxa"/>
            <w:vAlign w:val="bottom"/>
          </w:tcPr>
          <w:p>
            <w:pPr>
              <w:spacing w:after="0"/>
              <w:rPr>
                <w:sz w:val="13"/>
                <w:szCs w:val="13"/>
                <w:color w:val="auto"/>
              </w:rPr>
            </w:pPr>
          </w:p>
        </w:tc>
        <w:tc>
          <w:tcPr>
            <w:tcW w:w="160" w:type="dxa"/>
            <w:vAlign w:val="bottom"/>
          </w:tcPr>
          <w:p>
            <w:pPr>
              <w:jc w:val="right"/>
              <w:ind w:right="79"/>
              <w:spacing w:after="0"/>
              <w:rPr>
                <w:sz w:val="20"/>
                <w:szCs w:val="20"/>
                <w:color w:val="auto"/>
              </w:rPr>
            </w:pPr>
            <w:r>
              <w:rPr>
                <w:rFonts w:ascii="Arial" w:cs="Arial" w:eastAsia="Arial" w:hAnsi="Arial"/>
                <w:sz w:val="8"/>
                <w:szCs w:val="8"/>
                <w:color w:val="1E1E1E"/>
                <w:w w:val="73"/>
              </w:rPr>
              <w:t>)</w:t>
            </w:r>
          </w:p>
        </w:tc>
        <w:tc>
          <w:tcPr>
            <w:tcW w:w="20" w:type="dxa"/>
            <w:vAlign w:val="bottom"/>
          </w:tcPr>
          <w:p>
            <w:pPr>
              <w:spacing w:after="0"/>
              <w:rPr>
                <w:sz w:val="13"/>
                <w:szCs w:val="13"/>
                <w:color w:val="auto"/>
              </w:rPr>
            </w:pPr>
          </w:p>
        </w:tc>
        <w:tc>
          <w:tcPr>
            <w:tcW w:w="160" w:type="dxa"/>
            <w:vAlign w:val="bottom"/>
            <w:tcBorders>
              <w:top w:val="single" w:sz="8" w:color="1E1E1E"/>
            </w:tcBorders>
          </w:tcPr>
          <w:p>
            <w:pPr>
              <w:spacing w:after="0" w:line="155" w:lineRule="exact"/>
              <w:rPr>
                <w:sz w:val="20"/>
                <w:szCs w:val="20"/>
                <w:color w:val="auto"/>
              </w:rPr>
            </w:pPr>
            <w:r>
              <w:rPr>
                <w:rFonts w:ascii="Arial" w:cs="Arial" w:eastAsia="Arial" w:hAnsi="Arial"/>
                <w:sz w:val="14"/>
                <w:szCs w:val="14"/>
                <w:color w:val="1E1E1E"/>
              </w:rPr>
              <w:t>$</w:t>
            </w:r>
          </w:p>
        </w:tc>
        <w:tc>
          <w:tcPr>
            <w:tcW w:w="700" w:type="dxa"/>
            <w:vAlign w:val="bottom"/>
            <w:tcBorders>
              <w:top w:val="single" w:sz="8" w:color="1E1E1E"/>
            </w:tcBorders>
          </w:tcPr>
          <w:p>
            <w:pPr>
              <w:jc w:val="right"/>
              <w:spacing w:after="0" w:line="155" w:lineRule="exact"/>
              <w:rPr>
                <w:sz w:val="20"/>
                <w:szCs w:val="20"/>
                <w:color w:val="auto"/>
              </w:rPr>
            </w:pPr>
            <w:r>
              <w:rPr>
                <w:rFonts w:ascii="Arial" w:cs="Arial" w:eastAsia="Arial" w:hAnsi="Arial"/>
                <w:sz w:val="14"/>
                <w:szCs w:val="14"/>
                <w:color w:val="1E1E1E"/>
              </w:rPr>
              <w:t>—</w:t>
            </w:r>
          </w:p>
        </w:tc>
        <w:tc>
          <w:tcPr>
            <w:tcW w:w="200" w:type="dxa"/>
            <w:vAlign w:val="bottom"/>
          </w:tcPr>
          <w:p>
            <w:pPr>
              <w:spacing w:after="0"/>
              <w:rPr>
                <w:sz w:val="13"/>
                <w:szCs w:val="13"/>
                <w:color w:val="auto"/>
              </w:rPr>
            </w:pPr>
          </w:p>
        </w:tc>
        <w:tc>
          <w:tcPr>
            <w:tcW w:w="120" w:type="dxa"/>
            <w:vAlign w:val="bottom"/>
            <w:tcBorders>
              <w:top w:val="single" w:sz="8" w:color="1E1E1E"/>
            </w:tcBorders>
          </w:tcPr>
          <w:p>
            <w:pPr>
              <w:jc w:val="right"/>
              <w:ind w:right="8"/>
              <w:spacing w:after="0"/>
              <w:rPr>
                <w:sz w:val="20"/>
                <w:szCs w:val="20"/>
                <w:color w:val="auto"/>
              </w:rPr>
            </w:pPr>
            <w:r>
              <w:rPr>
                <w:rFonts w:ascii="Arial" w:cs="Arial" w:eastAsia="Arial" w:hAnsi="Arial"/>
                <w:sz w:val="10"/>
                <w:szCs w:val="10"/>
                <w:color w:val="1E1E1E"/>
                <w:highlight w:val="white"/>
                <w:w w:val="71"/>
              </w:rPr>
              <w:t>$</w:t>
            </w:r>
          </w:p>
        </w:tc>
        <w:tc>
          <w:tcPr>
            <w:tcW w:w="540" w:type="dxa"/>
            <w:vAlign w:val="bottom"/>
            <w:tcBorders>
              <w:top w:val="single" w:sz="8" w:color="1E1E1E"/>
            </w:tcBorders>
          </w:tcPr>
          <w:p>
            <w:pPr>
              <w:jc w:val="right"/>
              <w:spacing w:after="0" w:line="155" w:lineRule="exact"/>
              <w:rPr>
                <w:sz w:val="20"/>
                <w:szCs w:val="20"/>
                <w:color w:val="auto"/>
              </w:rPr>
            </w:pPr>
            <w:r>
              <w:rPr>
                <w:rFonts w:ascii="Arial" w:cs="Arial" w:eastAsia="Arial" w:hAnsi="Arial"/>
                <w:sz w:val="14"/>
                <w:szCs w:val="14"/>
                <w:color w:val="1E1E1E"/>
                <w:highlight w:val="white"/>
              </w:rPr>
              <w:t>148,953</w:t>
            </w:r>
          </w:p>
        </w:tc>
        <w:tc>
          <w:tcPr>
            <w:tcW w:w="20" w:type="dxa"/>
            <w:vAlign w:val="bottom"/>
            <w:tcBorders>
              <w:top w:val="single" w:sz="8" w:color="1E1E1E"/>
            </w:tcBorders>
          </w:tcPr>
          <w:p>
            <w:pPr>
              <w:spacing w:after="0"/>
              <w:rPr>
                <w:sz w:val="13"/>
                <w:szCs w:val="13"/>
                <w:color w:val="auto"/>
              </w:rPr>
            </w:pPr>
          </w:p>
        </w:tc>
        <w:tc>
          <w:tcPr>
            <w:tcW w:w="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2289175</wp:posOffset>
            </wp:positionH>
            <wp:positionV relativeFrom="paragraph">
              <wp:posOffset>-4414520</wp:posOffset>
            </wp:positionV>
            <wp:extent cx="4527550"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27550" cy="5969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-3050540</wp:posOffset>
            </wp:positionV>
            <wp:extent cx="4527550"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527550" cy="5969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-1278255</wp:posOffset>
            </wp:positionV>
            <wp:extent cx="4527550"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27550" cy="5969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-15875</wp:posOffset>
            </wp:positionV>
            <wp:extent cx="4527550"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27550" cy="59690"/>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1E1E1E"/>
        </w:rPr>
        <w:t>The accompanying notes are an integral part of the consolidated financial statements.</w:t>
      </w:r>
    </w:p>
    <w:p>
      <w:pPr>
        <w:sectPr>
          <w:pgSz w:w="11880" w:h="15480" w:orient="portrait"/>
          <w:cols w:equalWidth="0" w:num="1">
            <w:col w:w="10800"/>
          </w:cols>
          <w:pgMar w:left="540" w:top="653"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41</w:t>
      </w:r>
    </w:p>
    <w:p>
      <w:pPr>
        <w:sectPr>
          <w:pgSz w:w="11880" w:h="15480" w:orient="portrait"/>
          <w:cols w:equalWidth="0" w:num="1">
            <w:col w:w="10800"/>
          </w:cols>
          <w:pgMar w:left="540" w:top="653" w:right="540" w:bottom="31"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20"/>
          <w:szCs w:val="20"/>
          <w:color w:val="1E1E1E"/>
        </w:rPr>
        <w:t>DESTINATION XL GROUP, INC.</w:t>
      </w:r>
    </w:p>
    <w:p>
      <w:pPr>
        <w:jc w:val="center"/>
        <w:spacing w:after="0"/>
        <w:rPr>
          <w:sz w:val="20"/>
          <w:szCs w:val="20"/>
          <w:color w:val="auto"/>
        </w:rPr>
      </w:pPr>
      <w:r>
        <w:rPr>
          <w:rFonts w:ascii="Arial" w:cs="Arial" w:eastAsia="Arial" w:hAnsi="Arial"/>
          <w:sz w:val="20"/>
          <w:szCs w:val="20"/>
          <w:color w:val="1E1E1E"/>
        </w:rPr>
        <w:t>CONSOLIDATED STATEMENTS OF CASH FLOWS</w:t>
      </w:r>
    </w:p>
    <w:p>
      <w:pPr>
        <w:jc w:val="center"/>
        <w:spacing w:after="0"/>
        <w:rPr>
          <w:sz w:val="20"/>
          <w:szCs w:val="20"/>
          <w:color w:val="auto"/>
        </w:rPr>
      </w:pPr>
      <w:r>
        <w:rPr>
          <w:rFonts w:ascii="Arial" w:cs="Arial" w:eastAsia="Arial" w:hAnsi="Arial"/>
          <w:sz w:val="20"/>
          <w:szCs w:val="20"/>
          <w:color w:val="1E1E1E"/>
        </w:rPr>
        <w:t>For the fiscal years ended February 3, 2024, January 28, 2023 and January 29, 2022</w:t>
      </w:r>
    </w:p>
    <w:p>
      <w:pPr>
        <w:jc w:val="center"/>
        <w:spacing w:after="0"/>
        <w:rPr>
          <w:sz w:val="20"/>
          <w:szCs w:val="20"/>
          <w:color w:val="auto"/>
        </w:rPr>
      </w:pPr>
      <w:r>
        <w:rPr>
          <w:rFonts w:ascii="Arial" w:cs="Arial" w:eastAsia="Arial" w:hAnsi="Arial"/>
          <w:sz w:val="20"/>
          <w:szCs w:val="20"/>
          <w:color w:val="1E1E1E"/>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6"/>
                <w:szCs w:val="16"/>
                <w:color w:val="1E1E1E"/>
                <w:w w:val="93"/>
              </w:rPr>
              <w:t>February 3, 2024</w:t>
            </w:r>
          </w:p>
        </w:tc>
        <w:tc>
          <w:tcPr>
            <w:tcW w:w="1500" w:type="dxa"/>
            <w:vAlign w:val="bottom"/>
            <w:gridSpan w:val="3"/>
          </w:tcPr>
          <w:p>
            <w:pPr>
              <w:jc w:val="right"/>
              <w:ind w:right="320"/>
              <w:spacing w:after="0"/>
              <w:rPr>
                <w:sz w:val="20"/>
                <w:szCs w:val="20"/>
                <w:color w:val="auto"/>
              </w:rPr>
            </w:pPr>
            <w:r>
              <w:rPr>
                <w:rFonts w:ascii="Arial" w:cs="Arial" w:eastAsia="Arial" w:hAnsi="Arial"/>
                <w:sz w:val="16"/>
                <w:szCs w:val="16"/>
                <w:color w:val="1E1E1E"/>
                <w:w w:val="93"/>
              </w:rPr>
              <w:t>January 28, 2023</w:t>
            </w:r>
          </w:p>
        </w:tc>
        <w:tc>
          <w:tcPr>
            <w:tcW w:w="1340" w:type="dxa"/>
            <w:vAlign w:val="bottom"/>
            <w:gridSpan w:val="3"/>
          </w:tcPr>
          <w:p>
            <w:pPr>
              <w:jc w:val="right"/>
              <w:ind w:right="180"/>
              <w:spacing w:after="0"/>
              <w:rPr>
                <w:sz w:val="20"/>
                <w:szCs w:val="20"/>
                <w:color w:val="auto"/>
              </w:rPr>
            </w:pPr>
            <w:r>
              <w:rPr>
                <w:rFonts w:ascii="Arial" w:cs="Arial" w:eastAsia="Arial" w:hAnsi="Arial"/>
                <w:sz w:val="16"/>
                <w:szCs w:val="16"/>
                <w:color w:val="1E1E1E"/>
                <w:w w:val="92"/>
              </w:rPr>
              <w:t>January 29, 2022</w:t>
            </w:r>
          </w:p>
        </w:tc>
      </w:tr>
      <w:tr>
        <w:trPr>
          <w:trHeight w:val="198"/>
        </w:trPr>
        <w:tc>
          <w:tcPr>
            <w:tcW w:w="6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6"/>
                <w:szCs w:val="16"/>
                <w:color w:val="1E1E1E"/>
                <w:w w:val="95"/>
              </w:rPr>
              <w:t>(Fiscal 2023)</w:t>
            </w:r>
          </w:p>
        </w:tc>
        <w:tc>
          <w:tcPr>
            <w:tcW w:w="160" w:type="dxa"/>
            <w:vAlign w:val="bottom"/>
          </w:tcPr>
          <w:p>
            <w:pPr>
              <w:spacing w:after="0"/>
              <w:rPr>
                <w:sz w:val="17"/>
                <w:szCs w:val="17"/>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6"/>
                <w:szCs w:val="16"/>
                <w:color w:val="1E1E1E"/>
                <w:w w:val="92"/>
              </w:rPr>
              <w:t>(Fiscal 2022)</w:t>
            </w:r>
          </w:p>
        </w:tc>
        <w:tc>
          <w:tcPr>
            <w:tcW w:w="140" w:type="dxa"/>
            <w:vAlign w:val="bottom"/>
          </w:tcPr>
          <w:p>
            <w:pPr>
              <w:spacing w:after="0"/>
              <w:rPr>
                <w:sz w:val="17"/>
                <w:szCs w:val="17"/>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1E1E1E"/>
                <w:w w:val="95"/>
              </w:rPr>
              <w:t>(Fiscal 2021)</w:t>
            </w:r>
          </w:p>
        </w:tc>
      </w:tr>
      <w:tr>
        <w:trPr>
          <w:trHeight w:val="220"/>
        </w:trPr>
        <w:tc>
          <w:tcPr>
            <w:tcW w:w="6480" w:type="dxa"/>
            <w:vAlign w:val="bottom"/>
            <w:tcBorders>
              <w:top w:val="single" w:sz="8" w:color="E4E4E4"/>
            </w:tcBorders>
            <w:shd w:val="clear" w:color="auto" w:fill="E4E4E4"/>
          </w:tcPr>
          <w:p>
            <w:pPr>
              <w:ind w:left="200"/>
              <w:spacing w:after="0" w:line="220" w:lineRule="exact"/>
              <w:rPr>
                <w:sz w:val="20"/>
                <w:szCs w:val="20"/>
                <w:color w:val="auto"/>
              </w:rPr>
            </w:pPr>
            <w:r>
              <w:rPr>
                <w:rFonts w:ascii="Arial" w:cs="Arial" w:eastAsia="Arial" w:hAnsi="Arial"/>
                <w:sz w:val="20"/>
                <w:szCs w:val="20"/>
                <w:color w:val="1E1E1E"/>
              </w:rPr>
              <w:t>Cash flows from operating activities:</w:t>
            </w:r>
          </w:p>
        </w:tc>
        <w:tc>
          <w:tcPr>
            <w:tcW w:w="140" w:type="dxa"/>
            <w:vAlign w:val="bottom"/>
            <w:tcBorders>
              <w:top w:val="single" w:sz="8" w:color="1E1E1E"/>
            </w:tcBorders>
            <w:shd w:val="clear" w:color="auto" w:fill="E4E4E4"/>
          </w:tcPr>
          <w:p>
            <w:pPr>
              <w:spacing w:after="0"/>
              <w:rPr>
                <w:sz w:val="19"/>
                <w:szCs w:val="19"/>
                <w:color w:val="auto"/>
              </w:rPr>
            </w:pPr>
          </w:p>
        </w:tc>
        <w:tc>
          <w:tcPr>
            <w:tcW w:w="1080" w:type="dxa"/>
            <w:vAlign w:val="bottom"/>
            <w:tcBorders>
              <w:top w:val="single" w:sz="8" w:color="1E1E1E"/>
            </w:tcBorders>
            <w:shd w:val="clear" w:color="auto" w:fill="E4E4E4"/>
          </w:tcPr>
          <w:p>
            <w:pPr>
              <w:spacing w:after="0"/>
              <w:rPr>
                <w:sz w:val="19"/>
                <w:szCs w:val="19"/>
                <w:color w:val="auto"/>
              </w:rPr>
            </w:pPr>
          </w:p>
        </w:tc>
        <w:tc>
          <w:tcPr>
            <w:tcW w:w="260" w:type="dxa"/>
            <w:vAlign w:val="bottom"/>
            <w:tcBorders>
              <w:top w:val="single" w:sz="8" w:color="E4E4E4"/>
            </w:tcBorders>
            <w:shd w:val="clear" w:color="auto" w:fill="E4E4E4"/>
          </w:tcPr>
          <w:p>
            <w:pPr>
              <w:spacing w:after="0"/>
              <w:rPr>
                <w:sz w:val="19"/>
                <w:szCs w:val="19"/>
                <w:color w:val="auto"/>
              </w:rPr>
            </w:pPr>
          </w:p>
        </w:tc>
        <w:tc>
          <w:tcPr>
            <w:tcW w:w="160" w:type="dxa"/>
            <w:vAlign w:val="bottom"/>
            <w:tcBorders>
              <w:top w:val="single" w:sz="8" w:color="1E1E1E"/>
            </w:tcBorders>
            <w:shd w:val="clear" w:color="auto" w:fill="E4E4E4"/>
          </w:tcPr>
          <w:p>
            <w:pPr>
              <w:spacing w:after="0"/>
              <w:rPr>
                <w:sz w:val="19"/>
                <w:szCs w:val="19"/>
                <w:color w:val="auto"/>
              </w:rPr>
            </w:pPr>
          </w:p>
        </w:tc>
        <w:tc>
          <w:tcPr>
            <w:tcW w:w="1080" w:type="dxa"/>
            <w:vAlign w:val="bottom"/>
            <w:tcBorders>
              <w:top w:val="single" w:sz="8" w:color="1E1E1E"/>
            </w:tcBorders>
            <w:shd w:val="clear" w:color="auto" w:fill="E4E4E4"/>
          </w:tcPr>
          <w:p>
            <w:pPr>
              <w:spacing w:after="0"/>
              <w:rPr>
                <w:sz w:val="19"/>
                <w:szCs w:val="19"/>
                <w:color w:val="auto"/>
              </w:rPr>
            </w:pPr>
          </w:p>
        </w:tc>
        <w:tc>
          <w:tcPr>
            <w:tcW w:w="260" w:type="dxa"/>
            <w:vAlign w:val="bottom"/>
            <w:tcBorders>
              <w:top w:val="single" w:sz="8" w:color="E4E4E4"/>
            </w:tcBorders>
            <w:shd w:val="clear" w:color="auto" w:fill="E4E4E4"/>
          </w:tcPr>
          <w:p>
            <w:pPr>
              <w:spacing w:after="0"/>
              <w:rPr>
                <w:sz w:val="19"/>
                <w:szCs w:val="19"/>
                <w:color w:val="auto"/>
              </w:rPr>
            </w:pPr>
          </w:p>
        </w:tc>
        <w:tc>
          <w:tcPr>
            <w:tcW w:w="140" w:type="dxa"/>
            <w:vAlign w:val="bottom"/>
            <w:tcBorders>
              <w:top w:val="single" w:sz="8" w:color="1E1E1E"/>
            </w:tcBorders>
            <w:shd w:val="clear" w:color="auto" w:fill="E4E4E4"/>
          </w:tcPr>
          <w:p>
            <w:pPr>
              <w:spacing w:after="0"/>
              <w:rPr>
                <w:sz w:val="19"/>
                <w:szCs w:val="19"/>
                <w:color w:val="auto"/>
              </w:rPr>
            </w:pPr>
          </w:p>
        </w:tc>
        <w:tc>
          <w:tcPr>
            <w:tcW w:w="1100" w:type="dxa"/>
            <w:vAlign w:val="bottom"/>
            <w:tcBorders>
              <w:top w:val="single" w:sz="8" w:color="1E1E1E"/>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r>
      <w:tr>
        <w:trPr>
          <w:trHeight w:val="230"/>
        </w:trPr>
        <w:tc>
          <w:tcPr>
            <w:tcW w:w="6480" w:type="dxa"/>
            <w:vAlign w:val="bottom"/>
          </w:tcPr>
          <w:p>
            <w:pPr>
              <w:ind w:left="200"/>
              <w:spacing w:after="0"/>
              <w:rPr>
                <w:sz w:val="20"/>
                <w:szCs w:val="20"/>
                <w:color w:val="auto"/>
              </w:rPr>
            </w:pPr>
            <w:r>
              <w:rPr>
                <w:rFonts w:ascii="Arial" w:cs="Arial" w:eastAsia="Arial" w:hAnsi="Arial"/>
                <w:sz w:val="20"/>
                <w:szCs w:val="20"/>
                <w:color w:val="1E1E1E"/>
              </w:rPr>
              <w:t>Net income</w:t>
            </w:r>
          </w:p>
        </w:tc>
        <w:tc>
          <w:tcPr>
            <w:tcW w:w="140" w:type="dxa"/>
            <w:vAlign w:val="bottom"/>
          </w:tcPr>
          <w:p>
            <w:pPr>
              <w:jc w:val="right"/>
              <w:spacing w:after="0"/>
              <w:rPr>
                <w:sz w:val="20"/>
                <w:szCs w:val="20"/>
                <w:color w:val="auto"/>
              </w:rPr>
            </w:pPr>
            <w:r>
              <w:rPr>
                <w:rFonts w:ascii="Arial" w:cs="Arial" w:eastAsia="Arial" w:hAnsi="Arial"/>
                <w:sz w:val="20"/>
                <w:szCs w:val="20"/>
                <w:color w:val="1E1E1E"/>
                <w:w w:val="71"/>
              </w:rPr>
              <w:t>$</w:t>
            </w:r>
          </w:p>
        </w:tc>
        <w:tc>
          <w:tcPr>
            <w:tcW w:w="1340" w:type="dxa"/>
            <w:vAlign w:val="bottom"/>
            <w:gridSpan w:val="2"/>
          </w:tcPr>
          <w:p>
            <w:pPr>
              <w:jc w:val="right"/>
              <w:ind w:right="240"/>
              <w:spacing w:after="0"/>
              <w:rPr>
                <w:sz w:val="20"/>
                <w:szCs w:val="20"/>
                <w:color w:val="auto"/>
              </w:rPr>
            </w:pPr>
            <w:r>
              <w:rPr>
                <w:rFonts w:ascii="Arial" w:cs="Arial" w:eastAsia="Arial" w:hAnsi="Arial"/>
                <w:sz w:val="20"/>
                <w:szCs w:val="20"/>
                <w:color w:val="1E1E1E"/>
              </w:rPr>
              <w:t>27,854</w:t>
            </w:r>
          </w:p>
        </w:tc>
        <w:tc>
          <w:tcPr>
            <w:tcW w:w="160" w:type="dxa"/>
            <w:vAlign w:val="bottom"/>
          </w:tcPr>
          <w:p>
            <w:pPr>
              <w:jc w:val="right"/>
              <w:spacing w:after="0"/>
              <w:rPr>
                <w:sz w:val="20"/>
                <w:szCs w:val="20"/>
                <w:color w:val="auto"/>
              </w:rPr>
            </w:pPr>
            <w:r>
              <w:rPr>
                <w:rFonts w:ascii="Arial" w:cs="Arial" w:eastAsia="Arial" w:hAnsi="Arial"/>
                <w:sz w:val="20"/>
                <w:szCs w:val="20"/>
                <w:color w:val="1E1E1E"/>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1E1E1E"/>
              </w:rPr>
              <w:t>89,123</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1E1E1E"/>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1E1E1E"/>
              </w:rPr>
              <w:t>56,713</w:t>
            </w:r>
          </w:p>
        </w:tc>
        <w:tc>
          <w:tcPr>
            <w:tcW w:w="100" w:type="dxa"/>
            <w:vAlign w:val="bottom"/>
          </w:tcPr>
          <w:p>
            <w:pPr>
              <w:spacing w:after="0"/>
              <w:rPr>
                <w:sz w:val="20"/>
                <w:szCs w:val="20"/>
                <w:color w:val="auto"/>
              </w:rPr>
            </w:pPr>
          </w:p>
        </w:tc>
      </w:tr>
      <w:tr>
        <w:trPr>
          <w:trHeight w:val="210"/>
        </w:trPr>
        <w:tc>
          <w:tcPr>
            <w:tcW w:w="6480" w:type="dxa"/>
            <w:vAlign w:val="bottom"/>
            <w:shd w:val="clear" w:color="auto" w:fill="E4E4E4"/>
          </w:tcPr>
          <w:p>
            <w:pPr>
              <w:ind w:left="200"/>
              <w:spacing w:after="0" w:line="210" w:lineRule="exact"/>
              <w:rPr>
                <w:sz w:val="20"/>
                <w:szCs w:val="20"/>
                <w:color w:val="auto"/>
              </w:rPr>
            </w:pPr>
            <w:r>
              <w:rPr>
                <w:rFonts w:ascii="Arial" w:cs="Arial" w:eastAsia="Arial" w:hAnsi="Arial"/>
                <w:sz w:val="20"/>
                <w:szCs w:val="20"/>
                <w:color w:val="1E1E1E"/>
              </w:rPr>
              <w:t>Adjustments to reconcile net income to net cash provided by operating</w:t>
            </w:r>
          </w:p>
        </w:tc>
        <w:tc>
          <w:tcPr>
            <w:tcW w:w="140" w:type="dxa"/>
            <w:vAlign w:val="bottom"/>
            <w:shd w:val="clear" w:color="auto" w:fill="E4E4E4"/>
          </w:tcPr>
          <w:p>
            <w:pPr>
              <w:spacing w:after="0"/>
              <w:rPr>
                <w:sz w:val="18"/>
                <w:szCs w:val="18"/>
                <w:color w:val="auto"/>
              </w:rPr>
            </w:pPr>
          </w:p>
        </w:tc>
        <w:tc>
          <w:tcPr>
            <w:tcW w:w="108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108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10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r>
      <w:tr>
        <w:trPr>
          <w:trHeight w:val="250"/>
        </w:trPr>
        <w:tc>
          <w:tcPr>
            <w:tcW w:w="6480" w:type="dxa"/>
            <w:vAlign w:val="bottom"/>
            <w:shd w:val="clear" w:color="auto" w:fill="E4E4E4"/>
          </w:tcPr>
          <w:p>
            <w:pPr>
              <w:ind w:left="200"/>
              <w:spacing w:after="0"/>
              <w:rPr>
                <w:sz w:val="20"/>
                <w:szCs w:val="20"/>
                <w:color w:val="auto"/>
              </w:rPr>
            </w:pPr>
            <w:r>
              <w:rPr>
                <w:rFonts w:ascii="Arial" w:cs="Arial" w:eastAsia="Arial" w:hAnsi="Arial"/>
                <w:sz w:val="20"/>
                <w:szCs w:val="20"/>
                <w:color w:val="1E1E1E"/>
              </w:rPr>
              <w:t>activities:</w:t>
            </w:r>
          </w:p>
        </w:tc>
        <w:tc>
          <w:tcPr>
            <w:tcW w:w="140" w:type="dxa"/>
            <w:vAlign w:val="bottom"/>
            <w:shd w:val="clear" w:color="auto" w:fill="E4E4E4"/>
          </w:tcPr>
          <w:p>
            <w:pPr>
              <w:spacing w:after="0"/>
              <w:rPr>
                <w:sz w:val="21"/>
                <w:szCs w:val="21"/>
                <w:color w:val="auto"/>
              </w:rPr>
            </w:pPr>
          </w:p>
        </w:tc>
        <w:tc>
          <w:tcPr>
            <w:tcW w:w="1080" w:type="dxa"/>
            <w:vAlign w:val="bottom"/>
            <w:shd w:val="clear" w:color="auto" w:fill="E4E4E4"/>
          </w:tcPr>
          <w:p>
            <w:pPr>
              <w:spacing w:after="0"/>
              <w:rPr>
                <w:sz w:val="21"/>
                <w:szCs w:val="21"/>
                <w:color w:val="auto"/>
              </w:rPr>
            </w:pPr>
          </w:p>
        </w:tc>
        <w:tc>
          <w:tcPr>
            <w:tcW w:w="26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1080" w:type="dxa"/>
            <w:vAlign w:val="bottom"/>
            <w:shd w:val="clear" w:color="auto" w:fill="E4E4E4"/>
          </w:tcPr>
          <w:p>
            <w:pPr>
              <w:spacing w:after="0"/>
              <w:rPr>
                <w:sz w:val="21"/>
                <w:szCs w:val="21"/>
                <w:color w:val="auto"/>
              </w:rPr>
            </w:pPr>
          </w:p>
        </w:tc>
        <w:tc>
          <w:tcPr>
            <w:tcW w:w="260" w:type="dxa"/>
            <w:vAlign w:val="bottom"/>
            <w:shd w:val="clear" w:color="auto" w:fill="E4E4E4"/>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110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r>
      <w:tr>
        <w:trPr>
          <w:trHeight w:val="230"/>
        </w:trPr>
        <w:tc>
          <w:tcPr>
            <w:tcW w:w="6480" w:type="dxa"/>
            <w:vAlign w:val="bottom"/>
          </w:tcPr>
          <w:p>
            <w:pPr>
              <w:ind w:left="400"/>
              <w:spacing w:after="0"/>
              <w:rPr>
                <w:sz w:val="20"/>
                <w:szCs w:val="20"/>
                <w:color w:val="auto"/>
              </w:rPr>
            </w:pPr>
            <w:r>
              <w:rPr>
                <w:rFonts w:ascii="Arial" w:cs="Arial" w:eastAsia="Arial" w:hAnsi="Arial"/>
                <w:sz w:val="20"/>
                <w:szCs w:val="20"/>
                <w:color w:val="1E1E1E"/>
              </w:rPr>
              <w:t>Loss from retirement plan terminations</w:t>
            </w:r>
          </w:p>
        </w:tc>
        <w:tc>
          <w:tcPr>
            <w:tcW w:w="14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20"/>
                <w:szCs w:val="20"/>
                <w:color w:val="1E1E1E"/>
              </w:rPr>
              <w:t>5,690</w:t>
            </w:r>
          </w:p>
        </w:tc>
        <w:tc>
          <w:tcPr>
            <w:tcW w:w="16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20"/>
                <w:szCs w:val="20"/>
                <w:color w:val="1E1E1E"/>
              </w:rPr>
              <w:t>—</w:t>
            </w: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1E1E1E"/>
              </w:rPr>
              <w:t>—</w:t>
            </w:r>
          </w:p>
        </w:tc>
      </w:tr>
      <w:tr>
        <w:trPr>
          <w:trHeight w:val="230"/>
        </w:trPr>
        <w:tc>
          <w:tcPr>
            <w:tcW w:w="6480" w:type="dxa"/>
            <w:vAlign w:val="bottom"/>
            <w:shd w:val="clear" w:color="auto" w:fill="E4E4E4"/>
          </w:tcPr>
          <w:p>
            <w:pPr>
              <w:ind w:left="400"/>
              <w:spacing w:after="0"/>
              <w:rPr>
                <w:sz w:val="20"/>
                <w:szCs w:val="20"/>
                <w:color w:val="auto"/>
              </w:rPr>
            </w:pPr>
            <w:r>
              <w:rPr>
                <w:rFonts w:ascii="Arial" w:cs="Arial" w:eastAsia="Arial" w:hAnsi="Arial"/>
                <w:sz w:val="20"/>
                <w:szCs w:val="20"/>
                <w:color w:val="1E1E1E"/>
              </w:rPr>
              <w:t>Recognition of accumulated foreign currency translation adjustment</w:t>
            </w:r>
          </w:p>
        </w:tc>
        <w:tc>
          <w:tcPr>
            <w:tcW w:w="140" w:type="dxa"/>
            <w:vAlign w:val="bottom"/>
            <w:shd w:val="clear" w:color="auto" w:fill="E4E4E4"/>
          </w:tcPr>
          <w:p>
            <w:pPr>
              <w:spacing w:after="0"/>
              <w:rPr>
                <w:sz w:val="20"/>
                <w:szCs w:val="20"/>
                <w:color w:val="auto"/>
              </w:rPr>
            </w:pPr>
          </w:p>
        </w:tc>
        <w:tc>
          <w:tcPr>
            <w:tcW w:w="1340" w:type="dxa"/>
            <w:vAlign w:val="bottom"/>
            <w:gridSpan w:val="2"/>
            <w:shd w:val="clear" w:color="auto" w:fill="E4E4E4"/>
          </w:tcPr>
          <w:p>
            <w:pPr>
              <w:jc w:val="right"/>
              <w:ind w:right="260"/>
              <w:spacing w:after="0"/>
              <w:rPr>
                <w:sz w:val="20"/>
                <w:szCs w:val="20"/>
                <w:color w:val="auto"/>
              </w:rPr>
            </w:pPr>
            <w:r>
              <w:rPr>
                <w:rFonts w:ascii="Arial" w:cs="Arial" w:eastAsia="Arial" w:hAnsi="Arial"/>
                <w:sz w:val="20"/>
                <w:szCs w:val="20"/>
                <w:color w:val="1E1E1E"/>
              </w:rPr>
              <w:t>—</w:t>
            </w:r>
          </w:p>
        </w:tc>
        <w:tc>
          <w:tcPr>
            <w:tcW w:w="160" w:type="dxa"/>
            <w:vAlign w:val="bottom"/>
            <w:shd w:val="clear" w:color="auto" w:fill="E4E4E4"/>
          </w:tcPr>
          <w:p>
            <w:pPr>
              <w:spacing w:after="0"/>
              <w:rPr>
                <w:sz w:val="20"/>
                <w:szCs w:val="20"/>
                <w:color w:val="auto"/>
              </w:rPr>
            </w:pPr>
          </w:p>
        </w:tc>
        <w:tc>
          <w:tcPr>
            <w:tcW w:w="108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66</w:t>
            </w:r>
          </w:p>
        </w:tc>
        <w:tc>
          <w:tcPr>
            <w:tcW w:w="26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1200" w:type="dxa"/>
            <w:vAlign w:val="bottom"/>
            <w:gridSpan w:val="2"/>
            <w:shd w:val="clear" w:color="auto" w:fill="E4E4E4"/>
          </w:tcPr>
          <w:p>
            <w:pPr>
              <w:jc w:val="right"/>
              <w:ind w:right="100"/>
              <w:spacing w:after="0"/>
              <w:rPr>
                <w:sz w:val="20"/>
                <w:szCs w:val="20"/>
                <w:color w:val="auto"/>
              </w:rPr>
            </w:pPr>
            <w:r>
              <w:rPr>
                <w:rFonts w:ascii="Arial" w:cs="Arial" w:eastAsia="Arial" w:hAnsi="Arial"/>
                <w:sz w:val="20"/>
                <w:szCs w:val="20"/>
                <w:color w:val="1E1E1E"/>
              </w:rPr>
              <w:t>—</w:t>
            </w:r>
          </w:p>
        </w:tc>
      </w:tr>
      <w:tr>
        <w:trPr>
          <w:trHeight w:val="228"/>
        </w:trPr>
        <w:tc>
          <w:tcPr>
            <w:tcW w:w="6480" w:type="dxa"/>
            <w:vAlign w:val="bottom"/>
          </w:tcPr>
          <w:p>
            <w:pPr>
              <w:ind w:left="400"/>
              <w:spacing w:after="0" w:line="228" w:lineRule="exact"/>
              <w:rPr>
                <w:sz w:val="20"/>
                <w:szCs w:val="20"/>
                <w:color w:val="auto"/>
              </w:rPr>
            </w:pPr>
            <w:r>
              <w:rPr>
                <w:rFonts w:ascii="Arial" w:cs="Arial" w:eastAsia="Arial" w:hAnsi="Arial"/>
                <w:sz w:val="20"/>
                <w:szCs w:val="20"/>
                <w:color w:val="1E1E1E"/>
              </w:rPr>
              <w:t>Amortization and write-off of deferred debt issuance costs</w:t>
            </w:r>
          </w:p>
        </w:tc>
        <w:tc>
          <w:tcPr>
            <w:tcW w:w="140" w:type="dxa"/>
            <w:vAlign w:val="bottom"/>
          </w:tcPr>
          <w:p>
            <w:pPr>
              <w:spacing w:after="0"/>
              <w:rPr>
                <w:sz w:val="19"/>
                <w:szCs w:val="19"/>
                <w:color w:val="auto"/>
              </w:rPr>
            </w:pPr>
          </w:p>
        </w:tc>
        <w:tc>
          <w:tcPr>
            <w:tcW w:w="1340" w:type="dxa"/>
            <w:vAlign w:val="bottom"/>
            <w:gridSpan w:val="2"/>
          </w:tcPr>
          <w:p>
            <w:pPr>
              <w:jc w:val="right"/>
              <w:ind w:right="240"/>
              <w:spacing w:after="0" w:line="228" w:lineRule="exact"/>
              <w:rPr>
                <w:sz w:val="20"/>
                <w:szCs w:val="20"/>
                <w:color w:val="auto"/>
              </w:rPr>
            </w:pPr>
            <w:r>
              <w:rPr>
                <w:rFonts w:ascii="Arial" w:cs="Arial" w:eastAsia="Arial" w:hAnsi="Arial"/>
                <w:sz w:val="20"/>
                <w:szCs w:val="20"/>
                <w:color w:val="1E1E1E"/>
              </w:rPr>
              <w:t>77</w:t>
            </w:r>
          </w:p>
        </w:tc>
        <w:tc>
          <w:tcPr>
            <w:tcW w:w="160" w:type="dxa"/>
            <w:vAlign w:val="bottom"/>
          </w:tcPr>
          <w:p>
            <w:pPr>
              <w:spacing w:after="0"/>
              <w:rPr>
                <w:sz w:val="19"/>
                <w:szCs w:val="19"/>
                <w:color w:val="auto"/>
              </w:rPr>
            </w:pPr>
          </w:p>
        </w:tc>
        <w:tc>
          <w:tcPr>
            <w:tcW w:w="1080" w:type="dxa"/>
            <w:vAlign w:val="bottom"/>
          </w:tcPr>
          <w:p>
            <w:pPr>
              <w:jc w:val="right"/>
              <w:spacing w:after="0" w:line="228" w:lineRule="exact"/>
              <w:rPr>
                <w:sz w:val="20"/>
                <w:szCs w:val="20"/>
                <w:color w:val="auto"/>
              </w:rPr>
            </w:pPr>
            <w:r>
              <w:rPr>
                <w:rFonts w:ascii="Arial" w:cs="Arial" w:eastAsia="Arial" w:hAnsi="Arial"/>
                <w:sz w:val="20"/>
                <w:szCs w:val="20"/>
                <w:color w:val="1E1E1E"/>
              </w:rPr>
              <w:t>76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line="228" w:lineRule="exact"/>
              <w:rPr>
                <w:sz w:val="20"/>
                <w:szCs w:val="20"/>
                <w:color w:val="auto"/>
              </w:rPr>
            </w:pPr>
            <w:r>
              <w:rPr>
                <w:rFonts w:ascii="Arial" w:cs="Arial" w:eastAsia="Arial" w:hAnsi="Arial"/>
                <w:sz w:val="20"/>
                <w:szCs w:val="20"/>
                <w:color w:val="1E1E1E"/>
              </w:rPr>
              <w:t>1,179</w:t>
            </w:r>
          </w:p>
        </w:tc>
        <w:tc>
          <w:tcPr>
            <w:tcW w:w="100" w:type="dxa"/>
            <w:vAlign w:val="bottom"/>
          </w:tcPr>
          <w:p>
            <w:pPr>
              <w:spacing w:after="0"/>
              <w:rPr>
                <w:sz w:val="19"/>
                <w:szCs w:val="19"/>
                <w:color w:val="auto"/>
              </w:rPr>
            </w:pPr>
          </w:p>
        </w:tc>
      </w:tr>
      <w:tr>
        <w:trPr>
          <w:trHeight w:val="230"/>
        </w:trPr>
        <w:tc>
          <w:tcPr>
            <w:tcW w:w="6480" w:type="dxa"/>
            <w:vAlign w:val="bottom"/>
            <w:shd w:val="clear" w:color="auto" w:fill="E4E4E4"/>
          </w:tcPr>
          <w:p>
            <w:pPr>
              <w:ind w:left="400"/>
              <w:spacing w:after="0"/>
              <w:rPr>
                <w:sz w:val="20"/>
                <w:szCs w:val="20"/>
                <w:color w:val="auto"/>
              </w:rPr>
            </w:pPr>
            <w:r>
              <w:rPr>
                <w:rFonts w:ascii="Arial" w:cs="Arial" w:eastAsia="Arial" w:hAnsi="Arial"/>
                <w:sz w:val="20"/>
                <w:szCs w:val="20"/>
                <w:color w:val="1E1E1E"/>
              </w:rPr>
              <w:t>Impairment (gain) of assets</w:t>
            </w:r>
          </w:p>
        </w:tc>
        <w:tc>
          <w:tcPr>
            <w:tcW w:w="140" w:type="dxa"/>
            <w:vAlign w:val="bottom"/>
            <w:shd w:val="clear" w:color="auto" w:fill="E4E4E4"/>
          </w:tcPr>
          <w:p>
            <w:pPr>
              <w:spacing w:after="0"/>
              <w:rPr>
                <w:sz w:val="20"/>
                <w:szCs w:val="20"/>
                <w:color w:val="auto"/>
              </w:rPr>
            </w:pPr>
          </w:p>
        </w:tc>
        <w:tc>
          <w:tcPr>
            <w:tcW w:w="1340" w:type="dxa"/>
            <w:vAlign w:val="bottom"/>
            <w:gridSpan w:val="2"/>
            <w:shd w:val="clear" w:color="auto" w:fill="E4E4E4"/>
          </w:tcPr>
          <w:p>
            <w:pPr>
              <w:jc w:val="right"/>
              <w:ind w:right="240"/>
              <w:spacing w:after="0"/>
              <w:rPr>
                <w:sz w:val="20"/>
                <w:szCs w:val="20"/>
                <w:color w:val="auto"/>
              </w:rPr>
            </w:pPr>
            <w:r>
              <w:rPr>
                <w:rFonts w:ascii="Arial" w:cs="Arial" w:eastAsia="Arial" w:hAnsi="Arial"/>
                <w:sz w:val="20"/>
                <w:szCs w:val="20"/>
                <w:color w:val="1E1E1E"/>
              </w:rPr>
              <w:t>116</w:t>
            </w:r>
          </w:p>
        </w:tc>
        <w:tc>
          <w:tcPr>
            <w:tcW w:w="160" w:type="dxa"/>
            <w:vAlign w:val="bottom"/>
            <w:shd w:val="clear" w:color="auto" w:fill="E4E4E4"/>
          </w:tcPr>
          <w:p>
            <w:pPr>
              <w:spacing w:after="0"/>
              <w:rPr>
                <w:sz w:val="20"/>
                <w:szCs w:val="20"/>
                <w:color w:val="auto"/>
              </w:rPr>
            </w:pPr>
          </w:p>
        </w:tc>
        <w:tc>
          <w:tcPr>
            <w:tcW w:w="1340" w:type="dxa"/>
            <w:vAlign w:val="bottom"/>
            <w:gridSpan w:val="2"/>
            <w:shd w:val="clear" w:color="auto" w:fill="E4E4E4"/>
          </w:tcPr>
          <w:p>
            <w:pPr>
              <w:jc w:val="right"/>
              <w:ind w:right="200"/>
              <w:spacing w:after="0"/>
              <w:rPr>
                <w:sz w:val="20"/>
                <w:szCs w:val="20"/>
                <w:color w:val="auto"/>
              </w:rPr>
            </w:pPr>
            <w:r>
              <w:rPr>
                <w:rFonts w:ascii="Arial" w:cs="Arial" w:eastAsia="Arial" w:hAnsi="Arial"/>
                <w:sz w:val="20"/>
                <w:szCs w:val="20"/>
                <w:color w:val="1E1E1E"/>
              </w:rPr>
              <w:t>(159)</w:t>
            </w:r>
          </w:p>
        </w:tc>
        <w:tc>
          <w:tcPr>
            <w:tcW w:w="140" w:type="dxa"/>
            <w:vAlign w:val="bottom"/>
            <w:shd w:val="clear" w:color="auto" w:fill="E4E4E4"/>
          </w:tcPr>
          <w:p>
            <w:pPr>
              <w:spacing w:after="0"/>
              <w:rPr>
                <w:sz w:val="20"/>
                <w:szCs w:val="20"/>
                <w:color w:val="auto"/>
              </w:rPr>
            </w:pPr>
          </w:p>
        </w:tc>
        <w:tc>
          <w:tcPr>
            <w:tcW w:w="1200" w:type="dxa"/>
            <w:vAlign w:val="bottom"/>
            <w:gridSpan w:val="2"/>
            <w:shd w:val="clear" w:color="auto" w:fill="E4E4E4"/>
          </w:tcPr>
          <w:p>
            <w:pPr>
              <w:jc w:val="right"/>
              <w:ind w:right="40"/>
              <w:spacing w:after="0"/>
              <w:rPr>
                <w:sz w:val="20"/>
                <w:szCs w:val="20"/>
                <w:color w:val="auto"/>
              </w:rPr>
            </w:pPr>
            <w:r>
              <w:rPr>
                <w:rFonts w:ascii="Arial" w:cs="Arial" w:eastAsia="Arial" w:hAnsi="Arial"/>
                <w:sz w:val="20"/>
                <w:szCs w:val="20"/>
                <w:color w:val="1E1E1E"/>
              </w:rPr>
              <w:t>(2,344)</w:t>
            </w:r>
          </w:p>
        </w:tc>
      </w:tr>
      <w:tr>
        <w:trPr>
          <w:trHeight w:val="230"/>
        </w:trPr>
        <w:tc>
          <w:tcPr>
            <w:tcW w:w="6480" w:type="dxa"/>
            <w:vAlign w:val="bottom"/>
          </w:tcPr>
          <w:p>
            <w:pPr>
              <w:ind w:left="400"/>
              <w:spacing w:after="0"/>
              <w:rPr>
                <w:sz w:val="20"/>
                <w:szCs w:val="20"/>
                <w:color w:val="auto"/>
              </w:rPr>
            </w:pPr>
            <w:r>
              <w:rPr>
                <w:rFonts w:ascii="Arial" w:cs="Arial" w:eastAsia="Arial" w:hAnsi="Arial"/>
                <w:sz w:val="20"/>
                <w:szCs w:val="20"/>
                <w:color w:val="1E1E1E"/>
              </w:rPr>
              <w:t>Depreciation and amortization</w:t>
            </w:r>
          </w:p>
        </w:tc>
        <w:tc>
          <w:tcPr>
            <w:tcW w:w="14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20"/>
                <w:szCs w:val="20"/>
                <w:color w:val="1E1E1E"/>
              </w:rPr>
              <w:t>13,833</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1E1E1E"/>
              </w:rPr>
              <w:t>15,381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1E1E1E"/>
              </w:rPr>
              <w:t>17,226</w:t>
            </w:r>
          </w:p>
        </w:tc>
      </w:tr>
      <w:tr>
        <w:trPr>
          <w:trHeight w:val="230"/>
        </w:trPr>
        <w:tc>
          <w:tcPr>
            <w:tcW w:w="6480" w:type="dxa"/>
            <w:vAlign w:val="bottom"/>
            <w:shd w:val="clear" w:color="auto" w:fill="E4E4E4"/>
          </w:tcPr>
          <w:p>
            <w:pPr>
              <w:ind w:left="400"/>
              <w:spacing w:after="0"/>
              <w:rPr>
                <w:sz w:val="20"/>
                <w:szCs w:val="20"/>
                <w:color w:val="auto"/>
              </w:rPr>
            </w:pPr>
            <w:r>
              <w:rPr>
                <w:rFonts w:ascii="Arial" w:cs="Arial" w:eastAsia="Arial" w:hAnsi="Arial"/>
                <w:sz w:val="20"/>
                <w:szCs w:val="20"/>
                <w:color w:val="1E1E1E"/>
              </w:rPr>
              <w:t>Gain on sale of equipment</w:t>
            </w:r>
          </w:p>
        </w:tc>
        <w:tc>
          <w:tcPr>
            <w:tcW w:w="140" w:type="dxa"/>
            <w:vAlign w:val="bottom"/>
            <w:shd w:val="clear" w:color="auto" w:fill="E4E4E4"/>
          </w:tcPr>
          <w:p>
            <w:pPr>
              <w:spacing w:after="0"/>
              <w:rPr>
                <w:sz w:val="20"/>
                <w:szCs w:val="20"/>
                <w:color w:val="auto"/>
              </w:rPr>
            </w:pPr>
          </w:p>
        </w:tc>
        <w:tc>
          <w:tcPr>
            <w:tcW w:w="1340" w:type="dxa"/>
            <w:vAlign w:val="bottom"/>
            <w:gridSpan w:val="2"/>
            <w:shd w:val="clear" w:color="auto" w:fill="E4E4E4"/>
          </w:tcPr>
          <w:p>
            <w:pPr>
              <w:jc w:val="right"/>
              <w:ind w:right="180"/>
              <w:spacing w:after="0"/>
              <w:rPr>
                <w:sz w:val="20"/>
                <w:szCs w:val="20"/>
                <w:color w:val="auto"/>
              </w:rPr>
            </w:pPr>
            <w:r>
              <w:rPr>
                <w:rFonts w:ascii="Arial" w:cs="Arial" w:eastAsia="Arial" w:hAnsi="Arial"/>
                <w:sz w:val="20"/>
                <w:szCs w:val="20"/>
                <w:color w:val="1E1E1E"/>
              </w:rPr>
              <w:t>(107)</w:t>
            </w:r>
          </w:p>
        </w:tc>
        <w:tc>
          <w:tcPr>
            <w:tcW w:w="160" w:type="dxa"/>
            <w:vAlign w:val="bottom"/>
            <w:shd w:val="clear" w:color="auto" w:fill="E4E4E4"/>
          </w:tcPr>
          <w:p>
            <w:pPr>
              <w:spacing w:after="0"/>
              <w:rPr>
                <w:sz w:val="20"/>
                <w:szCs w:val="20"/>
                <w:color w:val="auto"/>
              </w:rPr>
            </w:pPr>
          </w:p>
        </w:tc>
        <w:tc>
          <w:tcPr>
            <w:tcW w:w="1340" w:type="dxa"/>
            <w:vAlign w:val="bottom"/>
            <w:gridSpan w:val="2"/>
            <w:shd w:val="clear" w:color="auto" w:fill="E4E4E4"/>
          </w:tcPr>
          <w:p>
            <w:pPr>
              <w:jc w:val="right"/>
              <w:ind w:right="260"/>
              <w:spacing w:after="0"/>
              <w:rPr>
                <w:sz w:val="20"/>
                <w:szCs w:val="20"/>
                <w:color w:val="auto"/>
              </w:rPr>
            </w:pPr>
            <w:r>
              <w:rPr>
                <w:rFonts w:ascii="Arial" w:cs="Arial" w:eastAsia="Arial" w:hAnsi="Arial"/>
                <w:sz w:val="20"/>
                <w:szCs w:val="20"/>
                <w:color w:val="1E1E1E"/>
              </w:rPr>
              <w:t>—</w:t>
            </w:r>
          </w:p>
        </w:tc>
        <w:tc>
          <w:tcPr>
            <w:tcW w:w="140" w:type="dxa"/>
            <w:vAlign w:val="bottom"/>
            <w:shd w:val="clear" w:color="auto" w:fill="E4E4E4"/>
          </w:tcPr>
          <w:p>
            <w:pPr>
              <w:spacing w:after="0"/>
              <w:rPr>
                <w:sz w:val="20"/>
                <w:szCs w:val="20"/>
                <w:color w:val="auto"/>
              </w:rPr>
            </w:pPr>
          </w:p>
        </w:tc>
        <w:tc>
          <w:tcPr>
            <w:tcW w:w="1200" w:type="dxa"/>
            <w:vAlign w:val="bottom"/>
            <w:gridSpan w:val="2"/>
            <w:shd w:val="clear" w:color="auto" w:fill="E4E4E4"/>
          </w:tcPr>
          <w:p>
            <w:pPr>
              <w:jc w:val="right"/>
              <w:ind w:right="100"/>
              <w:spacing w:after="0"/>
              <w:rPr>
                <w:sz w:val="20"/>
                <w:szCs w:val="20"/>
                <w:color w:val="auto"/>
              </w:rPr>
            </w:pPr>
            <w:r>
              <w:rPr>
                <w:rFonts w:ascii="Arial" w:cs="Arial" w:eastAsia="Arial" w:hAnsi="Arial"/>
                <w:sz w:val="20"/>
                <w:szCs w:val="20"/>
                <w:color w:val="1E1E1E"/>
              </w:rPr>
              <w:t>—</w:t>
            </w:r>
          </w:p>
        </w:tc>
      </w:tr>
      <w:tr>
        <w:trPr>
          <w:trHeight w:val="230"/>
        </w:trPr>
        <w:tc>
          <w:tcPr>
            <w:tcW w:w="6480" w:type="dxa"/>
            <w:vAlign w:val="bottom"/>
          </w:tcPr>
          <w:p>
            <w:pPr>
              <w:ind w:left="400"/>
              <w:spacing w:after="0"/>
              <w:rPr>
                <w:sz w:val="20"/>
                <w:szCs w:val="20"/>
                <w:color w:val="auto"/>
              </w:rPr>
            </w:pPr>
            <w:r>
              <w:rPr>
                <w:rFonts w:ascii="Arial" w:cs="Arial" w:eastAsia="Arial" w:hAnsi="Arial"/>
                <w:sz w:val="20"/>
                <w:szCs w:val="20"/>
                <w:color w:val="1E1E1E"/>
              </w:rPr>
              <w:t>Deferred taxes, net of valuation allowance</w:t>
            </w:r>
          </w:p>
        </w:tc>
        <w:tc>
          <w:tcPr>
            <w:tcW w:w="14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20"/>
                <w:szCs w:val="20"/>
                <w:color w:val="1E1E1E"/>
              </w:rPr>
              <w:t>9,329</w:t>
            </w:r>
          </w:p>
        </w:tc>
        <w:tc>
          <w:tcPr>
            <w:tcW w:w="1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20"/>
                <w:szCs w:val="20"/>
                <w:color w:val="1E1E1E"/>
              </w:rPr>
              <w:t>(31,624)</w:t>
            </w: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1E1E1E"/>
              </w:rPr>
              <w:t>—</w:t>
            </w:r>
          </w:p>
        </w:tc>
      </w:tr>
      <w:tr>
        <w:trPr>
          <w:trHeight w:val="228"/>
        </w:trPr>
        <w:tc>
          <w:tcPr>
            <w:tcW w:w="6480" w:type="dxa"/>
            <w:vAlign w:val="bottom"/>
            <w:shd w:val="clear" w:color="auto" w:fill="E4E4E4"/>
          </w:tcPr>
          <w:p>
            <w:pPr>
              <w:ind w:left="400"/>
              <w:spacing w:after="0" w:line="228" w:lineRule="exact"/>
              <w:rPr>
                <w:sz w:val="20"/>
                <w:szCs w:val="20"/>
                <w:color w:val="auto"/>
              </w:rPr>
            </w:pPr>
            <w:r>
              <w:rPr>
                <w:rFonts w:ascii="Arial" w:cs="Arial" w:eastAsia="Arial" w:hAnsi="Arial"/>
                <w:sz w:val="20"/>
                <w:szCs w:val="20"/>
                <w:color w:val="1E1E1E"/>
              </w:rPr>
              <w:t>Stock compensation expense</w:t>
            </w:r>
          </w:p>
        </w:tc>
        <w:tc>
          <w:tcPr>
            <w:tcW w:w="140" w:type="dxa"/>
            <w:vAlign w:val="bottom"/>
            <w:shd w:val="clear" w:color="auto" w:fill="E4E4E4"/>
          </w:tcPr>
          <w:p>
            <w:pPr>
              <w:spacing w:after="0"/>
              <w:rPr>
                <w:sz w:val="19"/>
                <w:szCs w:val="19"/>
                <w:color w:val="auto"/>
              </w:rPr>
            </w:pPr>
          </w:p>
        </w:tc>
        <w:tc>
          <w:tcPr>
            <w:tcW w:w="1340" w:type="dxa"/>
            <w:vAlign w:val="bottom"/>
            <w:gridSpan w:val="2"/>
            <w:shd w:val="clear" w:color="auto" w:fill="E4E4E4"/>
          </w:tcPr>
          <w:p>
            <w:pPr>
              <w:jc w:val="right"/>
              <w:ind w:right="240"/>
              <w:spacing w:after="0" w:line="228" w:lineRule="exact"/>
              <w:rPr>
                <w:sz w:val="20"/>
                <w:szCs w:val="20"/>
                <w:color w:val="auto"/>
              </w:rPr>
            </w:pPr>
            <w:r>
              <w:rPr>
                <w:rFonts w:ascii="Arial" w:cs="Arial" w:eastAsia="Arial" w:hAnsi="Arial"/>
                <w:sz w:val="20"/>
                <w:szCs w:val="20"/>
                <w:color w:val="1E1E1E"/>
              </w:rPr>
              <w:t>2,496</w:t>
            </w:r>
          </w:p>
        </w:tc>
        <w:tc>
          <w:tcPr>
            <w:tcW w:w="160" w:type="dxa"/>
            <w:vAlign w:val="bottom"/>
            <w:shd w:val="clear" w:color="auto" w:fill="E4E4E4"/>
          </w:tcPr>
          <w:p>
            <w:pPr>
              <w:spacing w:after="0"/>
              <w:rPr>
                <w:sz w:val="19"/>
                <w:szCs w:val="19"/>
                <w:color w:val="auto"/>
              </w:rPr>
            </w:pPr>
          </w:p>
        </w:tc>
        <w:tc>
          <w:tcPr>
            <w:tcW w:w="1080" w:type="dxa"/>
            <w:vAlign w:val="bottom"/>
            <w:shd w:val="clear" w:color="auto" w:fill="E4E4E4"/>
          </w:tcPr>
          <w:p>
            <w:pPr>
              <w:jc w:val="right"/>
              <w:spacing w:after="0" w:line="228" w:lineRule="exact"/>
              <w:rPr>
                <w:sz w:val="20"/>
                <w:szCs w:val="20"/>
                <w:color w:val="auto"/>
              </w:rPr>
            </w:pPr>
            <w:r>
              <w:rPr>
                <w:rFonts w:ascii="Arial" w:cs="Arial" w:eastAsia="Arial" w:hAnsi="Arial"/>
                <w:sz w:val="20"/>
                <w:szCs w:val="20"/>
                <w:color w:val="1E1E1E"/>
              </w:rPr>
              <w:t>1,384</w:t>
            </w:r>
          </w:p>
        </w:tc>
        <w:tc>
          <w:tcPr>
            <w:tcW w:w="26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100" w:type="dxa"/>
            <w:vAlign w:val="bottom"/>
            <w:shd w:val="clear" w:color="auto" w:fill="E4E4E4"/>
          </w:tcPr>
          <w:p>
            <w:pPr>
              <w:jc w:val="right"/>
              <w:spacing w:after="0" w:line="228" w:lineRule="exact"/>
              <w:rPr>
                <w:sz w:val="20"/>
                <w:szCs w:val="20"/>
                <w:color w:val="auto"/>
              </w:rPr>
            </w:pPr>
            <w:r>
              <w:rPr>
                <w:rFonts w:ascii="Arial" w:cs="Arial" w:eastAsia="Arial" w:hAnsi="Arial"/>
                <w:sz w:val="20"/>
                <w:szCs w:val="20"/>
                <w:color w:val="1E1E1E"/>
              </w:rPr>
              <w:t>1,229</w:t>
            </w:r>
          </w:p>
        </w:tc>
        <w:tc>
          <w:tcPr>
            <w:tcW w:w="100" w:type="dxa"/>
            <w:vAlign w:val="bottom"/>
            <w:shd w:val="clear" w:color="auto" w:fill="E4E4E4"/>
          </w:tcPr>
          <w:p>
            <w:pPr>
              <w:spacing w:after="0"/>
              <w:rPr>
                <w:sz w:val="19"/>
                <w:szCs w:val="19"/>
                <w:color w:val="auto"/>
              </w:rPr>
            </w:pPr>
          </w:p>
        </w:tc>
      </w:tr>
      <w:tr>
        <w:trPr>
          <w:trHeight w:val="230"/>
        </w:trPr>
        <w:tc>
          <w:tcPr>
            <w:tcW w:w="6480" w:type="dxa"/>
            <w:vAlign w:val="bottom"/>
          </w:tcPr>
          <w:p>
            <w:pPr>
              <w:ind w:left="400"/>
              <w:spacing w:after="0"/>
              <w:rPr>
                <w:sz w:val="20"/>
                <w:szCs w:val="20"/>
                <w:color w:val="auto"/>
              </w:rPr>
            </w:pPr>
            <w:r>
              <w:rPr>
                <w:rFonts w:ascii="Arial" w:cs="Arial" w:eastAsia="Arial" w:hAnsi="Arial"/>
                <w:sz w:val="20"/>
                <w:szCs w:val="20"/>
                <w:color w:val="1E1E1E"/>
              </w:rPr>
              <w:t>Board of directors' stock compensation</w:t>
            </w:r>
          </w:p>
        </w:tc>
        <w:tc>
          <w:tcPr>
            <w:tcW w:w="14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20"/>
                <w:szCs w:val="20"/>
                <w:color w:val="1E1E1E"/>
              </w:rPr>
              <w:t>443</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1E1E1E"/>
              </w:rPr>
              <w:t>501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1E1E1E"/>
              </w:rPr>
              <w:t>374</w:t>
            </w:r>
          </w:p>
        </w:tc>
        <w:tc>
          <w:tcPr>
            <w:tcW w:w="100" w:type="dxa"/>
            <w:vAlign w:val="bottom"/>
          </w:tcPr>
          <w:p>
            <w:pPr>
              <w:spacing w:after="0"/>
              <w:rPr>
                <w:sz w:val="20"/>
                <w:szCs w:val="20"/>
                <w:color w:val="auto"/>
              </w:rPr>
            </w:pPr>
          </w:p>
        </w:tc>
      </w:tr>
      <w:tr>
        <w:trPr>
          <w:trHeight w:val="230"/>
        </w:trPr>
        <w:tc>
          <w:tcPr>
            <w:tcW w:w="648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1080" w:type="dxa"/>
            <w:vAlign w:val="bottom"/>
            <w:shd w:val="clear" w:color="auto" w:fill="E4E4E4"/>
          </w:tcPr>
          <w:p>
            <w:pPr>
              <w:spacing w:after="0"/>
              <w:rPr>
                <w:sz w:val="20"/>
                <w:szCs w:val="20"/>
                <w:color w:val="auto"/>
              </w:rPr>
            </w:pPr>
          </w:p>
        </w:tc>
        <w:tc>
          <w:tcPr>
            <w:tcW w:w="26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080" w:type="dxa"/>
            <w:vAlign w:val="bottom"/>
            <w:shd w:val="clear" w:color="auto" w:fill="E4E4E4"/>
          </w:tcPr>
          <w:p>
            <w:pPr>
              <w:spacing w:after="0"/>
              <w:rPr>
                <w:sz w:val="20"/>
                <w:szCs w:val="20"/>
                <w:color w:val="auto"/>
              </w:rPr>
            </w:pPr>
          </w:p>
        </w:tc>
        <w:tc>
          <w:tcPr>
            <w:tcW w:w="26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110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r>
      <w:tr>
        <w:trPr>
          <w:trHeight w:val="230"/>
        </w:trPr>
        <w:tc>
          <w:tcPr>
            <w:tcW w:w="6480" w:type="dxa"/>
            <w:vAlign w:val="bottom"/>
          </w:tcPr>
          <w:p>
            <w:pPr>
              <w:ind w:left="200"/>
              <w:spacing w:after="0"/>
              <w:rPr>
                <w:sz w:val="20"/>
                <w:szCs w:val="20"/>
                <w:color w:val="auto"/>
              </w:rPr>
            </w:pPr>
            <w:r>
              <w:rPr>
                <w:rFonts w:ascii="Arial" w:cs="Arial" w:eastAsia="Arial" w:hAnsi="Arial"/>
                <w:sz w:val="20"/>
                <w:szCs w:val="20"/>
                <w:color w:val="1E1E1E"/>
              </w:rPr>
              <w:t>Changes in operating assets and liabilities: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6480" w:type="dxa"/>
            <w:vAlign w:val="bottom"/>
            <w:shd w:val="clear" w:color="auto" w:fill="E4E4E4"/>
          </w:tcPr>
          <w:p>
            <w:pPr>
              <w:ind w:left="400"/>
              <w:spacing w:after="0"/>
              <w:rPr>
                <w:sz w:val="20"/>
                <w:szCs w:val="20"/>
                <w:color w:val="auto"/>
              </w:rPr>
            </w:pPr>
            <w:r>
              <w:rPr>
                <w:rFonts w:ascii="Arial" w:cs="Arial" w:eastAsia="Arial" w:hAnsi="Arial"/>
                <w:sz w:val="20"/>
                <w:szCs w:val="20"/>
                <w:color w:val="1E1E1E"/>
              </w:rPr>
              <w:t>Accounts receivable</w:t>
            </w:r>
          </w:p>
        </w:tc>
        <w:tc>
          <w:tcPr>
            <w:tcW w:w="140" w:type="dxa"/>
            <w:vAlign w:val="bottom"/>
            <w:shd w:val="clear" w:color="auto" w:fill="E4E4E4"/>
          </w:tcPr>
          <w:p>
            <w:pPr>
              <w:spacing w:after="0"/>
              <w:rPr>
                <w:sz w:val="20"/>
                <w:szCs w:val="20"/>
                <w:color w:val="auto"/>
              </w:rPr>
            </w:pPr>
          </w:p>
        </w:tc>
        <w:tc>
          <w:tcPr>
            <w:tcW w:w="1340" w:type="dxa"/>
            <w:vAlign w:val="bottom"/>
            <w:gridSpan w:val="2"/>
            <w:shd w:val="clear" w:color="auto" w:fill="E4E4E4"/>
          </w:tcPr>
          <w:p>
            <w:pPr>
              <w:jc w:val="right"/>
              <w:ind w:right="180"/>
              <w:spacing w:after="0"/>
              <w:rPr>
                <w:sz w:val="20"/>
                <w:szCs w:val="20"/>
                <w:color w:val="auto"/>
              </w:rPr>
            </w:pPr>
            <w:r>
              <w:rPr>
                <w:rFonts w:ascii="Arial" w:cs="Arial" w:eastAsia="Arial" w:hAnsi="Arial"/>
                <w:sz w:val="20"/>
                <w:szCs w:val="20"/>
                <w:color w:val="1E1E1E"/>
              </w:rPr>
              <w:t>(2,786)</w:t>
            </w:r>
          </w:p>
        </w:tc>
        <w:tc>
          <w:tcPr>
            <w:tcW w:w="160" w:type="dxa"/>
            <w:vAlign w:val="bottom"/>
            <w:shd w:val="clear" w:color="auto" w:fill="E4E4E4"/>
          </w:tcPr>
          <w:p>
            <w:pPr>
              <w:spacing w:after="0"/>
              <w:rPr>
                <w:sz w:val="20"/>
                <w:szCs w:val="20"/>
                <w:color w:val="auto"/>
              </w:rPr>
            </w:pPr>
          </w:p>
        </w:tc>
        <w:tc>
          <w:tcPr>
            <w:tcW w:w="108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390</w:t>
            </w:r>
          </w:p>
        </w:tc>
        <w:tc>
          <w:tcPr>
            <w:tcW w:w="26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4,306</w:t>
            </w:r>
          </w:p>
        </w:tc>
        <w:tc>
          <w:tcPr>
            <w:tcW w:w="100" w:type="dxa"/>
            <w:vAlign w:val="bottom"/>
            <w:shd w:val="clear" w:color="auto" w:fill="E4E4E4"/>
          </w:tcPr>
          <w:p>
            <w:pPr>
              <w:spacing w:after="0"/>
              <w:rPr>
                <w:sz w:val="20"/>
                <w:szCs w:val="20"/>
                <w:color w:val="auto"/>
              </w:rPr>
            </w:pPr>
          </w:p>
        </w:tc>
      </w:tr>
      <w:tr>
        <w:trPr>
          <w:trHeight w:val="230"/>
        </w:trPr>
        <w:tc>
          <w:tcPr>
            <w:tcW w:w="6480" w:type="dxa"/>
            <w:vAlign w:val="bottom"/>
          </w:tcPr>
          <w:p>
            <w:pPr>
              <w:ind w:left="400"/>
              <w:spacing w:after="0"/>
              <w:rPr>
                <w:sz w:val="20"/>
                <w:szCs w:val="20"/>
                <w:color w:val="auto"/>
              </w:rPr>
            </w:pPr>
            <w:r>
              <w:rPr>
                <w:rFonts w:ascii="Arial" w:cs="Arial" w:eastAsia="Arial" w:hAnsi="Arial"/>
                <w:sz w:val="20"/>
                <w:szCs w:val="20"/>
                <w:color w:val="1E1E1E"/>
              </w:rPr>
              <w:t>Inventories</w:t>
            </w:r>
          </w:p>
        </w:tc>
        <w:tc>
          <w:tcPr>
            <w:tcW w:w="14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20"/>
                <w:szCs w:val="20"/>
                <w:color w:val="1E1E1E"/>
              </w:rPr>
              <w:t>12,036</w:t>
            </w:r>
          </w:p>
        </w:tc>
        <w:tc>
          <w:tcPr>
            <w:tcW w:w="1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20"/>
                <w:szCs w:val="20"/>
                <w:color w:val="1E1E1E"/>
              </w:rPr>
              <w:t>(11,240)</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1E1E1E"/>
              </w:rPr>
              <w:t>3,264</w:t>
            </w:r>
          </w:p>
        </w:tc>
        <w:tc>
          <w:tcPr>
            <w:tcW w:w="100" w:type="dxa"/>
            <w:vAlign w:val="bottom"/>
          </w:tcPr>
          <w:p>
            <w:pPr>
              <w:spacing w:after="0"/>
              <w:rPr>
                <w:sz w:val="20"/>
                <w:szCs w:val="20"/>
                <w:color w:val="auto"/>
              </w:rPr>
            </w:pPr>
          </w:p>
        </w:tc>
      </w:tr>
      <w:tr>
        <w:trPr>
          <w:trHeight w:val="228"/>
        </w:trPr>
        <w:tc>
          <w:tcPr>
            <w:tcW w:w="6480" w:type="dxa"/>
            <w:vAlign w:val="bottom"/>
            <w:shd w:val="clear" w:color="auto" w:fill="E4E4E4"/>
          </w:tcPr>
          <w:p>
            <w:pPr>
              <w:ind w:left="400"/>
              <w:spacing w:after="0" w:line="228" w:lineRule="exact"/>
              <w:rPr>
                <w:sz w:val="20"/>
                <w:szCs w:val="20"/>
                <w:color w:val="auto"/>
              </w:rPr>
            </w:pPr>
            <w:r>
              <w:rPr>
                <w:rFonts w:ascii="Arial" w:cs="Arial" w:eastAsia="Arial" w:hAnsi="Arial"/>
                <w:sz w:val="20"/>
                <w:szCs w:val="20"/>
                <w:color w:val="1E1E1E"/>
              </w:rPr>
              <w:t>Prepaid expenses and other current assets</w:t>
            </w:r>
          </w:p>
        </w:tc>
        <w:tc>
          <w:tcPr>
            <w:tcW w:w="140" w:type="dxa"/>
            <w:vAlign w:val="bottom"/>
            <w:shd w:val="clear" w:color="auto" w:fill="E4E4E4"/>
          </w:tcPr>
          <w:p>
            <w:pPr>
              <w:spacing w:after="0"/>
              <w:rPr>
                <w:sz w:val="19"/>
                <w:szCs w:val="19"/>
                <w:color w:val="auto"/>
              </w:rPr>
            </w:pPr>
          </w:p>
        </w:tc>
        <w:tc>
          <w:tcPr>
            <w:tcW w:w="1340" w:type="dxa"/>
            <w:vAlign w:val="bottom"/>
            <w:gridSpan w:val="2"/>
            <w:shd w:val="clear" w:color="auto" w:fill="E4E4E4"/>
          </w:tcPr>
          <w:p>
            <w:pPr>
              <w:jc w:val="right"/>
              <w:ind w:right="180"/>
              <w:spacing w:after="0" w:line="228" w:lineRule="exact"/>
              <w:rPr>
                <w:sz w:val="20"/>
                <w:szCs w:val="20"/>
                <w:color w:val="auto"/>
              </w:rPr>
            </w:pPr>
            <w:r>
              <w:rPr>
                <w:rFonts w:ascii="Arial" w:cs="Arial" w:eastAsia="Arial" w:hAnsi="Arial"/>
                <w:sz w:val="20"/>
                <w:szCs w:val="20"/>
                <w:color w:val="1E1E1E"/>
              </w:rPr>
              <w:t>(1,094)</w:t>
            </w:r>
          </w:p>
        </w:tc>
        <w:tc>
          <w:tcPr>
            <w:tcW w:w="160" w:type="dxa"/>
            <w:vAlign w:val="bottom"/>
            <w:shd w:val="clear" w:color="auto" w:fill="E4E4E4"/>
          </w:tcPr>
          <w:p>
            <w:pPr>
              <w:spacing w:after="0"/>
              <w:rPr>
                <w:sz w:val="19"/>
                <w:szCs w:val="19"/>
                <w:color w:val="auto"/>
              </w:rPr>
            </w:pPr>
          </w:p>
        </w:tc>
        <w:tc>
          <w:tcPr>
            <w:tcW w:w="1340" w:type="dxa"/>
            <w:vAlign w:val="bottom"/>
            <w:gridSpan w:val="2"/>
            <w:shd w:val="clear" w:color="auto" w:fill="E4E4E4"/>
          </w:tcPr>
          <w:p>
            <w:pPr>
              <w:jc w:val="right"/>
              <w:ind w:right="200"/>
              <w:spacing w:after="0" w:line="228" w:lineRule="exact"/>
              <w:rPr>
                <w:sz w:val="20"/>
                <w:szCs w:val="20"/>
                <w:color w:val="auto"/>
              </w:rPr>
            </w:pPr>
            <w:r>
              <w:rPr>
                <w:rFonts w:ascii="Arial" w:cs="Arial" w:eastAsia="Arial" w:hAnsi="Arial"/>
                <w:sz w:val="20"/>
                <w:szCs w:val="20"/>
                <w:color w:val="1E1E1E"/>
              </w:rPr>
              <w:t>(599)</w:t>
            </w:r>
          </w:p>
        </w:tc>
        <w:tc>
          <w:tcPr>
            <w:tcW w:w="140" w:type="dxa"/>
            <w:vAlign w:val="bottom"/>
            <w:shd w:val="clear" w:color="auto" w:fill="E4E4E4"/>
          </w:tcPr>
          <w:p>
            <w:pPr>
              <w:spacing w:after="0"/>
              <w:rPr>
                <w:sz w:val="19"/>
                <w:szCs w:val="19"/>
                <w:color w:val="auto"/>
              </w:rPr>
            </w:pPr>
          </w:p>
        </w:tc>
        <w:tc>
          <w:tcPr>
            <w:tcW w:w="1200" w:type="dxa"/>
            <w:vAlign w:val="bottom"/>
            <w:gridSpan w:val="2"/>
            <w:shd w:val="clear" w:color="auto" w:fill="E4E4E4"/>
          </w:tcPr>
          <w:p>
            <w:pPr>
              <w:jc w:val="right"/>
              <w:ind w:right="40"/>
              <w:spacing w:after="0" w:line="228" w:lineRule="exact"/>
              <w:rPr>
                <w:sz w:val="20"/>
                <w:szCs w:val="20"/>
                <w:color w:val="auto"/>
              </w:rPr>
            </w:pPr>
            <w:r>
              <w:rPr>
                <w:rFonts w:ascii="Arial" w:cs="Arial" w:eastAsia="Arial" w:hAnsi="Arial"/>
                <w:sz w:val="20"/>
                <w:szCs w:val="20"/>
                <w:color w:val="1E1E1E"/>
              </w:rPr>
              <w:t>(2,926)</w:t>
            </w:r>
          </w:p>
        </w:tc>
      </w:tr>
      <w:tr>
        <w:trPr>
          <w:trHeight w:val="230"/>
        </w:trPr>
        <w:tc>
          <w:tcPr>
            <w:tcW w:w="6480" w:type="dxa"/>
            <w:vAlign w:val="bottom"/>
          </w:tcPr>
          <w:p>
            <w:pPr>
              <w:ind w:left="400"/>
              <w:spacing w:after="0"/>
              <w:rPr>
                <w:sz w:val="20"/>
                <w:szCs w:val="20"/>
                <w:color w:val="auto"/>
              </w:rPr>
            </w:pPr>
            <w:r>
              <w:rPr>
                <w:rFonts w:ascii="Arial" w:cs="Arial" w:eastAsia="Arial" w:hAnsi="Arial"/>
                <w:sz w:val="20"/>
                <w:szCs w:val="20"/>
                <w:color w:val="1E1E1E"/>
              </w:rPr>
              <w:t>Other assets</w:t>
            </w:r>
          </w:p>
        </w:tc>
        <w:tc>
          <w:tcPr>
            <w:tcW w:w="14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20"/>
                <w:szCs w:val="20"/>
                <w:color w:val="1E1E1E"/>
              </w:rPr>
              <w:t>29</w:t>
            </w:r>
          </w:p>
        </w:tc>
        <w:tc>
          <w:tcPr>
            <w:tcW w:w="1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20"/>
                <w:szCs w:val="20"/>
                <w:color w:val="1E1E1E"/>
              </w:rPr>
              <w:t>(80)</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1E1E1E"/>
              </w:rPr>
              <w:t>407</w:t>
            </w:r>
          </w:p>
        </w:tc>
        <w:tc>
          <w:tcPr>
            <w:tcW w:w="100" w:type="dxa"/>
            <w:vAlign w:val="bottom"/>
          </w:tcPr>
          <w:p>
            <w:pPr>
              <w:spacing w:after="0"/>
              <w:rPr>
                <w:sz w:val="20"/>
                <w:szCs w:val="20"/>
                <w:color w:val="auto"/>
              </w:rPr>
            </w:pPr>
          </w:p>
        </w:tc>
      </w:tr>
      <w:tr>
        <w:trPr>
          <w:trHeight w:val="230"/>
        </w:trPr>
        <w:tc>
          <w:tcPr>
            <w:tcW w:w="6480" w:type="dxa"/>
            <w:vAlign w:val="bottom"/>
            <w:shd w:val="clear" w:color="auto" w:fill="E4E4E4"/>
          </w:tcPr>
          <w:p>
            <w:pPr>
              <w:ind w:left="400"/>
              <w:spacing w:after="0"/>
              <w:rPr>
                <w:sz w:val="20"/>
                <w:szCs w:val="20"/>
                <w:color w:val="auto"/>
              </w:rPr>
            </w:pPr>
            <w:r>
              <w:rPr>
                <w:rFonts w:ascii="Arial" w:cs="Arial" w:eastAsia="Arial" w:hAnsi="Arial"/>
                <w:sz w:val="20"/>
                <w:szCs w:val="20"/>
                <w:color w:val="1E1E1E"/>
              </w:rPr>
              <w:t>Accounts payable</w:t>
            </w:r>
          </w:p>
        </w:tc>
        <w:tc>
          <w:tcPr>
            <w:tcW w:w="140" w:type="dxa"/>
            <w:vAlign w:val="bottom"/>
            <w:shd w:val="clear" w:color="auto" w:fill="E4E4E4"/>
          </w:tcPr>
          <w:p>
            <w:pPr>
              <w:spacing w:after="0"/>
              <w:rPr>
                <w:sz w:val="20"/>
                <w:szCs w:val="20"/>
                <w:color w:val="auto"/>
              </w:rPr>
            </w:pPr>
          </w:p>
        </w:tc>
        <w:tc>
          <w:tcPr>
            <w:tcW w:w="1340" w:type="dxa"/>
            <w:vAlign w:val="bottom"/>
            <w:gridSpan w:val="2"/>
            <w:shd w:val="clear" w:color="auto" w:fill="E4E4E4"/>
          </w:tcPr>
          <w:p>
            <w:pPr>
              <w:jc w:val="right"/>
              <w:ind w:right="180"/>
              <w:spacing w:after="0"/>
              <w:rPr>
                <w:sz w:val="20"/>
                <w:szCs w:val="20"/>
                <w:color w:val="auto"/>
              </w:rPr>
            </w:pPr>
            <w:r>
              <w:rPr>
                <w:rFonts w:ascii="Arial" w:cs="Arial" w:eastAsia="Arial" w:hAnsi="Arial"/>
                <w:sz w:val="20"/>
                <w:szCs w:val="20"/>
                <w:color w:val="1E1E1E"/>
              </w:rPr>
              <w:t>(10,195)</w:t>
            </w:r>
          </w:p>
        </w:tc>
        <w:tc>
          <w:tcPr>
            <w:tcW w:w="160" w:type="dxa"/>
            <w:vAlign w:val="bottom"/>
            <w:shd w:val="clear" w:color="auto" w:fill="E4E4E4"/>
          </w:tcPr>
          <w:p>
            <w:pPr>
              <w:spacing w:after="0"/>
              <w:rPr>
                <w:sz w:val="20"/>
                <w:szCs w:val="20"/>
                <w:color w:val="auto"/>
              </w:rPr>
            </w:pPr>
          </w:p>
        </w:tc>
        <w:tc>
          <w:tcPr>
            <w:tcW w:w="108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2,383</w:t>
            </w:r>
          </w:p>
        </w:tc>
        <w:tc>
          <w:tcPr>
            <w:tcW w:w="26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1200" w:type="dxa"/>
            <w:vAlign w:val="bottom"/>
            <w:gridSpan w:val="2"/>
            <w:shd w:val="clear" w:color="auto" w:fill="E4E4E4"/>
          </w:tcPr>
          <w:p>
            <w:pPr>
              <w:jc w:val="right"/>
              <w:ind w:right="40"/>
              <w:spacing w:after="0"/>
              <w:rPr>
                <w:sz w:val="20"/>
                <w:szCs w:val="20"/>
                <w:color w:val="auto"/>
              </w:rPr>
            </w:pPr>
            <w:r>
              <w:rPr>
                <w:rFonts w:ascii="Arial" w:cs="Arial" w:eastAsia="Arial" w:hAnsi="Arial"/>
                <w:sz w:val="20"/>
                <w:szCs w:val="20"/>
                <w:color w:val="1E1E1E"/>
              </w:rPr>
              <w:t>(1,926)</w:t>
            </w:r>
          </w:p>
        </w:tc>
      </w:tr>
      <w:tr>
        <w:trPr>
          <w:trHeight w:val="230"/>
        </w:trPr>
        <w:tc>
          <w:tcPr>
            <w:tcW w:w="6480" w:type="dxa"/>
            <w:vAlign w:val="bottom"/>
          </w:tcPr>
          <w:p>
            <w:pPr>
              <w:ind w:left="400"/>
              <w:spacing w:after="0"/>
              <w:rPr>
                <w:sz w:val="20"/>
                <w:szCs w:val="20"/>
                <w:color w:val="auto"/>
              </w:rPr>
            </w:pPr>
            <w:r>
              <w:rPr>
                <w:rFonts w:ascii="Arial" w:cs="Arial" w:eastAsia="Arial" w:hAnsi="Arial"/>
                <w:sz w:val="20"/>
                <w:szCs w:val="20"/>
                <w:color w:val="1E1E1E"/>
              </w:rPr>
              <w:t>Operating leases, net</w:t>
            </w:r>
          </w:p>
        </w:tc>
        <w:tc>
          <w:tcPr>
            <w:tcW w:w="1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20"/>
                <w:szCs w:val="20"/>
                <w:color w:val="1E1E1E"/>
              </w:rPr>
              <w:t>(3,563)</w:t>
            </w:r>
          </w:p>
        </w:tc>
        <w:tc>
          <w:tcPr>
            <w:tcW w:w="1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20"/>
                <w:szCs w:val="20"/>
                <w:color w:val="1E1E1E"/>
              </w:rPr>
              <w:t>(7,510)</w:t>
            </w:r>
          </w:p>
        </w:tc>
        <w:tc>
          <w:tcPr>
            <w:tcW w:w="1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20"/>
                <w:szCs w:val="20"/>
                <w:color w:val="1E1E1E"/>
              </w:rPr>
              <w:t>(14,959)</w:t>
            </w:r>
          </w:p>
        </w:tc>
      </w:tr>
      <w:tr>
        <w:trPr>
          <w:trHeight w:val="249"/>
        </w:trPr>
        <w:tc>
          <w:tcPr>
            <w:tcW w:w="6480" w:type="dxa"/>
            <w:vAlign w:val="bottom"/>
            <w:shd w:val="clear" w:color="auto" w:fill="E4E4E4"/>
          </w:tcPr>
          <w:p>
            <w:pPr>
              <w:ind w:left="400"/>
              <w:spacing w:after="0"/>
              <w:rPr>
                <w:sz w:val="20"/>
                <w:szCs w:val="20"/>
                <w:color w:val="auto"/>
              </w:rPr>
            </w:pPr>
            <w:r>
              <w:rPr>
                <w:rFonts w:ascii="Arial" w:cs="Arial" w:eastAsia="Arial" w:hAnsi="Arial"/>
                <w:sz w:val="20"/>
                <w:szCs w:val="20"/>
                <w:color w:val="1E1E1E"/>
              </w:rPr>
              <w:t>Accrued expenses and other liabilities</w:t>
            </w:r>
          </w:p>
        </w:tc>
        <w:tc>
          <w:tcPr>
            <w:tcW w:w="140" w:type="dxa"/>
            <w:vAlign w:val="bottom"/>
            <w:shd w:val="clear" w:color="auto" w:fill="E4E4E4"/>
          </w:tcPr>
          <w:p>
            <w:pPr>
              <w:spacing w:after="0"/>
              <w:rPr>
                <w:sz w:val="21"/>
                <w:szCs w:val="21"/>
                <w:color w:val="auto"/>
              </w:rPr>
            </w:pPr>
          </w:p>
        </w:tc>
        <w:tc>
          <w:tcPr>
            <w:tcW w:w="1340" w:type="dxa"/>
            <w:vAlign w:val="bottom"/>
            <w:gridSpan w:val="2"/>
            <w:shd w:val="clear" w:color="auto" w:fill="E4E4E4"/>
          </w:tcPr>
          <w:p>
            <w:pPr>
              <w:jc w:val="right"/>
              <w:ind w:right="180"/>
              <w:spacing w:after="0"/>
              <w:rPr>
                <w:sz w:val="20"/>
                <w:szCs w:val="20"/>
                <w:color w:val="auto"/>
              </w:rPr>
            </w:pPr>
            <w:r>
              <w:rPr>
                <w:rFonts w:ascii="Arial" w:cs="Arial" w:eastAsia="Arial" w:hAnsi="Arial"/>
                <w:sz w:val="20"/>
                <w:szCs w:val="20"/>
                <w:color w:val="1E1E1E"/>
              </w:rPr>
              <w:t>(4,564)</w:t>
            </w:r>
          </w:p>
        </w:tc>
        <w:tc>
          <w:tcPr>
            <w:tcW w:w="160" w:type="dxa"/>
            <w:vAlign w:val="bottom"/>
            <w:shd w:val="clear" w:color="auto" w:fill="E4E4E4"/>
          </w:tcPr>
          <w:p>
            <w:pPr>
              <w:spacing w:after="0"/>
              <w:rPr>
                <w:sz w:val="21"/>
                <w:szCs w:val="21"/>
                <w:color w:val="auto"/>
              </w:rPr>
            </w:pPr>
          </w:p>
        </w:tc>
        <w:tc>
          <w:tcPr>
            <w:tcW w:w="108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1,852</w:t>
            </w:r>
          </w:p>
        </w:tc>
        <w:tc>
          <w:tcPr>
            <w:tcW w:w="260" w:type="dxa"/>
            <w:vAlign w:val="bottom"/>
            <w:shd w:val="clear" w:color="auto" w:fill="E4E4E4"/>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1200" w:type="dxa"/>
            <w:vAlign w:val="bottom"/>
            <w:gridSpan w:val="2"/>
            <w:shd w:val="clear" w:color="auto" w:fill="E4E4E4"/>
          </w:tcPr>
          <w:p>
            <w:pPr>
              <w:jc w:val="right"/>
              <w:ind w:right="100"/>
              <w:spacing w:after="0"/>
              <w:rPr>
                <w:sz w:val="20"/>
                <w:szCs w:val="20"/>
                <w:color w:val="auto"/>
              </w:rPr>
            </w:pPr>
            <w:r>
              <w:rPr>
                <w:rFonts w:ascii="Arial" w:cs="Arial" w:eastAsia="Arial" w:hAnsi="Arial"/>
                <w:sz w:val="20"/>
                <w:szCs w:val="20"/>
                <w:color w:val="1E1E1E"/>
              </w:rPr>
              <w:t>12,998</w:t>
            </w:r>
          </w:p>
        </w:tc>
      </w:tr>
      <w:tr>
        <w:trPr>
          <w:trHeight w:val="200"/>
        </w:trPr>
        <w:tc>
          <w:tcPr>
            <w:tcW w:w="6480" w:type="dxa"/>
            <w:vAlign w:val="bottom"/>
            <w:tcBorders>
              <w:top w:val="single" w:sz="8" w:color="E4E4E4"/>
              <w:bottom w:val="single" w:sz="8" w:color="E4E4E4"/>
            </w:tcBorders>
          </w:tcPr>
          <w:p>
            <w:pPr>
              <w:ind w:left="200"/>
              <w:spacing w:after="0" w:line="200" w:lineRule="exact"/>
              <w:rPr>
                <w:sz w:val="20"/>
                <w:szCs w:val="20"/>
                <w:color w:val="auto"/>
              </w:rPr>
            </w:pPr>
            <w:r>
              <w:rPr>
                <w:rFonts w:ascii="Arial" w:cs="Arial" w:eastAsia="Arial" w:hAnsi="Arial"/>
                <w:sz w:val="20"/>
                <w:szCs w:val="20"/>
                <w:color w:val="1E1E1E"/>
              </w:rPr>
              <w:t>Net cash provided by operating activities</w:t>
            </w:r>
          </w:p>
        </w:tc>
        <w:tc>
          <w:tcPr>
            <w:tcW w:w="140" w:type="dxa"/>
            <w:vAlign w:val="bottom"/>
            <w:tcBorders>
              <w:top w:val="single" w:sz="8" w:color="1E1E1E"/>
              <w:bottom w:val="single" w:sz="8" w:color="1E1E1E"/>
            </w:tcBorders>
          </w:tcPr>
          <w:p>
            <w:pPr>
              <w:spacing w:after="0"/>
              <w:rPr>
                <w:sz w:val="17"/>
                <w:szCs w:val="17"/>
                <w:color w:val="auto"/>
              </w:rPr>
            </w:pPr>
          </w:p>
        </w:tc>
        <w:tc>
          <w:tcPr>
            <w:tcW w:w="1080" w:type="dxa"/>
            <w:vAlign w:val="bottom"/>
            <w:tcBorders>
              <w:top w:val="single" w:sz="8" w:color="1E1E1E"/>
              <w:bottom w:val="single" w:sz="8" w:color="1E1E1E"/>
            </w:tcBorders>
          </w:tcPr>
          <w:p>
            <w:pPr>
              <w:jc w:val="right"/>
              <w:spacing w:after="0" w:line="200" w:lineRule="exact"/>
              <w:rPr>
                <w:sz w:val="20"/>
                <w:szCs w:val="20"/>
                <w:color w:val="auto"/>
              </w:rPr>
            </w:pPr>
            <w:r>
              <w:rPr>
                <w:rFonts w:ascii="Arial" w:cs="Arial" w:eastAsia="Arial" w:hAnsi="Arial"/>
                <w:sz w:val="20"/>
                <w:szCs w:val="20"/>
                <w:color w:val="1E1E1E"/>
              </w:rPr>
              <w:t>49,594</w:t>
            </w:r>
          </w:p>
        </w:tc>
        <w:tc>
          <w:tcPr>
            <w:tcW w:w="260" w:type="dxa"/>
            <w:vAlign w:val="bottom"/>
            <w:tcBorders>
              <w:top w:val="single" w:sz="8" w:color="E4E4E4"/>
              <w:bottom w:val="single" w:sz="8" w:color="E4E4E4"/>
            </w:tcBorders>
          </w:tcPr>
          <w:p>
            <w:pPr>
              <w:spacing w:after="0"/>
              <w:rPr>
                <w:sz w:val="17"/>
                <w:szCs w:val="17"/>
                <w:color w:val="auto"/>
              </w:rPr>
            </w:pPr>
          </w:p>
        </w:tc>
        <w:tc>
          <w:tcPr>
            <w:tcW w:w="160" w:type="dxa"/>
            <w:vAlign w:val="bottom"/>
            <w:tcBorders>
              <w:top w:val="single" w:sz="8" w:color="1E1E1E"/>
              <w:bottom w:val="single" w:sz="8" w:color="1E1E1E"/>
            </w:tcBorders>
          </w:tcPr>
          <w:p>
            <w:pPr>
              <w:spacing w:after="0"/>
              <w:rPr>
                <w:sz w:val="17"/>
                <w:szCs w:val="17"/>
                <w:color w:val="auto"/>
              </w:rPr>
            </w:pPr>
          </w:p>
        </w:tc>
        <w:tc>
          <w:tcPr>
            <w:tcW w:w="1080" w:type="dxa"/>
            <w:vAlign w:val="bottom"/>
            <w:tcBorders>
              <w:top w:val="single" w:sz="8" w:color="1E1E1E"/>
              <w:bottom w:val="single" w:sz="8" w:color="1E1E1E"/>
            </w:tcBorders>
          </w:tcPr>
          <w:p>
            <w:pPr>
              <w:jc w:val="right"/>
              <w:spacing w:after="0" w:line="200" w:lineRule="exact"/>
              <w:rPr>
                <w:sz w:val="20"/>
                <w:szCs w:val="20"/>
                <w:color w:val="auto"/>
              </w:rPr>
            </w:pPr>
            <w:r>
              <w:rPr>
                <w:rFonts w:ascii="Arial" w:cs="Arial" w:eastAsia="Arial" w:hAnsi="Arial"/>
                <w:sz w:val="20"/>
                <w:szCs w:val="20"/>
                <w:color w:val="1E1E1E"/>
              </w:rPr>
              <w:t>59,944</w:t>
            </w:r>
          </w:p>
        </w:tc>
        <w:tc>
          <w:tcPr>
            <w:tcW w:w="260" w:type="dxa"/>
            <w:vAlign w:val="bottom"/>
            <w:tcBorders>
              <w:top w:val="single" w:sz="8" w:color="E4E4E4"/>
              <w:bottom w:val="single" w:sz="8" w:color="E4E4E4"/>
            </w:tcBorders>
          </w:tcPr>
          <w:p>
            <w:pPr>
              <w:spacing w:after="0"/>
              <w:rPr>
                <w:sz w:val="17"/>
                <w:szCs w:val="17"/>
                <w:color w:val="auto"/>
              </w:rPr>
            </w:pPr>
          </w:p>
        </w:tc>
        <w:tc>
          <w:tcPr>
            <w:tcW w:w="140" w:type="dxa"/>
            <w:vAlign w:val="bottom"/>
            <w:tcBorders>
              <w:top w:val="single" w:sz="8" w:color="1E1E1E"/>
              <w:bottom w:val="single" w:sz="8" w:color="1E1E1E"/>
            </w:tcBorders>
          </w:tcPr>
          <w:p>
            <w:pPr>
              <w:spacing w:after="0"/>
              <w:rPr>
                <w:sz w:val="17"/>
                <w:szCs w:val="17"/>
                <w:color w:val="auto"/>
              </w:rPr>
            </w:pPr>
          </w:p>
        </w:tc>
        <w:tc>
          <w:tcPr>
            <w:tcW w:w="1100" w:type="dxa"/>
            <w:vAlign w:val="bottom"/>
            <w:tcBorders>
              <w:top w:val="single" w:sz="8" w:color="1E1E1E"/>
              <w:bottom w:val="single" w:sz="8" w:color="1E1E1E"/>
            </w:tcBorders>
          </w:tcPr>
          <w:p>
            <w:pPr>
              <w:jc w:val="right"/>
              <w:spacing w:after="0" w:line="200" w:lineRule="exact"/>
              <w:rPr>
                <w:sz w:val="20"/>
                <w:szCs w:val="20"/>
                <w:color w:val="auto"/>
              </w:rPr>
            </w:pPr>
            <w:r>
              <w:rPr>
                <w:rFonts w:ascii="Arial" w:cs="Arial" w:eastAsia="Arial" w:hAnsi="Arial"/>
                <w:sz w:val="20"/>
                <w:szCs w:val="20"/>
                <w:color w:val="1E1E1E"/>
              </w:rPr>
              <w:t>75,541</w:t>
            </w:r>
          </w:p>
        </w:tc>
        <w:tc>
          <w:tcPr>
            <w:tcW w:w="100" w:type="dxa"/>
            <w:vAlign w:val="bottom"/>
            <w:tcBorders>
              <w:top w:val="single" w:sz="8" w:color="E4E4E4"/>
              <w:bottom w:val="single" w:sz="8" w:color="E4E4E4"/>
            </w:tcBorders>
          </w:tcPr>
          <w:p>
            <w:pPr>
              <w:spacing w:after="0"/>
              <w:rPr>
                <w:sz w:val="17"/>
                <w:szCs w:val="17"/>
                <w:color w:val="auto"/>
              </w:rPr>
            </w:pPr>
          </w:p>
        </w:tc>
      </w:tr>
      <w:tr>
        <w:trPr>
          <w:trHeight w:val="221"/>
        </w:trPr>
        <w:tc>
          <w:tcPr>
            <w:tcW w:w="648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08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108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1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30"/>
        </w:trPr>
        <w:tc>
          <w:tcPr>
            <w:tcW w:w="6480" w:type="dxa"/>
            <w:vAlign w:val="bottom"/>
          </w:tcPr>
          <w:p>
            <w:pPr>
              <w:ind w:left="200"/>
              <w:spacing w:after="0"/>
              <w:rPr>
                <w:sz w:val="20"/>
                <w:szCs w:val="20"/>
                <w:color w:val="auto"/>
              </w:rPr>
            </w:pPr>
            <w:r>
              <w:rPr>
                <w:rFonts w:ascii="Arial" w:cs="Arial" w:eastAsia="Arial" w:hAnsi="Arial"/>
                <w:sz w:val="20"/>
                <w:szCs w:val="20"/>
                <w:color w:val="1E1E1E"/>
              </w:rPr>
              <w:t>Cash flows from investing activities: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8"/>
        </w:trPr>
        <w:tc>
          <w:tcPr>
            <w:tcW w:w="6480" w:type="dxa"/>
            <w:vAlign w:val="bottom"/>
            <w:shd w:val="clear" w:color="auto" w:fill="E4E4E4"/>
          </w:tcPr>
          <w:p>
            <w:pPr>
              <w:ind w:left="400"/>
              <w:spacing w:after="0" w:line="228" w:lineRule="exact"/>
              <w:rPr>
                <w:sz w:val="20"/>
                <w:szCs w:val="20"/>
                <w:color w:val="auto"/>
              </w:rPr>
            </w:pPr>
            <w:r>
              <w:rPr>
                <w:rFonts w:ascii="Arial" w:cs="Arial" w:eastAsia="Arial" w:hAnsi="Arial"/>
                <w:sz w:val="20"/>
                <w:szCs w:val="20"/>
                <w:color w:val="1E1E1E"/>
              </w:rPr>
              <w:t>Additions to property and equipment, net</w:t>
            </w:r>
          </w:p>
        </w:tc>
        <w:tc>
          <w:tcPr>
            <w:tcW w:w="140" w:type="dxa"/>
            <w:vAlign w:val="bottom"/>
            <w:shd w:val="clear" w:color="auto" w:fill="E4E4E4"/>
          </w:tcPr>
          <w:p>
            <w:pPr>
              <w:spacing w:after="0"/>
              <w:rPr>
                <w:sz w:val="19"/>
                <w:szCs w:val="19"/>
                <w:color w:val="auto"/>
              </w:rPr>
            </w:pPr>
          </w:p>
        </w:tc>
        <w:tc>
          <w:tcPr>
            <w:tcW w:w="1340" w:type="dxa"/>
            <w:vAlign w:val="bottom"/>
            <w:gridSpan w:val="2"/>
            <w:shd w:val="clear" w:color="auto" w:fill="E4E4E4"/>
          </w:tcPr>
          <w:p>
            <w:pPr>
              <w:jc w:val="right"/>
              <w:ind w:right="180"/>
              <w:spacing w:after="0" w:line="228" w:lineRule="exact"/>
              <w:rPr>
                <w:sz w:val="20"/>
                <w:szCs w:val="20"/>
                <w:color w:val="auto"/>
              </w:rPr>
            </w:pPr>
            <w:r>
              <w:rPr>
                <w:rFonts w:ascii="Arial" w:cs="Arial" w:eastAsia="Arial" w:hAnsi="Arial"/>
                <w:sz w:val="20"/>
                <w:szCs w:val="20"/>
                <w:color w:val="1E1E1E"/>
              </w:rPr>
              <w:t>(17,418)</w:t>
            </w:r>
          </w:p>
        </w:tc>
        <w:tc>
          <w:tcPr>
            <w:tcW w:w="160" w:type="dxa"/>
            <w:vAlign w:val="bottom"/>
            <w:shd w:val="clear" w:color="auto" w:fill="E4E4E4"/>
          </w:tcPr>
          <w:p>
            <w:pPr>
              <w:spacing w:after="0"/>
              <w:rPr>
                <w:sz w:val="19"/>
                <w:szCs w:val="19"/>
                <w:color w:val="auto"/>
              </w:rPr>
            </w:pPr>
          </w:p>
        </w:tc>
        <w:tc>
          <w:tcPr>
            <w:tcW w:w="1340" w:type="dxa"/>
            <w:vAlign w:val="bottom"/>
            <w:gridSpan w:val="2"/>
            <w:shd w:val="clear" w:color="auto" w:fill="E4E4E4"/>
          </w:tcPr>
          <w:p>
            <w:pPr>
              <w:jc w:val="right"/>
              <w:ind w:right="200"/>
              <w:spacing w:after="0" w:line="228" w:lineRule="exact"/>
              <w:rPr>
                <w:sz w:val="20"/>
                <w:szCs w:val="20"/>
                <w:color w:val="auto"/>
              </w:rPr>
            </w:pPr>
            <w:r>
              <w:rPr>
                <w:rFonts w:ascii="Arial" w:cs="Arial" w:eastAsia="Arial" w:hAnsi="Arial"/>
                <w:sz w:val="20"/>
                <w:szCs w:val="20"/>
                <w:color w:val="1E1E1E"/>
              </w:rPr>
              <w:t>(9,642)</w:t>
            </w:r>
          </w:p>
        </w:tc>
        <w:tc>
          <w:tcPr>
            <w:tcW w:w="140" w:type="dxa"/>
            <w:vAlign w:val="bottom"/>
            <w:shd w:val="clear" w:color="auto" w:fill="E4E4E4"/>
          </w:tcPr>
          <w:p>
            <w:pPr>
              <w:spacing w:after="0"/>
              <w:rPr>
                <w:sz w:val="19"/>
                <w:szCs w:val="19"/>
                <w:color w:val="auto"/>
              </w:rPr>
            </w:pPr>
          </w:p>
        </w:tc>
        <w:tc>
          <w:tcPr>
            <w:tcW w:w="1200" w:type="dxa"/>
            <w:vAlign w:val="bottom"/>
            <w:gridSpan w:val="2"/>
            <w:shd w:val="clear" w:color="auto" w:fill="E4E4E4"/>
          </w:tcPr>
          <w:p>
            <w:pPr>
              <w:jc w:val="right"/>
              <w:ind w:right="40"/>
              <w:spacing w:after="0" w:line="228" w:lineRule="exact"/>
              <w:rPr>
                <w:sz w:val="20"/>
                <w:szCs w:val="20"/>
                <w:color w:val="auto"/>
              </w:rPr>
            </w:pPr>
            <w:r>
              <w:rPr>
                <w:rFonts w:ascii="Arial" w:cs="Arial" w:eastAsia="Arial" w:hAnsi="Arial"/>
                <w:sz w:val="20"/>
                <w:szCs w:val="20"/>
                <w:color w:val="1E1E1E"/>
              </w:rPr>
              <w:t>(5,272)</w:t>
            </w:r>
          </w:p>
        </w:tc>
      </w:tr>
      <w:tr>
        <w:trPr>
          <w:trHeight w:val="230"/>
        </w:trPr>
        <w:tc>
          <w:tcPr>
            <w:tcW w:w="6480" w:type="dxa"/>
            <w:vAlign w:val="bottom"/>
          </w:tcPr>
          <w:p>
            <w:pPr>
              <w:ind w:left="400"/>
              <w:spacing w:after="0"/>
              <w:rPr>
                <w:sz w:val="20"/>
                <w:szCs w:val="20"/>
                <w:color w:val="auto"/>
              </w:rPr>
            </w:pPr>
            <w:r>
              <w:rPr>
                <w:rFonts w:ascii="Arial" w:cs="Arial" w:eastAsia="Arial" w:hAnsi="Arial"/>
                <w:sz w:val="20"/>
                <w:szCs w:val="20"/>
                <w:color w:val="1E1E1E"/>
              </w:rPr>
              <w:t>Proceeds from sale of equipment</w:t>
            </w:r>
          </w:p>
        </w:tc>
        <w:tc>
          <w:tcPr>
            <w:tcW w:w="14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20"/>
                <w:szCs w:val="20"/>
                <w:color w:val="1E1E1E"/>
              </w:rPr>
              <w:t>145</w:t>
            </w:r>
          </w:p>
        </w:tc>
        <w:tc>
          <w:tcPr>
            <w:tcW w:w="16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20"/>
                <w:szCs w:val="20"/>
                <w:color w:val="1E1E1E"/>
              </w:rPr>
              <w:t>—</w:t>
            </w: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1E1E1E"/>
              </w:rPr>
              <w:t>—</w:t>
            </w:r>
          </w:p>
        </w:tc>
      </w:tr>
      <w:tr>
        <w:trPr>
          <w:trHeight w:val="230"/>
        </w:trPr>
        <w:tc>
          <w:tcPr>
            <w:tcW w:w="6480" w:type="dxa"/>
            <w:vAlign w:val="bottom"/>
            <w:shd w:val="clear" w:color="auto" w:fill="E4E4E4"/>
          </w:tcPr>
          <w:p>
            <w:pPr>
              <w:ind w:left="400"/>
              <w:spacing w:after="0"/>
              <w:rPr>
                <w:sz w:val="20"/>
                <w:szCs w:val="20"/>
                <w:color w:val="auto"/>
              </w:rPr>
            </w:pPr>
            <w:r>
              <w:rPr>
                <w:rFonts w:ascii="Arial" w:cs="Arial" w:eastAsia="Arial" w:hAnsi="Arial"/>
                <w:sz w:val="20"/>
                <w:szCs w:val="20"/>
                <w:color w:val="1E1E1E"/>
              </w:rPr>
              <w:t>Purchase of short-term investments</w:t>
            </w:r>
          </w:p>
        </w:tc>
        <w:tc>
          <w:tcPr>
            <w:tcW w:w="140" w:type="dxa"/>
            <w:vAlign w:val="bottom"/>
            <w:shd w:val="clear" w:color="auto" w:fill="E4E4E4"/>
          </w:tcPr>
          <w:p>
            <w:pPr>
              <w:spacing w:after="0"/>
              <w:rPr>
                <w:sz w:val="20"/>
                <w:szCs w:val="20"/>
                <w:color w:val="auto"/>
              </w:rPr>
            </w:pPr>
          </w:p>
        </w:tc>
        <w:tc>
          <w:tcPr>
            <w:tcW w:w="1340" w:type="dxa"/>
            <w:vAlign w:val="bottom"/>
            <w:gridSpan w:val="2"/>
            <w:shd w:val="clear" w:color="auto" w:fill="E4E4E4"/>
          </w:tcPr>
          <w:p>
            <w:pPr>
              <w:jc w:val="right"/>
              <w:ind w:right="180"/>
              <w:spacing w:after="0"/>
              <w:rPr>
                <w:sz w:val="20"/>
                <w:szCs w:val="20"/>
                <w:color w:val="auto"/>
              </w:rPr>
            </w:pPr>
            <w:r>
              <w:rPr>
                <w:rFonts w:ascii="Arial" w:cs="Arial" w:eastAsia="Arial" w:hAnsi="Arial"/>
                <w:sz w:val="20"/>
                <w:szCs w:val="20"/>
                <w:color w:val="1E1E1E"/>
              </w:rPr>
              <w:t>(79,883)</w:t>
            </w:r>
          </w:p>
        </w:tc>
        <w:tc>
          <w:tcPr>
            <w:tcW w:w="160" w:type="dxa"/>
            <w:vAlign w:val="bottom"/>
            <w:shd w:val="clear" w:color="auto" w:fill="E4E4E4"/>
          </w:tcPr>
          <w:p>
            <w:pPr>
              <w:spacing w:after="0"/>
              <w:rPr>
                <w:sz w:val="20"/>
                <w:szCs w:val="20"/>
                <w:color w:val="auto"/>
              </w:rPr>
            </w:pPr>
          </w:p>
        </w:tc>
        <w:tc>
          <w:tcPr>
            <w:tcW w:w="1340" w:type="dxa"/>
            <w:vAlign w:val="bottom"/>
            <w:gridSpan w:val="2"/>
            <w:shd w:val="clear" w:color="auto" w:fill="E4E4E4"/>
          </w:tcPr>
          <w:p>
            <w:pPr>
              <w:jc w:val="right"/>
              <w:ind w:right="260"/>
              <w:spacing w:after="0"/>
              <w:rPr>
                <w:sz w:val="20"/>
                <w:szCs w:val="20"/>
                <w:color w:val="auto"/>
              </w:rPr>
            </w:pPr>
            <w:r>
              <w:rPr>
                <w:rFonts w:ascii="Arial" w:cs="Arial" w:eastAsia="Arial" w:hAnsi="Arial"/>
                <w:sz w:val="20"/>
                <w:szCs w:val="20"/>
                <w:color w:val="1E1E1E"/>
              </w:rPr>
              <w:t>—</w:t>
            </w:r>
          </w:p>
        </w:tc>
        <w:tc>
          <w:tcPr>
            <w:tcW w:w="140" w:type="dxa"/>
            <w:vAlign w:val="bottom"/>
            <w:shd w:val="clear" w:color="auto" w:fill="E4E4E4"/>
          </w:tcPr>
          <w:p>
            <w:pPr>
              <w:spacing w:after="0"/>
              <w:rPr>
                <w:sz w:val="20"/>
                <w:szCs w:val="20"/>
                <w:color w:val="auto"/>
              </w:rPr>
            </w:pPr>
          </w:p>
        </w:tc>
        <w:tc>
          <w:tcPr>
            <w:tcW w:w="1200" w:type="dxa"/>
            <w:vAlign w:val="bottom"/>
            <w:gridSpan w:val="2"/>
            <w:shd w:val="clear" w:color="auto" w:fill="E4E4E4"/>
          </w:tcPr>
          <w:p>
            <w:pPr>
              <w:jc w:val="right"/>
              <w:ind w:right="100"/>
              <w:spacing w:after="0"/>
              <w:rPr>
                <w:sz w:val="20"/>
                <w:szCs w:val="20"/>
                <w:color w:val="auto"/>
              </w:rPr>
            </w:pPr>
            <w:r>
              <w:rPr>
                <w:rFonts w:ascii="Arial" w:cs="Arial" w:eastAsia="Arial" w:hAnsi="Arial"/>
                <w:sz w:val="20"/>
                <w:szCs w:val="20"/>
                <w:color w:val="1E1E1E"/>
              </w:rPr>
              <w:t>—</w:t>
            </w:r>
          </w:p>
        </w:tc>
      </w:tr>
      <w:tr>
        <w:trPr>
          <w:trHeight w:val="229"/>
        </w:trPr>
        <w:tc>
          <w:tcPr>
            <w:tcW w:w="6480" w:type="dxa"/>
            <w:vAlign w:val="bottom"/>
          </w:tcPr>
          <w:p>
            <w:pPr>
              <w:ind w:left="400"/>
              <w:spacing w:after="0"/>
              <w:rPr>
                <w:sz w:val="20"/>
                <w:szCs w:val="20"/>
                <w:color w:val="auto"/>
              </w:rPr>
            </w:pPr>
            <w:r>
              <w:rPr>
                <w:rFonts w:ascii="Arial" w:cs="Arial" w:eastAsia="Arial" w:hAnsi="Arial"/>
                <w:sz w:val="20"/>
                <w:szCs w:val="20"/>
                <w:color w:val="1E1E1E"/>
              </w:rPr>
              <w:t>Maturity of short-term investments</w:t>
            </w:r>
          </w:p>
        </w:tc>
        <w:tc>
          <w:tcPr>
            <w:tcW w:w="1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20"/>
                <w:szCs w:val="20"/>
                <w:color w:val="1E1E1E"/>
              </w:rPr>
              <w:t>48,010</w:t>
            </w:r>
          </w:p>
        </w:tc>
        <w:tc>
          <w:tcPr>
            <w:tcW w:w="16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20"/>
                <w:szCs w:val="20"/>
                <w:color w:val="1E1E1E"/>
              </w:rPr>
              <w:t>—</w:t>
            </w: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1E1E1E"/>
              </w:rPr>
              <w:t>—</w:t>
            </w:r>
          </w:p>
        </w:tc>
      </w:tr>
      <w:tr>
        <w:trPr>
          <w:trHeight w:val="220"/>
        </w:trPr>
        <w:tc>
          <w:tcPr>
            <w:tcW w:w="6480" w:type="dxa"/>
            <w:vAlign w:val="bottom"/>
            <w:tcBorders>
              <w:top w:val="single" w:sz="8" w:color="E4E4E4"/>
              <w:bottom w:val="single" w:sz="8" w:color="E4E4E4"/>
            </w:tcBorders>
            <w:shd w:val="clear" w:color="auto" w:fill="E4E4E4"/>
          </w:tcPr>
          <w:p>
            <w:pPr>
              <w:ind w:left="200"/>
              <w:spacing w:after="0" w:line="220" w:lineRule="exact"/>
              <w:rPr>
                <w:sz w:val="20"/>
                <w:szCs w:val="20"/>
                <w:color w:val="auto"/>
              </w:rPr>
            </w:pPr>
            <w:r>
              <w:rPr>
                <w:rFonts w:ascii="Arial" w:cs="Arial" w:eastAsia="Arial" w:hAnsi="Arial"/>
                <w:sz w:val="20"/>
                <w:szCs w:val="20"/>
                <w:color w:val="1E1E1E"/>
              </w:rPr>
              <w:t>Net cash used for investing activities</w:t>
            </w:r>
          </w:p>
        </w:tc>
        <w:tc>
          <w:tcPr>
            <w:tcW w:w="140" w:type="dxa"/>
            <w:vAlign w:val="bottom"/>
            <w:tcBorders>
              <w:top w:val="single" w:sz="8" w:color="1E1E1E"/>
              <w:bottom w:val="single" w:sz="8" w:color="1E1E1E"/>
            </w:tcBorders>
            <w:shd w:val="clear" w:color="auto" w:fill="E4E4E4"/>
          </w:tcPr>
          <w:p>
            <w:pPr>
              <w:spacing w:after="0"/>
              <w:rPr>
                <w:sz w:val="19"/>
                <w:szCs w:val="19"/>
                <w:color w:val="auto"/>
              </w:rPr>
            </w:pPr>
          </w:p>
        </w:tc>
        <w:tc>
          <w:tcPr>
            <w:tcW w:w="108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(49,146)</w:t>
            </w:r>
          </w:p>
        </w:tc>
        <w:tc>
          <w:tcPr>
            <w:tcW w:w="260" w:type="dxa"/>
            <w:vAlign w:val="bottom"/>
            <w:tcBorders>
              <w:top w:val="single" w:sz="8" w:color="E4E4E4"/>
              <w:bottom w:val="single" w:sz="8" w:color="E4E4E4"/>
            </w:tcBorders>
            <w:shd w:val="clear" w:color="auto" w:fill="E4E4E4"/>
          </w:tcPr>
          <w:p>
            <w:pPr>
              <w:spacing w:after="0"/>
              <w:rPr>
                <w:sz w:val="19"/>
                <w:szCs w:val="19"/>
                <w:color w:val="auto"/>
              </w:rPr>
            </w:pPr>
          </w:p>
        </w:tc>
        <w:tc>
          <w:tcPr>
            <w:tcW w:w="160" w:type="dxa"/>
            <w:vAlign w:val="bottom"/>
            <w:tcBorders>
              <w:top w:val="single" w:sz="8" w:color="1E1E1E"/>
              <w:bottom w:val="single" w:sz="8" w:color="1E1E1E"/>
            </w:tcBorders>
            <w:shd w:val="clear" w:color="auto" w:fill="E4E4E4"/>
          </w:tcPr>
          <w:p>
            <w:pPr>
              <w:spacing w:after="0"/>
              <w:rPr>
                <w:sz w:val="19"/>
                <w:szCs w:val="19"/>
                <w:color w:val="auto"/>
              </w:rPr>
            </w:pPr>
          </w:p>
        </w:tc>
        <w:tc>
          <w:tcPr>
            <w:tcW w:w="108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(9,642)</w:t>
            </w:r>
          </w:p>
        </w:tc>
        <w:tc>
          <w:tcPr>
            <w:tcW w:w="260" w:type="dxa"/>
            <w:vAlign w:val="bottom"/>
            <w:tcBorders>
              <w:top w:val="single" w:sz="8" w:color="E4E4E4"/>
              <w:bottom w:val="single" w:sz="8" w:color="E4E4E4"/>
            </w:tcBorders>
            <w:shd w:val="clear" w:color="auto" w:fill="E4E4E4"/>
          </w:tcPr>
          <w:p>
            <w:pPr>
              <w:spacing w:after="0"/>
              <w:rPr>
                <w:sz w:val="19"/>
                <w:szCs w:val="19"/>
                <w:color w:val="auto"/>
              </w:rPr>
            </w:pPr>
          </w:p>
        </w:tc>
        <w:tc>
          <w:tcPr>
            <w:tcW w:w="140" w:type="dxa"/>
            <w:vAlign w:val="bottom"/>
            <w:tcBorders>
              <w:top w:val="single" w:sz="8" w:color="1E1E1E"/>
              <w:bottom w:val="single" w:sz="8" w:color="1E1E1E"/>
            </w:tcBorders>
            <w:shd w:val="clear" w:color="auto" w:fill="E4E4E4"/>
          </w:tcPr>
          <w:p>
            <w:pPr>
              <w:spacing w:after="0"/>
              <w:rPr>
                <w:sz w:val="19"/>
                <w:szCs w:val="19"/>
                <w:color w:val="auto"/>
              </w:rPr>
            </w:pPr>
          </w:p>
        </w:tc>
        <w:tc>
          <w:tcPr>
            <w:tcW w:w="110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(5,272)</w:t>
            </w:r>
          </w:p>
        </w:tc>
        <w:tc>
          <w:tcPr>
            <w:tcW w:w="100" w:type="dxa"/>
            <w:vAlign w:val="bottom"/>
            <w:tcBorders>
              <w:top w:val="single" w:sz="8" w:color="E4E4E4"/>
              <w:bottom w:val="single" w:sz="8" w:color="E4E4E4"/>
            </w:tcBorders>
            <w:shd w:val="clear" w:color="auto" w:fill="E4E4E4"/>
          </w:tcPr>
          <w:p>
            <w:pPr>
              <w:spacing w:after="0"/>
              <w:rPr>
                <w:sz w:val="19"/>
                <w:szCs w:val="19"/>
                <w:color w:val="auto"/>
              </w:rPr>
            </w:pPr>
          </w:p>
        </w:tc>
      </w:tr>
      <w:tr>
        <w:trPr>
          <w:trHeight w:val="221"/>
        </w:trPr>
        <w:tc>
          <w:tcPr>
            <w:tcW w:w="6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480" w:type="dxa"/>
            <w:vAlign w:val="bottom"/>
            <w:shd w:val="clear" w:color="auto" w:fill="E4E4E4"/>
          </w:tcPr>
          <w:p>
            <w:pPr>
              <w:ind w:left="200"/>
              <w:spacing w:after="0"/>
              <w:rPr>
                <w:sz w:val="20"/>
                <w:szCs w:val="20"/>
                <w:color w:val="auto"/>
              </w:rPr>
            </w:pPr>
            <w:r>
              <w:rPr>
                <w:rFonts w:ascii="Arial" w:cs="Arial" w:eastAsia="Arial" w:hAnsi="Arial"/>
                <w:sz w:val="20"/>
                <w:szCs w:val="20"/>
                <w:color w:val="1E1E1E"/>
              </w:rPr>
              <w:t>Cash flows from financing activities:</w:t>
            </w:r>
          </w:p>
        </w:tc>
        <w:tc>
          <w:tcPr>
            <w:tcW w:w="140" w:type="dxa"/>
            <w:vAlign w:val="bottom"/>
            <w:shd w:val="clear" w:color="auto" w:fill="E4E4E4"/>
          </w:tcPr>
          <w:p>
            <w:pPr>
              <w:spacing w:after="0"/>
              <w:rPr>
                <w:sz w:val="20"/>
                <w:szCs w:val="20"/>
                <w:color w:val="auto"/>
              </w:rPr>
            </w:pPr>
          </w:p>
        </w:tc>
        <w:tc>
          <w:tcPr>
            <w:tcW w:w="1080" w:type="dxa"/>
            <w:vAlign w:val="bottom"/>
            <w:shd w:val="clear" w:color="auto" w:fill="E4E4E4"/>
          </w:tcPr>
          <w:p>
            <w:pPr>
              <w:spacing w:after="0"/>
              <w:rPr>
                <w:sz w:val="20"/>
                <w:szCs w:val="20"/>
                <w:color w:val="auto"/>
              </w:rPr>
            </w:pPr>
          </w:p>
        </w:tc>
        <w:tc>
          <w:tcPr>
            <w:tcW w:w="26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080" w:type="dxa"/>
            <w:vAlign w:val="bottom"/>
            <w:shd w:val="clear" w:color="auto" w:fill="E4E4E4"/>
          </w:tcPr>
          <w:p>
            <w:pPr>
              <w:spacing w:after="0"/>
              <w:rPr>
                <w:sz w:val="20"/>
                <w:szCs w:val="20"/>
                <w:color w:val="auto"/>
              </w:rPr>
            </w:pPr>
          </w:p>
        </w:tc>
        <w:tc>
          <w:tcPr>
            <w:tcW w:w="26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110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r>
      <w:tr>
        <w:trPr>
          <w:trHeight w:val="228"/>
        </w:trPr>
        <w:tc>
          <w:tcPr>
            <w:tcW w:w="6480" w:type="dxa"/>
            <w:vAlign w:val="bottom"/>
          </w:tcPr>
          <w:p>
            <w:pPr>
              <w:ind w:left="400"/>
              <w:spacing w:after="0" w:line="228" w:lineRule="exact"/>
              <w:rPr>
                <w:sz w:val="20"/>
                <w:szCs w:val="20"/>
                <w:color w:val="auto"/>
              </w:rPr>
            </w:pPr>
            <w:r>
              <w:rPr>
                <w:rFonts w:ascii="Arial" w:cs="Arial" w:eastAsia="Arial" w:hAnsi="Arial"/>
                <w:sz w:val="20"/>
                <w:szCs w:val="20"/>
                <w:color w:val="1E1E1E"/>
              </w:rPr>
              <w:t>Repurchase of common stock</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line="228" w:lineRule="exact"/>
              <w:rPr>
                <w:sz w:val="20"/>
                <w:szCs w:val="20"/>
                <w:color w:val="auto"/>
              </w:rPr>
            </w:pPr>
            <w:r>
              <w:rPr>
                <w:rFonts w:ascii="Arial" w:cs="Arial" w:eastAsia="Arial" w:hAnsi="Arial"/>
                <w:sz w:val="20"/>
                <w:szCs w:val="20"/>
                <w:color w:val="1E1E1E"/>
              </w:rPr>
              <w:t>(24,541)</w:t>
            </w:r>
          </w:p>
        </w:tc>
        <w:tc>
          <w:tcPr>
            <w:tcW w:w="160" w:type="dxa"/>
            <w:vAlign w:val="bottom"/>
          </w:tcPr>
          <w:p>
            <w:pPr>
              <w:spacing w:after="0"/>
              <w:rPr>
                <w:sz w:val="19"/>
                <w:szCs w:val="19"/>
                <w:color w:val="auto"/>
              </w:rPr>
            </w:pPr>
          </w:p>
        </w:tc>
        <w:tc>
          <w:tcPr>
            <w:tcW w:w="1340" w:type="dxa"/>
            <w:vAlign w:val="bottom"/>
            <w:gridSpan w:val="2"/>
          </w:tcPr>
          <w:p>
            <w:pPr>
              <w:jc w:val="right"/>
              <w:ind w:right="200"/>
              <w:spacing w:after="0" w:line="228" w:lineRule="exact"/>
              <w:rPr>
                <w:sz w:val="20"/>
                <w:szCs w:val="20"/>
                <w:color w:val="auto"/>
              </w:rPr>
            </w:pPr>
            <w:r>
              <w:rPr>
                <w:rFonts w:ascii="Arial" w:cs="Arial" w:eastAsia="Arial" w:hAnsi="Arial"/>
                <w:sz w:val="20"/>
                <w:szCs w:val="20"/>
                <w:color w:val="1E1E1E"/>
              </w:rPr>
              <w:t>(12,728)</w:t>
            </w:r>
          </w:p>
        </w:tc>
        <w:tc>
          <w:tcPr>
            <w:tcW w:w="140" w:type="dxa"/>
            <w:vAlign w:val="bottom"/>
          </w:tcPr>
          <w:p>
            <w:pPr>
              <w:spacing w:after="0"/>
              <w:rPr>
                <w:sz w:val="19"/>
                <w:szCs w:val="19"/>
                <w:color w:val="auto"/>
              </w:rPr>
            </w:pPr>
          </w:p>
        </w:tc>
        <w:tc>
          <w:tcPr>
            <w:tcW w:w="120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1E1E1E"/>
              </w:rPr>
              <w:t>—</w:t>
            </w:r>
          </w:p>
        </w:tc>
      </w:tr>
      <w:tr>
        <w:trPr>
          <w:trHeight w:val="213"/>
        </w:trPr>
        <w:tc>
          <w:tcPr>
            <w:tcW w:w="6480" w:type="dxa"/>
            <w:vAlign w:val="bottom"/>
            <w:shd w:val="clear" w:color="auto" w:fill="E4E4E4"/>
          </w:tcPr>
          <w:p>
            <w:pPr>
              <w:ind w:left="400"/>
              <w:spacing w:after="0" w:line="213" w:lineRule="exact"/>
              <w:rPr>
                <w:sz w:val="20"/>
                <w:szCs w:val="20"/>
                <w:color w:val="auto"/>
              </w:rPr>
            </w:pPr>
            <w:r>
              <w:rPr>
                <w:rFonts w:ascii="Arial" w:cs="Arial" w:eastAsia="Arial" w:hAnsi="Arial"/>
                <w:sz w:val="20"/>
                <w:szCs w:val="20"/>
                <w:color w:val="1E1E1E"/>
                <w:w w:val="93"/>
              </w:rPr>
              <w:t>Proceeds from issuance of common stock from private direct offering, net</w:t>
            </w:r>
          </w:p>
        </w:tc>
        <w:tc>
          <w:tcPr>
            <w:tcW w:w="140" w:type="dxa"/>
            <w:vAlign w:val="bottom"/>
            <w:shd w:val="clear" w:color="auto" w:fill="E4E4E4"/>
          </w:tcPr>
          <w:p>
            <w:pPr>
              <w:spacing w:after="0"/>
              <w:rPr>
                <w:sz w:val="18"/>
                <w:szCs w:val="18"/>
                <w:color w:val="auto"/>
              </w:rPr>
            </w:pPr>
          </w:p>
        </w:tc>
        <w:tc>
          <w:tcPr>
            <w:tcW w:w="108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108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10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r>
      <w:tr>
        <w:trPr>
          <w:trHeight w:val="248"/>
        </w:trPr>
        <w:tc>
          <w:tcPr>
            <w:tcW w:w="6480" w:type="dxa"/>
            <w:vAlign w:val="bottom"/>
            <w:shd w:val="clear" w:color="auto" w:fill="E4E4E4"/>
          </w:tcPr>
          <w:p>
            <w:pPr>
              <w:ind w:left="400"/>
              <w:spacing w:after="0"/>
              <w:rPr>
                <w:sz w:val="20"/>
                <w:szCs w:val="20"/>
                <w:color w:val="auto"/>
              </w:rPr>
            </w:pPr>
            <w:r>
              <w:rPr>
                <w:rFonts w:ascii="Arial" w:cs="Arial" w:eastAsia="Arial" w:hAnsi="Arial"/>
                <w:sz w:val="20"/>
                <w:szCs w:val="20"/>
                <w:color w:val="1E1E1E"/>
              </w:rPr>
              <w:t>of offering costs</w:t>
            </w:r>
          </w:p>
        </w:tc>
        <w:tc>
          <w:tcPr>
            <w:tcW w:w="140" w:type="dxa"/>
            <w:vAlign w:val="bottom"/>
            <w:shd w:val="clear" w:color="auto" w:fill="E4E4E4"/>
          </w:tcPr>
          <w:p>
            <w:pPr>
              <w:spacing w:after="0"/>
              <w:rPr>
                <w:sz w:val="21"/>
                <w:szCs w:val="21"/>
                <w:color w:val="auto"/>
              </w:rPr>
            </w:pPr>
          </w:p>
        </w:tc>
        <w:tc>
          <w:tcPr>
            <w:tcW w:w="1340" w:type="dxa"/>
            <w:vAlign w:val="bottom"/>
            <w:gridSpan w:val="2"/>
            <w:shd w:val="clear" w:color="auto" w:fill="E4E4E4"/>
          </w:tcPr>
          <w:p>
            <w:pPr>
              <w:jc w:val="right"/>
              <w:ind w:right="260"/>
              <w:spacing w:after="0"/>
              <w:rPr>
                <w:sz w:val="20"/>
                <w:szCs w:val="20"/>
                <w:color w:val="auto"/>
              </w:rPr>
            </w:pPr>
            <w:r>
              <w:rPr>
                <w:rFonts w:ascii="Arial" w:cs="Arial" w:eastAsia="Arial" w:hAnsi="Arial"/>
                <w:sz w:val="20"/>
                <w:szCs w:val="20"/>
                <w:color w:val="1E1E1E"/>
              </w:rPr>
              <w:t>—</w:t>
            </w:r>
          </w:p>
        </w:tc>
        <w:tc>
          <w:tcPr>
            <w:tcW w:w="160" w:type="dxa"/>
            <w:vAlign w:val="bottom"/>
            <w:shd w:val="clear" w:color="auto" w:fill="E4E4E4"/>
          </w:tcPr>
          <w:p>
            <w:pPr>
              <w:spacing w:after="0"/>
              <w:rPr>
                <w:sz w:val="21"/>
                <w:szCs w:val="21"/>
                <w:color w:val="auto"/>
              </w:rPr>
            </w:pPr>
          </w:p>
        </w:tc>
        <w:tc>
          <w:tcPr>
            <w:tcW w:w="1340" w:type="dxa"/>
            <w:vAlign w:val="bottom"/>
            <w:gridSpan w:val="2"/>
            <w:shd w:val="clear" w:color="auto" w:fill="E4E4E4"/>
          </w:tcPr>
          <w:p>
            <w:pPr>
              <w:jc w:val="right"/>
              <w:ind w:right="260"/>
              <w:spacing w:after="0"/>
              <w:rPr>
                <w:sz w:val="20"/>
                <w:szCs w:val="20"/>
                <w:color w:val="auto"/>
              </w:rPr>
            </w:pPr>
            <w:r>
              <w:rPr>
                <w:rFonts w:ascii="Arial" w:cs="Arial" w:eastAsia="Arial" w:hAnsi="Arial"/>
                <w:sz w:val="20"/>
                <w:szCs w:val="20"/>
                <w:color w:val="1E1E1E"/>
              </w:rPr>
              <w:t>—</w:t>
            </w:r>
          </w:p>
        </w:tc>
        <w:tc>
          <w:tcPr>
            <w:tcW w:w="140" w:type="dxa"/>
            <w:vAlign w:val="bottom"/>
            <w:shd w:val="clear" w:color="auto" w:fill="E4E4E4"/>
          </w:tcPr>
          <w:p>
            <w:pPr>
              <w:spacing w:after="0"/>
              <w:rPr>
                <w:sz w:val="21"/>
                <w:szCs w:val="21"/>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4,375</w:t>
            </w:r>
          </w:p>
        </w:tc>
        <w:tc>
          <w:tcPr>
            <w:tcW w:w="100" w:type="dxa"/>
            <w:vAlign w:val="bottom"/>
            <w:shd w:val="clear" w:color="auto" w:fill="E4E4E4"/>
          </w:tcPr>
          <w:p>
            <w:pPr>
              <w:spacing w:after="0"/>
              <w:rPr>
                <w:sz w:val="21"/>
                <w:szCs w:val="21"/>
                <w:color w:val="auto"/>
              </w:rPr>
            </w:pPr>
          </w:p>
        </w:tc>
      </w:tr>
      <w:tr>
        <w:trPr>
          <w:trHeight w:val="230"/>
        </w:trPr>
        <w:tc>
          <w:tcPr>
            <w:tcW w:w="6480" w:type="dxa"/>
            <w:vAlign w:val="bottom"/>
          </w:tcPr>
          <w:p>
            <w:pPr>
              <w:ind w:left="400"/>
              <w:spacing w:after="0"/>
              <w:rPr>
                <w:sz w:val="20"/>
                <w:szCs w:val="20"/>
                <w:color w:val="auto"/>
              </w:rPr>
            </w:pPr>
            <w:r>
              <w:rPr>
                <w:rFonts w:ascii="Arial" w:cs="Arial" w:eastAsia="Arial" w:hAnsi="Arial"/>
                <w:sz w:val="20"/>
                <w:szCs w:val="20"/>
                <w:color w:val="1E1E1E"/>
              </w:rPr>
              <w:t>Proceeds from new FILO loan</w:t>
            </w:r>
          </w:p>
        </w:tc>
        <w:tc>
          <w:tcPr>
            <w:tcW w:w="14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20"/>
                <w:szCs w:val="20"/>
                <w:color w:val="1E1E1E"/>
              </w:rPr>
              <w:t>—</w:t>
            </w:r>
          </w:p>
        </w:tc>
        <w:tc>
          <w:tcPr>
            <w:tcW w:w="16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20"/>
                <w:szCs w:val="20"/>
                <w:color w:val="1E1E1E"/>
              </w:rPr>
              <w:t>—</w:t>
            </w: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1E1E1E"/>
              </w:rPr>
              <w:t>17,500</w:t>
            </w:r>
          </w:p>
        </w:tc>
      </w:tr>
      <w:tr>
        <w:trPr>
          <w:trHeight w:val="230"/>
        </w:trPr>
        <w:tc>
          <w:tcPr>
            <w:tcW w:w="6480" w:type="dxa"/>
            <w:vAlign w:val="bottom"/>
            <w:shd w:val="clear" w:color="auto" w:fill="E4E4E4"/>
          </w:tcPr>
          <w:p>
            <w:pPr>
              <w:ind w:left="400"/>
              <w:spacing w:after="0"/>
              <w:rPr>
                <w:sz w:val="20"/>
                <w:szCs w:val="20"/>
                <w:color w:val="auto"/>
              </w:rPr>
            </w:pPr>
            <w:r>
              <w:rPr>
                <w:rFonts w:ascii="Arial" w:cs="Arial" w:eastAsia="Arial" w:hAnsi="Arial"/>
                <w:sz w:val="20"/>
                <w:szCs w:val="20"/>
                <w:color w:val="1E1E1E"/>
              </w:rPr>
              <w:t>Repayment of FILO loans</w:t>
            </w:r>
          </w:p>
        </w:tc>
        <w:tc>
          <w:tcPr>
            <w:tcW w:w="140" w:type="dxa"/>
            <w:vAlign w:val="bottom"/>
            <w:shd w:val="clear" w:color="auto" w:fill="E4E4E4"/>
          </w:tcPr>
          <w:p>
            <w:pPr>
              <w:spacing w:after="0"/>
              <w:rPr>
                <w:sz w:val="20"/>
                <w:szCs w:val="20"/>
                <w:color w:val="auto"/>
              </w:rPr>
            </w:pPr>
          </w:p>
        </w:tc>
        <w:tc>
          <w:tcPr>
            <w:tcW w:w="1340" w:type="dxa"/>
            <w:vAlign w:val="bottom"/>
            <w:gridSpan w:val="2"/>
            <w:shd w:val="clear" w:color="auto" w:fill="E4E4E4"/>
          </w:tcPr>
          <w:p>
            <w:pPr>
              <w:jc w:val="right"/>
              <w:ind w:right="260"/>
              <w:spacing w:after="0"/>
              <w:rPr>
                <w:sz w:val="20"/>
                <w:szCs w:val="20"/>
                <w:color w:val="auto"/>
              </w:rPr>
            </w:pPr>
            <w:r>
              <w:rPr>
                <w:rFonts w:ascii="Arial" w:cs="Arial" w:eastAsia="Arial" w:hAnsi="Arial"/>
                <w:sz w:val="20"/>
                <w:szCs w:val="20"/>
                <w:color w:val="1E1E1E"/>
              </w:rPr>
              <w:t>—</w:t>
            </w:r>
          </w:p>
        </w:tc>
        <w:tc>
          <w:tcPr>
            <w:tcW w:w="160" w:type="dxa"/>
            <w:vAlign w:val="bottom"/>
            <w:shd w:val="clear" w:color="auto" w:fill="E4E4E4"/>
          </w:tcPr>
          <w:p>
            <w:pPr>
              <w:spacing w:after="0"/>
              <w:rPr>
                <w:sz w:val="20"/>
                <w:szCs w:val="20"/>
                <w:color w:val="auto"/>
              </w:rPr>
            </w:pPr>
          </w:p>
        </w:tc>
        <w:tc>
          <w:tcPr>
            <w:tcW w:w="1340" w:type="dxa"/>
            <w:vAlign w:val="bottom"/>
            <w:gridSpan w:val="2"/>
            <w:shd w:val="clear" w:color="auto" w:fill="E4E4E4"/>
          </w:tcPr>
          <w:p>
            <w:pPr>
              <w:jc w:val="right"/>
              <w:ind w:right="260"/>
              <w:spacing w:after="0"/>
              <w:rPr>
                <w:sz w:val="20"/>
                <w:szCs w:val="20"/>
                <w:color w:val="auto"/>
              </w:rPr>
            </w:pPr>
            <w:r>
              <w:rPr>
                <w:rFonts w:ascii="Arial" w:cs="Arial" w:eastAsia="Arial" w:hAnsi="Arial"/>
                <w:sz w:val="20"/>
                <w:szCs w:val="20"/>
                <w:color w:val="1E1E1E"/>
              </w:rPr>
              <w:t>—</w:t>
            </w:r>
          </w:p>
        </w:tc>
        <w:tc>
          <w:tcPr>
            <w:tcW w:w="140" w:type="dxa"/>
            <w:vAlign w:val="bottom"/>
            <w:shd w:val="clear" w:color="auto" w:fill="E4E4E4"/>
          </w:tcPr>
          <w:p>
            <w:pPr>
              <w:spacing w:after="0"/>
              <w:rPr>
                <w:sz w:val="20"/>
                <w:szCs w:val="20"/>
                <w:color w:val="auto"/>
              </w:rPr>
            </w:pPr>
          </w:p>
        </w:tc>
        <w:tc>
          <w:tcPr>
            <w:tcW w:w="1200" w:type="dxa"/>
            <w:vAlign w:val="bottom"/>
            <w:gridSpan w:val="2"/>
            <w:shd w:val="clear" w:color="auto" w:fill="E4E4E4"/>
          </w:tcPr>
          <w:p>
            <w:pPr>
              <w:jc w:val="right"/>
              <w:ind w:right="40"/>
              <w:spacing w:after="0"/>
              <w:rPr>
                <w:sz w:val="20"/>
                <w:szCs w:val="20"/>
                <w:color w:val="auto"/>
              </w:rPr>
            </w:pPr>
            <w:r>
              <w:rPr>
                <w:rFonts w:ascii="Arial" w:cs="Arial" w:eastAsia="Arial" w:hAnsi="Arial"/>
                <w:sz w:val="20"/>
                <w:szCs w:val="20"/>
                <w:color w:val="1E1E1E"/>
              </w:rPr>
              <w:t>(32,500)</w:t>
            </w:r>
          </w:p>
        </w:tc>
      </w:tr>
      <w:tr>
        <w:trPr>
          <w:trHeight w:val="230"/>
        </w:trPr>
        <w:tc>
          <w:tcPr>
            <w:tcW w:w="6480" w:type="dxa"/>
            <w:vAlign w:val="bottom"/>
          </w:tcPr>
          <w:p>
            <w:pPr>
              <w:ind w:left="400"/>
              <w:spacing w:after="0"/>
              <w:rPr>
                <w:sz w:val="20"/>
                <w:szCs w:val="20"/>
                <w:color w:val="auto"/>
              </w:rPr>
            </w:pPr>
            <w:r>
              <w:rPr>
                <w:rFonts w:ascii="Arial" w:cs="Arial" w:eastAsia="Arial" w:hAnsi="Arial"/>
                <w:sz w:val="20"/>
                <w:szCs w:val="20"/>
                <w:color w:val="1E1E1E"/>
              </w:rPr>
              <w:t>Borrowings under credit facility</w:t>
            </w:r>
          </w:p>
        </w:tc>
        <w:tc>
          <w:tcPr>
            <w:tcW w:w="14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20"/>
                <w:szCs w:val="20"/>
                <w:color w:val="1E1E1E"/>
              </w:rPr>
              <w:t>—</w:t>
            </w:r>
          </w:p>
        </w:tc>
        <w:tc>
          <w:tcPr>
            <w:tcW w:w="16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20"/>
                <w:szCs w:val="20"/>
                <w:color w:val="1E1E1E"/>
              </w:rPr>
              <w:t>—</w:t>
            </w: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1E1E1E"/>
              </w:rPr>
              <w:t>40,297</w:t>
            </w:r>
          </w:p>
        </w:tc>
      </w:tr>
      <w:tr>
        <w:trPr>
          <w:trHeight w:val="228"/>
        </w:trPr>
        <w:tc>
          <w:tcPr>
            <w:tcW w:w="6480" w:type="dxa"/>
            <w:vAlign w:val="bottom"/>
            <w:shd w:val="clear" w:color="auto" w:fill="E4E4E4"/>
          </w:tcPr>
          <w:p>
            <w:pPr>
              <w:ind w:left="400"/>
              <w:spacing w:after="0" w:line="228" w:lineRule="exact"/>
              <w:rPr>
                <w:sz w:val="20"/>
                <w:szCs w:val="20"/>
                <w:color w:val="auto"/>
              </w:rPr>
            </w:pPr>
            <w:r>
              <w:rPr>
                <w:rFonts w:ascii="Arial" w:cs="Arial" w:eastAsia="Arial" w:hAnsi="Arial"/>
                <w:sz w:val="20"/>
                <w:szCs w:val="20"/>
                <w:color w:val="1E1E1E"/>
              </w:rPr>
              <w:t>Repayments under credit facility</w:t>
            </w:r>
          </w:p>
        </w:tc>
        <w:tc>
          <w:tcPr>
            <w:tcW w:w="140" w:type="dxa"/>
            <w:vAlign w:val="bottom"/>
            <w:shd w:val="clear" w:color="auto" w:fill="E4E4E4"/>
          </w:tcPr>
          <w:p>
            <w:pPr>
              <w:spacing w:after="0"/>
              <w:rPr>
                <w:sz w:val="19"/>
                <w:szCs w:val="19"/>
                <w:color w:val="auto"/>
              </w:rPr>
            </w:pPr>
          </w:p>
        </w:tc>
        <w:tc>
          <w:tcPr>
            <w:tcW w:w="1340" w:type="dxa"/>
            <w:vAlign w:val="bottom"/>
            <w:gridSpan w:val="2"/>
            <w:shd w:val="clear" w:color="auto" w:fill="E4E4E4"/>
          </w:tcPr>
          <w:p>
            <w:pPr>
              <w:jc w:val="right"/>
              <w:ind w:right="260"/>
              <w:spacing w:after="0" w:line="228" w:lineRule="exact"/>
              <w:rPr>
                <w:sz w:val="20"/>
                <w:szCs w:val="20"/>
                <w:color w:val="auto"/>
              </w:rPr>
            </w:pPr>
            <w:r>
              <w:rPr>
                <w:rFonts w:ascii="Arial" w:cs="Arial" w:eastAsia="Arial" w:hAnsi="Arial"/>
                <w:sz w:val="20"/>
                <w:szCs w:val="20"/>
                <w:color w:val="1E1E1E"/>
              </w:rPr>
              <w:t>—</w:t>
            </w:r>
          </w:p>
        </w:tc>
        <w:tc>
          <w:tcPr>
            <w:tcW w:w="160" w:type="dxa"/>
            <w:vAlign w:val="bottom"/>
            <w:shd w:val="clear" w:color="auto" w:fill="E4E4E4"/>
          </w:tcPr>
          <w:p>
            <w:pPr>
              <w:spacing w:after="0"/>
              <w:rPr>
                <w:sz w:val="19"/>
                <w:szCs w:val="19"/>
                <w:color w:val="auto"/>
              </w:rPr>
            </w:pPr>
          </w:p>
        </w:tc>
        <w:tc>
          <w:tcPr>
            <w:tcW w:w="1340" w:type="dxa"/>
            <w:vAlign w:val="bottom"/>
            <w:gridSpan w:val="2"/>
            <w:shd w:val="clear" w:color="auto" w:fill="E4E4E4"/>
          </w:tcPr>
          <w:p>
            <w:pPr>
              <w:jc w:val="right"/>
              <w:ind w:right="260"/>
              <w:spacing w:after="0" w:line="228" w:lineRule="exact"/>
              <w:rPr>
                <w:sz w:val="20"/>
                <w:szCs w:val="20"/>
                <w:color w:val="auto"/>
              </w:rPr>
            </w:pPr>
            <w:r>
              <w:rPr>
                <w:rFonts w:ascii="Arial" w:cs="Arial" w:eastAsia="Arial" w:hAnsi="Arial"/>
                <w:sz w:val="20"/>
                <w:szCs w:val="20"/>
                <w:color w:val="1E1E1E"/>
              </w:rPr>
              <w:t>—</w:t>
            </w:r>
          </w:p>
        </w:tc>
        <w:tc>
          <w:tcPr>
            <w:tcW w:w="140" w:type="dxa"/>
            <w:vAlign w:val="bottom"/>
            <w:shd w:val="clear" w:color="auto" w:fill="E4E4E4"/>
          </w:tcPr>
          <w:p>
            <w:pPr>
              <w:spacing w:after="0"/>
              <w:rPr>
                <w:sz w:val="19"/>
                <w:szCs w:val="19"/>
                <w:color w:val="auto"/>
              </w:rPr>
            </w:pPr>
          </w:p>
        </w:tc>
        <w:tc>
          <w:tcPr>
            <w:tcW w:w="1200" w:type="dxa"/>
            <w:vAlign w:val="bottom"/>
            <w:gridSpan w:val="2"/>
            <w:shd w:val="clear" w:color="auto" w:fill="E4E4E4"/>
          </w:tcPr>
          <w:p>
            <w:pPr>
              <w:jc w:val="right"/>
              <w:ind w:right="40"/>
              <w:spacing w:after="0" w:line="228" w:lineRule="exact"/>
              <w:rPr>
                <w:sz w:val="20"/>
                <w:szCs w:val="20"/>
                <w:color w:val="auto"/>
              </w:rPr>
            </w:pPr>
            <w:r>
              <w:rPr>
                <w:rFonts w:ascii="Arial" w:cs="Arial" w:eastAsia="Arial" w:hAnsi="Arial"/>
                <w:sz w:val="20"/>
                <w:szCs w:val="20"/>
                <w:color w:val="1E1E1E"/>
              </w:rPr>
              <w:t>(100,030)</w:t>
            </w:r>
          </w:p>
        </w:tc>
      </w:tr>
      <w:tr>
        <w:trPr>
          <w:trHeight w:val="230"/>
        </w:trPr>
        <w:tc>
          <w:tcPr>
            <w:tcW w:w="6480" w:type="dxa"/>
            <w:vAlign w:val="bottom"/>
          </w:tcPr>
          <w:p>
            <w:pPr>
              <w:ind w:left="400"/>
              <w:spacing w:after="0"/>
              <w:rPr>
                <w:sz w:val="20"/>
                <w:szCs w:val="20"/>
                <w:color w:val="auto"/>
              </w:rPr>
            </w:pPr>
            <w:r>
              <w:rPr>
                <w:rFonts w:ascii="Arial" w:cs="Arial" w:eastAsia="Arial" w:hAnsi="Arial"/>
                <w:sz w:val="20"/>
                <w:szCs w:val="20"/>
                <w:color w:val="1E1E1E"/>
              </w:rPr>
              <w:t>Debt extinguishment costs</w:t>
            </w:r>
          </w:p>
        </w:tc>
        <w:tc>
          <w:tcPr>
            <w:tcW w:w="14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20"/>
                <w:szCs w:val="20"/>
                <w:color w:val="1E1E1E"/>
              </w:rPr>
              <w:t>—</w:t>
            </w:r>
          </w:p>
        </w:tc>
        <w:tc>
          <w:tcPr>
            <w:tcW w:w="16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20"/>
                <w:szCs w:val="20"/>
                <w:color w:val="1E1E1E"/>
              </w:rPr>
              <w:t>—</w:t>
            </w:r>
          </w:p>
        </w:tc>
        <w:tc>
          <w:tcPr>
            <w:tcW w:w="1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20"/>
                <w:szCs w:val="20"/>
                <w:color w:val="1E1E1E"/>
              </w:rPr>
              <w:t>(1,111)</w:t>
            </w:r>
          </w:p>
        </w:tc>
      </w:tr>
      <w:tr>
        <w:trPr>
          <w:trHeight w:val="230"/>
        </w:trPr>
        <w:tc>
          <w:tcPr>
            <w:tcW w:w="6480" w:type="dxa"/>
            <w:vAlign w:val="bottom"/>
            <w:shd w:val="clear" w:color="auto" w:fill="E4E4E4"/>
          </w:tcPr>
          <w:p>
            <w:pPr>
              <w:ind w:left="400"/>
              <w:spacing w:after="0"/>
              <w:rPr>
                <w:sz w:val="20"/>
                <w:szCs w:val="20"/>
                <w:color w:val="auto"/>
              </w:rPr>
            </w:pPr>
            <w:r>
              <w:rPr>
                <w:rFonts w:ascii="Arial" w:cs="Arial" w:eastAsia="Arial" w:hAnsi="Arial"/>
                <w:sz w:val="20"/>
                <w:szCs w:val="20"/>
                <w:color w:val="1E1E1E"/>
              </w:rPr>
              <w:t>Debt issuance costs</w:t>
            </w:r>
          </w:p>
        </w:tc>
        <w:tc>
          <w:tcPr>
            <w:tcW w:w="140" w:type="dxa"/>
            <w:vAlign w:val="bottom"/>
            <w:shd w:val="clear" w:color="auto" w:fill="E4E4E4"/>
          </w:tcPr>
          <w:p>
            <w:pPr>
              <w:spacing w:after="0"/>
              <w:rPr>
                <w:sz w:val="20"/>
                <w:szCs w:val="20"/>
                <w:color w:val="auto"/>
              </w:rPr>
            </w:pPr>
          </w:p>
        </w:tc>
        <w:tc>
          <w:tcPr>
            <w:tcW w:w="1340" w:type="dxa"/>
            <w:vAlign w:val="bottom"/>
            <w:gridSpan w:val="2"/>
            <w:shd w:val="clear" w:color="auto" w:fill="E4E4E4"/>
          </w:tcPr>
          <w:p>
            <w:pPr>
              <w:jc w:val="right"/>
              <w:ind w:right="260"/>
              <w:spacing w:after="0"/>
              <w:rPr>
                <w:sz w:val="20"/>
                <w:szCs w:val="20"/>
                <w:color w:val="auto"/>
              </w:rPr>
            </w:pPr>
            <w:r>
              <w:rPr>
                <w:rFonts w:ascii="Arial" w:cs="Arial" w:eastAsia="Arial" w:hAnsi="Arial"/>
                <w:sz w:val="20"/>
                <w:szCs w:val="20"/>
                <w:color w:val="1E1E1E"/>
              </w:rPr>
              <w:t>—</w:t>
            </w:r>
          </w:p>
        </w:tc>
        <w:tc>
          <w:tcPr>
            <w:tcW w:w="160" w:type="dxa"/>
            <w:vAlign w:val="bottom"/>
            <w:shd w:val="clear" w:color="auto" w:fill="E4E4E4"/>
          </w:tcPr>
          <w:p>
            <w:pPr>
              <w:spacing w:after="0"/>
              <w:rPr>
                <w:sz w:val="20"/>
                <w:szCs w:val="20"/>
                <w:color w:val="auto"/>
              </w:rPr>
            </w:pPr>
          </w:p>
        </w:tc>
        <w:tc>
          <w:tcPr>
            <w:tcW w:w="1340" w:type="dxa"/>
            <w:vAlign w:val="bottom"/>
            <w:gridSpan w:val="2"/>
            <w:shd w:val="clear" w:color="auto" w:fill="E4E4E4"/>
          </w:tcPr>
          <w:p>
            <w:pPr>
              <w:jc w:val="right"/>
              <w:ind w:right="260"/>
              <w:spacing w:after="0"/>
              <w:rPr>
                <w:sz w:val="20"/>
                <w:szCs w:val="20"/>
                <w:color w:val="auto"/>
              </w:rPr>
            </w:pPr>
            <w:r>
              <w:rPr>
                <w:rFonts w:ascii="Arial" w:cs="Arial" w:eastAsia="Arial" w:hAnsi="Arial"/>
                <w:sz w:val="20"/>
                <w:szCs w:val="20"/>
                <w:color w:val="1E1E1E"/>
              </w:rPr>
              <w:t>—</w:t>
            </w:r>
          </w:p>
        </w:tc>
        <w:tc>
          <w:tcPr>
            <w:tcW w:w="140" w:type="dxa"/>
            <w:vAlign w:val="bottom"/>
            <w:shd w:val="clear" w:color="auto" w:fill="E4E4E4"/>
          </w:tcPr>
          <w:p>
            <w:pPr>
              <w:spacing w:after="0"/>
              <w:rPr>
                <w:sz w:val="20"/>
                <w:szCs w:val="20"/>
                <w:color w:val="auto"/>
              </w:rPr>
            </w:pPr>
          </w:p>
        </w:tc>
        <w:tc>
          <w:tcPr>
            <w:tcW w:w="1200" w:type="dxa"/>
            <w:vAlign w:val="bottom"/>
            <w:gridSpan w:val="2"/>
            <w:shd w:val="clear" w:color="auto" w:fill="E4E4E4"/>
          </w:tcPr>
          <w:p>
            <w:pPr>
              <w:jc w:val="right"/>
              <w:ind w:right="40"/>
              <w:spacing w:after="0"/>
              <w:rPr>
                <w:sz w:val="20"/>
                <w:szCs w:val="20"/>
                <w:color w:val="auto"/>
              </w:rPr>
            </w:pPr>
            <w:r>
              <w:rPr>
                <w:rFonts w:ascii="Arial" w:cs="Arial" w:eastAsia="Arial" w:hAnsi="Arial"/>
                <w:sz w:val="20"/>
                <w:szCs w:val="20"/>
                <w:color w:val="1E1E1E"/>
              </w:rPr>
              <w:t>(1,200)</w:t>
            </w:r>
          </w:p>
        </w:tc>
      </w:tr>
      <w:tr>
        <w:trPr>
          <w:trHeight w:val="230"/>
        </w:trPr>
        <w:tc>
          <w:tcPr>
            <w:tcW w:w="6480" w:type="dxa"/>
            <w:vAlign w:val="bottom"/>
          </w:tcPr>
          <w:p>
            <w:pPr>
              <w:ind w:left="400"/>
              <w:spacing w:after="0"/>
              <w:rPr>
                <w:sz w:val="20"/>
                <w:szCs w:val="20"/>
                <w:color w:val="auto"/>
              </w:rPr>
            </w:pPr>
            <w:r>
              <w:rPr>
                <w:rFonts w:ascii="Arial" w:cs="Arial" w:eastAsia="Arial" w:hAnsi="Arial"/>
                <w:sz w:val="20"/>
                <w:szCs w:val="20"/>
                <w:color w:val="1E1E1E"/>
              </w:rPr>
              <w:t>Proceeds from the exercise of stock options</w:t>
            </w:r>
          </w:p>
        </w:tc>
        <w:tc>
          <w:tcPr>
            <w:tcW w:w="14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20"/>
                <w:szCs w:val="20"/>
                <w:color w:val="1E1E1E"/>
              </w:rPr>
              <w:t>368</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1E1E1E"/>
              </w:rPr>
              <w:t>839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1E1E1E"/>
              </w:rPr>
              <w:t>776</w:t>
            </w:r>
          </w:p>
        </w:tc>
        <w:tc>
          <w:tcPr>
            <w:tcW w:w="100" w:type="dxa"/>
            <w:vAlign w:val="bottom"/>
          </w:tcPr>
          <w:p>
            <w:pPr>
              <w:spacing w:after="0"/>
              <w:rPr>
                <w:sz w:val="20"/>
                <w:szCs w:val="20"/>
                <w:color w:val="auto"/>
              </w:rPr>
            </w:pPr>
          </w:p>
        </w:tc>
      </w:tr>
      <w:tr>
        <w:trPr>
          <w:trHeight w:val="249"/>
        </w:trPr>
        <w:tc>
          <w:tcPr>
            <w:tcW w:w="6480" w:type="dxa"/>
            <w:vAlign w:val="bottom"/>
            <w:shd w:val="clear" w:color="auto" w:fill="E4E4E4"/>
          </w:tcPr>
          <w:p>
            <w:pPr>
              <w:ind w:left="400"/>
              <w:spacing w:after="0"/>
              <w:rPr>
                <w:sz w:val="20"/>
                <w:szCs w:val="20"/>
                <w:color w:val="auto"/>
              </w:rPr>
            </w:pPr>
            <w:r>
              <w:rPr>
                <w:rFonts w:ascii="Arial" w:cs="Arial" w:eastAsia="Arial" w:hAnsi="Arial"/>
                <w:sz w:val="20"/>
                <w:szCs w:val="20"/>
                <w:color w:val="1E1E1E"/>
              </w:rPr>
              <w:t>Tax withholdings paid related to net share settlements</w:t>
            </w:r>
          </w:p>
        </w:tc>
        <w:tc>
          <w:tcPr>
            <w:tcW w:w="140" w:type="dxa"/>
            <w:vAlign w:val="bottom"/>
            <w:shd w:val="clear" w:color="auto" w:fill="E4E4E4"/>
          </w:tcPr>
          <w:p>
            <w:pPr>
              <w:spacing w:after="0"/>
              <w:rPr>
                <w:sz w:val="21"/>
                <w:szCs w:val="21"/>
                <w:color w:val="auto"/>
              </w:rPr>
            </w:pPr>
          </w:p>
        </w:tc>
        <w:tc>
          <w:tcPr>
            <w:tcW w:w="1340" w:type="dxa"/>
            <w:vAlign w:val="bottom"/>
            <w:gridSpan w:val="2"/>
            <w:shd w:val="clear" w:color="auto" w:fill="E4E4E4"/>
          </w:tcPr>
          <w:p>
            <w:pPr>
              <w:jc w:val="right"/>
              <w:ind w:right="180"/>
              <w:spacing w:after="0"/>
              <w:rPr>
                <w:sz w:val="20"/>
                <w:szCs w:val="20"/>
                <w:color w:val="auto"/>
              </w:rPr>
            </w:pPr>
            <w:r>
              <w:rPr>
                <w:rFonts w:ascii="Arial" w:cs="Arial" w:eastAsia="Arial" w:hAnsi="Arial"/>
                <w:sz w:val="20"/>
                <w:szCs w:val="20"/>
                <w:color w:val="1E1E1E"/>
              </w:rPr>
              <w:t>(759)</w:t>
            </w:r>
          </w:p>
        </w:tc>
        <w:tc>
          <w:tcPr>
            <w:tcW w:w="160" w:type="dxa"/>
            <w:vAlign w:val="bottom"/>
            <w:shd w:val="clear" w:color="auto" w:fill="E4E4E4"/>
          </w:tcPr>
          <w:p>
            <w:pPr>
              <w:spacing w:after="0"/>
              <w:rPr>
                <w:sz w:val="21"/>
                <w:szCs w:val="21"/>
                <w:color w:val="auto"/>
              </w:rPr>
            </w:pPr>
          </w:p>
        </w:tc>
        <w:tc>
          <w:tcPr>
            <w:tcW w:w="1340" w:type="dxa"/>
            <w:vAlign w:val="bottom"/>
            <w:gridSpan w:val="2"/>
            <w:shd w:val="clear" w:color="auto" w:fill="E4E4E4"/>
          </w:tcPr>
          <w:p>
            <w:pPr>
              <w:jc w:val="right"/>
              <w:ind w:right="200"/>
              <w:spacing w:after="0"/>
              <w:rPr>
                <w:sz w:val="20"/>
                <w:szCs w:val="20"/>
                <w:color w:val="auto"/>
              </w:rPr>
            </w:pPr>
            <w:r>
              <w:rPr>
                <w:rFonts w:ascii="Arial" w:cs="Arial" w:eastAsia="Arial" w:hAnsi="Arial"/>
                <w:sz w:val="20"/>
                <w:szCs w:val="20"/>
                <w:color w:val="1E1E1E"/>
              </w:rPr>
              <w:t>(1,845)</w:t>
            </w:r>
          </w:p>
        </w:tc>
        <w:tc>
          <w:tcPr>
            <w:tcW w:w="140" w:type="dxa"/>
            <w:vAlign w:val="bottom"/>
            <w:shd w:val="clear" w:color="auto" w:fill="E4E4E4"/>
          </w:tcPr>
          <w:p>
            <w:pPr>
              <w:spacing w:after="0"/>
              <w:rPr>
                <w:sz w:val="21"/>
                <w:szCs w:val="21"/>
                <w:color w:val="auto"/>
              </w:rPr>
            </w:pPr>
          </w:p>
        </w:tc>
        <w:tc>
          <w:tcPr>
            <w:tcW w:w="1200" w:type="dxa"/>
            <w:vAlign w:val="bottom"/>
            <w:gridSpan w:val="2"/>
            <w:shd w:val="clear" w:color="auto" w:fill="E4E4E4"/>
          </w:tcPr>
          <w:p>
            <w:pPr>
              <w:jc w:val="right"/>
              <w:ind w:right="40"/>
              <w:spacing w:after="0"/>
              <w:rPr>
                <w:sz w:val="20"/>
                <w:szCs w:val="20"/>
                <w:color w:val="auto"/>
              </w:rPr>
            </w:pPr>
            <w:r>
              <w:rPr>
                <w:rFonts w:ascii="Arial" w:cs="Arial" w:eastAsia="Arial" w:hAnsi="Arial"/>
                <w:sz w:val="20"/>
                <w:szCs w:val="20"/>
                <w:color w:val="1E1E1E"/>
              </w:rPr>
              <w:t>(1,867)</w:t>
            </w:r>
          </w:p>
        </w:tc>
      </w:tr>
      <w:tr>
        <w:trPr>
          <w:trHeight w:val="200"/>
        </w:trPr>
        <w:tc>
          <w:tcPr>
            <w:tcW w:w="6480" w:type="dxa"/>
            <w:vAlign w:val="bottom"/>
            <w:tcBorders>
              <w:top w:val="single" w:sz="8" w:color="E4E4E4"/>
              <w:bottom w:val="single" w:sz="8" w:color="E4E4E4"/>
            </w:tcBorders>
          </w:tcPr>
          <w:p>
            <w:pPr>
              <w:ind w:left="200"/>
              <w:spacing w:after="0" w:line="200" w:lineRule="exact"/>
              <w:rPr>
                <w:sz w:val="20"/>
                <w:szCs w:val="20"/>
                <w:color w:val="auto"/>
              </w:rPr>
            </w:pPr>
            <w:r>
              <w:rPr>
                <w:rFonts w:ascii="Arial" w:cs="Arial" w:eastAsia="Arial" w:hAnsi="Arial"/>
                <w:sz w:val="20"/>
                <w:szCs w:val="20"/>
                <w:color w:val="1E1E1E"/>
              </w:rPr>
              <w:t>Net cash used for financing activities</w:t>
            </w:r>
          </w:p>
        </w:tc>
        <w:tc>
          <w:tcPr>
            <w:tcW w:w="140" w:type="dxa"/>
            <w:vAlign w:val="bottom"/>
            <w:tcBorders>
              <w:top w:val="single" w:sz="8" w:color="1E1E1E"/>
              <w:bottom w:val="single" w:sz="8" w:color="1E1E1E"/>
            </w:tcBorders>
          </w:tcPr>
          <w:p>
            <w:pPr>
              <w:spacing w:after="0"/>
              <w:rPr>
                <w:sz w:val="17"/>
                <w:szCs w:val="17"/>
                <w:color w:val="auto"/>
              </w:rPr>
            </w:pPr>
          </w:p>
        </w:tc>
        <w:tc>
          <w:tcPr>
            <w:tcW w:w="1080" w:type="dxa"/>
            <w:vAlign w:val="bottom"/>
            <w:tcBorders>
              <w:top w:val="single" w:sz="8" w:color="1E1E1E"/>
              <w:bottom w:val="single" w:sz="8" w:color="1E1E1E"/>
            </w:tcBorders>
          </w:tcPr>
          <w:p>
            <w:pPr>
              <w:jc w:val="right"/>
              <w:spacing w:after="0" w:line="200" w:lineRule="exact"/>
              <w:rPr>
                <w:sz w:val="20"/>
                <w:szCs w:val="20"/>
                <w:color w:val="auto"/>
              </w:rPr>
            </w:pPr>
            <w:r>
              <w:rPr>
                <w:rFonts w:ascii="Arial" w:cs="Arial" w:eastAsia="Arial" w:hAnsi="Arial"/>
                <w:sz w:val="20"/>
                <w:szCs w:val="20"/>
                <w:color w:val="1E1E1E"/>
              </w:rPr>
              <w:t>(24,932)</w:t>
            </w:r>
          </w:p>
        </w:tc>
        <w:tc>
          <w:tcPr>
            <w:tcW w:w="260" w:type="dxa"/>
            <w:vAlign w:val="bottom"/>
            <w:tcBorders>
              <w:top w:val="single" w:sz="8" w:color="E4E4E4"/>
              <w:bottom w:val="single" w:sz="8" w:color="E4E4E4"/>
            </w:tcBorders>
          </w:tcPr>
          <w:p>
            <w:pPr>
              <w:spacing w:after="0"/>
              <w:rPr>
                <w:sz w:val="17"/>
                <w:szCs w:val="17"/>
                <w:color w:val="auto"/>
              </w:rPr>
            </w:pPr>
          </w:p>
        </w:tc>
        <w:tc>
          <w:tcPr>
            <w:tcW w:w="160" w:type="dxa"/>
            <w:vAlign w:val="bottom"/>
            <w:tcBorders>
              <w:top w:val="single" w:sz="8" w:color="1E1E1E"/>
              <w:bottom w:val="single" w:sz="8" w:color="1E1E1E"/>
            </w:tcBorders>
          </w:tcPr>
          <w:p>
            <w:pPr>
              <w:spacing w:after="0"/>
              <w:rPr>
                <w:sz w:val="17"/>
                <w:szCs w:val="17"/>
                <w:color w:val="auto"/>
              </w:rPr>
            </w:pPr>
          </w:p>
        </w:tc>
        <w:tc>
          <w:tcPr>
            <w:tcW w:w="1080" w:type="dxa"/>
            <w:vAlign w:val="bottom"/>
            <w:tcBorders>
              <w:top w:val="single" w:sz="8" w:color="1E1E1E"/>
              <w:bottom w:val="single" w:sz="8" w:color="1E1E1E"/>
            </w:tcBorders>
          </w:tcPr>
          <w:p>
            <w:pPr>
              <w:jc w:val="right"/>
              <w:spacing w:after="0" w:line="200" w:lineRule="exact"/>
              <w:rPr>
                <w:sz w:val="20"/>
                <w:szCs w:val="20"/>
                <w:color w:val="auto"/>
              </w:rPr>
            </w:pPr>
            <w:r>
              <w:rPr>
                <w:rFonts w:ascii="Arial" w:cs="Arial" w:eastAsia="Arial" w:hAnsi="Arial"/>
                <w:sz w:val="20"/>
                <w:szCs w:val="20"/>
                <w:color w:val="1E1E1E"/>
              </w:rPr>
              <w:t>(13,734)</w:t>
            </w:r>
          </w:p>
        </w:tc>
        <w:tc>
          <w:tcPr>
            <w:tcW w:w="260" w:type="dxa"/>
            <w:vAlign w:val="bottom"/>
            <w:tcBorders>
              <w:top w:val="single" w:sz="8" w:color="E4E4E4"/>
              <w:bottom w:val="single" w:sz="8" w:color="E4E4E4"/>
            </w:tcBorders>
          </w:tcPr>
          <w:p>
            <w:pPr>
              <w:spacing w:after="0"/>
              <w:rPr>
                <w:sz w:val="17"/>
                <w:szCs w:val="17"/>
                <w:color w:val="auto"/>
              </w:rPr>
            </w:pPr>
          </w:p>
        </w:tc>
        <w:tc>
          <w:tcPr>
            <w:tcW w:w="140" w:type="dxa"/>
            <w:vAlign w:val="bottom"/>
            <w:tcBorders>
              <w:top w:val="single" w:sz="8" w:color="1E1E1E"/>
              <w:bottom w:val="single" w:sz="8" w:color="1E1E1E"/>
            </w:tcBorders>
          </w:tcPr>
          <w:p>
            <w:pPr>
              <w:spacing w:after="0"/>
              <w:rPr>
                <w:sz w:val="17"/>
                <w:szCs w:val="17"/>
                <w:color w:val="auto"/>
              </w:rPr>
            </w:pPr>
          </w:p>
        </w:tc>
        <w:tc>
          <w:tcPr>
            <w:tcW w:w="1100" w:type="dxa"/>
            <w:vAlign w:val="bottom"/>
            <w:tcBorders>
              <w:top w:val="single" w:sz="8" w:color="1E1E1E"/>
              <w:bottom w:val="single" w:sz="8" w:color="1E1E1E"/>
            </w:tcBorders>
          </w:tcPr>
          <w:p>
            <w:pPr>
              <w:jc w:val="right"/>
              <w:spacing w:after="0" w:line="200" w:lineRule="exact"/>
              <w:rPr>
                <w:sz w:val="20"/>
                <w:szCs w:val="20"/>
                <w:color w:val="auto"/>
              </w:rPr>
            </w:pPr>
            <w:r>
              <w:rPr>
                <w:rFonts w:ascii="Arial" w:cs="Arial" w:eastAsia="Arial" w:hAnsi="Arial"/>
                <w:sz w:val="20"/>
                <w:szCs w:val="20"/>
                <w:color w:val="1E1E1E"/>
              </w:rPr>
              <w:t>(73,760)</w:t>
            </w:r>
          </w:p>
        </w:tc>
        <w:tc>
          <w:tcPr>
            <w:tcW w:w="100" w:type="dxa"/>
            <w:vAlign w:val="bottom"/>
            <w:tcBorders>
              <w:top w:val="single" w:sz="8" w:color="E4E4E4"/>
              <w:bottom w:val="single" w:sz="8" w:color="E4E4E4"/>
            </w:tcBorders>
          </w:tcPr>
          <w:p>
            <w:pPr>
              <w:spacing w:after="0"/>
              <w:rPr>
                <w:sz w:val="17"/>
                <w:szCs w:val="17"/>
                <w:color w:val="auto"/>
              </w:rPr>
            </w:pPr>
          </w:p>
        </w:tc>
      </w:tr>
      <w:tr>
        <w:trPr>
          <w:trHeight w:val="221"/>
        </w:trPr>
        <w:tc>
          <w:tcPr>
            <w:tcW w:w="6480" w:type="dxa"/>
            <w:vAlign w:val="bottom"/>
            <w:shd w:val="clear" w:color="auto" w:fill="E4E4E4"/>
          </w:tcPr>
          <w:p>
            <w:pPr>
              <w:spacing w:after="0" w:line="221" w:lineRule="exact"/>
              <w:rPr>
                <w:sz w:val="20"/>
                <w:szCs w:val="20"/>
                <w:color w:val="auto"/>
              </w:rPr>
            </w:pPr>
            <w:r>
              <w:rPr>
                <w:rFonts w:ascii="Arial" w:cs="Arial" w:eastAsia="Arial" w:hAnsi="Arial"/>
                <w:sz w:val="20"/>
                <w:szCs w:val="20"/>
                <w:color w:val="1E1E1E"/>
              </w:rPr>
              <w:t>Net increase (decrease) in cash and cash equivalents</w:t>
            </w:r>
          </w:p>
        </w:tc>
        <w:tc>
          <w:tcPr>
            <w:tcW w:w="140" w:type="dxa"/>
            <w:vAlign w:val="bottom"/>
            <w:shd w:val="clear" w:color="auto" w:fill="E4E4E4"/>
          </w:tcPr>
          <w:p>
            <w:pPr>
              <w:spacing w:after="0"/>
              <w:rPr>
                <w:sz w:val="19"/>
                <w:szCs w:val="19"/>
                <w:color w:val="auto"/>
              </w:rPr>
            </w:pPr>
          </w:p>
        </w:tc>
        <w:tc>
          <w:tcPr>
            <w:tcW w:w="1080" w:type="dxa"/>
            <w:vAlign w:val="bottom"/>
            <w:shd w:val="clear" w:color="auto" w:fill="E4E4E4"/>
          </w:tcPr>
          <w:p>
            <w:pPr>
              <w:jc w:val="right"/>
              <w:spacing w:after="0" w:line="221" w:lineRule="exact"/>
              <w:rPr>
                <w:sz w:val="20"/>
                <w:szCs w:val="20"/>
                <w:color w:val="auto"/>
              </w:rPr>
            </w:pPr>
            <w:r>
              <w:rPr>
                <w:rFonts w:ascii="Arial" w:cs="Arial" w:eastAsia="Arial" w:hAnsi="Arial"/>
                <w:sz w:val="20"/>
                <w:szCs w:val="20"/>
                <w:color w:val="1E1E1E"/>
              </w:rPr>
              <w:t>(24,484)</w:t>
            </w:r>
          </w:p>
        </w:tc>
        <w:tc>
          <w:tcPr>
            <w:tcW w:w="26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1080" w:type="dxa"/>
            <w:vAlign w:val="bottom"/>
            <w:shd w:val="clear" w:color="auto" w:fill="E4E4E4"/>
          </w:tcPr>
          <w:p>
            <w:pPr>
              <w:jc w:val="right"/>
              <w:spacing w:after="0" w:line="221" w:lineRule="exact"/>
              <w:rPr>
                <w:sz w:val="20"/>
                <w:szCs w:val="20"/>
                <w:color w:val="auto"/>
              </w:rPr>
            </w:pPr>
            <w:r>
              <w:rPr>
                <w:rFonts w:ascii="Arial" w:cs="Arial" w:eastAsia="Arial" w:hAnsi="Arial"/>
                <w:sz w:val="20"/>
                <w:szCs w:val="20"/>
                <w:color w:val="1E1E1E"/>
              </w:rPr>
              <w:t>36,568</w:t>
            </w:r>
          </w:p>
        </w:tc>
        <w:tc>
          <w:tcPr>
            <w:tcW w:w="26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100" w:type="dxa"/>
            <w:vAlign w:val="bottom"/>
            <w:shd w:val="clear" w:color="auto" w:fill="E4E4E4"/>
          </w:tcPr>
          <w:p>
            <w:pPr>
              <w:jc w:val="right"/>
              <w:spacing w:after="0" w:line="221" w:lineRule="exact"/>
              <w:rPr>
                <w:sz w:val="20"/>
                <w:szCs w:val="20"/>
                <w:color w:val="auto"/>
              </w:rPr>
            </w:pPr>
            <w:r>
              <w:rPr>
                <w:rFonts w:ascii="Arial" w:cs="Arial" w:eastAsia="Arial" w:hAnsi="Arial"/>
                <w:sz w:val="20"/>
                <w:szCs w:val="20"/>
                <w:color w:val="1E1E1E"/>
              </w:rPr>
              <w:t>(3,491)</w:t>
            </w:r>
          </w:p>
        </w:tc>
        <w:tc>
          <w:tcPr>
            <w:tcW w:w="100" w:type="dxa"/>
            <w:vAlign w:val="bottom"/>
            <w:shd w:val="clear" w:color="auto" w:fill="E4E4E4"/>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20"/>
                <w:szCs w:val="20"/>
                <w:color w:val="1E1E1E"/>
              </w:rPr>
              <w:t>Cash and cash equivalents: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8"/>
        </w:trPr>
        <w:tc>
          <w:tcPr>
            <w:tcW w:w="6480" w:type="dxa"/>
            <w:vAlign w:val="bottom"/>
            <w:shd w:val="clear" w:color="auto" w:fill="E4E4E4"/>
          </w:tcPr>
          <w:p>
            <w:pPr>
              <w:ind w:left="200"/>
              <w:spacing w:after="0" w:line="228" w:lineRule="exact"/>
              <w:rPr>
                <w:sz w:val="20"/>
                <w:szCs w:val="20"/>
                <w:color w:val="auto"/>
              </w:rPr>
            </w:pPr>
            <w:r>
              <w:rPr>
                <w:rFonts w:ascii="Arial" w:cs="Arial" w:eastAsia="Arial" w:hAnsi="Arial"/>
                <w:sz w:val="20"/>
                <w:szCs w:val="20"/>
                <w:color w:val="1E1E1E"/>
              </w:rPr>
              <w:t>Beginning of period</w:t>
            </w:r>
          </w:p>
        </w:tc>
        <w:tc>
          <w:tcPr>
            <w:tcW w:w="140" w:type="dxa"/>
            <w:vAlign w:val="bottom"/>
            <w:shd w:val="clear" w:color="auto" w:fill="E4E4E4"/>
          </w:tcPr>
          <w:p>
            <w:pPr>
              <w:spacing w:after="0"/>
              <w:rPr>
                <w:sz w:val="19"/>
                <w:szCs w:val="19"/>
                <w:color w:val="auto"/>
              </w:rPr>
            </w:pPr>
          </w:p>
        </w:tc>
        <w:tc>
          <w:tcPr>
            <w:tcW w:w="1340" w:type="dxa"/>
            <w:vAlign w:val="bottom"/>
            <w:gridSpan w:val="2"/>
            <w:shd w:val="clear" w:color="auto" w:fill="E4E4E4"/>
          </w:tcPr>
          <w:p>
            <w:pPr>
              <w:jc w:val="right"/>
              <w:ind w:right="240"/>
              <w:spacing w:after="0" w:line="228" w:lineRule="exact"/>
              <w:rPr>
                <w:sz w:val="20"/>
                <w:szCs w:val="20"/>
                <w:color w:val="auto"/>
              </w:rPr>
            </w:pPr>
            <w:r>
              <w:rPr>
                <w:rFonts w:ascii="Arial" w:cs="Arial" w:eastAsia="Arial" w:hAnsi="Arial"/>
                <w:sz w:val="20"/>
                <w:szCs w:val="20"/>
                <w:color w:val="1E1E1E"/>
              </w:rPr>
              <w:t>52,074</w:t>
            </w:r>
          </w:p>
        </w:tc>
        <w:tc>
          <w:tcPr>
            <w:tcW w:w="160" w:type="dxa"/>
            <w:vAlign w:val="bottom"/>
            <w:shd w:val="clear" w:color="auto" w:fill="E4E4E4"/>
          </w:tcPr>
          <w:p>
            <w:pPr>
              <w:spacing w:after="0"/>
              <w:rPr>
                <w:sz w:val="19"/>
                <w:szCs w:val="19"/>
                <w:color w:val="auto"/>
              </w:rPr>
            </w:pPr>
          </w:p>
        </w:tc>
        <w:tc>
          <w:tcPr>
            <w:tcW w:w="1080" w:type="dxa"/>
            <w:vAlign w:val="bottom"/>
            <w:shd w:val="clear" w:color="auto" w:fill="E4E4E4"/>
          </w:tcPr>
          <w:p>
            <w:pPr>
              <w:jc w:val="right"/>
              <w:spacing w:after="0" w:line="228" w:lineRule="exact"/>
              <w:rPr>
                <w:sz w:val="20"/>
                <w:szCs w:val="20"/>
                <w:color w:val="auto"/>
              </w:rPr>
            </w:pPr>
            <w:r>
              <w:rPr>
                <w:rFonts w:ascii="Arial" w:cs="Arial" w:eastAsia="Arial" w:hAnsi="Arial"/>
                <w:sz w:val="20"/>
                <w:szCs w:val="20"/>
                <w:color w:val="1E1E1E"/>
              </w:rPr>
              <w:t>15,506</w:t>
            </w:r>
          </w:p>
        </w:tc>
        <w:tc>
          <w:tcPr>
            <w:tcW w:w="26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00" w:type="dxa"/>
            <w:vAlign w:val="bottom"/>
            <w:gridSpan w:val="2"/>
            <w:shd w:val="clear" w:color="auto" w:fill="E4E4E4"/>
          </w:tcPr>
          <w:p>
            <w:pPr>
              <w:jc w:val="right"/>
              <w:ind w:right="100"/>
              <w:spacing w:after="0" w:line="228" w:lineRule="exact"/>
              <w:rPr>
                <w:sz w:val="20"/>
                <w:szCs w:val="20"/>
                <w:color w:val="auto"/>
              </w:rPr>
            </w:pPr>
            <w:r>
              <w:rPr>
                <w:rFonts w:ascii="Arial" w:cs="Arial" w:eastAsia="Arial" w:hAnsi="Arial"/>
                <w:sz w:val="20"/>
                <w:szCs w:val="20"/>
                <w:color w:val="1E1E1E"/>
              </w:rPr>
              <w:t>18,997</w:t>
            </w:r>
          </w:p>
        </w:tc>
      </w:tr>
      <w:tr>
        <w:trPr>
          <w:trHeight w:val="222"/>
        </w:trPr>
        <w:tc>
          <w:tcPr>
            <w:tcW w:w="6480" w:type="dxa"/>
            <w:vAlign w:val="bottom"/>
          </w:tcPr>
          <w:p>
            <w:pPr>
              <w:ind w:left="200"/>
              <w:spacing w:after="0" w:line="223" w:lineRule="exact"/>
              <w:rPr>
                <w:sz w:val="20"/>
                <w:szCs w:val="20"/>
                <w:color w:val="auto"/>
              </w:rPr>
            </w:pPr>
            <w:r>
              <w:rPr>
                <w:rFonts w:ascii="Arial" w:cs="Arial" w:eastAsia="Arial" w:hAnsi="Arial"/>
                <w:sz w:val="20"/>
                <w:szCs w:val="20"/>
                <w:color w:val="1E1E1E"/>
              </w:rPr>
              <w:t>End of period</w:t>
            </w:r>
          </w:p>
        </w:tc>
        <w:tc>
          <w:tcPr>
            <w:tcW w:w="140" w:type="dxa"/>
            <w:vAlign w:val="bottom"/>
            <w:tcBorders>
              <w:top w:val="single" w:sz="8" w:color="1E1E1E"/>
            </w:tcBorders>
          </w:tcPr>
          <w:p>
            <w:pPr>
              <w:jc w:val="right"/>
              <w:spacing w:after="0" w:line="223" w:lineRule="exact"/>
              <w:rPr>
                <w:sz w:val="20"/>
                <w:szCs w:val="20"/>
                <w:color w:val="auto"/>
              </w:rPr>
            </w:pPr>
            <w:r>
              <w:rPr>
                <w:rFonts w:ascii="Arial" w:cs="Arial" w:eastAsia="Arial" w:hAnsi="Arial"/>
                <w:sz w:val="20"/>
                <w:szCs w:val="20"/>
                <w:color w:val="1E1E1E"/>
                <w:w w:val="71"/>
              </w:rPr>
              <w:t>$</w:t>
            </w:r>
          </w:p>
        </w:tc>
        <w:tc>
          <w:tcPr>
            <w:tcW w:w="1080" w:type="dxa"/>
            <w:vAlign w:val="bottom"/>
            <w:tcBorders>
              <w:top w:val="single" w:sz="8" w:color="1E1E1E"/>
            </w:tcBorders>
          </w:tcPr>
          <w:p>
            <w:pPr>
              <w:jc w:val="right"/>
              <w:spacing w:after="0" w:line="223" w:lineRule="exact"/>
              <w:rPr>
                <w:sz w:val="20"/>
                <w:szCs w:val="20"/>
                <w:color w:val="auto"/>
              </w:rPr>
            </w:pPr>
            <w:r>
              <w:rPr>
                <w:rFonts w:ascii="Arial" w:cs="Arial" w:eastAsia="Arial" w:hAnsi="Arial"/>
                <w:sz w:val="20"/>
                <w:szCs w:val="20"/>
                <w:color w:val="1E1E1E"/>
              </w:rPr>
              <w:t>27,590</w:t>
            </w:r>
          </w:p>
        </w:tc>
        <w:tc>
          <w:tcPr>
            <w:tcW w:w="260" w:type="dxa"/>
            <w:vAlign w:val="bottom"/>
          </w:tcPr>
          <w:p>
            <w:pPr>
              <w:spacing w:after="0"/>
              <w:rPr>
                <w:sz w:val="19"/>
                <w:szCs w:val="19"/>
                <w:color w:val="auto"/>
              </w:rPr>
            </w:pPr>
          </w:p>
        </w:tc>
        <w:tc>
          <w:tcPr>
            <w:tcW w:w="160" w:type="dxa"/>
            <w:vAlign w:val="bottom"/>
            <w:tcBorders>
              <w:top w:val="single" w:sz="8" w:color="1E1E1E"/>
            </w:tcBorders>
          </w:tcPr>
          <w:p>
            <w:pPr>
              <w:jc w:val="right"/>
              <w:spacing w:after="0" w:line="223" w:lineRule="exact"/>
              <w:rPr>
                <w:sz w:val="20"/>
                <w:szCs w:val="20"/>
                <w:color w:val="auto"/>
              </w:rPr>
            </w:pPr>
            <w:r>
              <w:rPr>
                <w:rFonts w:ascii="Arial" w:cs="Arial" w:eastAsia="Arial" w:hAnsi="Arial"/>
                <w:sz w:val="20"/>
                <w:szCs w:val="20"/>
                <w:color w:val="1E1E1E"/>
                <w:w w:val="71"/>
              </w:rPr>
              <w:t>$</w:t>
            </w:r>
          </w:p>
        </w:tc>
        <w:tc>
          <w:tcPr>
            <w:tcW w:w="1080" w:type="dxa"/>
            <w:vAlign w:val="bottom"/>
            <w:tcBorders>
              <w:top w:val="single" w:sz="8" w:color="1E1E1E"/>
            </w:tcBorders>
          </w:tcPr>
          <w:p>
            <w:pPr>
              <w:jc w:val="right"/>
              <w:spacing w:after="0" w:line="223" w:lineRule="exact"/>
              <w:rPr>
                <w:sz w:val="20"/>
                <w:szCs w:val="20"/>
                <w:color w:val="auto"/>
              </w:rPr>
            </w:pPr>
            <w:r>
              <w:rPr>
                <w:rFonts w:ascii="Arial" w:cs="Arial" w:eastAsia="Arial" w:hAnsi="Arial"/>
                <w:sz w:val="20"/>
                <w:szCs w:val="20"/>
                <w:color w:val="1E1E1E"/>
              </w:rPr>
              <w:t>52,074</w:t>
            </w:r>
          </w:p>
        </w:tc>
        <w:tc>
          <w:tcPr>
            <w:tcW w:w="260" w:type="dxa"/>
            <w:vAlign w:val="bottom"/>
          </w:tcPr>
          <w:p>
            <w:pPr>
              <w:spacing w:after="0"/>
              <w:rPr>
                <w:sz w:val="19"/>
                <w:szCs w:val="19"/>
                <w:color w:val="auto"/>
              </w:rPr>
            </w:pPr>
          </w:p>
        </w:tc>
        <w:tc>
          <w:tcPr>
            <w:tcW w:w="140" w:type="dxa"/>
            <w:vAlign w:val="bottom"/>
            <w:tcBorders>
              <w:top w:val="single" w:sz="8" w:color="1E1E1E"/>
            </w:tcBorders>
          </w:tcPr>
          <w:p>
            <w:pPr>
              <w:jc w:val="right"/>
              <w:spacing w:after="0" w:line="223" w:lineRule="exact"/>
              <w:rPr>
                <w:sz w:val="20"/>
                <w:szCs w:val="20"/>
                <w:color w:val="auto"/>
              </w:rPr>
            </w:pPr>
            <w:r>
              <w:rPr>
                <w:rFonts w:ascii="Arial" w:cs="Arial" w:eastAsia="Arial" w:hAnsi="Arial"/>
                <w:sz w:val="20"/>
                <w:szCs w:val="20"/>
                <w:color w:val="1E1E1E"/>
                <w:w w:val="71"/>
              </w:rPr>
              <w:t>$</w:t>
            </w:r>
          </w:p>
        </w:tc>
        <w:tc>
          <w:tcPr>
            <w:tcW w:w="1100" w:type="dxa"/>
            <w:vAlign w:val="bottom"/>
            <w:tcBorders>
              <w:top w:val="single" w:sz="8" w:color="1E1E1E"/>
            </w:tcBorders>
          </w:tcPr>
          <w:p>
            <w:pPr>
              <w:jc w:val="right"/>
              <w:spacing w:after="0" w:line="223" w:lineRule="exact"/>
              <w:rPr>
                <w:sz w:val="20"/>
                <w:szCs w:val="20"/>
                <w:color w:val="auto"/>
              </w:rPr>
            </w:pPr>
            <w:r>
              <w:rPr>
                <w:rFonts w:ascii="Arial" w:cs="Arial" w:eastAsia="Arial" w:hAnsi="Arial"/>
                <w:sz w:val="20"/>
                <w:szCs w:val="20"/>
                <w:color w:val="1E1E1E"/>
              </w:rPr>
              <w:t>15,506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4095115</wp:posOffset>
            </wp:positionH>
            <wp:positionV relativeFrom="paragraph">
              <wp:posOffset>-15875</wp:posOffset>
            </wp:positionV>
            <wp:extent cx="2711450" cy="609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11450" cy="60960"/>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1E1E1E"/>
        </w:rPr>
        <w:t>The accompanying notes are an integral part of the consolidated financial statements.</w:t>
      </w:r>
    </w:p>
    <w:p>
      <w:pPr>
        <w:sectPr>
          <w:pgSz w:w="11880" w:h="15480" w:orient="portrait"/>
          <w:cols w:equalWidth="0" w:num="1">
            <w:col w:w="10800"/>
          </w:cols>
          <w:pgMar w:left="540" w:top="653"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42</w:t>
      </w:r>
    </w:p>
    <w:p>
      <w:pPr>
        <w:sectPr>
          <w:pgSz w:w="11880" w:h="15480" w:orient="portrait"/>
          <w:cols w:equalWidth="0" w:num="1">
            <w:col w:w="10800"/>
          </w:cols>
          <w:pgMar w:left="540" w:top="653" w:right="540" w:bottom="31"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20"/>
          <w:szCs w:val="20"/>
          <w:color w:val="1E1E1E"/>
        </w:rPr>
        <w:t>DESTINATION XL GROUP, INC.</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color w:val="1E1E1E"/>
        </w:rPr>
        <w:t>NOTES TO CONSOLIDATED FINANCIAL STATEMENTS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0"/>
          <w:szCs w:val="20"/>
          <w:color w:val="1E1E1E"/>
        </w:rPr>
        <w:t>FEBRUARY 3, 2024</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1E1E1E"/>
        </w:rPr>
        <w:t>A. SUMMARY OF SIGNIFICANT ACCOUNTING POLICIES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Nature of Business</w:t>
      </w:r>
    </w:p>
    <w:p>
      <w:pPr>
        <w:spacing w:after="0" w:line="11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1E1E1E"/>
        </w:rPr>
        <w:t>Destination XL Group, Inc. (collectively with its subsidiaries referred to as the “Company”) is the largest specialty retailer in the United States of big &amp; tall men’s clothing and shoes. The Company operates under the trade names of Destination XL</w:t>
      </w:r>
      <w:r>
        <w:rPr>
          <w:rFonts w:ascii="Arial" w:cs="Arial" w:eastAsia="Arial" w:hAnsi="Arial"/>
          <w:sz w:val="12"/>
          <w:szCs w:val="12"/>
          <w:color w:val="1E1E1E"/>
        </w:rPr>
        <w:t>®</w:t>
      </w:r>
      <w:r>
        <w:rPr>
          <w:rFonts w:ascii="Arial" w:cs="Arial" w:eastAsia="Arial" w:hAnsi="Arial"/>
          <w:sz w:val="20"/>
          <w:szCs w:val="20"/>
          <w:color w:val="1E1E1E"/>
        </w:rPr>
        <w:t>, DXL</w:t>
      </w:r>
      <w:r>
        <w:rPr>
          <w:rFonts w:ascii="Arial" w:cs="Arial" w:eastAsia="Arial" w:hAnsi="Arial"/>
          <w:sz w:val="12"/>
          <w:szCs w:val="12"/>
          <w:color w:val="1E1E1E"/>
        </w:rPr>
        <w:t>®</w:t>
      </w:r>
      <w:r>
        <w:rPr>
          <w:rFonts w:ascii="Arial" w:cs="Arial" w:eastAsia="Arial" w:hAnsi="Arial"/>
          <w:sz w:val="20"/>
          <w:szCs w:val="20"/>
          <w:color w:val="1E1E1E"/>
        </w:rPr>
        <w:t>, DXL Men’s Apparel, DXL Outlets</w:t>
      </w:r>
      <w:r>
        <w:rPr>
          <w:rFonts w:ascii="Arial" w:cs="Arial" w:eastAsia="Arial" w:hAnsi="Arial"/>
          <w:sz w:val="12"/>
          <w:szCs w:val="12"/>
          <w:color w:val="1E1E1E"/>
        </w:rPr>
        <w:t>®</w:t>
      </w:r>
      <w:r>
        <w:rPr>
          <w:rFonts w:ascii="Arial" w:cs="Arial" w:eastAsia="Arial" w:hAnsi="Arial"/>
          <w:sz w:val="20"/>
          <w:szCs w:val="20"/>
          <w:color w:val="1E1E1E"/>
        </w:rPr>
        <w:t>, Casual Male XL</w:t>
      </w:r>
      <w:r>
        <w:rPr>
          <w:rFonts w:ascii="Arial" w:cs="Arial" w:eastAsia="Arial" w:hAnsi="Arial"/>
          <w:sz w:val="12"/>
          <w:szCs w:val="12"/>
          <w:color w:val="1E1E1E"/>
        </w:rPr>
        <w:t>®</w:t>
      </w:r>
      <w:r>
        <w:rPr>
          <w:rFonts w:ascii="Arial" w:cs="Arial" w:eastAsia="Arial" w:hAnsi="Arial"/>
          <w:sz w:val="20"/>
          <w:szCs w:val="20"/>
          <w:color w:val="1E1E1E"/>
        </w:rPr>
        <w:t xml:space="preserve"> and Casual Male XL Outlets. At February 3, 2024, the Company operated 232 DXL stores, 17 Casual Male XL stores, 19 Casual Male XL outlets and 15 DXL outlets located throughout the United States, including an e-commerce site, www.dxl.com, and a mobile app.</w:t>
      </w:r>
    </w:p>
    <w:p>
      <w:pPr>
        <w:spacing w:after="0" w:line="318"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Basis of Presentation</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1E1E1E"/>
        </w:rPr>
        <w:t>The consolidated financial statements include the accounts of the Company and its subsidiaries. All significant intercompany accounts, transactions and profits are eliminated.</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1E1E1E"/>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313"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Segment Reporting</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1E1E1E"/>
        </w:rPr>
        <w:t>The Company has two principal operating segments: its stores and its direct business. The Company considers its stores and direct operating segments to be similar in terms of economic characteristics, production processes and operations, and has therefore aggregated them into one reportable segment, retail segment, consistent with its integrated commerce business approach.</w:t>
      </w:r>
    </w:p>
    <w:p>
      <w:pPr>
        <w:spacing w:after="0" w:line="271"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Fiscal Year</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1E1E1E"/>
        </w:rPr>
        <w:t>The Company’s fiscal year is a 52-week or 53-week period ending on the Saturday closest to January 31. Fiscal 2023 was a 53-week period which ended on February 3, 2024. Fiscal 2022 and fiscal 2021 were each 52-week periods, which ended on January 28, 2023, January 29, 2022, respectively.</w:t>
      </w:r>
    </w:p>
    <w:p>
      <w:pPr>
        <w:spacing w:after="0" w:line="309"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Cash and Cash Equivalents</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1E1E1E"/>
        </w:rPr>
        <w:t>Cash and cash equivalents consist of cash in banks and short-term investments, which have a maturity of ninety days or less when acquired. Included in cash equivalents are credit card and debit card receivables from banks, which generally settle within two to four business days.</w:t>
      </w:r>
    </w:p>
    <w:p>
      <w:pPr>
        <w:spacing w:after="0" w:line="309"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Short-Term Investments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1E1E1E"/>
        </w:rPr>
        <w:t xml:space="preserve">Short-term investments consist of those investments that have a maturity date, when acquired, that is greater than three months and twelve months or less. </w:t>
      </w:r>
      <w:r>
        <w:rPr>
          <w:rFonts w:ascii="Arial" w:cs="Arial" w:eastAsia="Arial" w:hAnsi="Arial"/>
          <w:sz w:val="20"/>
          <w:szCs w:val="20"/>
          <w:color w:val="161616"/>
        </w:rPr>
        <w:t>These investments are classified as held-to-maturity and are carried at amortized cost, which approximates fair</w:t>
      </w:r>
      <w:r>
        <w:rPr>
          <w:rFonts w:ascii="Arial" w:cs="Arial" w:eastAsia="Arial" w:hAnsi="Arial"/>
          <w:sz w:val="20"/>
          <w:szCs w:val="20"/>
          <w:color w:val="1E1E1E"/>
        </w:rPr>
        <w:t xml:space="preserve"> </w:t>
      </w:r>
      <w:r>
        <w:rPr>
          <w:rFonts w:ascii="Arial" w:cs="Arial" w:eastAsia="Arial" w:hAnsi="Arial"/>
          <w:sz w:val="20"/>
          <w:szCs w:val="20"/>
          <w:color w:val="161616"/>
        </w:rPr>
        <w:t>value due to the short period between purchase and maturity.</w:t>
      </w:r>
    </w:p>
    <w:p>
      <w:pPr>
        <w:spacing w:after="0" w:line="308"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Concentration of Credit Risk</w:t>
      </w:r>
    </w:p>
    <w:p>
      <w:pPr>
        <w:spacing w:after="0" w:line="116" w:lineRule="exact"/>
        <w:rPr>
          <w:sz w:val="20"/>
          <w:szCs w:val="20"/>
          <w:color w:val="auto"/>
        </w:rPr>
      </w:pPr>
    </w:p>
    <w:p>
      <w:pPr>
        <w:spacing w:after="0" w:line="261" w:lineRule="auto"/>
        <w:rPr>
          <w:sz w:val="20"/>
          <w:szCs w:val="20"/>
          <w:color w:val="auto"/>
        </w:rPr>
      </w:pPr>
      <w:r>
        <w:rPr>
          <w:rFonts w:ascii="Arial" w:cs="Arial" w:eastAsia="Arial" w:hAnsi="Arial"/>
          <w:sz w:val="19"/>
          <w:szCs w:val="19"/>
          <w:color w:val="1E1E1E"/>
        </w:rPr>
        <w:t>Cash and cash equivalents include amounts due from third party financial institutions, which from time to time, may be in excess of the Federal Deposit Insurance Corporation (“FDIC”) insurance limits. The Company is potentially exposed to a concentration of credit risk when cash and cash equivalent deposits in these financial institutions are in excess of FDIC limits. The Company considers the credit risk associated with these financial instruments to be minimal as cash and cash equivalents are held by financial institutions with high credit ratings and it has not historically sustained any credit losses associated with our cash and cash equivalents balances. In addition, its cash and cash equivalents and short-term investments include money market accounts with Citizens Bank, N.A. and investments in U.S. government-backed securities.</w:t>
      </w:r>
    </w:p>
    <w:p>
      <w:pPr>
        <w:sectPr>
          <w:pgSz w:w="11880" w:h="15480" w:orient="portrait"/>
          <w:cols w:equalWidth="0" w:num="1">
            <w:col w:w="10800"/>
          </w:cols>
          <w:pgMar w:left="540" w:top="653" w:right="540" w:bottom="31"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43</w:t>
      </w:r>
    </w:p>
    <w:p>
      <w:pPr>
        <w:sectPr>
          <w:pgSz w:w="11880" w:h="15480" w:orient="portrait"/>
          <w:cols w:equalWidth="0" w:num="1">
            <w:col w:w="10800"/>
          </w:cols>
          <w:pgMar w:left="540" w:top="653" w:right="540" w:bottom="31" w:gutter="0" w:footer="0" w:header="0"/>
          <w:type w:val="continuous"/>
        </w:sectPr>
      </w:pPr>
    </w:p>
    <w:bookmarkStart w:id="45" w:name="page46"/>
    <w:bookmarkEnd w:id="45"/>
    <w:p>
      <w:pPr>
        <w:ind w:left="240"/>
        <w:spacing w:after="0"/>
        <w:rPr>
          <w:sz w:val="20"/>
          <w:szCs w:val="20"/>
          <w:color w:val="auto"/>
        </w:rPr>
      </w:pPr>
      <w:r>
        <w:rPr>
          <w:rFonts w:ascii="Arial" w:cs="Arial" w:eastAsia="Arial" w:hAnsi="Arial"/>
          <w:sz w:val="20"/>
          <w:szCs w:val="20"/>
          <w:color w:val="1E1E1E"/>
        </w:rPr>
        <w:t>Accounts Receivable</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1E1E1E"/>
        </w:rPr>
        <w:t>Accounts receivable primarily include amounts due for rebates from certain vendors. For fiscal 2023, fiscal 2022 and fiscal 2021, the Company did not incur any losses on its accounts receivable.</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Fair Value of Financial Instruments</w:t>
      </w:r>
    </w:p>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1E1E1E"/>
        </w:rPr>
        <w:t>Accounting Standards Codification (“ASC”) Topic 825, Financial Instruments, requires disclosure of the fair value of certain financial instruments. The carrying amounts of cash and cash equivalents, short-term investments, accounts receivable, accounts payable and accrued expenses approximate fair value because of the short maturity of these instruments. See Note K - Fair Value Measurement for information regarding the fair value of certain financial assets.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1E1E1E"/>
        </w:rPr>
        <w:t>ASC Topic 820, Fair Value Measurements and Disclosures, defines fair value, establishes a framework for measuring fair value and enhances disclosures about fair value measurements.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1E1E1E"/>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67" w:lineRule="exact"/>
        <w:rPr>
          <w:sz w:val="20"/>
          <w:szCs w:val="20"/>
          <w:color w:val="auto"/>
        </w:rPr>
      </w:pPr>
    </w:p>
    <w:p>
      <w:pPr>
        <w:ind w:left="480"/>
        <w:spacing w:after="0"/>
        <w:rPr>
          <w:sz w:val="20"/>
          <w:szCs w:val="20"/>
          <w:color w:val="auto"/>
        </w:rPr>
      </w:pPr>
      <w:r>
        <w:rPr>
          <w:rFonts w:ascii="Arial" w:cs="Arial" w:eastAsia="Arial" w:hAnsi="Arial"/>
          <w:sz w:val="20"/>
          <w:szCs w:val="20"/>
          <w:color w:val="1E1E1E"/>
        </w:rPr>
        <w:t>Level 1 – Quoted prices in active markets for identical assets or liabilities.</w:t>
      </w:r>
    </w:p>
    <w:p>
      <w:pPr>
        <w:spacing w:after="0" w:line="120" w:lineRule="exact"/>
        <w:rPr>
          <w:sz w:val="20"/>
          <w:szCs w:val="20"/>
          <w:color w:val="auto"/>
        </w:rPr>
      </w:pPr>
    </w:p>
    <w:p>
      <w:pPr>
        <w:jc w:val="both"/>
        <w:ind w:left="480"/>
        <w:spacing w:after="0" w:line="258" w:lineRule="auto"/>
        <w:rPr>
          <w:sz w:val="20"/>
          <w:szCs w:val="20"/>
          <w:color w:val="auto"/>
        </w:rPr>
      </w:pPr>
      <w:r>
        <w:rPr>
          <w:rFonts w:ascii="Arial" w:cs="Arial" w:eastAsia="Arial" w:hAnsi="Arial"/>
          <w:sz w:val="20"/>
          <w:szCs w:val="20"/>
          <w:color w:val="1E1E1E"/>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w:t>
      </w:r>
    </w:p>
    <w:p>
      <w:pPr>
        <w:spacing w:after="0" w:line="67" w:lineRule="exact"/>
        <w:rPr>
          <w:sz w:val="20"/>
          <w:szCs w:val="20"/>
          <w:color w:val="auto"/>
        </w:rPr>
      </w:pPr>
    </w:p>
    <w:p>
      <w:pPr>
        <w:jc w:val="both"/>
        <w:ind w:left="480"/>
        <w:spacing w:after="0" w:line="279" w:lineRule="auto"/>
        <w:rPr>
          <w:sz w:val="20"/>
          <w:szCs w:val="20"/>
          <w:color w:val="auto"/>
        </w:rPr>
      </w:pPr>
      <w:r>
        <w:rPr>
          <w:rFonts w:ascii="Arial" w:cs="Arial" w:eastAsia="Arial" w:hAnsi="Arial"/>
          <w:sz w:val="20"/>
          <w:szCs w:val="20"/>
          <w:color w:val="1E1E1E"/>
        </w:rPr>
        <w:t>Level 3 – Unobservable inputs that are supported by little or no market activity and that are significant to the fair value of assets or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1E1E1E"/>
        </w:rPr>
        <w:t>The Company utilizes observable market inputs (quoted market prices) when measuring fair value whenever possible.</w:t>
      </w:r>
    </w:p>
    <w:p>
      <w:pPr>
        <w:spacing w:after="0" w:line="240"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1E1E1E"/>
        </w:rPr>
        <w:t>Stores that have indicators of impairment and fail the recoverability test (based on undiscounted cash flows) are measured for impairment by comparing the fair value of the assets against their carrying value. Fair value of the assets is estimated using a projected discounted cash flow analysis and is classified within Level 3 of the valuation hierarchy. See Impairment of Long-Lived Assets below.</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Inventories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1E1E1E"/>
        </w:rPr>
        <w:t>All inventories are valued at the lower of cost or market, using a weighted-average cost method.</w:t>
      </w:r>
    </w:p>
    <w:p>
      <w:pPr>
        <w:spacing w:after="0" w:line="362"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Property and Equipment</w:t>
      </w:r>
    </w:p>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1E1E1E"/>
        </w:rPr>
        <w:t>Property and equipment are stated at cost. Major additions and improvements are capitalized while repairs and maintenance are charged to expense as incurred. Upon retirement or other disposition, the cost and related accumulated depreciation of the assets are removed from the accounts and the resulting gain or loss, if any, is reflected in the results of operations. Depreciation is computed on the straight-line method over the assets’ estimated useful lives as follows:</w:t>
      </w:r>
    </w:p>
    <w:p>
      <w:pPr>
        <w:spacing w:after="0" w:line="184" w:lineRule="exact"/>
        <w:rPr>
          <w:sz w:val="20"/>
          <w:szCs w:val="20"/>
          <w:color w:val="auto"/>
        </w:rPr>
      </w:pPr>
    </w:p>
    <w:p>
      <w:pPr>
        <w:ind w:left="640"/>
        <w:spacing w:after="0"/>
        <w:tabs>
          <w:tab w:leader="none" w:pos="5820" w:val="left"/>
        </w:tabs>
        <w:rPr>
          <w:sz w:val="20"/>
          <w:szCs w:val="20"/>
          <w:color w:val="auto"/>
        </w:rPr>
      </w:pPr>
      <w:r>
        <w:rPr>
          <w:rFonts w:ascii="Arial" w:cs="Arial" w:eastAsia="Arial" w:hAnsi="Arial"/>
          <w:sz w:val="20"/>
          <w:szCs w:val="20"/>
          <w:color w:val="1E1E1E"/>
        </w:rPr>
        <w:t>Furniture and fixtures</w:t>
      </w:r>
      <w:r>
        <w:rPr>
          <w:sz w:val="20"/>
          <w:szCs w:val="20"/>
          <w:color w:val="auto"/>
        </w:rPr>
        <w:tab/>
      </w:r>
      <w:r>
        <w:rPr>
          <w:rFonts w:ascii="Arial" w:cs="Arial" w:eastAsia="Arial" w:hAnsi="Arial"/>
          <w:sz w:val="17"/>
          <w:szCs w:val="17"/>
          <w:color w:val="1E1E1E"/>
        </w:rPr>
        <w:t>Five to ten years</w:t>
      </w:r>
    </w:p>
    <w:p>
      <w:pPr>
        <w:ind w:left="640"/>
        <w:spacing w:after="0"/>
        <w:tabs>
          <w:tab w:leader="none" w:pos="5820" w:val="left"/>
        </w:tabs>
        <w:rPr>
          <w:sz w:val="20"/>
          <w:szCs w:val="20"/>
          <w:color w:val="auto"/>
        </w:rPr>
      </w:pPr>
      <w:r>
        <w:rPr>
          <w:rFonts w:ascii="Arial" w:cs="Arial" w:eastAsia="Arial" w:hAnsi="Arial"/>
          <w:sz w:val="20"/>
          <w:szCs w:val="20"/>
          <w:color w:val="1E1E1E"/>
        </w:rPr>
        <w:t>Equipment</w:t>
      </w:r>
      <w:r>
        <w:rPr>
          <w:sz w:val="20"/>
          <w:szCs w:val="20"/>
          <w:color w:val="auto"/>
        </w:rPr>
        <w:tab/>
      </w:r>
      <w:r>
        <w:rPr>
          <w:rFonts w:ascii="Arial" w:cs="Arial" w:eastAsia="Arial" w:hAnsi="Arial"/>
          <w:sz w:val="20"/>
          <w:szCs w:val="20"/>
          <w:color w:val="1E1E1E"/>
        </w:rPr>
        <w:t>Five to ten years</w:t>
      </w:r>
    </w:p>
    <w:p>
      <w:pPr>
        <w:ind w:left="640"/>
        <w:spacing w:after="0"/>
        <w:tabs>
          <w:tab w:leader="none" w:pos="5820" w:val="left"/>
        </w:tabs>
        <w:rPr>
          <w:sz w:val="20"/>
          <w:szCs w:val="20"/>
          <w:color w:val="auto"/>
        </w:rPr>
      </w:pPr>
      <w:r>
        <w:rPr>
          <w:rFonts w:ascii="Arial" w:cs="Arial" w:eastAsia="Arial" w:hAnsi="Arial"/>
          <w:sz w:val="20"/>
          <w:szCs w:val="20"/>
          <w:color w:val="1E1E1E"/>
        </w:rPr>
        <w:t>Leasehold improvements</w:t>
      </w:r>
      <w:r>
        <w:rPr>
          <w:sz w:val="20"/>
          <w:szCs w:val="20"/>
          <w:color w:val="auto"/>
        </w:rPr>
        <w:tab/>
      </w:r>
      <w:r>
        <w:rPr>
          <w:rFonts w:ascii="Arial" w:cs="Arial" w:eastAsia="Arial" w:hAnsi="Arial"/>
          <w:sz w:val="17"/>
          <w:szCs w:val="17"/>
          <w:color w:val="1E1E1E"/>
        </w:rPr>
        <w:t>Lesser of useful lives or related lease term</w:t>
      </w:r>
    </w:p>
    <w:p>
      <w:pPr>
        <w:ind w:left="640"/>
        <w:spacing w:after="0"/>
        <w:tabs>
          <w:tab w:leader="none" w:pos="5820" w:val="left"/>
        </w:tabs>
        <w:rPr>
          <w:sz w:val="20"/>
          <w:szCs w:val="20"/>
          <w:color w:val="auto"/>
        </w:rPr>
      </w:pPr>
      <w:r>
        <w:rPr>
          <w:rFonts w:ascii="Arial" w:cs="Arial" w:eastAsia="Arial" w:hAnsi="Arial"/>
          <w:sz w:val="20"/>
          <w:szCs w:val="20"/>
          <w:color w:val="1E1E1E"/>
        </w:rPr>
        <w:t>Hardware and software</w:t>
      </w:r>
      <w:r>
        <w:rPr>
          <w:sz w:val="20"/>
          <w:szCs w:val="20"/>
          <w:color w:val="auto"/>
        </w:rPr>
        <w:tab/>
      </w:r>
      <w:r>
        <w:rPr>
          <w:rFonts w:ascii="Arial" w:cs="Arial" w:eastAsia="Arial" w:hAnsi="Arial"/>
          <w:sz w:val="17"/>
          <w:szCs w:val="17"/>
          <w:color w:val="1E1E1E"/>
        </w:rPr>
        <w:t>Three to seven years</w:t>
      </w:r>
    </w:p>
    <w:p>
      <w:pPr>
        <w:spacing w:after="0" w:line="242" w:lineRule="exact"/>
        <w:rPr>
          <w:sz w:val="20"/>
          <w:szCs w:val="20"/>
          <w:color w:val="auto"/>
        </w:rPr>
      </w:pPr>
    </w:p>
    <w:p>
      <w:pPr>
        <w:ind w:left="280"/>
        <w:spacing w:after="0"/>
        <w:rPr>
          <w:sz w:val="20"/>
          <w:szCs w:val="20"/>
          <w:color w:val="auto"/>
        </w:rPr>
      </w:pPr>
      <w:r>
        <w:rPr>
          <w:rFonts w:ascii="Arial" w:cs="Arial" w:eastAsia="Arial" w:hAnsi="Arial"/>
          <w:sz w:val="20"/>
          <w:szCs w:val="20"/>
          <w:color w:val="1E1E1E"/>
        </w:rPr>
        <w:t>Intangibles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1E1E1E"/>
        </w:rPr>
        <w:t>Domain Name</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1E1E1E"/>
        </w:rPr>
        <w:t>In fiscal 2018, the Company purchased the rights to the domain name “dxl.com.” The domain name has a carrying value of $1.2 million and is considered an indefinite-lived asset. At each reporting period, management analyzes current events and circumstances to determine whether the indefinite life classification continues to be valid.</w:t>
      </w:r>
    </w:p>
    <w:p>
      <w:pPr>
        <w:sectPr>
          <w:pgSz w:w="11880" w:h="15480" w:orient="portrait"/>
          <w:cols w:equalWidth="0" w:num="1">
            <w:col w:w="10800"/>
          </w:cols>
          <w:pgMar w:left="540" w:top="658"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44</w:t>
      </w:r>
    </w:p>
    <w:p>
      <w:pPr>
        <w:sectPr>
          <w:pgSz w:w="11880" w:h="15480" w:orient="portrait"/>
          <w:cols w:equalWidth="0" w:num="1">
            <w:col w:w="10800"/>
          </w:cols>
          <w:pgMar w:left="540" w:top="658" w:right="540" w:bottom="31" w:gutter="0" w:footer="0" w:header="0"/>
          <w:type w:val="continuous"/>
        </w:sectPr>
      </w:pPr>
    </w:p>
    <w:bookmarkStart w:id="46" w:name="page47"/>
    <w:bookmarkEnd w:id="46"/>
    <w:p>
      <w:pPr>
        <w:ind w:left="240"/>
        <w:spacing w:after="0"/>
        <w:rPr>
          <w:sz w:val="20"/>
          <w:szCs w:val="20"/>
          <w:color w:val="auto"/>
        </w:rPr>
      </w:pPr>
      <w:r>
        <w:rPr>
          <w:rFonts w:ascii="Arial" w:cs="Arial" w:eastAsia="Arial" w:hAnsi="Arial"/>
          <w:sz w:val="20"/>
          <w:szCs w:val="20"/>
          <w:color w:val="1E1E1E"/>
        </w:rPr>
        <w:t>Advertising Costs</w:t>
      </w:r>
    </w:p>
    <w:p>
      <w:pPr>
        <w:spacing w:after="0" w:line="11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1E1E1E"/>
        </w:rPr>
        <w:t>The Company expenses in-store advertising costs as incurred. Creative production costs, if any, are expensed in the period in which the advertising is first aired and media costs are expensed as incurred. Direct response advertising costs, if any, are expensed in the period in which the mailing occurs. There were no deferred direct response costs at February 3, 2024 and January 28, 2023. Advertising expense, which is included in selling, general and administrative expenses, was $30.9 million, $32.5 million and $24.0 million for fiscal 2023, fiscal 2022 and fiscal 2021, respectively.</w:t>
      </w:r>
    </w:p>
    <w:p>
      <w:pPr>
        <w:spacing w:after="0" w:line="318"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Revenue Recognition</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1E1E1E"/>
        </w:rPr>
        <w:t>The Company’s accounting policies with respect to revenue recognition are discussed in Note B, “Revenue Recognition.”</w:t>
      </w:r>
    </w:p>
    <w:p>
      <w:pPr>
        <w:spacing w:after="0" w:line="362"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Foreign Currency Translation</w:t>
      </w:r>
    </w:p>
    <w:p>
      <w:pPr>
        <w:spacing w:after="0" w:line="11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1E1E1E"/>
        </w:rPr>
        <w:t>During fiscal 2022, the Company closed its store located in Toronto, Canada. Assets and liabilities for this store were translated into U.S. dollars at the exchange rates in effect at each balance sheet date. Stockholders’ equity was translated at applicable historical exchange rates. Income, expense and cash flow items were translated at average exchange rates during the period. Resulting translation adjustments were reported as a separate component of stockholders’ equity. Accordingly, in the fourth quarter of fiscal 2022, the Company recognized $66,000 related to the accumulated foreign currency transaction adjustment. See “Accumulated Other Comprehensive Income (Loss) – (“AOCI”)” below.</w:t>
      </w:r>
    </w:p>
    <w:p>
      <w:pPr>
        <w:spacing w:after="0" w:line="322"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Accumulated Other Comprehensive Income (Loss) – (“AOCI”)</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20"/>
          <w:szCs w:val="20"/>
          <w:color w:val="1E1E1E"/>
        </w:rPr>
        <w:t>Other comprehensive income (loss) includes amounts related to foreign currency and pension plans and is reported in the Consolidated Statements of Comprehensive Income (Loss). Other comprehensive income (loss) and reclassifications from AOCI for fiscal 2023, fiscal 2022 and fiscal 2021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61"/>
              <w:spacing w:after="0"/>
              <w:rPr>
                <w:sz w:val="20"/>
                <w:szCs w:val="20"/>
                <w:color w:val="auto"/>
              </w:rPr>
            </w:pPr>
            <w:r>
              <w:rPr>
                <w:rFonts w:ascii="Arial" w:cs="Arial" w:eastAsia="Arial" w:hAnsi="Arial"/>
                <w:sz w:val="16"/>
                <w:szCs w:val="16"/>
                <w:color w:val="1E1E1E"/>
                <w:w w:val="90"/>
              </w:rPr>
              <w:t>Fiscal</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20" w:type="dxa"/>
            <w:vAlign w:val="bottom"/>
            <w:vMerge w:val="restart"/>
          </w:tcPr>
          <w:p>
            <w:pPr>
              <w:spacing w:after="0"/>
              <w:rPr>
                <w:sz w:val="20"/>
                <w:szCs w:val="20"/>
                <w:color w:val="auto"/>
              </w:rPr>
            </w:pPr>
            <w:r>
              <w:rPr>
                <w:rFonts w:ascii="Arial" w:cs="Arial" w:eastAsia="Arial" w:hAnsi="Arial"/>
                <w:sz w:val="16"/>
                <w:szCs w:val="16"/>
                <w:color w:val="1E1E1E"/>
              </w:rPr>
              <w:t>(in thousands)</w:t>
            </w:r>
          </w:p>
        </w:tc>
        <w:tc>
          <w:tcPr>
            <w:tcW w:w="140" w:type="dxa"/>
            <w:vAlign w:val="bottom"/>
            <w:tcBorders>
              <w:bottom w:val="single" w:sz="8" w:color="1E1E1E"/>
            </w:tcBorders>
          </w:tcPr>
          <w:p>
            <w:pPr>
              <w:spacing w:after="0"/>
              <w:rPr>
                <w:sz w:val="17"/>
                <w:szCs w:val="17"/>
                <w:color w:val="auto"/>
              </w:rPr>
            </w:pPr>
          </w:p>
        </w:tc>
        <w:tc>
          <w:tcPr>
            <w:tcW w:w="580" w:type="dxa"/>
            <w:vAlign w:val="bottom"/>
            <w:tcBorders>
              <w:bottom w:val="single" w:sz="8" w:color="1E1E1E"/>
            </w:tcBorders>
          </w:tcPr>
          <w:p>
            <w:pPr>
              <w:jc w:val="center"/>
              <w:ind w:right="53"/>
              <w:spacing w:after="0"/>
              <w:rPr>
                <w:sz w:val="20"/>
                <w:szCs w:val="20"/>
                <w:color w:val="auto"/>
              </w:rPr>
            </w:pPr>
            <w:r>
              <w:rPr>
                <w:rFonts w:ascii="Arial" w:cs="Arial" w:eastAsia="Arial" w:hAnsi="Arial"/>
                <w:sz w:val="16"/>
                <w:szCs w:val="16"/>
                <w:color w:val="1E1E1E"/>
                <w:w w:val="89"/>
              </w:rPr>
              <w:t>2023</w:t>
            </w:r>
          </w:p>
        </w:tc>
        <w:tc>
          <w:tcPr>
            <w:tcW w:w="220" w:type="dxa"/>
            <w:vAlign w:val="bottom"/>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580" w:type="dxa"/>
            <w:vAlign w:val="bottom"/>
            <w:tcBorders>
              <w:bottom w:val="single" w:sz="8" w:color="1E1E1E"/>
            </w:tcBorders>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1180" w:type="dxa"/>
            <w:vAlign w:val="bottom"/>
            <w:tcBorders>
              <w:bottom w:val="single" w:sz="8" w:color="1E1E1E"/>
            </w:tcBorders>
            <w:gridSpan w:val="3"/>
          </w:tcPr>
          <w:p>
            <w:pPr>
              <w:jc w:val="right"/>
              <w:ind w:right="360"/>
              <w:spacing w:after="0"/>
              <w:rPr>
                <w:sz w:val="20"/>
                <w:szCs w:val="20"/>
                <w:color w:val="auto"/>
              </w:rPr>
            </w:pPr>
            <w:r>
              <w:rPr>
                <w:rFonts w:ascii="Arial" w:cs="Arial" w:eastAsia="Arial" w:hAnsi="Arial"/>
                <w:sz w:val="16"/>
                <w:szCs w:val="16"/>
                <w:color w:val="1E1E1E"/>
                <w:w w:val="97"/>
              </w:rPr>
              <w:t>Fiscal 2022</w:t>
            </w:r>
          </w:p>
        </w:tc>
        <w:tc>
          <w:tcPr>
            <w:tcW w:w="120" w:type="dxa"/>
            <w:vAlign w:val="bottom"/>
            <w:tcBorders>
              <w:bottom w:val="single" w:sz="8" w:color="1E1E1E"/>
            </w:tcBorders>
          </w:tcPr>
          <w:p>
            <w:pPr>
              <w:spacing w:after="0"/>
              <w:rPr>
                <w:sz w:val="17"/>
                <w:szCs w:val="17"/>
                <w:color w:val="auto"/>
              </w:rPr>
            </w:pPr>
          </w:p>
        </w:tc>
        <w:tc>
          <w:tcPr>
            <w:tcW w:w="560" w:type="dxa"/>
            <w:vAlign w:val="bottom"/>
            <w:tcBorders>
              <w:bottom w:val="single" w:sz="8" w:color="1E1E1E"/>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600" w:type="dxa"/>
            <w:vAlign w:val="bottom"/>
            <w:tcBorders>
              <w:bottom w:val="single" w:sz="8" w:color="1E1E1E"/>
            </w:tcBorders>
          </w:tcPr>
          <w:p>
            <w:pPr>
              <w:spacing w:after="0"/>
              <w:rPr>
                <w:sz w:val="17"/>
                <w:szCs w:val="17"/>
                <w:color w:val="auto"/>
              </w:rPr>
            </w:pPr>
          </w:p>
        </w:tc>
        <w:tc>
          <w:tcPr>
            <w:tcW w:w="20" w:type="dxa"/>
            <w:vAlign w:val="bottom"/>
            <w:tcBorders>
              <w:bottom w:val="single" w:sz="8" w:color="1E1E1E"/>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1140" w:type="dxa"/>
            <w:vAlign w:val="bottom"/>
            <w:tcBorders>
              <w:bottom w:val="single" w:sz="8" w:color="1E1E1E"/>
            </w:tcBorders>
            <w:gridSpan w:val="4"/>
          </w:tcPr>
          <w:p>
            <w:pPr>
              <w:jc w:val="right"/>
              <w:ind w:right="320"/>
              <w:spacing w:after="0"/>
              <w:rPr>
                <w:sz w:val="20"/>
                <w:szCs w:val="20"/>
                <w:color w:val="auto"/>
              </w:rPr>
            </w:pPr>
            <w:r>
              <w:rPr>
                <w:rFonts w:ascii="Arial" w:cs="Arial" w:eastAsia="Arial" w:hAnsi="Arial"/>
                <w:sz w:val="16"/>
                <w:szCs w:val="16"/>
                <w:color w:val="1E1E1E"/>
                <w:w w:val="97"/>
              </w:rPr>
              <w:t>Fiscal 2021</w:t>
            </w:r>
          </w:p>
        </w:tc>
        <w:tc>
          <w:tcPr>
            <w:tcW w:w="120" w:type="dxa"/>
            <w:vAlign w:val="bottom"/>
            <w:tcBorders>
              <w:bottom w:val="single" w:sz="8" w:color="1E1E1E"/>
            </w:tcBorders>
          </w:tcPr>
          <w:p>
            <w:pPr>
              <w:spacing w:after="0"/>
              <w:rPr>
                <w:sz w:val="17"/>
                <w:szCs w:val="17"/>
                <w:color w:val="auto"/>
              </w:rPr>
            </w:pPr>
          </w:p>
        </w:tc>
        <w:tc>
          <w:tcPr>
            <w:tcW w:w="540" w:type="dxa"/>
            <w:vAlign w:val="bottom"/>
            <w:tcBorders>
              <w:bottom w:val="single" w:sz="8" w:color="1E1E1E"/>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20" w:type="dxa"/>
            <w:vAlign w:val="bottom"/>
            <w:vMerge w:val="continue"/>
          </w:tcPr>
          <w:p>
            <w:pPr>
              <w:spacing w:after="0"/>
              <w:rPr>
                <w:sz w:val="16"/>
                <w:szCs w:val="16"/>
                <w:color w:val="auto"/>
              </w:rPr>
            </w:pPr>
          </w:p>
        </w:tc>
        <w:tc>
          <w:tcPr>
            <w:tcW w:w="940" w:type="dxa"/>
            <w:vAlign w:val="bottom"/>
            <w:gridSpan w:val="3"/>
            <w:vMerge w:val="restart"/>
          </w:tcPr>
          <w:p>
            <w:pPr>
              <w:jc w:val="center"/>
              <w:ind w:right="141"/>
              <w:spacing w:after="0"/>
              <w:rPr>
                <w:sz w:val="20"/>
                <w:szCs w:val="20"/>
                <w:color w:val="auto"/>
              </w:rPr>
            </w:pPr>
            <w:r>
              <w:rPr>
                <w:rFonts w:ascii="Arial" w:cs="Arial" w:eastAsia="Arial" w:hAnsi="Arial"/>
                <w:sz w:val="16"/>
                <w:szCs w:val="16"/>
                <w:color w:val="1E1E1E"/>
                <w:w w:val="91"/>
              </w:rPr>
              <w:t>Retirement</w:t>
            </w:r>
          </w:p>
        </w:tc>
        <w:tc>
          <w:tcPr>
            <w:tcW w:w="960" w:type="dxa"/>
            <w:vAlign w:val="bottom"/>
            <w:gridSpan w:val="3"/>
            <w:vMerge w:val="restart"/>
          </w:tcPr>
          <w:p>
            <w:pPr>
              <w:spacing w:after="0"/>
              <w:rPr>
                <w:sz w:val="20"/>
                <w:szCs w:val="20"/>
                <w:color w:val="auto"/>
              </w:rPr>
            </w:pPr>
            <w:r>
              <w:rPr>
                <w:rFonts w:ascii="Arial" w:cs="Arial" w:eastAsia="Arial" w:hAnsi="Arial"/>
                <w:sz w:val="16"/>
                <w:szCs w:val="16"/>
                <w:color w:val="1E1E1E"/>
              </w:rPr>
              <w:t>Retirement</w:t>
            </w:r>
          </w:p>
        </w:tc>
        <w:tc>
          <w:tcPr>
            <w:tcW w:w="140" w:type="dxa"/>
            <w:vAlign w:val="bottom"/>
          </w:tcPr>
          <w:p>
            <w:pPr>
              <w:spacing w:after="0"/>
              <w:rPr>
                <w:sz w:val="16"/>
                <w:szCs w:val="16"/>
                <w:color w:val="auto"/>
              </w:rPr>
            </w:pP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6"/>
                <w:szCs w:val="16"/>
                <w:color w:val="1E1E1E"/>
              </w:rPr>
              <w:t>Foreign</w:t>
            </w:r>
          </w:p>
        </w:tc>
        <w:tc>
          <w:tcPr>
            <w:tcW w:w="120" w:type="dxa"/>
            <w:vAlign w:val="bottom"/>
          </w:tcPr>
          <w:p>
            <w:pPr>
              <w:spacing w:after="0"/>
              <w:rPr>
                <w:sz w:val="16"/>
                <w:szCs w:val="16"/>
                <w:color w:val="auto"/>
              </w:rPr>
            </w:pPr>
          </w:p>
        </w:tc>
        <w:tc>
          <w:tcPr>
            <w:tcW w:w="780" w:type="dxa"/>
            <w:vAlign w:val="bottom"/>
            <w:gridSpan w:val="3"/>
            <w:vMerge w:val="restart"/>
          </w:tcPr>
          <w:p>
            <w:pPr>
              <w:jc w:val="right"/>
              <w:ind w:right="361"/>
              <w:spacing w:after="0"/>
              <w:rPr>
                <w:sz w:val="20"/>
                <w:szCs w:val="20"/>
                <w:color w:val="auto"/>
              </w:rPr>
            </w:pPr>
            <w:r>
              <w:rPr>
                <w:rFonts w:ascii="Arial" w:cs="Arial" w:eastAsia="Arial" w:hAnsi="Arial"/>
                <w:sz w:val="16"/>
                <w:szCs w:val="16"/>
                <w:color w:val="1E1E1E"/>
              </w:rPr>
              <w:t>Total</w:t>
            </w:r>
          </w:p>
        </w:tc>
        <w:tc>
          <w:tcPr>
            <w:tcW w:w="900" w:type="dxa"/>
            <w:vAlign w:val="bottom"/>
            <w:gridSpan w:val="4"/>
            <w:vMerge w:val="restart"/>
          </w:tcPr>
          <w:p>
            <w:pPr>
              <w:jc w:val="right"/>
              <w:ind w:right="121"/>
              <w:spacing w:after="0"/>
              <w:rPr>
                <w:sz w:val="20"/>
                <w:szCs w:val="20"/>
                <w:color w:val="auto"/>
              </w:rPr>
            </w:pPr>
            <w:r>
              <w:rPr>
                <w:rFonts w:ascii="Arial" w:cs="Arial" w:eastAsia="Arial" w:hAnsi="Arial"/>
                <w:sz w:val="16"/>
                <w:szCs w:val="16"/>
                <w:color w:val="1E1E1E"/>
                <w:w w:val="91"/>
              </w:rPr>
              <w:t>Retirement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6"/>
                <w:szCs w:val="16"/>
                <w:color w:val="1E1E1E"/>
                <w:w w:val="99"/>
              </w:rPr>
              <w:t>Foreign</w:t>
            </w:r>
          </w:p>
        </w:tc>
        <w:tc>
          <w:tcPr>
            <w:tcW w:w="120" w:type="dxa"/>
            <w:vAlign w:val="bottom"/>
          </w:tcPr>
          <w:p>
            <w:pPr>
              <w:spacing w:after="0"/>
              <w:rPr>
                <w:sz w:val="16"/>
                <w:szCs w:val="16"/>
                <w:color w:val="auto"/>
              </w:rPr>
            </w:pPr>
          </w:p>
        </w:tc>
        <w:tc>
          <w:tcPr>
            <w:tcW w:w="640" w:type="dxa"/>
            <w:vAlign w:val="bottom"/>
            <w:gridSpan w:val="2"/>
            <w:vMerge w:val="restart"/>
          </w:tcPr>
          <w:p>
            <w:pPr>
              <w:jc w:val="right"/>
              <w:ind w:right="181"/>
              <w:spacing w:after="0"/>
              <w:rPr>
                <w:sz w:val="20"/>
                <w:szCs w:val="20"/>
                <w:color w:val="auto"/>
              </w:rPr>
            </w:pPr>
            <w:r>
              <w:rPr>
                <w:rFonts w:ascii="Arial" w:cs="Arial" w:eastAsia="Arial" w:hAnsi="Arial"/>
                <w:sz w:val="16"/>
                <w:szCs w:val="16"/>
                <w:color w:val="1E1E1E"/>
              </w:rPr>
              <w:t>Total</w:t>
            </w:r>
          </w:p>
        </w:tc>
        <w:tc>
          <w:tcPr>
            <w:tcW w:w="0" w:type="dxa"/>
            <w:vAlign w:val="bottom"/>
          </w:tcPr>
          <w:p>
            <w:pPr>
              <w:spacing w:after="0"/>
              <w:rPr>
                <w:sz w:val="1"/>
                <w:szCs w:val="1"/>
                <w:color w:val="auto"/>
              </w:rPr>
            </w:pPr>
          </w:p>
        </w:tc>
      </w:tr>
      <w:tr>
        <w:trPr>
          <w:trHeight w:val="152"/>
        </w:trPr>
        <w:tc>
          <w:tcPr>
            <w:tcW w:w="402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90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center"/>
              <w:ind w:right="261"/>
              <w:spacing w:after="0"/>
              <w:rPr>
                <w:sz w:val="20"/>
                <w:szCs w:val="20"/>
                <w:color w:val="auto"/>
              </w:rPr>
            </w:pPr>
            <w:r>
              <w:rPr>
                <w:rFonts w:ascii="Arial" w:cs="Arial" w:eastAsia="Arial" w:hAnsi="Arial"/>
                <w:sz w:val="16"/>
                <w:szCs w:val="16"/>
                <w:color w:val="1E1E1E"/>
                <w:w w:val="84"/>
              </w:rPr>
              <w:t>Plans</w:t>
            </w:r>
          </w:p>
        </w:tc>
        <w:tc>
          <w:tcPr>
            <w:tcW w:w="140" w:type="dxa"/>
            <w:vAlign w:val="bottom"/>
          </w:tcPr>
          <w:p>
            <w:pPr>
              <w:spacing w:after="0"/>
              <w:rPr>
                <w:sz w:val="17"/>
                <w:szCs w:val="17"/>
                <w:color w:val="auto"/>
              </w:rPr>
            </w:pPr>
          </w:p>
        </w:tc>
        <w:tc>
          <w:tcPr>
            <w:tcW w:w="820" w:type="dxa"/>
            <w:vAlign w:val="bottom"/>
            <w:gridSpan w:val="2"/>
          </w:tcPr>
          <w:p>
            <w:pPr>
              <w:jc w:val="right"/>
              <w:ind w:right="341"/>
              <w:spacing w:after="0"/>
              <w:rPr>
                <w:sz w:val="20"/>
                <w:szCs w:val="20"/>
                <w:color w:val="auto"/>
              </w:rPr>
            </w:pPr>
            <w:r>
              <w:rPr>
                <w:rFonts w:ascii="Arial" w:cs="Arial" w:eastAsia="Arial" w:hAnsi="Arial"/>
                <w:sz w:val="16"/>
                <w:szCs w:val="16"/>
                <w:color w:val="1E1E1E"/>
                <w:w w:val="94"/>
              </w:rPr>
              <w:t>Plans</w:t>
            </w:r>
          </w:p>
        </w:tc>
        <w:tc>
          <w:tcPr>
            <w:tcW w:w="140" w:type="dxa"/>
            <w:vAlign w:val="bottom"/>
          </w:tcPr>
          <w:p>
            <w:pPr>
              <w:spacing w:after="0"/>
              <w:rPr>
                <w:sz w:val="17"/>
                <w:szCs w:val="17"/>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6"/>
                <w:szCs w:val="16"/>
                <w:color w:val="1E1E1E"/>
                <w:w w:val="95"/>
              </w:rPr>
              <w:t>Currency</w:t>
            </w:r>
          </w:p>
        </w:tc>
        <w:tc>
          <w:tcPr>
            <w:tcW w:w="120" w:type="dxa"/>
            <w:vAlign w:val="bottom"/>
          </w:tcPr>
          <w:p>
            <w:pPr>
              <w:spacing w:after="0"/>
              <w:rPr>
                <w:sz w:val="17"/>
                <w:szCs w:val="17"/>
                <w:color w:val="auto"/>
              </w:rPr>
            </w:pPr>
          </w:p>
        </w:tc>
        <w:tc>
          <w:tcPr>
            <w:tcW w:w="7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3"/>
          </w:tcPr>
          <w:p>
            <w:pPr>
              <w:jc w:val="right"/>
              <w:ind w:right="301"/>
              <w:spacing w:after="0"/>
              <w:rPr>
                <w:sz w:val="20"/>
                <w:szCs w:val="20"/>
                <w:color w:val="auto"/>
              </w:rPr>
            </w:pPr>
            <w:r>
              <w:rPr>
                <w:rFonts w:ascii="Arial" w:cs="Arial" w:eastAsia="Arial" w:hAnsi="Arial"/>
                <w:sz w:val="16"/>
                <w:szCs w:val="16"/>
                <w:color w:val="1E1E1E"/>
                <w:w w:val="94"/>
              </w:rPr>
              <w:t>Plans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1E1E1E"/>
                <w:w w:val="89"/>
              </w:rPr>
              <w:t>Currency</w:t>
            </w:r>
          </w:p>
        </w:tc>
        <w:tc>
          <w:tcPr>
            <w:tcW w:w="12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20" w:type="dxa"/>
            <w:vAlign w:val="bottom"/>
            <w:tcBorders>
              <w:top w:val="single" w:sz="8" w:color="E4E4E4"/>
            </w:tcBorders>
            <w:shd w:val="clear" w:color="auto" w:fill="E4E4E4"/>
          </w:tcPr>
          <w:p>
            <w:pPr>
              <w:spacing w:after="0" w:line="197" w:lineRule="exact"/>
              <w:rPr>
                <w:sz w:val="20"/>
                <w:szCs w:val="20"/>
                <w:color w:val="auto"/>
              </w:rPr>
            </w:pPr>
            <w:r>
              <w:rPr>
                <w:rFonts w:ascii="Arial" w:cs="Arial" w:eastAsia="Arial" w:hAnsi="Arial"/>
                <w:sz w:val="18"/>
                <w:szCs w:val="18"/>
                <w:color w:val="1E1E1E"/>
              </w:rPr>
              <w:t>Balance at beginning of fiscal year</w:t>
            </w:r>
          </w:p>
        </w:tc>
        <w:tc>
          <w:tcPr>
            <w:tcW w:w="140" w:type="dxa"/>
            <w:vAlign w:val="bottom"/>
            <w:tcBorders>
              <w:top w:val="single" w:sz="8" w:color="1E1E1E"/>
            </w:tcBorders>
            <w:shd w:val="clear" w:color="auto" w:fill="E4E4E4"/>
          </w:tcPr>
          <w:p>
            <w:pPr>
              <w:jc w:val="right"/>
              <w:spacing w:after="0" w:line="197" w:lineRule="exact"/>
              <w:rPr>
                <w:sz w:val="20"/>
                <w:szCs w:val="20"/>
                <w:color w:val="auto"/>
              </w:rPr>
            </w:pPr>
            <w:r>
              <w:rPr>
                <w:rFonts w:ascii="Arial" w:cs="Arial" w:eastAsia="Arial" w:hAnsi="Arial"/>
                <w:sz w:val="18"/>
                <w:szCs w:val="18"/>
                <w:color w:val="1E1E1E"/>
                <w:w w:val="79"/>
                <w:shd w:val="clear" w:color="auto" w:fill="E4E4E4"/>
              </w:rPr>
              <w:t>$</w:t>
            </w:r>
          </w:p>
        </w:tc>
        <w:tc>
          <w:tcPr>
            <w:tcW w:w="580" w:type="dxa"/>
            <w:vAlign w:val="bottom"/>
            <w:tcBorders>
              <w:top w:val="single" w:sz="8" w:color="1E1E1E"/>
            </w:tcBorders>
            <w:shd w:val="clear" w:color="auto" w:fill="E4E4E4"/>
          </w:tcPr>
          <w:p>
            <w:pPr>
              <w:jc w:val="right"/>
              <w:spacing w:after="0" w:line="197" w:lineRule="exact"/>
              <w:rPr>
                <w:sz w:val="20"/>
                <w:szCs w:val="20"/>
                <w:color w:val="auto"/>
              </w:rPr>
            </w:pPr>
            <w:r>
              <w:rPr>
                <w:rFonts w:ascii="Arial" w:cs="Arial" w:eastAsia="Arial" w:hAnsi="Arial"/>
                <w:sz w:val="18"/>
                <w:szCs w:val="18"/>
                <w:color w:val="1E1E1E"/>
                <w:shd w:val="clear" w:color="auto" w:fill="E4E4E4"/>
              </w:rPr>
              <w:t>(4,928</w:t>
            </w:r>
          </w:p>
        </w:tc>
        <w:tc>
          <w:tcPr>
            <w:tcW w:w="220" w:type="dxa"/>
            <w:vAlign w:val="bottom"/>
            <w:tcBorders>
              <w:top w:val="single" w:sz="8" w:color="E4E4E4"/>
            </w:tcBorders>
            <w:shd w:val="clear" w:color="auto" w:fill="E4E4E4"/>
          </w:tcPr>
          <w:p>
            <w:pPr>
              <w:jc w:val="right"/>
              <w:ind w:right="81"/>
              <w:spacing w:after="0"/>
              <w:rPr>
                <w:sz w:val="20"/>
                <w:szCs w:val="20"/>
                <w:color w:val="auto"/>
              </w:rPr>
            </w:pPr>
            <w:r>
              <w:rPr>
                <w:rFonts w:ascii="Arial" w:cs="Arial" w:eastAsia="Arial" w:hAnsi="Arial"/>
                <w:sz w:val="16"/>
                <w:szCs w:val="16"/>
                <w:color w:val="1E1E1E"/>
                <w:w w:val="74"/>
              </w:rPr>
              <w:t>)</w:t>
            </w:r>
          </w:p>
        </w:tc>
        <w:tc>
          <w:tcPr>
            <w:tcW w:w="140" w:type="dxa"/>
            <w:vAlign w:val="bottom"/>
            <w:tcBorders>
              <w:top w:val="single" w:sz="8" w:color="1E1E1E"/>
            </w:tcBorders>
            <w:shd w:val="clear" w:color="auto" w:fill="E4E4E4"/>
          </w:tcPr>
          <w:p>
            <w:pPr>
              <w:spacing w:after="0" w:line="197" w:lineRule="exact"/>
              <w:rPr>
                <w:sz w:val="20"/>
                <w:szCs w:val="20"/>
                <w:color w:val="auto"/>
              </w:rPr>
            </w:pPr>
            <w:r>
              <w:rPr>
                <w:rFonts w:ascii="Arial" w:cs="Arial" w:eastAsia="Arial" w:hAnsi="Arial"/>
                <w:sz w:val="18"/>
                <w:szCs w:val="18"/>
                <w:color w:val="1E1E1E"/>
                <w:shd w:val="clear" w:color="auto" w:fill="E4E4E4"/>
              </w:rPr>
              <w:t>$</w:t>
            </w:r>
          </w:p>
        </w:tc>
        <w:tc>
          <w:tcPr>
            <w:tcW w:w="580" w:type="dxa"/>
            <w:vAlign w:val="bottom"/>
            <w:tcBorders>
              <w:top w:val="single" w:sz="8" w:color="1E1E1E"/>
            </w:tcBorders>
            <w:shd w:val="clear" w:color="auto" w:fill="E4E4E4"/>
          </w:tcPr>
          <w:p>
            <w:pPr>
              <w:jc w:val="right"/>
              <w:spacing w:after="0" w:line="197" w:lineRule="exact"/>
              <w:rPr>
                <w:sz w:val="20"/>
                <w:szCs w:val="20"/>
                <w:color w:val="auto"/>
              </w:rPr>
            </w:pPr>
            <w:r>
              <w:rPr>
                <w:rFonts w:ascii="Arial" w:cs="Arial" w:eastAsia="Arial" w:hAnsi="Arial"/>
                <w:sz w:val="18"/>
                <w:szCs w:val="18"/>
                <w:color w:val="1E1E1E"/>
                <w:shd w:val="clear" w:color="auto" w:fill="E4E4E4"/>
              </w:rPr>
              <w:t>(5,466</w:t>
            </w:r>
          </w:p>
        </w:tc>
        <w:tc>
          <w:tcPr>
            <w:tcW w:w="240" w:type="dxa"/>
            <w:vAlign w:val="bottom"/>
            <w:tcBorders>
              <w:top w:val="single" w:sz="8" w:color="E4E4E4"/>
            </w:tcBorders>
            <w:shd w:val="clear" w:color="auto" w:fill="E4E4E4"/>
          </w:tcPr>
          <w:p>
            <w:pPr>
              <w:jc w:val="right"/>
              <w:ind w:right="101"/>
              <w:spacing w:after="0"/>
              <w:rPr>
                <w:sz w:val="20"/>
                <w:szCs w:val="20"/>
                <w:color w:val="auto"/>
              </w:rPr>
            </w:pPr>
            <w:r>
              <w:rPr>
                <w:rFonts w:ascii="Arial" w:cs="Arial" w:eastAsia="Arial" w:hAnsi="Arial"/>
                <w:sz w:val="16"/>
                <w:szCs w:val="16"/>
                <w:color w:val="1E1E1E"/>
                <w:w w:val="74"/>
              </w:rPr>
              <w:t>)</w:t>
            </w:r>
          </w:p>
        </w:tc>
        <w:tc>
          <w:tcPr>
            <w:tcW w:w="140" w:type="dxa"/>
            <w:vAlign w:val="bottom"/>
            <w:tcBorders>
              <w:top w:val="single" w:sz="8" w:color="1E1E1E"/>
            </w:tcBorders>
            <w:shd w:val="clear" w:color="auto" w:fill="E4E4E4"/>
          </w:tcPr>
          <w:p>
            <w:pPr>
              <w:jc w:val="right"/>
              <w:spacing w:after="0" w:line="197" w:lineRule="exact"/>
              <w:rPr>
                <w:sz w:val="20"/>
                <w:szCs w:val="20"/>
                <w:color w:val="auto"/>
              </w:rPr>
            </w:pPr>
            <w:r>
              <w:rPr>
                <w:rFonts w:ascii="Arial" w:cs="Arial" w:eastAsia="Arial" w:hAnsi="Arial"/>
                <w:sz w:val="18"/>
                <w:szCs w:val="18"/>
                <w:color w:val="1E1E1E"/>
                <w:w w:val="79"/>
              </w:rPr>
              <w:t>$</w:t>
            </w:r>
          </w:p>
        </w:tc>
        <w:tc>
          <w:tcPr>
            <w:tcW w:w="780" w:type="dxa"/>
            <w:vAlign w:val="bottom"/>
            <w:tcBorders>
              <w:top w:val="single" w:sz="8" w:color="1E1E1E"/>
            </w:tcBorders>
            <w:shd w:val="clear" w:color="auto" w:fill="E4E4E4"/>
          </w:tcPr>
          <w:p>
            <w:pPr>
              <w:jc w:val="right"/>
              <w:spacing w:after="0" w:line="197" w:lineRule="exact"/>
              <w:rPr>
                <w:sz w:val="20"/>
                <w:szCs w:val="20"/>
                <w:color w:val="auto"/>
              </w:rPr>
            </w:pPr>
            <w:r>
              <w:rPr>
                <w:rFonts w:ascii="Arial" w:cs="Arial" w:eastAsia="Arial" w:hAnsi="Arial"/>
                <w:sz w:val="18"/>
                <w:szCs w:val="18"/>
                <w:color w:val="1E1E1E"/>
              </w:rPr>
              <w:t>(59)</w:t>
            </w:r>
          </w:p>
        </w:tc>
        <w:tc>
          <w:tcPr>
            <w:tcW w:w="260" w:type="dxa"/>
            <w:vAlign w:val="bottom"/>
            <w:tcBorders>
              <w:top w:val="single" w:sz="8" w:color="E4E4E4"/>
            </w:tcBorders>
            <w:shd w:val="clear" w:color="auto" w:fill="E4E4E4"/>
          </w:tcPr>
          <w:p>
            <w:pPr>
              <w:spacing w:after="0"/>
              <w:rPr>
                <w:sz w:val="17"/>
                <w:szCs w:val="17"/>
                <w:color w:val="auto"/>
              </w:rPr>
            </w:pPr>
          </w:p>
        </w:tc>
        <w:tc>
          <w:tcPr>
            <w:tcW w:w="120" w:type="dxa"/>
            <w:vAlign w:val="bottom"/>
            <w:tcBorders>
              <w:top w:val="single" w:sz="8" w:color="1E1E1E"/>
            </w:tcBorders>
            <w:shd w:val="clear" w:color="auto" w:fill="E4E4E4"/>
          </w:tcPr>
          <w:p>
            <w:pPr>
              <w:jc w:val="right"/>
              <w:spacing w:after="0"/>
              <w:rPr>
                <w:sz w:val="20"/>
                <w:szCs w:val="20"/>
                <w:color w:val="auto"/>
              </w:rPr>
            </w:pPr>
            <w:r>
              <w:rPr>
                <w:rFonts w:ascii="Arial" w:cs="Arial" w:eastAsia="Arial" w:hAnsi="Arial"/>
                <w:sz w:val="15"/>
                <w:szCs w:val="15"/>
                <w:color w:val="1E1E1E"/>
                <w:w w:val="71"/>
                <w:shd w:val="clear" w:color="auto" w:fill="E4E4E4"/>
              </w:rPr>
              <w:t>$</w:t>
            </w:r>
          </w:p>
        </w:tc>
        <w:tc>
          <w:tcPr>
            <w:tcW w:w="560" w:type="dxa"/>
            <w:vAlign w:val="bottom"/>
            <w:tcBorders>
              <w:top w:val="single" w:sz="8" w:color="1E1E1E"/>
            </w:tcBorders>
            <w:shd w:val="clear" w:color="auto" w:fill="E4E4E4"/>
          </w:tcPr>
          <w:p>
            <w:pPr>
              <w:jc w:val="right"/>
              <w:spacing w:after="0" w:line="197" w:lineRule="exact"/>
              <w:rPr>
                <w:sz w:val="20"/>
                <w:szCs w:val="20"/>
                <w:color w:val="auto"/>
              </w:rPr>
            </w:pPr>
            <w:r>
              <w:rPr>
                <w:rFonts w:ascii="Arial" w:cs="Arial" w:eastAsia="Arial" w:hAnsi="Arial"/>
                <w:sz w:val="18"/>
                <w:szCs w:val="18"/>
                <w:color w:val="1E1E1E"/>
                <w:shd w:val="clear" w:color="auto" w:fill="E4E4E4"/>
              </w:rPr>
              <w:t>(5,525</w:t>
            </w:r>
          </w:p>
        </w:tc>
        <w:tc>
          <w:tcPr>
            <w:tcW w:w="20" w:type="dxa"/>
            <w:vAlign w:val="bottom"/>
            <w:tcBorders>
              <w:top w:val="single" w:sz="8" w:color="E4E4E4"/>
            </w:tcBorders>
            <w:shd w:val="clear" w:color="auto" w:fill="E4E4E4"/>
          </w:tcPr>
          <w:p>
            <w:pPr>
              <w:spacing w:after="0"/>
              <w:rPr>
                <w:sz w:val="17"/>
                <w:szCs w:val="17"/>
                <w:color w:val="auto"/>
              </w:rPr>
            </w:pPr>
          </w:p>
        </w:tc>
        <w:tc>
          <w:tcPr>
            <w:tcW w:w="200" w:type="dxa"/>
            <w:vAlign w:val="bottom"/>
            <w:tcBorders>
              <w:top w:val="single" w:sz="8" w:color="E4E4E4"/>
            </w:tcBorders>
            <w:shd w:val="clear" w:color="auto" w:fill="E4E4E4"/>
          </w:tcPr>
          <w:p>
            <w:pPr>
              <w:jc w:val="right"/>
              <w:ind w:right="121"/>
              <w:spacing w:after="0"/>
              <w:rPr>
                <w:sz w:val="20"/>
                <w:szCs w:val="20"/>
                <w:color w:val="auto"/>
              </w:rPr>
            </w:pPr>
            <w:r>
              <w:rPr>
                <w:rFonts w:ascii="Arial" w:cs="Arial" w:eastAsia="Arial" w:hAnsi="Arial"/>
                <w:sz w:val="8"/>
                <w:szCs w:val="8"/>
                <w:color w:val="1E1E1E"/>
                <w:w w:val="73"/>
              </w:rPr>
              <w:t>)</w:t>
            </w:r>
          </w:p>
        </w:tc>
        <w:tc>
          <w:tcPr>
            <w:tcW w:w="160" w:type="dxa"/>
            <w:vAlign w:val="bottom"/>
            <w:tcBorders>
              <w:top w:val="single" w:sz="8" w:color="1E1E1E"/>
            </w:tcBorders>
            <w:shd w:val="clear" w:color="auto" w:fill="E4E4E4"/>
          </w:tcPr>
          <w:p>
            <w:pPr>
              <w:jc w:val="right"/>
              <w:spacing w:after="0" w:line="197" w:lineRule="exact"/>
              <w:rPr>
                <w:sz w:val="20"/>
                <w:szCs w:val="20"/>
                <w:color w:val="auto"/>
              </w:rPr>
            </w:pPr>
            <w:r>
              <w:rPr>
                <w:rFonts w:ascii="Arial" w:cs="Arial" w:eastAsia="Arial" w:hAnsi="Arial"/>
                <w:sz w:val="18"/>
                <w:szCs w:val="18"/>
                <w:color w:val="1E1E1E"/>
                <w:w w:val="79"/>
                <w:shd w:val="clear" w:color="auto" w:fill="E4E4E4"/>
              </w:rPr>
              <w:t>$</w:t>
            </w:r>
          </w:p>
        </w:tc>
        <w:tc>
          <w:tcPr>
            <w:tcW w:w="600" w:type="dxa"/>
            <w:vAlign w:val="bottom"/>
            <w:tcBorders>
              <w:top w:val="single" w:sz="8" w:color="1E1E1E"/>
            </w:tcBorders>
            <w:shd w:val="clear" w:color="auto" w:fill="E4E4E4"/>
          </w:tcPr>
          <w:p>
            <w:pPr>
              <w:jc w:val="right"/>
              <w:spacing w:after="0" w:line="197" w:lineRule="exact"/>
              <w:rPr>
                <w:sz w:val="20"/>
                <w:szCs w:val="20"/>
                <w:color w:val="auto"/>
              </w:rPr>
            </w:pPr>
            <w:r>
              <w:rPr>
                <w:rFonts w:ascii="Arial" w:cs="Arial" w:eastAsia="Arial" w:hAnsi="Arial"/>
                <w:sz w:val="18"/>
                <w:szCs w:val="18"/>
                <w:color w:val="1E1E1E"/>
                <w:shd w:val="clear" w:color="auto" w:fill="E4E4E4"/>
              </w:rPr>
              <w:t>(6,224</w:t>
            </w:r>
          </w:p>
        </w:tc>
        <w:tc>
          <w:tcPr>
            <w:tcW w:w="20" w:type="dxa"/>
            <w:vAlign w:val="bottom"/>
            <w:tcBorders>
              <w:top w:val="single" w:sz="8" w:color="E4E4E4"/>
            </w:tcBorders>
            <w:shd w:val="clear" w:color="auto" w:fill="E4E4E4"/>
          </w:tcPr>
          <w:p>
            <w:pPr>
              <w:spacing w:after="0"/>
              <w:rPr>
                <w:sz w:val="17"/>
                <w:szCs w:val="17"/>
                <w:color w:val="auto"/>
              </w:rPr>
            </w:pPr>
          </w:p>
        </w:tc>
        <w:tc>
          <w:tcPr>
            <w:tcW w:w="120" w:type="dxa"/>
            <w:vAlign w:val="bottom"/>
            <w:tcBorders>
              <w:top w:val="single" w:sz="8" w:color="E4E4E4"/>
            </w:tcBorders>
            <w:shd w:val="clear" w:color="auto" w:fill="E4E4E4"/>
          </w:tcPr>
          <w:p>
            <w:pPr>
              <w:jc w:val="right"/>
              <w:ind w:right="41"/>
              <w:spacing w:after="0"/>
              <w:rPr>
                <w:sz w:val="20"/>
                <w:szCs w:val="20"/>
                <w:color w:val="auto"/>
              </w:rPr>
            </w:pPr>
            <w:r>
              <w:rPr>
                <w:rFonts w:ascii="Arial" w:cs="Arial" w:eastAsia="Arial" w:hAnsi="Arial"/>
                <w:sz w:val="8"/>
                <w:szCs w:val="8"/>
                <w:color w:val="1E1E1E"/>
                <w:w w:val="73"/>
              </w:rPr>
              <w:t>)</w:t>
            </w:r>
          </w:p>
        </w:tc>
        <w:tc>
          <w:tcPr>
            <w:tcW w:w="120" w:type="dxa"/>
            <w:vAlign w:val="bottom"/>
            <w:tcBorders>
              <w:top w:val="single" w:sz="8" w:color="E4E4E4"/>
            </w:tcBorders>
            <w:shd w:val="clear" w:color="auto" w:fill="E4E4E4"/>
          </w:tcPr>
          <w:p>
            <w:pPr>
              <w:spacing w:after="0"/>
              <w:rPr>
                <w:sz w:val="17"/>
                <w:szCs w:val="17"/>
                <w:color w:val="auto"/>
              </w:rPr>
            </w:pPr>
          </w:p>
        </w:tc>
        <w:tc>
          <w:tcPr>
            <w:tcW w:w="80" w:type="dxa"/>
            <w:vAlign w:val="bottom"/>
            <w:tcBorders>
              <w:top w:val="single" w:sz="8" w:color="1E1E1E"/>
            </w:tcBorders>
            <w:shd w:val="clear" w:color="auto" w:fill="E4E4E4"/>
          </w:tcPr>
          <w:p>
            <w:pPr>
              <w:jc w:val="right"/>
              <w:spacing w:after="0"/>
              <w:rPr>
                <w:sz w:val="20"/>
                <w:szCs w:val="20"/>
                <w:color w:val="auto"/>
              </w:rPr>
            </w:pPr>
            <w:r>
              <w:rPr>
                <w:rFonts w:ascii="Arial" w:cs="Arial" w:eastAsia="Arial" w:hAnsi="Arial"/>
                <w:sz w:val="15"/>
                <w:szCs w:val="15"/>
                <w:color w:val="1E1E1E"/>
                <w:w w:val="71"/>
              </w:rPr>
              <w:t>$</w:t>
            </w:r>
          </w:p>
        </w:tc>
        <w:tc>
          <w:tcPr>
            <w:tcW w:w="700" w:type="dxa"/>
            <w:vAlign w:val="bottom"/>
            <w:tcBorders>
              <w:top w:val="single" w:sz="8" w:color="1E1E1E"/>
            </w:tcBorders>
            <w:shd w:val="clear" w:color="auto" w:fill="E4E4E4"/>
          </w:tcPr>
          <w:p>
            <w:pPr>
              <w:jc w:val="right"/>
              <w:spacing w:after="0" w:line="197" w:lineRule="exact"/>
              <w:rPr>
                <w:sz w:val="20"/>
                <w:szCs w:val="20"/>
                <w:color w:val="auto"/>
              </w:rPr>
            </w:pPr>
            <w:r>
              <w:rPr>
                <w:rFonts w:ascii="Arial" w:cs="Arial" w:eastAsia="Arial" w:hAnsi="Arial"/>
                <w:sz w:val="18"/>
                <w:szCs w:val="18"/>
                <w:color w:val="1E1E1E"/>
              </w:rPr>
              <w:t>3</w:t>
            </w:r>
          </w:p>
        </w:tc>
        <w:tc>
          <w:tcPr>
            <w:tcW w:w="240" w:type="dxa"/>
            <w:vAlign w:val="bottom"/>
            <w:tcBorders>
              <w:top w:val="single" w:sz="8" w:color="E4E4E4"/>
            </w:tcBorders>
            <w:shd w:val="clear" w:color="auto" w:fill="E4E4E4"/>
          </w:tcPr>
          <w:p>
            <w:pPr>
              <w:spacing w:after="0"/>
              <w:rPr>
                <w:sz w:val="17"/>
                <w:szCs w:val="17"/>
                <w:color w:val="auto"/>
              </w:rPr>
            </w:pPr>
          </w:p>
        </w:tc>
        <w:tc>
          <w:tcPr>
            <w:tcW w:w="120" w:type="dxa"/>
            <w:vAlign w:val="bottom"/>
            <w:tcBorders>
              <w:top w:val="single" w:sz="8" w:color="1E1E1E"/>
            </w:tcBorders>
            <w:shd w:val="clear" w:color="auto" w:fill="E4E4E4"/>
          </w:tcPr>
          <w:p>
            <w:pPr>
              <w:jc w:val="right"/>
              <w:spacing w:after="0" w:line="197" w:lineRule="exact"/>
              <w:rPr>
                <w:sz w:val="20"/>
                <w:szCs w:val="20"/>
                <w:color w:val="auto"/>
              </w:rPr>
            </w:pPr>
            <w:r>
              <w:rPr>
                <w:rFonts w:ascii="Arial" w:cs="Arial" w:eastAsia="Arial" w:hAnsi="Arial"/>
                <w:sz w:val="18"/>
                <w:szCs w:val="18"/>
                <w:color w:val="1E1E1E"/>
                <w:w w:val="79"/>
                <w:shd w:val="clear" w:color="auto" w:fill="E4E4E4"/>
              </w:rPr>
              <w:t>$</w:t>
            </w:r>
          </w:p>
        </w:tc>
        <w:tc>
          <w:tcPr>
            <w:tcW w:w="540" w:type="dxa"/>
            <w:vAlign w:val="bottom"/>
            <w:tcBorders>
              <w:top w:val="single" w:sz="8" w:color="1E1E1E"/>
            </w:tcBorders>
            <w:shd w:val="clear" w:color="auto" w:fill="E4E4E4"/>
          </w:tcPr>
          <w:p>
            <w:pPr>
              <w:jc w:val="right"/>
              <w:spacing w:after="0" w:line="197" w:lineRule="exact"/>
              <w:rPr>
                <w:sz w:val="20"/>
                <w:szCs w:val="20"/>
                <w:color w:val="auto"/>
              </w:rPr>
            </w:pPr>
            <w:r>
              <w:rPr>
                <w:rFonts w:ascii="Arial" w:cs="Arial" w:eastAsia="Arial" w:hAnsi="Arial"/>
                <w:sz w:val="18"/>
                <w:szCs w:val="18"/>
                <w:color w:val="1E1E1E"/>
                <w:w w:val="97"/>
                <w:shd w:val="clear" w:color="auto" w:fill="E4E4E4"/>
              </w:rPr>
              <w:t>(6,221</w:t>
            </w:r>
          </w:p>
        </w:tc>
        <w:tc>
          <w:tcPr>
            <w:tcW w:w="100" w:type="dxa"/>
            <w:vAlign w:val="bottom"/>
            <w:tcBorders>
              <w:top w:val="single" w:sz="8" w:color="E4E4E4"/>
            </w:tcBorders>
            <w:shd w:val="clear" w:color="auto" w:fill="E4E4E4"/>
          </w:tcPr>
          <w:p>
            <w:pPr>
              <w:jc w:val="right"/>
              <w:spacing w:after="0"/>
              <w:rPr>
                <w:sz w:val="20"/>
                <w:szCs w:val="20"/>
                <w:color w:val="auto"/>
              </w:rPr>
            </w:pPr>
            <w:r>
              <w:rPr>
                <w:rFonts w:ascii="Arial" w:cs="Arial" w:eastAsia="Arial" w:hAnsi="Arial"/>
                <w:sz w:val="16"/>
                <w:szCs w:val="16"/>
                <w:color w:val="1E1E1E"/>
                <w:w w:val="74"/>
                <w:shd w:val="clear" w:color="auto" w:fill="E4E4E4"/>
              </w:rPr>
              <w:t>)</w:t>
            </w:r>
          </w:p>
        </w:tc>
        <w:tc>
          <w:tcPr>
            <w:tcW w:w="0" w:type="dxa"/>
            <w:vAlign w:val="bottom"/>
          </w:tcPr>
          <w:p>
            <w:pPr>
              <w:spacing w:after="0"/>
              <w:rPr>
                <w:sz w:val="1"/>
                <w:szCs w:val="1"/>
                <w:color w:val="auto"/>
              </w:rPr>
            </w:pPr>
          </w:p>
        </w:tc>
      </w:tr>
      <w:tr>
        <w:trPr>
          <w:trHeight w:val="206"/>
        </w:trPr>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20" w:type="dxa"/>
            <w:vAlign w:val="bottom"/>
            <w:shd w:val="clear" w:color="auto" w:fill="E4E4E4"/>
          </w:tcPr>
          <w:p>
            <w:pPr>
              <w:spacing w:after="0" w:line="189" w:lineRule="exact"/>
              <w:rPr>
                <w:sz w:val="20"/>
                <w:szCs w:val="20"/>
                <w:color w:val="auto"/>
              </w:rPr>
            </w:pPr>
            <w:r>
              <w:rPr>
                <w:rFonts w:ascii="Arial" w:cs="Arial" w:eastAsia="Arial" w:hAnsi="Arial"/>
                <w:sz w:val="18"/>
                <w:szCs w:val="18"/>
                <w:color w:val="1E1E1E"/>
              </w:rPr>
              <w:t>Other comprehensive income (loss)</w:t>
            </w:r>
          </w:p>
        </w:tc>
        <w:tc>
          <w:tcPr>
            <w:tcW w:w="140" w:type="dxa"/>
            <w:vAlign w:val="bottom"/>
            <w:shd w:val="clear" w:color="auto" w:fill="E4E4E4"/>
          </w:tcPr>
          <w:p>
            <w:pPr>
              <w:spacing w:after="0"/>
              <w:rPr>
                <w:sz w:val="16"/>
                <w:szCs w:val="16"/>
                <w:color w:val="auto"/>
              </w:rPr>
            </w:pPr>
          </w:p>
        </w:tc>
        <w:tc>
          <w:tcPr>
            <w:tcW w:w="580" w:type="dxa"/>
            <w:vAlign w:val="bottom"/>
            <w:shd w:val="clear" w:color="auto" w:fill="E4E4E4"/>
          </w:tcPr>
          <w:p>
            <w:pPr>
              <w:spacing w:after="0"/>
              <w:rPr>
                <w:sz w:val="16"/>
                <w:szCs w:val="16"/>
                <w:color w:val="auto"/>
              </w:rPr>
            </w:pPr>
          </w:p>
        </w:tc>
        <w:tc>
          <w:tcPr>
            <w:tcW w:w="22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58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78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56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00" w:type="dxa"/>
            <w:vAlign w:val="bottom"/>
            <w:shd w:val="clear" w:color="auto" w:fill="E4E4E4"/>
          </w:tcPr>
          <w:p>
            <w:pPr>
              <w:spacing w:after="0"/>
              <w:rPr>
                <w:sz w:val="16"/>
                <w:szCs w:val="16"/>
                <w:color w:val="auto"/>
              </w:rPr>
            </w:pPr>
          </w:p>
        </w:tc>
        <w:tc>
          <w:tcPr>
            <w:tcW w:w="160" w:type="dxa"/>
            <w:vAlign w:val="bottom"/>
            <w:shd w:val="clear" w:color="auto" w:fill="E4E4E4"/>
          </w:tcPr>
          <w:p>
            <w:pPr>
              <w:spacing w:after="0"/>
              <w:rPr>
                <w:sz w:val="16"/>
                <w:szCs w:val="16"/>
                <w:color w:val="auto"/>
              </w:rPr>
            </w:pPr>
          </w:p>
        </w:tc>
        <w:tc>
          <w:tcPr>
            <w:tcW w:w="60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80" w:type="dxa"/>
            <w:vAlign w:val="bottom"/>
            <w:shd w:val="clear" w:color="auto" w:fill="E4E4E4"/>
          </w:tcPr>
          <w:p>
            <w:pPr>
              <w:spacing w:after="0"/>
              <w:rPr>
                <w:sz w:val="16"/>
                <w:szCs w:val="16"/>
                <w:color w:val="auto"/>
              </w:rPr>
            </w:pPr>
          </w:p>
        </w:tc>
        <w:tc>
          <w:tcPr>
            <w:tcW w:w="70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540" w:type="dxa"/>
            <w:vAlign w:val="bottom"/>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20" w:type="dxa"/>
            <w:vAlign w:val="bottom"/>
            <w:shd w:val="clear" w:color="auto" w:fill="E4E4E4"/>
          </w:tcPr>
          <w:p>
            <w:pPr>
              <w:ind w:left="140"/>
              <w:spacing w:after="0"/>
              <w:rPr>
                <w:sz w:val="20"/>
                <w:szCs w:val="20"/>
                <w:color w:val="auto"/>
              </w:rPr>
            </w:pPr>
            <w:r>
              <w:rPr>
                <w:rFonts w:ascii="Arial" w:cs="Arial" w:eastAsia="Arial" w:hAnsi="Arial"/>
                <w:sz w:val="18"/>
                <w:szCs w:val="18"/>
                <w:color w:val="1E1E1E"/>
              </w:rPr>
              <w:t>before reclassifications, net of taxes</w:t>
            </w:r>
          </w:p>
        </w:tc>
        <w:tc>
          <w:tcPr>
            <w:tcW w:w="140" w:type="dxa"/>
            <w:vAlign w:val="bottom"/>
            <w:shd w:val="clear" w:color="auto" w:fill="E4E4E4"/>
          </w:tcPr>
          <w:p>
            <w:pPr>
              <w:spacing w:after="0"/>
              <w:rPr>
                <w:sz w:val="19"/>
                <w:szCs w:val="19"/>
                <w:color w:val="auto"/>
              </w:rPr>
            </w:pPr>
          </w:p>
        </w:tc>
        <w:tc>
          <w:tcPr>
            <w:tcW w:w="800" w:type="dxa"/>
            <w:vAlign w:val="bottom"/>
            <w:gridSpan w:val="2"/>
            <w:shd w:val="clear" w:color="auto" w:fill="E4E4E4"/>
          </w:tcPr>
          <w:p>
            <w:pPr>
              <w:jc w:val="right"/>
              <w:ind w:right="81"/>
              <w:spacing w:after="0"/>
              <w:rPr>
                <w:sz w:val="20"/>
                <w:szCs w:val="20"/>
                <w:color w:val="auto"/>
              </w:rPr>
            </w:pPr>
            <w:r>
              <w:rPr>
                <w:rFonts w:ascii="Arial" w:cs="Arial" w:eastAsia="Arial" w:hAnsi="Arial"/>
                <w:sz w:val="18"/>
                <w:szCs w:val="18"/>
                <w:color w:val="1E1E1E"/>
              </w:rPr>
              <w:t>(199)</w:t>
            </w:r>
          </w:p>
        </w:tc>
        <w:tc>
          <w:tcPr>
            <w:tcW w:w="140" w:type="dxa"/>
            <w:vAlign w:val="bottom"/>
            <w:shd w:val="clear" w:color="auto" w:fill="E4E4E4"/>
          </w:tcPr>
          <w:p>
            <w:pPr>
              <w:spacing w:after="0"/>
              <w:rPr>
                <w:sz w:val="19"/>
                <w:szCs w:val="19"/>
                <w:color w:val="auto"/>
              </w:rPr>
            </w:pPr>
          </w:p>
        </w:tc>
        <w:tc>
          <w:tcPr>
            <w:tcW w:w="580" w:type="dxa"/>
            <w:vAlign w:val="bottom"/>
            <w:shd w:val="clear" w:color="auto" w:fill="E4E4E4"/>
          </w:tcPr>
          <w:p>
            <w:pPr>
              <w:jc w:val="right"/>
              <w:spacing w:after="0"/>
              <w:rPr>
                <w:sz w:val="20"/>
                <w:szCs w:val="20"/>
                <w:color w:val="auto"/>
              </w:rPr>
            </w:pPr>
            <w:r>
              <w:rPr>
                <w:rFonts w:ascii="Arial" w:cs="Arial" w:eastAsia="Arial" w:hAnsi="Arial"/>
                <w:sz w:val="18"/>
                <w:szCs w:val="18"/>
                <w:color w:val="1E1E1E"/>
              </w:rPr>
              <w:t>568</w:t>
            </w:r>
          </w:p>
        </w:tc>
        <w:tc>
          <w:tcPr>
            <w:tcW w:w="2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040" w:type="dxa"/>
            <w:vAlign w:val="bottom"/>
            <w:gridSpan w:val="2"/>
            <w:shd w:val="clear" w:color="auto" w:fill="E4E4E4"/>
          </w:tcPr>
          <w:p>
            <w:pPr>
              <w:jc w:val="right"/>
              <w:ind w:right="200"/>
              <w:spacing w:after="0"/>
              <w:rPr>
                <w:sz w:val="20"/>
                <w:szCs w:val="20"/>
                <w:color w:val="auto"/>
              </w:rPr>
            </w:pPr>
            <w:r>
              <w:rPr>
                <w:rFonts w:ascii="Arial" w:cs="Arial" w:eastAsia="Arial" w:hAnsi="Arial"/>
                <w:sz w:val="18"/>
                <w:szCs w:val="18"/>
                <w:color w:val="1E1E1E"/>
              </w:rPr>
              <w:t>(7)</w:t>
            </w:r>
          </w:p>
        </w:tc>
        <w:tc>
          <w:tcPr>
            <w:tcW w:w="120" w:type="dxa"/>
            <w:vAlign w:val="bottom"/>
            <w:shd w:val="clear" w:color="auto" w:fill="E4E4E4"/>
          </w:tcPr>
          <w:p>
            <w:pPr>
              <w:spacing w:after="0"/>
              <w:rPr>
                <w:sz w:val="19"/>
                <w:szCs w:val="19"/>
                <w:color w:val="auto"/>
              </w:rPr>
            </w:pPr>
          </w:p>
        </w:tc>
        <w:tc>
          <w:tcPr>
            <w:tcW w:w="580" w:type="dxa"/>
            <w:vAlign w:val="bottom"/>
            <w:gridSpan w:val="2"/>
            <w:shd w:val="clear" w:color="auto" w:fill="E4E4E4"/>
          </w:tcPr>
          <w:p>
            <w:pPr>
              <w:jc w:val="right"/>
              <w:ind w:right="20"/>
              <w:spacing w:after="0"/>
              <w:rPr>
                <w:sz w:val="20"/>
                <w:szCs w:val="20"/>
                <w:color w:val="auto"/>
              </w:rPr>
            </w:pPr>
            <w:r>
              <w:rPr>
                <w:rFonts w:ascii="Arial" w:cs="Arial" w:eastAsia="Arial" w:hAnsi="Arial"/>
                <w:sz w:val="18"/>
                <w:szCs w:val="18"/>
                <w:color w:val="1E1E1E"/>
              </w:rPr>
              <w:t>561</w:t>
            </w:r>
          </w:p>
        </w:tc>
        <w:tc>
          <w:tcPr>
            <w:tcW w:w="20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620" w:type="dxa"/>
            <w:vAlign w:val="bottom"/>
            <w:gridSpan w:val="2"/>
            <w:shd w:val="clear" w:color="auto" w:fill="E4E4E4"/>
          </w:tcPr>
          <w:p>
            <w:pPr>
              <w:jc w:val="right"/>
              <w:spacing w:after="0"/>
              <w:rPr>
                <w:sz w:val="20"/>
                <w:szCs w:val="20"/>
                <w:color w:val="auto"/>
              </w:rPr>
            </w:pPr>
            <w:r>
              <w:rPr>
                <w:rFonts w:ascii="Arial" w:cs="Arial" w:eastAsia="Arial" w:hAnsi="Arial"/>
                <w:sz w:val="18"/>
                <w:szCs w:val="18"/>
                <w:color w:val="1E1E1E"/>
              </w:rPr>
              <w:t>799</w:t>
            </w:r>
          </w:p>
        </w:tc>
        <w:tc>
          <w:tcPr>
            <w:tcW w:w="1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940" w:type="dxa"/>
            <w:vAlign w:val="bottom"/>
            <w:gridSpan w:val="2"/>
            <w:shd w:val="clear" w:color="auto" w:fill="E4E4E4"/>
          </w:tcPr>
          <w:p>
            <w:pPr>
              <w:jc w:val="right"/>
              <w:ind w:right="180"/>
              <w:spacing w:after="0"/>
              <w:rPr>
                <w:sz w:val="20"/>
                <w:szCs w:val="20"/>
                <w:color w:val="auto"/>
              </w:rPr>
            </w:pPr>
            <w:r>
              <w:rPr>
                <w:rFonts w:ascii="Arial" w:cs="Arial" w:eastAsia="Arial" w:hAnsi="Arial"/>
                <w:sz w:val="18"/>
                <w:szCs w:val="18"/>
                <w:color w:val="1E1E1E"/>
              </w:rPr>
              <w:t>(62)</w:t>
            </w:r>
          </w:p>
        </w:tc>
        <w:tc>
          <w:tcPr>
            <w:tcW w:w="120" w:type="dxa"/>
            <w:vAlign w:val="bottom"/>
            <w:shd w:val="clear" w:color="auto" w:fill="E4E4E4"/>
          </w:tcPr>
          <w:p>
            <w:pPr>
              <w:spacing w:after="0"/>
              <w:rPr>
                <w:sz w:val="19"/>
                <w:szCs w:val="19"/>
                <w:color w:val="auto"/>
              </w:rPr>
            </w:pPr>
          </w:p>
        </w:tc>
        <w:tc>
          <w:tcPr>
            <w:tcW w:w="640" w:type="dxa"/>
            <w:vAlign w:val="bottom"/>
            <w:gridSpan w:val="2"/>
            <w:shd w:val="clear" w:color="auto" w:fill="E4E4E4"/>
          </w:tcPr>
          <w:p>
            <w:pPr>
              <w:jc w:val="right"/>
              <w:ind w:right="21"/>
              <w:spacing w:after="0"/>
              <w:rPr>
                <w:sz w:val="20"/>
                <w:szCs w:val="20"/>
                <w:color w:val="auto"/>
              </w:rPr>
            </w:pPr>
            <w:r>
              <w:rPr>
                <w:rFonts w:ascii="Arial" w:cs="Arial" w:eastAsia="Arial" w:hAnsi="Arial"/>
                <w:sz w:val="18"/>
                <w:szCs w:val="18"/>
                <w:color w:val="1E1E1E"/>
              </w:rPr>
              <w:t>737</w:t>
            </w:r>
          </w:p>
        </w:tc>
        <w:tc>
          <w:tcPr>
            <w:tcW w:w="0" w:type="dxa"/>
            <w:vAlign w:val="bottom"/>
          </w:tcPr>
          <w:p>
            <w:pPr>
              <w:spacing w:after="0"/>
              <w:rPr>
                <w:sz w:val="1"/>
                <w:szCs w:val="1"/>
                <w:color w:val="auto"/>
              </w:rPr>
            </w:pPr>
          </w:p>
        </w:tc>
      </w:tr>
      <w:tr>
        <w:trPr>
          <w:trHeight w:val="206"/>
        </w:trPr>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20" w:type="dxa"/>
            <w:vAlign w:val="bottom"/>
            <w:shd w:val="clear" w:color="auto" w:fill="E4E4E4"/>
          </w:tcPr>
          <w:p>
            <w:pPr>
              <w:spacing w:after="0" w:line="189" w:lineRule="exact"/>
              <w:rPr>
                <w:sz w:val="20"/>
                <w:szCs w:val="20"/>
                <w:color w:val="auto"/>
              </w:rPr>
            </w:pPr>
            <w:r>
              <w:rPr>
                <w:rFonts w:ascii="Arial" w:cs="Arial" w:eastAsia="Arial" w:hAnsi="Arial"/>
                <w:sz w:val="18"/>
                <w:szCs w:val="18"/>
                <w:color w:val="1E1E1E"/>
                <w:w w:val="90"/>
              </w:rPr>
              <w:t>Recognition of loss on retirement plan terminations, net</w:t>
            </w:r>
          </w:p>
        </w:tc>
        <w:tc>
          <w:tcPr>
            <w:tcW w:w="140" w:type="dxa"/>
            <w:vAlign w:val="bottom"/>
            <w:shd w:val="clear" w:color="auto" w:fill="E4E4E4"/>
          </w:tcPr>
          <w:p>
            <w:pPr>
              <w:spacing w:after="0"/>
              <w:rPr>
                <w:sz w:val="16"/>
                <w:szCs w:val="16"/>
                <w:color w:val="auto"/>
              </w:rPr>
            </w:pPr>
          </w:p>
        </w:tc>
        <w:tc>
          <w:tcPr>
            <w:tcW w:w="580" w:type="dxa"/>
            <w:vAlign w:val="bottom"/>
            <w:shd w:val="clear" w:color="auto" w:fill="E4E4E4"/>
          </w:tcPr>
          <w:p>
            <w:pPr>
              <w:spacing w:after="0"/>
              <w:rPr>
                <w:sz w:val="16"/>
                <w:szCs w:val="16"/>
                <w:color w:val="auto"/>
              </w:rPr>
            </w:pPr>
          </w:p>
        </w:tc>
        <w:tc>
          <w:tcPr>
            <w:tcW w:w="22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58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78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56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00" w:type="dxa"/>
            <w:vAlign w:val="bottom"/>
            <w:shd w:val="clear" w:color="auto" w:fill="E4E4E4"/>
          </w:tcPr>
          <w:p>
            <w:pPr>
              <w:spacing w:after="0"/>
              <w:rPr>
                <w:sz w:val="16"/>
                <w:szCs w:val="16"/>
                <w:color w:val="auto"/>
              </w:rPr>
            </w:pPr>
          </w:p>
        </w:tc>
        <w:tc>
          <w:tcPr>
            <w:tcW w:w="160" w:type="dxa"/>
            <w:vAlign w:val="bottom"/>
            <w:shd w:val="clear" w:color="auto" w:fill="E4E4E4"/>
          </w:tcPr>
          <w:p>
            <w:pPr>
              <w:spacing w:after="0"/>
              <w:rPr>
                <w:sz w:val="16"/>
                <w:szCs w:val="16"/>
                <w:color w:val="auto"/>
              </w:rPr>
            </w:pPr>
          </w:p>
        </w:tc>
        <w:tc>
          <w:tcPr>
            <w:tcW w:w="60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80" w:type="dxa"/>
            <w:vAlign w:val="bottom"/>
            <w:shd w:val="clear" w:color="auto" w:fill="E4E4E4"/>
          </w:tcPr>
          <w:p>
            <w:pPr>
              <w:spacing w:after="0"/>
              <w:rPr>
                <w:sz w:val="16"/>
                <w:szCs w:val="16"/>
                <w:color w:val="auto"/>
              </w:rPr>
            </w:pPr>
          </w:p>
        </w:tc>
        <w:tc>
          <w:tcPr>
            <w:tcW w:w="70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540" w:type="dxa"/>
            <w:vAlign w:val="bottom"/>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20" w:type="dxa"/>
            <w:vAlign w:val="bottom"/>
            <w:shd w:val="clear" w:color="auto" w:fill="E4E4E4"/>
          </w:tcPr>
          <w:p>
            <w:pPr>
              <w:spacing w:after="0"/>
              <w:rPr>
                <w:sz w:val="20"/>
                <w:szCs w:val="20"/>
                <w:color w:val="auto"/>
              </w:rPr>
            </w:pPr>
            <w:r>
              <w:rPr>
                <w:rFonts w:ascii="Arial" w:cs="Arial" w:eastAsia="Arial" w:hAnsi="Arial"/>
                <w:sz w:val="18"/>
                <w:szCs w:val="18"/>
                <w:color w:val="1E1E1E"/>
              </w:rPr>
              <w:t xml:space="preserve">of taxes </w:t>
            </w:r>
            <w:r>
              <w:rPr>
                <w:rFonts w:ascii="Arial" w:cs="Arial" w:eastAsia="Arial" w:hAnsi="Arial"/>
                <w:sz w:val="11"/>
                <w:szCs w:val="11"/>
                <w:color w:val="1E1E1E"/>
              </w:rPr>
              <w:t>(1)</w:t>
            </w:r>
          </w:p>
        </w:tc>
        <w:tc>
          <w:tcPr>
            <w:tcW w:w="140" w:type="dxa"/>
            <w:vAlign w:val="bottom"/>
            <w:shd w:val="clear" w:color="auto" w:fill="E4E4E4"/>
          </w:tcPr>
          <w:p>
            <w:pPr>
              <w:spacing w:after="0"/>
              <w:rPr>
                <w:sz w:val="19"/>
                <w:szCs w:val="19"/>
                <w:color w:val="auto"/>
              </w:rPr>
            </w:pPr>
          </w:p>
        </w:tc>
        <w:tc>
          <w:tcPr>
            <w:tcW w:w="580" w:type="dxa"/>
            <w:vAlign w:val="bottom"/>
            <w:shd w:val="clear" w:color="auto" w:fill="E4E4E4"/>
          </w:tcPr>
          <w:p>
            <w:pPr>
              <w:jc w:val="right"/>
              <w:spacing w:after="0"/>
              <w:rPr>
                <w:sz w:val="20"/>
                <w:szCs w:val="20"/>
                <w:color w:val="auto"/>
              </w:rPr>
            </w:pPr>
            <w:r>
              <w:rPr>
                <w:rFonts w:ascii="Arial" w:cs="Arial" w:eastAsia="Arial" w:hAnsi="Arial"/>
                <w:sz w:val="18"/>
                <w:szCs w:val="18"/>
                <w:color w:val="1E1E1E"/>
              </w:rPr>
              <w:t>5,052</w:t>
            </w:r>
          </w:p>
        </w:tc>
        <w:tc>
          <w:tcPr>
            <w:tcW w:w="2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820" w:type="dxa"/>
            <w:vAlign w:val="bottom"/>
            <w:gridSpan w:val="2"/>
            <w:shd w:val="clear" w:color="auto" w:fill="E4E4E4"/>
          </w:tcPr>
          <w:p>
            <w:pPr>
              <w:jc w:val="right"/>
              <w:ind w:right="161"/>
              <w:spacing w:after="0"/>
              <w:rPr>
                <w:sz w:val="20"/>
                <w:szCs w:val="20"/>
                <w:color w:val="auto"/>
              </w:rPr>
            </w:pPr>
            <w:r>
              <w:rPr>
                <w:rFonts w:ascii="Arial" w:cs="Arial" w:eastAsia="Arial" w:hAnsi="Arial"/>
                <w:sz w:val="18"/>
                <w:szCs w:val="18"/>
                <w:color w:val="1E1E1E"/>
              </w:rPr>
              <w:t>—</w:t>
            </w:r>
          </w:p>
        </w:tc>
        <w:tc>
          <w:tcPr>
            <w:tcW w:w="140" w:type="dxa"/>
            <w:vAlign w:val="bottom"/>
            <w:shd w:val="clear" w:color="auto" w:fill="E4E4E4"/>
          </w:tcPr>
          <w:p>
            <w:pPr>
              <w:spacing w:after="0"/>
              <w:rPr>
                <w:sz w:val="19"/>
                <w:szCs w:val="19"/>
                <w:color w:val="auto"/>
              </w:rPr>
            </w:pPr>
          </w:p>
        </w:tc>
        <w:tc>
          <w:tcPr>
            <w:tcW w:w="1040" w:type="dxa"/>
            <w:vAlign w:val="bottom"/>
            <w:gridSpan w:val="2"/>
            <w:shd w:val="clear" w:color="auto" w:fill="E4E4E4"/>
          </w:tcPr>
          <w:p>
            <w:pPr>
              <w:jc w:val="right"/>
              <w:ind w:right="260"/>
              <w:spacing w:after="0"/>
              <w:rPr>
                <w:sz w:val="20"/>
                <w:szCs w:val="20"/>
                <w:color w:val="auto"/>
              </w:rPr>
            </w:pPr>
            <w:r>
              <w:rPr>
                <w:rFonts w:ascii="Arial" w:cs="Arial" w:eastAsia="Arial" w:hAnsi="Arial"/>
                <w:sz w:val="18"/>
                <w:szCs w:val="18"/>
                <w:color w:val="1E1E1E"/>
              </w:rPr>
              <w:t>—</w:t>
            </w:r>
          </w:p>
        </w:tc>
        <w:tc>
          <w:tcPr>
            <w:tcW w:w="120" w:type="dxa"/>
            <w:vAlign w:val="bottom"/>
            <w:shd w:val="clear" w:color="auto" w:fill="E4E4E4"/>
          </w:tcPr>
          <w:p>
            <w:pPr>
              <w:spacing w:after="0"/>
              <w:rPr>
                <w:sz w:val="19"/>
                <w:szCs w:val="19"/>
                <w:color w:val="auto"/>
              </w:rPr>
            </w:pPr>
          </w:p>
        </w:tc>
        <w:tc>
          <w:tcPr>
            <w:tcW w:w="780" w:type="dxa"/>
            <w:vAlign w:val="bottom"/>
            <w:gridSpan w:val="3"/>
            <w:shd w:val="clear" w:color="auto" w:fill="E4E4E4"/>
          </w:tcPr>
          <w:p>
            <w:pPr>
              <w:jc w:val="right"/>
              <w:ind w:right="181"/>
              <w:spacing w:after="0"/>
              <w:rPr>
                <w:sz w:val="20"/>
                <w:szCs w:val="20"/>
                <w:color w:val="auto"/>
              </w:rPr>
            </w:pPr>
            <w:r>
              <w:rPr>
                <w:rFonts w:ascii="Arial" w:cs="Arial" w:eastAsia="Arial" w:hAnsi="Arial"/>
                <w:sz w:val="18"/>
                <w:szCs w:val="18"/>
                <w:color w:val="1E1E1E"/>
              </w:rPr>
              <w:t>—</w:t>
            </w:r>
          </w:p>
        </w:tc>
        <w:tc>
          <w:tcPr>
            <w:tcW w:w="160" w:type="dxa"/>
            <w:vAlign w:val="bottom"/>
            <w:shd w:val="clear" w:color="auto" w:fill="E4E4E4"/>
          </w:tcPr>
          <w:p>
            <w:pPr>
              <w:spacing w:after="0"/>
              <w:rPr>
                <w:sz w:val="19"/>
                <w:szCs w:val="19"/>
                <w:color w:val="auto"/>
              </w:rPr>
            </w:pPr>
          </w:p>
        </w:tc>
        <w:tc>
          <w:tcPr>
            <w:tcW w:w="740" w:type="dxa"/>
            <w:vAlign w:val="bottom"/>
            <w:gridSpan w:val="3"/>
            <w:shd w:val="clear" w:color="auto" w:fill="E4E4E4"/>
          </w:tcPr>
          <w:p>
            <w:pPr>
              <w:jc w:val="right"/>
              <w:ind w:right="101"/>
              <w:spacing w:after="0"/>
              <w:rPr>
                <w:sz w:val="20"/>
                <w:szCs w:val="20"/>
                <w:color w:val="auto"/>
              </w:rPr>
            </w:pPr>
            <w:r>
              <w:rPr>
                <w:rFonts w:ascii="Arial" w:cs="Arial" w:eastAsia="Arial" w:hAnsi="Arial"/>
                <w:sz w:val="18"/>
                <w:szCs w:val="18"/>
                <w:color w:val="1E1E1E"/>
              </w:rPr>
              <w:t>—</w:t>
            </w:r>
          </w:p>
        </w:tc>
        <w:tc>
          <w:tcPr>
            <w:tcW w:w="1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940" w:type="dxa"/>
            <w:vAlign w:val="bottom"/>
            <w:gridSpan w:val="2"/>
            <w:shd w:val="clear" w:color="auto" w:fill="E4E4E4"/>
          </w:tcPr>
          <w:p>
            <w:pPr>
              <w:jc w:val="right"/>
              <w:ind w:right="240"/>
              <w:spacing w:after="0"/>
              <w:rPr>
                <w:sz w:val="20"/>
                <w:szCs w:val="20"/>
                <w:color w:val="auto"/>
              </w:rPr>
            </w:pPr>
            <w:r>
              <w:rPr>
                <w:rFonts w:ascii="Arial" w:cs="Arial" w:eastAsia="Arial" w:hAnsi="Arial"/>
                <w:sz w:val="18"/>
                <w:szCs w:val="18"/>
                <w:color w:val="1E1E1E"/>
              </w:rPr>
              <w:t>—</w:t>
            </w:r>
          </w:p>
        </w:tc>
        <w:tc>
          <w:tcPr>
            <w:tcW w:w="120" w:type="dxa"/>
            <w:vAlign w:val="bottom"/>
            <w:shd w:val="clear" w:color="auto" w:fill="E4E4E4"/>
          </w:tcPr>
          <w:p>
            <w:pPr>
              <w:spacing w:after="0"/>
              <w:rPr>
                <w:sz w:val="19"/>
                <w:szCs w:val="19"/>
                <w:color w:val="auto"/>
              </w:rPr>
            </w:pPr>
          </w:p>
        </w:tc>
        <w:tc>
          <w:tcPr>
            <w:tcW w:w="640" w:type="dxa"/>
            <w:vAlign w:val="bottom"/>
            <w:gridSpan w:val="2"/>
            <w:shd w:val="clear" w:color="auto" w:fill="E4E4E4"/>
          </w:tcPr>
          <w:p>
            <w:pPr>
              <w:jc w:val="right"/>
              <w:ind w:right="21"/>
              <w:spacing w:after="0"/>
              <w:rPr>
                <w:sz w:val="20"/>
                <w:szCs w:val="20"/>
                <w:color w:val="auto"/>
              </w:rPr>
            </w:pPr>
            <w:r>
              <w:rPr>
                <w:rFonts w:ascii="Arial" w:cs="Arial" w:eastAsia="Arial" w:hAnsi="Arial"/>
                <w:sz w:val="18"/>
                <w:szCs w:val="18"/>
                <w:color w:val="1E1E1E"/>
              </w:rPr>
              <w:t>—</w:t>
            </w:r>
          </w:p>
        </w:tc>
        <w:tc>
          <w:tcPr>
            <w:tcW w:w="0" w:type="dxa"/>
            <w:vAlign w:val="bottom"/>
          </w:tcPr>
          <w:p>
            <w:pPr>
              <w:spacing w:after="0"/>
              <w:rPr>
                <w:sz w:val="1"/>
                <w:szCs w:val="1"/>
                <w:color w:val="auto"/>
              </w:rPr>
            </w:pPr>
          </w:p>
        </w:tc>
      </w:tr>
      <w:tr>
        <w:trPr>
          <w:trHeight w:val="206"/>
        </w:trPr>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20" w:type="dxa"/>
            <w:vAlign w:val="bottom"/>
            <w:shd w:val="clear" w:color="auto" w:fill="E4E4E4"/>
          </w:tcPr>
          <w:p>
            <w:pPr>
              <w:spacing w:after="0" w:line="189" w:lineRule="exact"/>
              <w:rPr>
                <w:sz w:val="20"/>
                <w:szCs w:val="20"/>
                <w:color w:val="auto"/>
              </w:rPr>
            </w:pPr>
            <w:r>
              <w:rPr>
                <w:rFonts w:ascii="Arial" w:cs="Arial" w:eastAsia="Arial" w:hAnsi="Arial"/>
                <w:sz w:val="18"/>
                <w:szCs w:val="18"/>
                <w:color w:val="1E1E1E"/>
              </w:rPr>
              <w:t>Recognition of accumulated foreign currency</w:t>
            </w:r>
          </w:p>
        </w:tc>
        <w:tc>
          <w:tcPr>
            <w:tcW w:w="140" w:type="dxa"/>
            <w:vAlign w:val="bottom"/>
            <w:shd w:val="clear" w:color="auto" w:fill="E4E4E4"/>
          </w:tcPr>
          <w:p>
            <w:pPr>
              <w:spacing w:after="0"/>
              <w:rPr>
                <w:sz w:val="16"/>
                <w:szCs w:val="16"/>
                <w:color w:val="auto"/>
              </w:rPr>
            </w:pPr>
          </w:p>
        </w:tc>
        <w:tc>
          <w:tcPr>
            <w:tcW w:w="580" w:type="dxa"/>
            <w:vAlign w:val="bottom"/>
            <w:shd w:val="clear" w:color="auto" w:fill="E4E4E4"/>
          </w:tcPr>
          <w:p>
            <w:pPr>
              <w:spacing w:after="0"/>
              <w:rPr>
                <w:sz w:val="16"/>
                <w:szCs w:val="16"/>
                <w:color w:val="auto"/>
              </w:rPr>
            </w:pPr>
          </w:p>
        </w:tc>
        <w:tc>
          <w:tcPr>
            <w:tcW w:w="22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58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78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56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00" w:type="dxa"/>
            <w:vAlign w:val="bottom"/>
            <w:shd w:val="clear" w:color="auto" w:fill="E4E4E4"/>
          </w:tcPr>
          <w:p>
            <w:pPr>
              <w:spacing w:after="0"/>
              <w:rPr>
                <w:sz w:val="16"/>
                <w:szCs w:val="16"/>
                <w:color w:val="auto"/>
              </w:rPr>
            </w:pPr>
          </w:p>
        </w:tc>
        <w:tc>
          <w:tcPr>
            <w:tcW w:w="160" w:type="dxa"/>
            <w:vAlign w:val="bottom"/>
            <w:shd w:val="clear" w:color="auto" w:fill="E4E4E4"/>
          </w:tcPr>
          <w:p>
            <w:pPr>
              <w:spacing w:after="0"/>
              <w:rPr>
                <w:sz w:val="16"/>
                <w:szCs w:val="16"/>
                <w:color w:val="auto"/>
              </w:rPr>
            </w:pPr>
          </w:p>
        </w:tc>
        <w:tc>
          <w:tcPr>
            <w:tcW w:w="60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80" w:type="dxa"/>
            <w:vAlign w:val="bottom"/>
            <w:shd w:val="clear" w:color="auto" w:fill="E4E4E4"/>
          </w:tcPr>
          <w:p>
            <w:pPr>
              <w:spacing w:after="0"/>
              <w:rPr>
                <w:sz w:val="16"/>
                <w:szCs w:val="16"/>
                <w:color w:val="auto"/>
              </w:rPr>
            </w:pPr>
          </w:p>
        </w:tc>
        <w:tc>
          <w:tcPr>
            <w:tcW w:w="70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540" w:type="dxa"/>
            <w:vAlign w:val="bottom"/>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E4E4E4"/>
          </w:tcPr>
          <w:p>
            <w:pPr>
              <w:spacing w:after="0"/>
              <w:rPr>
                <w:sz w:val="20"/>
                <w:szCs w:val="20"/>
                <w:color w:val="auto"/>
              </w:rPr>
            </w:pPr>
            <w:r>
              <w:rPr>
                <w:rFonts w:ascii="Arial" w:cs="Arial" w:eastAsia="Arial" w:hAnsi="Arial"/>
                <w:sz w:val="18"/>
                <w:szCs w:val="18"/>
                <w:color w:val="1E1E1E"/>
              </w:rPr>
              <w:t xml:space="preserve">translation adjustment </w:t>
            </w:r>
            <w:r>
              <w:rPr>
                <w:rFonts w:ascii="Arial" w:cs="Arial" w:eastAsia="Arial" w:hAnsi="Arial"/>
                <w:sz w:val="11"/>
                <w:szCs w:val="11"/>
                <w:color w:val="1E1E1E"/>
              </w:rPr>
              <w:t>(2)</w:t>
            </w:r>
          </w:p>
        </w:tc>
        <w:tc>
          <w:tcPr>
            <w:tcW w:w="140" w:type="dxa"/>
            <w:vAlign w:val="bottom"/>
            <w:shd w:val="clear" w:color="auto" w:fill="E4E4E4"/>
          </w:tcPr>
          <w:p>
            <w:pPr>
              <w:spacing w:after="0"/>
              <w:rPr>
                <w:sz w:val="19"/>
                <w:szCs w:val="19"/>
                <w:color w:val="auto"/>
              </w:rPr>
            </w:pPr>
          </w:p>
        </w:tc>
        <w:tc>
          <w:tcPr>
            <w:tcW w:w="800" w:type="dxa"/>
            <w:vAlign w:val="bottom"/>
            <w:gridSpan w:val="2"/>
            <w:shd w:val="clear" w:color="auto" w:fill="E4E4E4"/>
          </w:tcPr>
          <w:p>
            <w:pPr>
              <w:jc w:val="right"/>
              <w:ind w:right="141"/>
              <w:spacing w:after="0"/>
              <w:rPr>
                <w:sz w:val="20"/>
                <w:szCs w:val="20"/>
                <w:color w:val="auto"/>
              </w:rPr>
            </w:pPr>
            <w:r>
              <w:rPr>
                <w:rFonts w:ascii="Arial" w:cs="Arial" w:eastAsia="Arial" w:hAnsi="Arial"/>
                <w:sz w:val="18"/>
                <w:szCs w:val="18"/>
                <w:color w:val="1E1E1E"/>
              </w:rPr>
              <w:t>—</w:t>
            </w:r>
          </w:p>
        </w:tc>
        <w:tc>
          <w:tcPr>
            <w:tcW w:w="140" w:type="dxa"/>
            <w:vAlign w:val="bottom"/>
            <w:shd w:val="clear" w:color="auto" w:fill="E4E4E4"/>
          </w:tcPr>
          <w:p>
            <w:pPr>
              <w:spacing w:after="0"/>
              <w:rPr>
                <w:sz w:val="19"/>
                <w:szCs w:val="19"/>
                <w:color w:val="auto"/>
              </w:rPr>
            </w:pPr>
          </w:p>
        </w:tc>
        <w:tc>
          <w:tcPr>
            <w:tcW w:w="820" w:type="dxa"/>
            <w:vAlign w:val="bottom"/>
            <w:gridSpan w:val="2"/>
            <w:shd w:val="clear" w:color="auto" w:fill="E4E4E4"/>
          </w:tcPr>
          <w:p>
            <w:pPr>
              <w:jc w:val="right"/>
              <w:ind w:right="161"/>
              <w:spacing w:after="0"/>
              <w:rPr>
                <w:sz w:val="20"/>
                <w:szCs w:val="20"/>
                <w:color w:val="auto"/>
              </w:rPr>
            </w:pPr>
            <w:r>
              <w:rPr>
                <w:rFonts w:ascii="Arial" w:cs="Arial" w:eastAsia="Arial" w:hAnsi="Arial"/>
                <w:sz w:val="18"/>
                <w:szCs w:val="18"/>
                <w:color w:val="1E1E1E"/>
              </w:rPr>
              <w:t>—</w:t>
            </w:r>
          </w:p>
        </w:tc>
        <w:tc>
          <w:tcPr>
            <w:tcW w:w="140" w:type="dxa"/>
            <w:vAlign w:val="bottom"/>
            <w:shd w:val="clear" w:color="auto" w:fill="E4E4E4"/>
          </w:tcPr>
          <w:p>
            <w:pPr>
              <w:spacing w:after="0"/>
              <w:rPr>
                <w:sz w:val="19"/>
                <w:szCs w:val="19"/>
                <w:color w:val="auto"/>
              </w:rPr>
            </w:pPr>
          </w:p>
        </w:tc>
        <w:tc>
          <w:tcPr>
            <w:tcW w:w="1040" w:type="dxa"/>
            <w:vAlign w:val="bottom"/>
            <w:gridSpan w:val="2"/>
            <w:shd w:val="clear" w:color="auto" w:fill="E4E4E4"/>
          </w:tcPr>
          <w:p>
            <w:pPr>
              <w:jc w:val="right"/>
              <w:ind w:right="240"/>
              <w:spacing w:after="0"/>
              <w:rPr>
                <w:sz w:val="20"/>
                <w:szCs w:val="20"/>
                <w:color w:val="auto"/>
              </w:rPr>
            </w:pPr>
            <w:r>
              <w:rPr>
                <w:rFonts w:ascii="Arial" w:cs="Arial" w:eastAsia="Arial" w:hAnsi="Arial"/>
                <w:sz w:val="18"/>
                <w:szCs w:val="18"/>
                <w:color w:val="1E1E1E"/>
              </w:rPr>
              <w:t>66</w:t>
            </w:r>
          </w:p>
        </w:tc>
        <w:tc>
          <w:tcPr>
            <w:tcW w:w="120" w:type="dxa"/>
            <w:vAlign w:val="bottom"/>
            <w:shd w:val="clear" w:color="auto" w:fill="E4E4E4"/>
          </w:tcPr>
          <w:p>
            <w:pPr>
              <w:spacing w:after="0"/>
              <w:rPr>
                <w:sz w:val="19"/>
                <w:szCs w:val="19"/>
                <w:color w:val="auto"/>
              </w:rPr>
            </w:pPr>
          </w:p>
        </w:tc>
        <w:tc>
          <w:tcPr>
            <w:tcW w:w="580" w:type="dxa"/>
            <w:vAlign w:val="bottom"/>
            <w:gridSpan w:val="2"/>
            <w:shd w:val="clear" w:color="auto" w:fill="E4E4E4"/>
          </w:tcPr>
          <w:p>
            <w:pPr>
              <w:jc w:val="right"/>
              <w:ind w:right="20"/>
              <w:spacing w:after="0"/>
              <w:rPr>
                <w:sz w:val="20"/>
                <w:szCs w:val="20"/>
                <w:color w:val="auto"/>
              </w:rPr>
            </w:pPr>
            <w:r>
              <w:rPr>
                <w:rFonts w:ascii="Arial" w:cs="Arial" w:eastAsia="Arial" w:hAnsi="Arial"/>
                <w:sz w:val="18"/>
                <w:szCs w:val="18"/>
                <w:color w:val="1E1E1E"/>
              </w:rPr>
              <w:t>66</w:t>
            </w:r>
          </w:p>
        </w:tc>
        <w:tc>
          <w:tcPr>
            <w:tcW w:w="20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740" w:type="dxa"/>
            <w:vAlign w:val="bottom"/>
            <w:gridSpan w:val="3"/>
            <w:shd w:val="clear" w:color="auto" w:fill="E4E4E4"/>
          </w:tcPr>
          <w:p>
            <w:pPr>
              <w:jc w:val="right"/>
              <w:ind w:right="101"/>
              <w:spacing w:after="0"/>
              <w:rPr>
                <w:sz w:val="20"/>
                <w:szCs w:val="20"/>
                <w:color w:val="auto"/>
              </w:rPr>
            </w:pPr>
            <w:r>
              <w:rPr>
                <w:rFonts w:ascii="Arial" w:cs="Arial" w:eastAsia="Arial" w:hAnsi="Arial"/>
                <w:sz w:val="18"/>
                <w:szCs w:val="18"/>
                <w:color w:val="1E1E1E"/>
              </w:rPr>
              <w:t>—</w:t>
            </w:r>
          </w:p>
        </w:tc>
        <w:tc>
          <w:tcPr>
            <w:tcW w:w="1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940" w:type="dxa"/>
            <w:vAlign w:val="bottom"/>
            <w:gridSpan w:val="2"/>
            <w:shd w:val="clear" w:color="auto" w:fill="E4E4E4"/>
          </w:tcPr>
          <w:p>
            <w:pPr>
              <w:jc w:val="right"/>
              <w:ind w:right="240"/>
              <w:spacing w:after="0"/>
              <w:rPr>
                <w:sz w:val="20"/>
                <w:szCs w:val="20"/>
                <w:color w:val="auto"/>
              </w:rPr>
            </w:pPr>
            <w:r>
              <w:rPr>
                <w:rFonts w:ascii="Arial" w:cs="Arial" w:eastAsia="Arial" w:hAnsi="Arial"/>
                <w:sz w:val="18"/>
                <w:szCs w:val="18"/>
                <w:color w:val="1E1E1E"/>
              </w:rPr>
              <w:t>—</w:t>
            </w:r>
          </w:p>
        </w:tc>
        <w:tc>
          <w:tcPr>
            <w:tcW w:w="120" w:type="dxa"/>
            <w:vAlign w:val="bottom"/>
            <w:shd w:val="clear" w:color="auto" w:fill="E4E4E4"/>
          </w:tcPr>
          <w:p>
            <w:pPr>
              <w:spacing w:after="0"/>
              <w:rPr>
                <w:sz w:val="19"/>
                <w:szCs w:val="19"/>
                <w:color w:val="auto"/>
              </w:rPr>
            </w:pPr>
          </w:p>
        </w:tc>
        <w:tc>
          <w:tcPr>
            <w:tcW w:w="640" w:type="dxa"/>
            <w:vAlign w:val="bottom"/>
            <w:gridSpan w:val="2"/>
            <w:shd w:val="clear" w:color="auto" w:fill="E4E4E4"/>
          </w:tcPr>
          <w:p>
            <w:pPr>
              <w:jc w:val="right"/>
              <w:ind w:right="21"/>
              <w:spacing w:after="0"/>
              <w:rPr>
                <w:sz w:val="20"/>
                <w:szCs w:val="20"/>
                <w:color w:val="auto"/>
              </w:rPr>
            </w:pPr>
            <w:r>
              <w:rPr>
                <w:rFonts w:ascii="Arial" w:cs="Arial" w:eastAsia="Arial" w:hAnsi="Arial"/>
                <w:sz w:val="18"/>
                <w:szCs w:val="18"/>
                <w:color w:val="1E1E1E"/>
              </w:rPr>
              <w:t>—</w:t>
            </w:r>
          </w:p>
        </w:tc>
        <w:tc>
          <w:tcPr>
            <w:tcW w:w="0" w:type="dxa"/>
            <w:vAlign w:val="bottom"/>
          </w:tcPr>
          <w:p>
            <w:pPr>
              <w:spacing w:after="0"/>
              <w:rPr>
                <w:sz w:val="1"/>
                <w:szCs w:val="1"/>
                <w:color w:val="auto"/>
              </w:rPr>
            </w:pPr>
          </w:p>
        </w:tc>
      </w:tr>
      <w:tr>
        <w:trPr>
          <w:trHeight w:val="209"/>
        </w:trPr>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20" w:type="dxa"/>
            <w:vAlign w:val="bottom"/>
            <w:shd w:val="clear" w:color="auto" w:fill="E4E4E4"/>
          </w:tcPr>
          <w:p>
            <w:pPr>
              <w:spacing w:after="0" w:line="187" w:lineRule="exact"/>
              <w:rPr>
                <w:sz w:val="20"/>
                <w:szCs w:val="20"/>
                <w:color w:val="auto"/>
              </w:rPr>
            </w:pPr>
            <w:r>
              <w:rPr>
                <w:rFonts w:ascii="Arial" w:cs="Arial" w:eastAsia="Arial" w:hAnsi="Arial"/>
                <w:sz w:val="18"/>
                <w:szCs w:val="18"/>
                <w:color w:val="1E1E1E"/>
              </w:rPr>
              <w:t>Amounts reclassified from accumulated</w:t>
            </w:r>
          </w:p>
        </w:tc>
        <w:tc>
          <w:tcPr>
            <w:tcW w:w="140" w:type="dxa"/>
            <w:vAlign w:val="bottom"/>
            <w:shd w:val="clear" w:color="auto" w:fill="E4E4E4"/>
          </w:tcPr>
          <w:p>
            <w:pPr>
              <w:spacing w:after="0"/>
              <w:rPr>
                <w:sz w:val="16"/>
                <w:szCs w:val="16"/>
                <w:color w:val="auto"/>
              </w:rPr>
            </w:pPr>
          </w:p>
        </w:tc>
        <w:tc>
          <w:tcPr>
            <w:tcW w:w="580" w:type="dxa"/>
            <w:vAlign w:val="bottom"/>
            <w:shd w:val="clear" w:color="auto" w:fill="E4E4E4"/>
          </w:tcPr>
          <w:p>
            <w:pPr>
              <w:spacing w:after="0"/>
              <w:rPr>
                <w:sz w:val="16"/>
                <w:szCs w:val="16"/>
                <w:color w:val="auto"/>
              </w:rPr>
            </w:pPr>
          </w:p>
        </w:tc>
        <w:tc>
          <w:tcPr>
            <w:tcW w:w="22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58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78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56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00" w:type="dxa"/>
            <w:vAlign w:val="bottom"/>
            <w:shd w:val="clear" w:color="auto" w:fill="E4E4E4"/>
          </w:tcPr>
          <w:p>
            <w:pPr>
              <w:spacing w:after="0"/>
              <w:rPr>
                <w:sz w:val="16"/>
                <w:szCs w:val="16"/>
                <w:color w:val="auto"/>
              </w:rPr>
            </w:pPr>
          </w:p>
        </w:tc>
        <w:tc>
          <w:tcPr>
            <w:tcW w:w="160" w:type="dxa"/>
            <w:vAlign w:val="bottom"/>
            <w:shd w:val="clear" w:color="auto" w:fill="E4E4E4"/>
          </w:tcPr>
          <w:p>
            <w:pPr>
              <w:spacing w:after="0"/>
              <w:rPr>
                <w:sz w:val="16"/>
                <w:szCs w:val="16"/>
                <w:color w:val="auto"/>
              </w:rPr>
            </w:pPr>
          </w:p>
        </w:tc>
        <w:tc>
          <w:tcPr>
            <w:tcW w:w="60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80" w:type="dxa"/>
            <w:vAlign w:val="bottom"/>
            <w:shd w:val="clear" w:color="auto" w:fill="E4E4E4"/>
          </w:tcPr>
          <w:p>
            <w:pPr>
              <w:spacing w:after="0"/>
              <w:rPr>
                <w:sz w:val="16"/>
                <w:szCs w:val="16"/>
                <w:color w:val="auto"/>
              </w:rPr>
            </w:pPr>
          </w:p>
        </w:tc>
        <w:tc>
          <w:tcPr>
            <w:tcW w:w="70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540" w:type="dxa"/>
            <w:vAlign w:val="bottom"/>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E4E4E4"/>
          </w:tcPr>
          <w:p>
            <w:pPr>
              <w:ind w:left="140"/>
              <w:spacing w:after="0"/>
              <w:rPr>
                <w:sz w:val="20"/>
                <w:szCs w:val="20"/>
                <w:color w:val="auto"/>
              </w:rPr>
            </w:pPr>
            <w:r>
              <w:rPr>
                <w:rFonts w:ascii="Arial" w:cs="Arial" w:eastAsia="Arial" w:hAnsi="Arial"/>
                <w:sz w:val="18"/>
                <w:szCs w:val="18"/>
                <w:color w:val="1E1E1E"/>
              </w:rPr>
              <w:t>other comprehensive income (loss),</w:t>
            </w:r>
          </w:p>
        </w:tc>
        <w:tc>
          <w:tcPr>
            <w:tcW w:w="140" w:type="dxa"/>
            <w:vAlign w:val="bottom"/>
            <w:shd w:val="clear" w:color="auto" w:fill="E4E4E4"/>
          </w:tcPr>
          <w:p>
            <w:pPr>
              <w:spacing w:after="0"/>
              <w:rPr>
                <w:sz w:val="18"/>
                <w:szCs w:val="18"/>
                <w:color w:val="auto"/>
              </w:rPr>
            </w:pPr>
          </w:p>
        </w:tc>
        <w:tc>
          <w:tcPr>
            <w:tcW w:w="58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58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78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5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60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70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54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20" w:type="dxa"/>
            <w:vAlign w:val="bottom"/>
            <w:shd w:val="clear" w:color="auto" w:fill="E4E4E4"/>
          </w:tcPr>
          <w:p>
            <w:pPr>
              <w:ind w:left="140"/>
              <w:spacing w:after="0"/>
              <w:rPr>
                <w:sz w:val="20"/>
                <w:szCs w:val="20"/>
                <w:color w:val="auto"/>
              </w:rPr>
            </w:pPr>
            <w:r>
              <w:rPr>
                <w:rFonts w:ascii="Arial" w:cs="Arial" w:eastAsia="Arial" w:hAnsi="Arial"/>
                <w:sz w:val="18"/>
                <w:szCs w:val="18"/>
                <w:color w:val="1E1E1E"/>
              </w:rPr>
              <w:t xml:space="preserve">net of taxes </w:t>
            </w:r>
            <w:r>
              <w:rPr>
                <w:rFonts w:ascii="Arial" w:cs="Arial" w:eastAsia="Arial" w:hAnsi="Arial"/>
                <w:sz w:val="11"/>
                <w:szCs w:val="11"/>
                <w:color w:val="1E1E1E"/>
              </w:rPr>
              <w:t>(3)</w:t>
            </w:r>
          </w:p>
        </w:tc>
        <w:tc>
          <w:tcPr>
            <w:tcW w:w="140" w:type="dxa"/>
            <w:vAlign w:val="bottom"/>
            <w:shd w:val="clear" w:color="auto" w:fill="E4E4E4"/>
          </w:tcPr>
          <w:p>
            <w:pPr>
              <w:spacing w:after="0"/>
              <w:rPr>
                <w:sz w:val="19"/>
                <w:szCs w:val="19"/>
                <w:color w:val="auto"/>
              </w:rPr>
            </w:pPr>
          </w:p>
        </w:tc>
        <w:tc>
          <w:tcPr>
            <w:tcW w:w="580" w:type="dxa"/>
            <w:vAlign w:val="bottom"/>
            <w:shd w:val="clear" w:color="auto" w:fill="E4E4E4"/>
          </w:tcPr>
          <w:p>
            <w:pPr>
              <w:jc w:val="right"/>
              <w:spacing w:after="0"/>
              <w:rPr>
                <w:sz w:val="20"/>
                <w:szCs w:val="20"/>
                <w:color w:val="auto"/>
              </w:rPr>
            </w:pPr>
            <w:r>
              <w:rPr>
                <w:rFonts w:ascii="Arial" w:cs="Arial" w:eastAsia="Arial" w:hAnsi="Arial"/>
                <w:sz w:val="18"/>
                <w:szCs w:val="18"/>
                <w:color w:val="1E1E1E"/>
              </w:rPr>
              <w:t>75</w:t>
            </w:r>
          </w:p>
        </w:tc>
        <w:tc>
          <w:tcPr>
            <w:tcW w:w="2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820" w:type="dxa"/>
            <w:vAlign w:val="bottom"/>
            <w:gridSpan w:val="2"/>
            <w:shd w:val="clear" w:color="auto" w:fill="E4E4E4"/>
          </w:tcPr>
          <w:p>
            <w:pPr>
              <w:jc w:val="right"/>
              <w:ind w:right="101"/>
              <w:spacing w:after="0"/>
              <w:rPr>
                <w:sz w:val="20"/>
                <w:szCs w:val="20"/>
                <w:color w:val="auto"/>
              </w:rPr>
            </w:pPr>
            <w:r>
              <w:rPr>
                <w:rFonts w:ascii="Arial" w:cs="Arial" w:eastAsia="Arial" w:hAnsi="Arial"/>
                <w:sz w:val="18"/>
                <w:szCs w:val="18"/>
                <w:color w:val="1E1E1E"/>
              </w:rPr>
              <w:t>(30)</w:t>
            </w:r>
          </w:p>
        </w:tc>
        <w:tc>
          <w:tcPr>
            <w:tcW w:w="140" w:type="dxa"/>
            <w:vAlign w:val="bottom"/>
            <w:shd w:val="clear" w:color="auto" w:fill="E4E4E4"/>
          </w:tcPr>
          <w:p>
            <w:pPr>
              <w:spacing w:after="0"/>
              <w:rPr>
                <w:sz w:val="19"/>
                <w:szCs w:val="19"/>
                <w:color w:val="auto"/>
              </w:rPr>
            </w:pPr>
          </w:p>
        </w:tc>
        <w:tc>
          <w:tcPr>
            <w:tcW w:w="1040" w:type="dxa"/>
            <w:vAlign w:val="bottom"/>
            <w:gridSpan w:val="2"/>
            <w:shd w:val="clear" w:color="auto" w:fill="E4E4E4"/>
          </w:tcPr>
          <w:p>
            <w:pPr>
              <w:jc w:val="right"/>
              <w:ind w:right="260"/>
              <w:spacing w:after="0"/>
              <w:rPr>
                <w:sz w:val="20"/>
                <w:szCs w:val="20"/>
                <w:color w:val="auto"/>
              </w:rPr>
            </w:pPr>
            <w:r>
              <w:rPr>
                <w:rFonts w:ascii="Arial" w:cs="Arial" w:eastAsia="Arial" w:hAnsi="Arial"/>
                <w:sz w:val="18"/>
                <w:szCs w:val="18"/>
                <w:color w:val="1E1E1E"/>
              </w:rPr>
              <w:t>—</w:t>
            </w:r>
          </w:p>
        </w:tc>
        <w:tc>
          <w:tcPr>
            <w:tcW w:w="120" w:type="dxa"/>
            <w:vAlign w:val="bottom"/>
            <w:shd w:val="clear" w:color="auto" w:fill="E4E4E4"/>
          </w:tcPr>
          <w:p>
            <w:pPr>
              <w:spacing w:after="0"/>
              <w:rPr>
                <w:sz w:val="19"/>
                <w:szCs w:val="19"/>
                <w:color w:val="auto"/>
              </w:rPr>
            </w:pPr>
          </w:p>
        </w:tc>
        <w:tc>
          <w:tcPr>
            <w:tcW w:w="780" w:type="dxa"/>
            <w:vAlign w:val="bottom"/>
            <w:gridSpan w:val="3"/>
            <w:shd w:val="clear" w:color="auto" w:fill="E4E4E4"/>
          </w:tcPr>
          <w:p>
            <w:pPr>
              <w:jc w:val="right"/>
              <w:ind w:right="121"/>
              <w:spacing w:after="0"/>
              <w:rPr>
                <w:sz w:val="20"/>
                <w:szCs w:val="20"/>
                <w:color w:val="auto"/>
              </w:rPr>
            </w:pPr>
            <w:r>
              <w:rPr>
                <w:rFonts w:ascii="Arial" w:cs="Arial" w:eastAsia="Arial" w:hAnsi="Arial"/>
                <w:sz w:val="18"/>
                <w:szCs w:val="18"/>
                <w:color w:val="1E1E1E"/>
              </w:rPr>
              <w:t>(30)</w:t>
            </w:r>
          </w:p>
        </w:tc>
        <w:tc>
          <w:tcPr>
            <w:tcW w:w="160" w:type="dxa"/>
            <w:vAlign w:val="bottom"/>
            <w:shd w:val="clear" w:color="auto" w:fill="E4E4E4"/>
          </w:tcPr>
          <w:p>
            <w:pPr>
              <w:spacing w:after="0"/>
              <w:rPr>
                <w:sz w:val="19"/>
                <w:szCs w:val="19"/>
                <w:color w:val="auto"/>
              </w:rPr>
            </w:pPr>
          </w:p>
        </w:tc>
        <w:tc>
          <w:tcPr>
            <w:tcW w:w="740" w:type="dxa"/>
            <w:vAlign w:val="bottom"/>
            <w:gridSpan w:val="3"/>
            <w:shd w:val="clear" w:color="auto" w:fill="E4E4E4"/>
          </w:tcPr>
          <w:p>
            <w:pPr>
              <w:jc w:val="right"/>
              <w:ind w:right="41"/>
              <w:spacing w:after="0"/>
              <w:rPr>
                <w:sz w:val="20"/>
                <w:szCs w:val="20"/>
                <w:color w:val="auto"/>
              </w:rPr>
            </w:pPr>
            <w:r>
              <w:rPr>
                <w:rFonts w:ascii="Arial" w:cs="Arial" w:eastAsia="Arial" w:hAnsi="Arial"/>
                <w:sz w:val="18"/>
                <w:szCs w:val="18"/>
                <w:color w:val="1E1E1E"/>
              </w:rPr>
              <w:t>(41)</w:t>
            </w:r>
          </w:p>
        </w:tc>
        <w:tc>
          <w:tcPr>
            <w:tcW w:w="1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940" w:type="dxa"/>
            <w:vAlign w:val="bottom"/>
            <w:gridSpan w:val="2"/>
            <w:shd w:val="clear" w:color="auto" w:fill="E4E4E4"/>
          </w:tcPr>
          <w:p>
            <w:pPr>
              <w:jc w:val="right"/>
              <w:ind w:right="240"/>
              <w:spacing w:after="0"/>
              <w:rPr>
                <w:sz w:val="20"/>
                <w:szCs w:val="20"/>
                <w:color w:val="auto"/>
              </w:rPr>
            </w:pPr>
            <w:r>
              <w:rPr>
                <w:rFonts w:ascii="Arial" w:cs="Arial" w:eastAsia="Arial" w:hAnsi="Arial"/>
                <w:sz w:val="18"/>
                <w:szCs w:val="18"/>
                <w:color w:val="1E1E1E"/>
              </w:rPr>
              <w:t>—</w:t>
            </w:r>
          </w:p>
        </w:tc>
        <w:tc>
          <w:tcPr>
            <w:tcW w:w="120" w:type="dxa"/>
            <w:vAlign w:val="bottom"/>
            <w:shd w:val="clear" w:color="auto" w:fill="E4E4E4"/>
          </w:tcPr>
          <w:p>
            <w:pPr>
              <w:spacing w:after="0"/>
              <w:rPr>
                <w:sz w:val="19"/>
                <w:szCs w:val="19"/>
                <w:color w:val="auto"/>
              </w:rPr>
            </w:pPr>
          </w:p>
        </w:tc>
        <w:tc>
          <w:tcPr>
            <w:tcW w:w="640" w:type="dxa"/>
            <w:vAlign w:val="bottom"/>
            <w:gridSpan w:val="2"/>
            <w:shd w:val="clear" w:color="auto" w:fill="E4E4E4"/>
          </w:tcPr>
          <w:p>
            <w:pPr>
              <w:jc w:val="right"/>
              <w:spacing w:after="0"/>
              <w:rPr>
                <w:sz w:val="20"/>
                <w:szCs w:val="20"/>
                <w:color w:val="auto"/>
              </w:rPr>
            </w:pPr>
            <w:r>
              <w:rPr>
                <w:rFonts w:ascii="Arial" w:cs="Arial" w:eastAsia="Arial" w:hAnsi="Arial"/>
                <w:sz w:val="18"/>
                <w:szCs w:val="18"/>
                <w:color w:val="1E1E1E"/>
              </w:rPr>
              <w:t>(41)</w:t>
            </w:r>
          </w:p>
        </w:tc>
        <w:tc>
          <w:tcPr>
            <w:tcW w:w="0" w:type="dxa"/>
            <w:vAlign w:val="bottom"/>
          </w:tcPr>
          <w:p>
            <w:pPr>
              <w:spacing w:after="0"/>
              <w:rPr>
                <w:sz w:val="1"/>
                <w:szCs w:val="1"/>
                <w:color w:val="auto"/>
              </w:rPr>
            </w:pPr>
          </w:p>
        </w:tc>
      </w:tr>
      <w:tr>
        <w:trPr>
          <w:trHeight w:val="198"/>
        </w:trPr>
        <w:tc>
          <w:tcPr>
            <w:tcW w:w="4020" w:type="dxa"/>
            <w:vAlign w:val="bottom"/>
          </w:tcPr>
          <w:p>
            <w:pPr>
              <w:spacing w:after="0"/>
              <w:rPr>
                <w:sz w:val="17"/>
                <w:szCs w:val="17"/>
                <w:color w:val="auto"/>
              </w:rPr>
            </w:pPr>
          </w:p>
        </w:tc>
        <w:tc>
          <w:tcPr>
            <w:tcW w:w="140" w:type="dxa"/>
            <w:vAlign w:val="bottom"/>
            <w:tcBorders>
              <w:top w:val="single" w:sz="8" w:color="1E1E1E"/>
            </w:tcBorders>
          </w:tcPr>
          <w:p>
            <w:pPr>
              <w:spacing w:after="0"/>
              <w:rPr>
                <w:sz w:val="17"/>
                <w:szCs w:val="17"/>
                <w:color w:val="auto"/>
              </w:rPr>
            </w:pPr>
          </w:p>
        </w:tc>
        <w:tc>
          <w:tcPr>
            <w:tcW w:w="580" w:type="dxa"/>
            <w:vAlign w:val="bottom"/>
            <w:tcBorders>
              <w:top w:val="single" w:sz="8" w:color="1E1E1E"/>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1E1E1E"/>
            </w:tcBorders>
          </w:tcPr>
          <w:p>
            <w:pPr>
              <w:spacing w:after="0"/>
              <w:rPr>
                <w:sz w:val="17"/>
                <w:szCs w:val="17"/>
                <w:color w:val="auto"/>
              </w:rPr>
            </w:pPr>
          </w:p>
        </w:tc>
        <w:tc>
          <w:tcPr>
            <w:tcW w:w="580" w:type="dxa"/>
            <w:vAlign w:val="bottom"/>
            <w:tcBorders>
              <w:top w:val="single" w:sz="8" w:color="1E1E1E"/>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1E1E1E"/>
            </w:tcBorders>
          </w:tcPr>
          <w:p>
            <w:pPr>
              <w:spacing w:after="0"/>
              <w:rPr>
                <w:sz w:val="17"/>
                <w:szCs w:val="17"/>
                <w:color w:val="auto"/>
              </w:rPr>
            </w:pPr>
          </w:p>
        </w:tc>
        <w:tc>
          <w:tcPr>
            <w:tcW w:w="780" w:type="dxa"/>
            <w:vAlign w:val="bottom"/>
            <w:tcBorders>
              <w:top w:val="single" w:sz="8" w:color="1E1E1E"/>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1E1E1E"/>
            </w:tcBorders>
          </w:tcPr>
          <w:p>
            <w:pPr>
              <w:spacing w:after="0"/>
              <w:rPr>
                <w:sz w:val="17"/>
                <w:szCs w:val="17"/>
                <w:color w:val="auto"/>
              </w:rPr>
            </w:pPr>
          </w:p>
        </w:tc>
        <w:tc>
          <w:tcPr>
            <w:tcW w:w="560" w:type="dxa"/>
            <w:vAlign w:val="bottom"/>
            <w:tcBorders>
              <w:top w:val="single" w:sz="8" w:color="1E1E1E"/>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1E1E1E"/>
            </w:tcBorders>
          </w:tcPr>
          <w:p>
            <w:pPr>
              <w:spacing w:after="0"/>
              <w:rPr>
                <w:sz w:val="17"/>
                <w:szCs w:val="17"/>
                <w:color w:val="auto"/>
              </w:rPr>
            </w:pPr>
          </w:p>
        </w:tc>
        <w:tc>
          <w:tcPr>
            <w:tcW w:w="600" w:type="dxa"/>
            <w:vAlign w:val="bottom"/>
            <w:tcBorders>
              <w:top w:val="single" w:sz="8" w:color="1E1E1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1E1E1E"/>
            </w:tcBorders>
          </w:tcPr>
          <w:p>
            <w:pPr>
              <w:spacing w:after="0"/>
              <w:rPr>
                <w:sz w:val="17"/>
                <w:szCs w:val="17"/>
                <w:color w:val="auto"/>
              </w:rPr>
            </w:pPr>
          </w:p>
        </w:tc>
        <w:tc>
          <w:tcPr>
            <w:tcW w:w="700" w:type="dxa"/>
            <w:vAlign w:val="bottom"/>
            <w:tcBorders>
              <w:top w:val="single" w:sz="8" w:color="1E1E1E"/>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1E1E1E"/>
            </w:tcBorders>
          </w:tcPr>
          <w:p>
            <w:pPr>
              <w:spacing w:after="0"/>
              <w:rPr>
                <w:sz w:val="17"/>
                <w:szCs w:val="17"/>
                <w:color w:val="auto"/>
              </w:rPr>
            </w:pPr>
          </w:p>
        </w:tc>
        <w:tc>
          <w:tcPr>
            <w:tcW w:w="540" w:type="dxa"/>
            <w:vAlign w:val="bottom"/>
            <w:tcBorders>
              <w:top w:val="single" w:sz="8" w:color="1E1E1E"/>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020" w:type="dxa"/>
            <w:vAlign w:val="bottom"/>
            <w:shd w:val="clear" w:color="auto" w:fill="E4E4E4"/>
          </w:tcPr>
          <w:p>
            <w:pPr>
              <w:spacing w:after="0" w:line="187" w:lineRule="exact"/>
              <w:rPr>
                <w:sz w:val="20"/>
                <w:szCs w:val="20"/>
                <w:color w:val="auto"/>
              </w:rPr>
            </w:pPr>
            <w:r>
              <w:rPr>
                <w:rFonts w:ascii="Arial" w:cs="Arial" w:eastAsia="Arial" w:hAnsi="Arial"/>
                <w:sz w:val="18"/>
                <w:szCs w:val="18"/>
                <w:color w:val="1E1E1E"/>
              </w:rPr>
              <w:t>Other comprehensive income</w:t>
            </w:r>
          </w:p>
        </w:tc>
        <w:tc>
          <w:tcPr>
            <w:tcW w:w="140" w:type="dxa"/>
            <w:vAlign w:val="bottom"/>
            <w:shd w:val="clear" w:color="auto" w:fill="E4E4E4"/>
          </w:tcPr>
          <w:p>
            <w:pPr>
              <w:spacing w:after="0"/>
              <w:rPr>
                <w:sz w:val="16"/>
                <w:szCs w:val="16"/>
                <w:color w:val="auto"/>
              </w:rPr>
            </w:pPr>
          </w:p>
        </w:tc>
        <w:tc>
          <w:tcPr>
            <w:tcW w:w="580" w:type="dxa"/>
            <w:vAlign w:val="bottom"/>
            <w:shd w:val="clear" w:color="auto" w:fill="E4E4E4"/>
          </w:tcPr>
          <w:p>
            <w:pPr>
              <w:spacing w:after="0"/>
              <w:rPr>
                <w:sz w:val="16"/>
                <w:szCs w:val="16"/>
                <w:color w:val="auto"/>
              </w:rPr>
            </w:pPr>
          </w:p>
        </w:tc>
        <w:tc>
          <w:tcPr>
            <w:tcW w:w="22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58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78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56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00" w:type="dxa"/>
            <w:vAlign w:val="bottom"/>
            <w:shd w:val="clear" w:color="auto" w:fill="E4E4E4"/>
          </w:tcPr>
          <w:p>
            <w:pPr>
              <w:spacing w:after="0"/>
              <w:rPr>
                <w:sz w:val="16"/>
                <w:szCs w:val="16"/>
                <w:color w:val="auto"/>
              </w:rPr>
            </w:pPr>
          </w:p>
        </w:tc>
        <w:tc>
          <w:tcPr>
            <w:tcW w:w="160" w:type="dxa"/>
            <w:vAlign w:val="bottom"/>
            <w:shd w:val="clear" w:color="auto" w:fill="E4E4E4"/>
          </w:tcPr>
          <w:p>
            <w:pPr>
              <w:spacing w:after="0"/>
              <w:rPr>
                <w:sz w:val="16"/>
                <w:szCs w:val="16"/>
                <w:color w:val="auto"/>
              </w:rPr>
            </w:pPr>
          </w:p>
        </w:tc>
        <w:tc>
          <w:tcPr>
            <w:tcW w:w="60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80" w:type="dxa"/>
            <w:vAlign w:val="bottom"/>
            <w:shd w:val="clear" w:color="auto" w:fill="E4E4E4"/>
          </w:tcPr>
          <w:p>
            <w:pPr>
              <w:spacing w:after="0"/>
              <w:rPr>
                <w:sz w:val="16"/>
                <w:szCs w:val="16"/>
                <w:color w:val="auto"/>
              </w:rPr>
            </w:pPr>
          </w:p>
        </w:tc>
        <w:tc>
          <w:tcPr>
            <w:tcW w:w="70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540" w:type="dxa"/>
            <w:vAlign w:val="bottom"/>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20" w:type="dxa"/>
            <w:vAlign w:val="bottom"/>
            <w:shd w:val="clear" w:color="auto" w:fill="E4E4E4"/>
          </w:tcPr>
          <w:p>
            <w:pPr>
              <w:ind w:left="140"/>
              <w:spacing w:after="0"/>
              <w:rPr>
                <w:sz w:val="20"/>
                <w:szCs w:val="20"/>
                <w:color w:val="auto"/>
              </w:rPr>
            </w:pPr>
            <w:r>
              <w:rPr>
                <w:rFonts w:ascii="Arial" w:cs="Arial" w:eastAsia="Arial" w:hAnsi="Arial"/>
                <w:sz w:val="18"/>
                <w:szCs w:val="18"/>
                <w:color w:val="1E1E1E"/>
              </w:rPr>
              <w:t>(loss) for the period</w:t>
            </w:r>
          </w:p>
        </w:tc>
        <w:tc>
          <w:tcPr>
            <w:tcW w:w="140" w:type="dxa"/>
            <w:vAlign w:val="bottom"/>
            <w:shd w:val="clear" w:color="auto" w:fill="E4E4E4"/>
          </w:tcPr>
          <w:p>
            <w:pPr>
              <w:spacing w:after="0"/>
              <w:rPr>
                <w:sz w:val="19"/>
                <w:szCs w:val="19"/>
                <w:color w:val="auto"/>
              </w:rPr>
            </w:pPr>
          </w:p>
        </w:tc>
        <w:tc>
          <w:tcPr>
            <w:tcW w:w="580" w:type="dxa"/>
            <w:vAlign w:val="bottom"/>
            <w:shd w:val="clear" w:color="auto" w:fill="E4E4E4"/>
          </w:tcPr>
          <w:p>
            <w:pPr>
              <w:jc w:val="right"/>
              <w:spacing w:after="0"/>
              <w:rPr>
                <w:sz w:val="20"/>
                <w:szCs w:val="20"/>
                <w:color w:val="auto"/>
              </w:rPr>
            </w:pPr>
            <w:r>
              <w:rPr>
                <w:rFonts w:ascii="Arial" w:cs="Arial" w:eastAsia="Arial" w:hAnsi="Arial"/>
                <w:sz w:val="18"/>
                <w:szCs w:val="18"/>
                <w:color w:val="1E1E1E"/>
              </w:rPr>
              <w:t>4,928</w:t>
            </w:r>
          </w:p>
        </w:tc>
        <w:tc>
          <w:tcPr>
            <w:tcW w:w="2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580" w:type="dxa"/>
            <w:vAlign w:val="bottom"/>
            <w:shd w:val="clear" w:color="auto" w:fill="E4E4E4"/>
          </w:tcPr>
          <w:p>
            <w:pPr>
              <w:jc w:val="right"/>
              <w:spacing w:after="0"/>
              <w:rPr>
                <w:sz w:val="20"/>
                <w:szCs w:val="20"/>
                <w:color w:val="auto"/>
              </w:rPr>
            </w:pPr>
            <w:r>
              <w:rPr>
                <w:rFonts w:ascii="Arial" w:cs="Arial" w:eastAsia="Arial" w:hAnsi="Arial"/>
                <w:sz w:val="18"/>
                <w:szCs w:val="18"/>
                <w:color w:val="1E1E1E"/>
              </w:rPr>
              <w:t>538</w:t>
            </w:r>
          </w:p>
        </w:tc>
        <w:tc>
          <w:tcPr>
            <w:tcW w:w="2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040" w:type="dxa"/>
            <w:vAlign w:val="bottom"/>
            <w:gridSpan w:val="2"/>
            <w:shd w:val="clear" w:color="auto" w:fill="E4E4E4"/>
          </w:tcPr>
          <w:p>
            <w:pPr>
              <w:jc w:val="right"/>
              <w:ind w:right="240"/>
              <w:spacing w:after="0"/>
              <w:rPr>
                <w:sz w:val="20"/>
                <w:szCs w:val="20"/>
                <w:color w:val="auto"/>
              </w:rPr>
            </w:pPr>
            <w:r>
              <w:rPr>
                <w:rFonts w:ascii="Arial" w:cs="Arial" w:eastAsia="Arial" w:hAnsi="Arial"/>
                <w:sz w:val="18"/>
                <w:szCs w:val="18"/>
                <w:color w:val="1E1E1E"/>
              </w:rPr>
              <w:t>59</w:t>
            </w:r>
          </w:p>
        </w:tc>
        <w:tc>
          <w:tcPr>
            <w:tcW w:w="120" w:type="dxa"/>
            <w:vAlign w:val="bottom"/>
            <w:shd w:val="clear" w:color="auto" w:fill="E4E4E4"/>
          </w:tcPr>
          <w:p>
            <w:pPr>
              <w:spacing w:after="0"/>
              <w:rPr>
                <w:sz w:val="19"/>
                <w:szCs w:val="19"/>
                <w:color w:val="auto"/>
              </w:rPr>
            </w:pPr>
          </w:p>
        </w:tc>
        <w:tc>
          <w:tcPr>
            <w:tcW w:w="580" w:type="dxa"/>
            <w:vAlign w:val="bottom"/>
            <w:gridSpan w:val="2"/>
            <w:shd w:val="clear" w:color="auto" w:fill="E4E4E4"/>
          </w:tcPr>
          <w:p>
            <w:pPr>
              <w:jc w:val="right"/>
              <w:ind w:right="20"/>
              <w:spacing w:after="0"/>
              <w:rPr>
                <w:sz w:val="20"/>
                <w:szCs w:val="20"/>
                <w:color w:val="auto"/>
              </w:rPr>
            </w:pPr>
            <w:r>
              <w:rPr>
                <w:rFonts w:ascii="Arial" w:cs="Arial" w:eastAsia="Arial" w:hAnsi="Arial"/>
                <w:sz w:val="18"/>
                <w:szCs w:val="18"/>
                <w:color w:val="1E1E1E"/>
              </w:rPr>
              <w:t>597</w:t>
            </w:r>
          </w:p>
        </w:tc>
        <w:tc>
          <w:tcPr>
            <w:tcW w:w="20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620" w:type="dxa"/>
            <w:vAlign w:val="bottom"/>
            <w:gridSpan w:val="2"/>
            <w:shd w:val="clear" w:color="auto" w:fill="E4E4E4"/>
          </w:tcPr>
          <w:p>
            <w:pPr>
              <w:jc w:val="right"/>
              <w:spacing w:after="0"/>
              <w:rPr>
                <w:sz w:val="20"/>
                <w:szCs w:val="20"/>
                <w:color w:val="auto"/>
              </w:rPr>
            </w:pPr>
            <w:r>
              <w:rPr>
                <w:rFonts w:ascii="Arial" w:cs="Arial" w:eastAsia="Arial" w:hAnsi="Arial"/>
                <w:sz w:val="18"/>
                <w:szCs w:val="18"/>
                <w:color w:val="1E1E1E"/>
              </w:rPr>
              <w:t>758</w:t>
            </w:r>
          </w:p>
        </w:tc>
        <w:tc>
          <w:tcPr>
            <w:tcW w:w="1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940" w:type="dxa"/>
            <w:vAlign w:val="bottom"/>
            <w:gridSpan w:val="2"/>
            <w:shd w:val="clear" w:color="auto" w:fill="E4E4E4"/>
          </w:tcPr>
          <w:p>
            <w:pPr>
              <w:jc w:val="right"/>
              <w:ind w:right="180"/>
              <w:spacing w:after="0"/>
              <w:rPr>
                <w:sz w:val="20"/>
                <w:szCs w:val="20"/>
                <w:color w:val="auto"/>
              </w:rPr>
            </w:pPr>
            <w:r>
              <w:rPr>
                <w:rFonts w:ascii="Arial" w:cs="Arial" w:eastAsia="Arial" w:hAnsi="Arial"/>
                <w:sz w:val="18"/>
                <w:szCs w:val="18"/>
                <w:color w:val="1E1E1E"/>
              </w:rPr>
              <w:t>(62)</w:t>
            </w:r>
          </w:p>
        </w:tc>
        <w:tc>
          <w:tcPr>
            <w:tcW w:w="120" w:type="dxa"/>
            <w:vAlign w:val="bottom"/>
            <w:shd w:val="clear" w:color="auto" w:fill="E4E4E4"/>
          </w:tcPr>
          <w:p>
            <w:pPr>
              <w:spacing w:after="0"/>
              <w:rPr>
                <w:sz w:val="19"/>
                <w:szCs w:val="19"/>
                <w:color w:val="auto"/>
              </w:rPr>
            </w:pPr>
          </w:p>
        </w:tc>
        <w:tc>
          <w:tcPr>
            <w:tcW w:w="640" w:type="dxa"/>
            <w:vAlign w:val="bottom"/>
            <w:gridSpan w:val="2"/>
            <w:shd w:val="clear" w:color="auto" w:fill="E4E4E4"/>
          </w:tcPr>
          <w:p>
            <w:pPr>
              <w:jc w:val="right"/>
              <w:ind w:right="21"/>
              <w:spacing w:after="0"/>
              <w:rPr>
                <w:sz w:val="20"/>
                <w:szCs w:val="20"/>
                <w:color w:val="auto"/>
              </w:rPr>
            </w:pPr>
            <w:r>
              <w:rPr>
                <w:rFonts w:ascii="Arial" w:cs="Arial" w:eastAsia="Arial" w:hAnsi="Arial"/>
                <w:sz w:val="18"/>
                <w:szCs w:val="18"/>
                <w:color w:val="1E1E1E"/>
              </w:rPr>
              <w:t>696</w:t>
            </w:r>
          </w:p>
        </w:tc>
        <w:tc>
          <w:tcPr>
            <w:tcW w:w="0" w:type="dxa"/>
            <w:vAlign w:val="bottom"/>
          </w:tcPr>
          <w:p>
            <w:pPr>
              <w:spacing w:after="0"/>
              <w:rPr>
                <w:sz w:val="1"/>
                <w:szCs w:val="1"/>
                <w:color w:val="auto"/>
              </w:rPr>
            </w:pPr>
          </w:p>
        </w:tc>
      </w:tr>
      <w:tr>
        <w:trPr>
          <w:trHeight w:val="206"/>
        </w:trPr>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3"/>
          </w:tcPr>
          <w:p>
            <w:pPr>
              <w:spacing w:after="0"/>
              <w:rPr>
                <w:sz w:val="17"/>
                <w:szCs w:val="17"/>
                <w:color w:val="auto"/>
              </w:rPr>
            </w:pPr>
          </w:p>
        </w:tc>
        <w:tc>
          <w:tcPr>
            <w:tcW w:w="200" w:type="dxa"/>
            <w:vAlign w:val="bottom"/>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20" w:type="dxa"/>
            <w:vAlign w:val="bottom"/>
            <w:tcBorders>
              <w:top w:val="single" w:sz="8" w:color="E4E4E4"/>
            </w:tcBorders>
            <w:shd w:val="clear" w:color="auto" w:fill="E4E4E4"/>
          </w:tcPr>
          <w:p>
            <w:pPr>
              <w:spacing w:after="0" w:line="201" w:lineRule="exact"/>
              <w:rPr>
                <w:sz w:val="20"/>
                <w:szCs w:val="20"/>
                <w:color w:val="auto"/>
              </w:rPr>
            </w:pPr>
            <w:r>
              <w:rPr>
                <w:rFonts w:ascii="Arial" w:cs="Arial" w:eastAsia="Arial" w:hAnsi="Arial"/>
                <w:sz w:val="18"/>
                <w:szCs w:val="18"/>
                <w:color w:val="1E1E1E"/>
              </w:rPr>
              <w:t>Balance at end of fiscal year</w:t>
            </w:r>
          </w:p>
        </w:tc>
        <w:tc>
          <w:tcPr>
            <w:tcW w:w="140" w:type="dxa"/>
            <w:vAlign w:val="bottom"/>
            <w:tcBorders>
              <w:top w:val="single" w:sz="8" w:color="1E1E1E"/>
            </w:tcBorders>
            <w:shd w:val="clear" w:color="auto" w:fill="E4E4E4"/>
          </w:tcPr>
          <w:p>
            <w:pPr>
              <w:jc w:val="right"/>
              <w:spacing w:after="0" w:line="201" w:lineRule="exact"/>
              <w:rPr>
                <w:sz w:val="20"/>
                <w:szCs w:val="20"/>
                <w:color w:val="auto"/>
              </w:rPr>
            </w:pPr>
            <w:r>
              <w:rPr>
                <w:rFonts w:ascii="Arial" w:cs="Arial" w:eastAsia="Arial" w:hAnsi="Arial"/>
                <w:sz w:val="18"/>
                <w:szCs w:val="18"/>
                <w:color w:val="1E1E1E"/>
                <w:w w:val="79"/>
              </w:rPr>
              <w:t>$</w:t>
            </w:r>
          </w:p>
        </w:tc>
        <w:tc>
          <w:tcPr>
            <w:tcW w:w="580" w:type="dxa"/>
            <w:vAlign w:val="bottom"/>
            <w:tcBorders>
              <w:top w:val="single" w:sz="8" w:color="1E1E1E"/>
            </w:tcBorders>
            <w:shd w:val="clear" w:color="auto" w:fill="E4E4E4"/>
          </w:tcPr>
          <w:p>
            <w:pPr>
              <w:jc w:val="right"/>
              <w:spacing w:after="0" w:line="201" w:lineRule="exact"/>
              <w:rPr>
                <w:sz w:val="20"/>
                <w:szCs w:val="20"/>
                <w:color w:val="auto"/>
              </w:rPr>
            </w:pPr>
            <w:r>
              <w:rPr>
                <w:rFonts w:ascii="Arial" w:cs="Arial" w:eastAsia="Arial" w:hAnsi="Arial"/>
                <w:sz w:val="18"/>
                <w:szCs w:val="18"/>
                <w:color w:val="1E1E1E"/>
              </w:rPr>
              <w:t>—</w:t>
            </w:r>
          </w:p>
        </w:tc>
        <w:tc>
          <w:tcPr>
            <w:tcW w:w="220" w:type="dxa"/>
            <w:vAlign w:val="bottom"/>
            <w:tcBorders>
              <w:top w:val="single" w:sz="8" w:color="E4E4E4"/>
            </w:tcBorders>
            <w:shd w:val="clear" w:color="auto" w:fill="E4E4E4"/>
          </w:tcPr>
          <w:p>
            <w:pPr>
              <w:spacing w:after="0"/>
              <w:rPr>
                <w:sz w:val="17"/>
                <w:szCs w:val="17"/>
                <w:color w:val="auto"/>
              </w:rPr>
            </w:pPr>
          </w:p>
        </w:tc>
        <w:tc>
          <w:tcPr>
            <w:tcW w:w="140" w:type="dxa"/>
            <w:vAlign w:val="bottom"/>
            <w:tcBorders>
              <w:top w:val="single" w:sz="8" w:color="1E1E1E"/>
            </w:tcBorders>
            <w:shd w:val="clear" w:color="auto" w:fill="E4E4E4"/>
          </w:tcPr>
          <w:p>
            <w:pPr>
              <w:spacing w:after="0" w:line="201" w:lineRule="exact"/>
              <w:rPr>
                <w:sz w:val="20"/>
                <w:szCs w:val="20"/>
                <w:color w:val="auto"/>
              </w:rPr>
            </w:pPr>
            <w:r>
              <w:rPr>
                <w:rFonts w:ascii="Arial" w:cs="Arial" w:eastAsia="Arial" w:hAnsi="Arial"/>
                <w:sz w:val="18"/>
                <w:szCs w:val="18"/>
                <w:color w:val="1E1E1E"/>
                <w:shd w:val="clear" w:color="auto" w:fill="E4E4E4"/>
              </w:rPr>
              <w:t>$</w:t>
            </w:r>
          </w:p>
        </w:tc>
        <w:tc>
          <w:tcPr>
            <w:tcW w:w="580" w:type="dxa"/>
            <w:vAlign w:val="bottom"/>
            <w:tcBorders>
              <w:top w:val="single" w:sz="8" w:color="1E1E1E"/>
            </w:tcBorders>
            <w:shd w:val="clear" w:color="auto" w:fill="E4E4E4"/>
          </w:tcPr>
          <w:p>
            <w:pPr>
              <w:jc w:val="right"/>
              <w:spacing w:after="0" w:line="201" w:lineRule="exact"/>
              <w:rPr>
                <w:sz w:val="20"/>
                <w:szCs w:val="20"/>
                <w:color w:val="auto"/>
              </w:rPr>
            </w:pPr>
            <w:r>
              <w:rPr>
                <w:rFonts w:ascii="Arial" w:cs="Arial" w:eastAsia="Arial" w:hAnsi="Arial"/>
                <w:sz w:val="18"/>
                <w:szCs w:val="18"/>
                <w:color w:val="1E1E1E"/>
                <w:shd w:val="clear" w:color="auto" w:fill="E4E4E4"/>
              </w:rPr>
              <w:t>(4,928</w:t>
            </w:r>
          </w:p>
        </w:tc>
        <w:tc>
          <w:tcPr>
            <w:tcW w:w="240" w:type="dxa"/>
            <w:vAlign w:val="bottom"/>
            <w:tcBorders>
              <w:top w:val="single" w:sz="8" w:color="E4E4E4"/>
            </w:tcBorders>
            <w:shd w:val="clear" w:color="auto" w:fill="E4E4E4"/>
          </w:tcPr>
          <w:p>
            <w:pPr>
              <w:jc w:val="right"/>
              <w:ind w:right="101"/>
              <w:spacing w:after="0"/>
              <w:rPr>
                <w:sz w:val="20"/>
                <w:szCs w:val="20"/>
                <w:color w:val="auto"/>
              </w:rPr>
            </w:pPr>
            <w:r>
              <w:rPr>
                <w:rFonts w:ascii="Arial" w:cs="Arial" w:eastAsia="Arial" w:hAnsi="Arial"/>
                <w:sz w:val="16"/>
                <w:szCs w:val="16"/>
                <w:color w:val="1E1E1E"/>
                <w:w w:val="74"/>
              </w:rPr>
              <w:t>)</w:t>
            </w:r>
          </w:p>
        </w:tc>
        <w:tc>
          <w:tcPr>
            <w:tcW w:w="140" w:type="dxa"/>
            <w:vAlign w:val="bottom"/>
            <w:tcBorders>
              <w:top w:val="single" w:sz="8" w:color="1E1E1E"/>
            </w:tcBorders>
            <w:shd w:val="clear" w:color="auto" w:fill="E4E4E4"/>
          </w:tcPr>
          <w:p>
            <w:pPr>
              <w:jc w:val="right"/>
              <w:spacing w:after="0" w:line="201" w:lineRule="exact"/>
              <w:rPr>
                <w:sz w:val="20"/>
                <w:szCs w:val="20"/>
                <w:color w:val="auto"/>
              </w:rPr>
            </w:pPr>
            <w:r>
              <w:rPr>
                <w:rFonts w:ascii="Arial" w:cs="Arial" w:eastAsia="Arial" w:hAnsi="Arial"/>
                <w:sz w:val="18"/>
                <w:szCs w:val="18"/>
                <w:color w:val="1E1E1E"/>
                <w:w w:val="79"/>
              </w:rPr>
              <w:t>$</w:t>
            </w:r>
          </w:p>
        </w:tc>
        <w:tc>
          <w:tcPr>
            <w:tcW w:w="780" w:type="dxa"/>
            <w:vAlign w:val="bottom"/>
            <w:tcBorders>
              <w:top w:val="single" w:sz="8" w:color="1E1E1E"/>
            </w:tcBorders>
            <w:shd w:val="clear" w:color="auto" w:fill="E4E4E4"/>
          </w:tcPr>
          <w:p>
            <w:pPr>
              <w:jc w:val="right"/>
              <w:spacing w:after="0" w:line="201" w:lineRule="exact"/>
              <w:rPr>
                <w:sz w:val="20"/>
                <w:szCs w:val="20"/>
                <w:color w:val="auto"/>
              </w:rPr>
            </w:pPr>
            <w:r>
              <w:rPr>
                <w:rFonts w:ascii="Arial" w:cs="Arial" w:eastAsia="Arial" w:hAnsi="Arial"/>
                <w:sz w:val="18"/>
                <w:szCs w:val="18"/>
                <w:color w:val="1E1E1E"/>
              </w:rPr>
              <w:t>—</w:t>
            </w:r>
          </w:p>
        </w:tc>
        <w:tc>
          <w:tcPr>
            <w:tcW w:w="260" w:type="dxa"/>
            <w:vAlign w:val="bottom"/>
            <w:tcBorders>
              <w:top w:val="single" w:sz="8" w:color="E4E4E4"/>
            </w:tcBorders>
            <w:shd w:val="clear" w:color="auto" w:fill="E4E4E4"/>
          </w:tcPr>
          <w:p>
            <w:pPr>
              <w:spacing w:after="0"/>
              <w:rPr>
                <w:sz w:val="17"/>
                <w:szCs w:val="17"/>
                <w:color w:val="auto"/>
              </w:rPr>
            </w:pPr>
          </w:p>
        </w:tc>
        <w:tc>
          <w:tcPr>
            <w:tcW w:w="120" w:type="dxa"/>
            <w:vAlign w:val="bottom"/>
            <w:tcBorders>
              <w:top w:val="single" w:sz="8" w:color="1E1E1E"/>
            </w:tcBorders>
            <w:shd w:val="clear" w:color="auto" w:fill="E4E4E4"/>
          </w:tcPr>
          <w:p>
            <w:pPr>
              <w:jc w:val="right"/>
              <w:spacing w:after="0"/>
              <w:rPr>
                <w:sz w:val="20"/>
                <w:szCs w:val="20"/>
                <w:color w:val="auto"/>
              </w:rPr>
            </w:pPr>
            <w:r>
              <w:rPr>
                <w:rFonts w:ascii="Arial" w:cs="Arial" w:eastAsia="Arial" w:hAnsi="Arial"/>
                <w:sz w:val="15"/>
                <w:szCs w:val="15"/>
                <w:color w:val="1E1E1E"/>
                <w:w w:val="71"/>
                <w:shd w:val="clear" w:color="auto" w:fill="E4E4E4"/>
              </w:rPr>
              <w:t>$</w:t>
            </w:r>
          </w:p>
        </w:tc>
        <w:tc>
          <w:tcPr>
            <w:tcW w:w="560" w:type="dxa"/>
            <w:vAlign w:val="bottom"/>
            <w:tcBorders>
              <w:top w:val="single" w:sz="8" w:color="1E1E1E"/>
            </w:tcBorders>
            <w:shd w:val="clear" w:color="auto" w:fill="E4E4E4"/>
          </w:tcPr>
          <w:p>
            <w:pPr>
              <w:jc w:val="right"/>
              <w:spacing w:after="0" w:line="201" w:lineRule="exact"/>
              <w:rPr>
                <w:sz w:val="20"/>
                <w:szCs w:val="20"/>
                <w:color w:val="auto"/>
              </w:rPr>
            </w:pPr>
            <w:r>
              <w:rPr>
                <w:rFonts w:ascii="Arial" w:cs="Arial" w:eastAsia="Arial" w:hAnsi="Arial"/>
                <w:sz w:val="18"/>
                <w:szCs w:val="18"/>
                <w:color w:val="1E1E1E"/>
                <w:shd w:val="clear" w:color="auto" w:fill="E4E4E4"/>
              </w:rPr>
              <w:t>(4,928</w:t>
            </w:r>
          </w:p>
        </w:tc>
        <w:tc>
          <w:tcPr>
            <w:tcW w:w="20" w:type="dxa"/>
            <w:vAlign w:val="bottom"/>
            <w:tcBorders>
              <w:top w:val="single" w:sz="8" w:color="E4E4E4"/>
            </w:tcBorders>
            <w:shd w:val="clear" w:color="auto" w:fill="E4E4E4"/>
          </w:tcPr>
          <w:p>
            <w:pPr>
              <w:spacing w:after="0"/>
              <w:rPr>
                <w:sz w:val="17"/>
                <w:szCs w:val="17"/>
                <w:color w:val="auto"/>
              </w:rPr>
            </w:pPr>
          </w:p>
        </w:tc>
        <w:tc>
          <w:tcPr>
            <w:tcW w:w="200" w:type="dxa"/>
            <w:vAlign w:val="bottom"/>
            <w:tcBorders>
              <w:top w:val="single" w:sz="8" w:color="E4E4E4"/>
            </w:tcBorders>
            <w:shd w:val="clear" w:color="auto" w:fill="E4E4E4"/>
          </w:tcPr>
          <w:p>
            <w:pPr>
              <w:jc w:val="right"/>
              <w:ind w:right="121"/>
              <w:spacing w:after="0"/>
              <w:rPr>
                <w:sz w:val="20"/>
                <w:szCs w:val="20"/>
                <w:color w:val="auto"/>
              </w:rPr>
            </w:pPr>
            <w:r>
              <w:rPr>
                <w:rFonts w:ascii="Arial" w:cs="Arial" w:eastAsia="Arial" w:hAnsi="Arial"/>
                <w:sz w:val="8"/>
                <w:szCs w:val="8"/>
                <w:color w:val="1E1E1E"/>
                <w:w w:val="73"/>
              </w:rPr>
              <w:t>)</w:t>
            </w:r>
          </w:p>
        </w:tc>
        <w:tc>
          <w:tcPr>
            <w:tcW w:w="160" w:type="dxa"/>
            <w:vAlign w:val="bottom"/>
            <w:tcBorders>
              <w:top w:val="single" w:sz="8" w:color="1E1E1E"/>
            </w:tcBorders>
            <w:shd w:val="clear" w:color="auto" w:fill="E4E4E4"/>
          </w:tcPr>
          <w:p>
            <w:pPr>
              <w:jc w:val="right"/>
              <w:spacing w:after="0" w:line="201" w:lineRule="exact"/>
              <w:rPr>
                <w:sz w:val="20"/>
                <w:szCs w:val="20"/>
                <w:color w:val="auto"/>
              </w:rPr>
            </w:pPr>
            <w:r>
              <w:rPr>
                <w:rFonts w:ascii="Arial" w:cs="Arial" w:eastAsia="Arial" w:hAnsi="Arial"/>
                <w:sz w:val="18"/>
                <w:szCs w:val="18"/>
                <w:color w:val="1E1E1E"/>
                <w:w w:val="79"/>
                <w:shd w:val="clear" w:color="auto" w:fill="E4E4E4"/>
              </w:rPr>
              <w:t>$</w:t>
            </w:r>
          </w:p>
        </w:tc>
        <w:tc>
          <w:tcPr>
            <w:tcW w:w="600" w:type="dxa"/>
            <w:vAlign w:val="bottom"/>
            <w:tcBorders>
              <w:top w:val="single" w:sz="8" w:color="1E1E1E"/>
            </w:tcBorders>
            <w:shd w:val="clear" w:color="auto" w:fill="E4E4E4"/>
          </w:tcPr>
          <w:p>
            <w:pPr>
              <w:jc w:val="right"/>
              <w:spacing w:after="0" w:line="201" w:lineRule="exact"/>
              <w:rPr>
                <w:sz w:val="20"/>
                <w:szCs w:val="20"/>
                <w:color w:val="auto"/>
              </w:rPr>
            </w:pPr>
            <w:r>
              <w:rPr>
                <w:rFonts w:ascii="Arial" w:cs="Arial" w:eastAsia="Arial" w:hAnsi="Arial"/>
                <w:sz w:val="18"/>
                <w:szCs w:val="18"/>
                <w:color w:val="1E1E1E"/>
                <w:shd w:val="clear" w:color="auto" w:fill="E4E4E4"/>
              </w:rPr>
              <w:t>(5,466</w:t>
            </w:r>
          </w:p>
        </w:tc>
        <w:tc>
          <w:tcPr>
            <w:tcW w:w="20" w:type="dxa"/>
            <w:vAlign w:val="bottom"/>
            <w:tcBorders>
              <w:top w:val="single" w:sz="8" w:color="E4E4E4"/>
            </w:tcBorders>
            <w:shd w:val="clear" w:color="auto" w:fill="E4E4E4"/>
          </w:tcPr>
          <w:p>
            <w:pPr>
              <w:spacing w:after="0"/>
              <w:rPr>
                <w:sz w:val="17"/>
                <w:szCs w:val="17"/>
                <w:color w:val="auto"/>
              </w:rPr>
            </w:pPr>
          </w:p>
        </w:tc>
        <w:tc>
          <w:tcPr>
            <w:tcW w:w="120" w:type="dxa"/>
            <w:vAlign w:val="bottom"/>
            <w:tcBorders>
              <w:top w:val="single" w:sz="8" w:color="E4E4E4"/>
            </w:tcBorders>
            <w:shd w:val="clear" w:color="auto" w:fill="E4E4E4"/>
          </w:tcPr>
          <w:p>
            <w:pPr>
              <w:jc w:val="right"/>
              <w:ind w:right="41"/>
              <w:spacing w:after="0"/>
              <w:rPr>
                <w:sz w:val="20"/>
                <w:szCs w:val="20"/>
                <w:color w:val="auto"/>
              </w:rPr>
            </w:pPr>
            <w:r>
              <w:rPr>
                <w:rFonts w:ascii="Arial" w:cs="Arial" w:eastAsia="Arial" w:hAnsi="Arial"/>
                <w:sz w:val="8"/>
                <w:szCs w:val="8"/>
                <w:color w:val="1E1E1E"/>
                <w:w w:val="73"/>
              </w:rPr>
              <w:t>)</w:t>
            </w:r>
          </w:p>
        </w:tc>
        <w:tc>
          <w:tcPr>
            <w:tcW w:w="120" w:type="dxa"/>
            <w:vAlign w:val="bottom"/>
            <w:tcBorders>
              <w:top w:val="single" w:sz="8" w:color="E4E4E4"/>
            </w:tcBorders>
            <w:shd w:val="clear" w:color="auto" w:fill="E4E4E4"/>
          </w:tcPr>
          <w:p>
            <w:pPr>
              <w:spacing w:after="0"/>
              <w:rPr>
                <w:sz w:val="17"/>
                <w:szCs w:val="17"/>
                <w:color w:val="auto"/>
              </w:rPr>
            </w:pPr>
          </w:p>
        </w:tc>
        <w:tc>
          <w:tcPr>
            <w:tcW w:w="80" w:type="dxa"/>
            <w:vAlign w:val="bottom"/>
            <w:tcBorders>
              <w:top w:val="single" w:sz="8" w:color="1E1E1E"/>
            </w:tcBorders>
            <w:shd w:val="clear" w:color="auto" w:fill="E4E4E4"/>
          </w:tcPr>
          <w:p>
            <w:pPr>
              <w:jc w:val="right"/>
              <w:spacing w:after="0"/>
              <w:rPr>
                <w:sz w:val="20"/>
                <w:szCs w:val="20"/>
                <w:color w:val="auto"/>
              </w:rPr>
            </w:pPr>
            <w:r>
              <w:rPr>
                <w:rFonts w:ascii="Arial" w:cs="Arial" w:eastAsia="Arial" w:hAnsi="Arial"/>
                <w:sz w:val="15"/>
                <w:szCs w:val="15"/>
                <w:color w:val="1E1E1E"/>
                <w:w w:val="71"/>
              </w:rPr>
              <w:t>$</w:t>
            </w:r>
          </w:p>
        </w:tc>
        <w:tc>
          <w:tcPr>
            <w:tcW w:w="700" w:type="dxa"/>
            <w:vAlign w:val="bottom"/>
            <w:tcBorders>
              <w:top w:val="single" w:sz="8" w:color="1E1E1E"/>
            </w:tcBorders>
            <w:shd w:val="clear" w:color="auto" w:fill="E4E4E4"/>
          </w:tcPr>
          <w:p>
            <w:pPr>
              <w:jc w:val="right"/>
              <w:spacing w:after="0" w:line="201" w:lineRule="exact"/>
              <w:rPr>
                <w:sz w:val="20"/>
                <w:szCs w:val="20"/>
                <w:color w:val="auto"/>
              </w:rPr>
            </w:pPr>
            <w:r>
              <w:rPr>
                <w:rFonts w:ascii="Arial" w:cs="Arial" w:eastAsia="Arial" w:hAnsi="Arial"/>
                <w:sz w:val="18"/>
                <w:szCs w:val="18"/>
                <w:color w:val="1E1E1E"/>
              </w:rPr>
              <w:t>(59)</w:t>
            </w:r>
          </w:p>
        </w:tc>
        <w:tc>
          <w:tcPr>
            <w:tcW w:w="240" w:type="dxa"/>
            <w:vAlign w:val="bottom"/>
            <w:tcBorders>
              <w:top w:val="single" w:sz="8" w:color="E4E4E4"/>
            </w:tcBorders>
            <w:shd w:val="clear" w:color="auto" w:fill="E4E4E4"/>
          </w:tcPr>
          <w:p>
            <w:pPr>
              <w:spacing w:after="0"/>
              <w:rPr>
                <w:sz w:val="17"/>
                <w:szCs w:val="17"/>
                <w:color w:val="auto"/>
              </w:rPr>
            </w:pPr>
          </w:p>
        </w:tc>
        <w:tc>
          <w:tcPr>
            <w:tcW w:w="120" w:type="dxa"/>
            <w:vAlign w:val="bottom"/>
            <w:tcBorders>
              <w:top w:val="single" w:sz="8" w:color="1E1E1E"/>
            </w:tcBorders>
            <w:shd w:val="clear" w:color="auto" w:fill="E4E4E4"/>
          </w:tcPr>
          <w:p>
            <w:pPr>
              <w:jc w:val="right"/>
              <w:spacing w:after="0" w:line="201" w:lineRule="exact"/>
              <w:rPr>
                <w:sz w:val="20"/>
                <w:szCs w:val="20"/>
                <w:color w:val="auto"/>
              </w:rPr>
            </w:pPr>
            <w:r>
              <w:rPr>
                <w:rFonts w:ascii="Arial" w:cs="Arial" w:eastAsia="Arial" w:hAnsi="Arial"/>
                <w:sz w:val="18"/>
                <w:szCs w:val="18"/>
                <w:color w:val="1E1E1E"/>
                <w:w w:val="79"/>
                <w:shd w:val="clear" w:color="auto" w:fill="E4E4E4"/>
              </w:rPr>
              <w:t>$</w:t>
            </w:r>
          </w:p>
        </w:tc>
        <w:tc>
          <w:tcPr>
            <w:tcW w:w="540" w:type="dxa"/>
            <w:vAlign w:val="bottom"/>
            <w:tcBorders>
              <w:top w:val="single" w:sz="8" w:color="1E1E1E"/>
            </w:tcBorders>
            <w:shd w:val="clear" w:color="auto" w:fill="E4E4E4"/>
          </w:tcPr>
          <w:p>
            <w:pPr>
              <w:jc w:val="right"/>
              <w:spacing w:after="0" w:line="201" w:lineRule="exact"/>
              <w:rPr>
                <w:sz w:val="20"/>
                <w:szCs w:val="20"/>
                <w:color w:val="auto"/>
              </w:rPr>
            </w:pPr>
            <w:r>
              <w:rPr>
                <w:rFonts w:ascii="Arial" w:cs="Arial" w:eastAsia="Arial" w:hAnsi="Arial"/>
                <w:sz w:val="18"/>
                <w:szCs w:val="18"/>
                <w:color w:val="1E1E1E"/>
                <w:w w:val="97"/>
                <w:shd w:val="clear" w:color="auto" w:fill="E4E4E4"/>
              </w:rPr>
              <w:t>(5,525</w:t>
            </w:r>
          </w:p>
        </w:tc>
        <w:tc>
          <w:tcPr>
            <w:tcW w:w="100" w:type="dxa"/>
            <w:vAlign w:val="bottom"/>
            <w:tcBorders>
              <w:top w:val="single" w:sz="8" w:color="E4E4E4"/>
            </w:tcBorders>
            <w:shd w:val="clear" w:color="auto" w:fill="E4E4E4"/>
          </w:tcPr>
          <w:p>
            <w:pPr>
              <w:jc w:val="right"/>
              <w:spacing w:after="0"/>
              <w:rPr>
                <w:sz w:val="20"/>
                <w:szCs w:val="20"/>
                <w:color w:val="auto"/>
              </w:rPr>
            </w:pPr>
            <w:r>
              <w:rPr>
                <w:rFonts w:ascii="Arial" w:cs="Arial" w:eastAsia="Arial" w:hAnsi="Arial"/>
                <w:sz w:val="16"/>
                <w:szCs w:val="16"/>
                <w:color w:val="1E1E1E"/>
                <w:w w:val="74"/>
                <w:shd w:val="clear" w:color="auto" w:fill="E4E4E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2538730</wp:posOffset>
            </wp:positionH>
            <wp:positionV relativeFrom="paragraph">
              <wp:posOffset>-15875</wp:posOffset>
            </wp:positionV>
            <wp:extent cx="4265930" cy="609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265930" cy="60960"/>
                    </a:xfrm>
                    <a:prstGeom prst="rect">
                      <a:avLst/>
                    </a:prstGeom>
                    <a:noFill/>
                  </pic:spPr>
                </pic:pic>
              </a:graphicData>
            </a:graphic>
          </wp:anchor>
        </w:drawing>
      </w:r>
    </w:p>
    <w:p>
      <w:pPr>
        <w:spacing w:after="0" w:line="123" w:lineRule="exact"/>
        <w:rPr>
          <w:sz w:val="20"/>
          <w:szCs w:val="20"/>
          <w:color w:val="auto"/>
        </w:rPr>
      </w:pPr>
    </w:p>
    <w:p>
      <w:pPr>
        <w:jc w:val="both"/>
        <w:ind w:left="480" w:hanging="480"/>
        <w:spacing w:after="0" w:line="270" w:lineRule="auto"/>
        <w:tabs>
          <w:tab w:leader="none" w:pos="480" w:val="left"/>
        </w:tabs>
        <w:numPr>
          <w:ilvl w:val="0"/>
          <w:numId w:val="2"/>
        </w:numPr>
        <w:rPr>
          <w:rFonts w:ascii="Arial" w:cs="Arial" w:eastAsia="Arial" w:hAnsi="Arial"/>
          <w:sz w:val="19"/>
          <w:szCs w:val="19"/>
          <w:color w:val="1E1E1E"/>
        </w:rPr>
      </w:pPr>
      <w:r>
        <w:rPr>
          <w:rFonts w:ascii="Arial" w:cs="Arial" w:eastAsia="Arial" w:hAnsi="Arial"/>
          <w:sz w:val="19"/>
          <w:szCs w:val="19"/>
          <w:color w:val="1E1E1E"/>
        </w:rPr>
        <w:t>In fiscal 2023, the Company terminated its pension plan and SERP and all obligations were settled through the purchase of nonparticipating annuities. Accordingly, the Company recognized the unrealized loss of its pension plans of $5.7 million, which is reflected in the "Loss from Termination of Retirement Plans" on the Consolidated Statement of Operations. The corresponding tax effect of $0.6 million, was recognized and is reflected as part of the income tax provision.</w:t>
      </w:r>
    </w:p>
    <w:p>
      <w:pPr>
        <w:spacing w:after="0" w:line="55" w:lineRule="exact"/>
        <w:rPr>
          <w:rFonts w:ascii="Arial" w:cs="Arial" w:eastAsia="Arial" w:hAnsi="Arial"/>
          <w:sz w:val="19"/>
          <w:szCs w:val="19"/>
          <w:color w:val="1E1E1E"/>
        </w:rPr>
      </w:pPr>
    </w:p>
    <w:p>
      <w:pPr>
        <w:ind w:left="480" w:hanging="480"/>
        <w:spacing w:after="0" w:line="279" w:lineRule="auto"/>
        <w:tabs>
          <w:tab w:leader="none" w:pos="480" w:val="left"/>
        </w:tabs>
        <w:numPr>
          <w:ilvl w:val="0"/>
          <w:numId w:val="2"/>
        </w:numPr>
        <w:rPr>
          <w:rFonts w:ascii="Arial" w:cs="Arial" w:eastAsia="Arial" w:hAnsi="Arial"/>
          <w:sz w:val="20"/>
          <w:szCs w:val="20"/>
          <w:color w:val="1E1E1E"/>
        </w:rPr>
      </w:pPr>
      <w:r>
        <w:rPr>
          <w:rFonts w:ascii="Arial" w:cs="Arial" w:eastAsia="Arial" w:hAnsi="Arial"/>
          <w:sz w:val="20"/>
          <w:szCs w:val="20"/>
          <w:color w:val="1E1E1E"/>
        </w:rPr>
        <w:t>In connection with the Company’s closing of its remaining store in Toronto, Canada, in fiscal 2022, the Company recognized the accumulated foreign currency translation adjustment as an expense.</w:t>
      </w:r>
    </w:p>
    <w:p>
      <w:pPr>
        <w:spacing w:after="0" w:line="46" w:lineRule="exact"/>
        <w:rPr>
          <w:rFonts w:ascii="Arial" w:cs="Arial" w:eastAsia="Arial" w:hAnsi="Arial"/>
          <w:sz w:val="20"/>
          <w:szCs w:val="20"/>
          <w:color w:val="1E1E1E"/>
        </w:rPr>
      </w:pPr>
    </w:p>
    <w:p>
      <w:pPr>
        <w:jc w:val="both"/>
        <w:ind w:left="480" w:hanging="480"/>
        <w:spacing w:after="0" w:line="302" w:lineRule="auto"/>
        <w:tabs>
          <w:tab w:leader="none" w:pos="480" w:val="left"/>
        </w:tabs>
        <w:numPr>
          <w:ilvl w:val="0"/>
          <w:numId w:val="2"/>
        </w:numPr>
        <w:rPr>
          <w:rFonts w:ascii="Arial" w:cs="Arial" w:eastAsia="Arial" w:hAnsi="Arial"/>
          <w:sz w:val="18"/>
          <w:szCs w:val="18"/>
          <w:color w:val="1E1E1E"/>
        </w:rPr>
      </w:pPr>
      <w:r>
        <w:rPr>
          <w:rFonts w:ascii="Arial" w:cs="Arial" w:eastAsia="Arial" w:hAnsi="Arial"/>
          <w:sz w:val="18"/>
          <w:szCs w:val="18"/>
          <w:color w:val="1E1E1E"/>
        </w:rPr>
        <w:t>Includes the amortization through the date of settlement of the unrecognized (gain)/loss on retirement plans, which was charged to selling, general and administrative expense on the Consolidated Statements of Operations for all periods presented. The amortization of the unrecognized loss was $102,000, with a corresponding tax benefit of 27,000 for fiscal 2023. For fiscal 2022</w:t>
      </w:r>
    </w:p>
    <w:p>
      <w:pPr>
        <w:sectPr>
          <w:pgSz w:w="11880" w:h="15480" w:orient="portrait"/>
          <w:cols w:equalWidth="0" w:num="1">
            <w:col w:w="10800"/>
          </w:cols>
          <w:pgMar w:left="540" w:top="658" w:right="540" w:bottom="31"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45</w:t>
      </w:r>
    </w:p>
    <w:p>
      <w:pPr>
        <w:sectPr>
          <w:pgSz w:w="11880" w:h="15480" w:orient="portrait"/>
          <w:cols w:equalWidth="0" w:num="1">
            <w:col w:w="10800"/>
          </w:cols>
          <w:pgMar w:left="540" w:top="658" w:right="540" w:bottom="31" w:gutter="0" w:footer="0" w:header="0"/>
          <w:type w:val="continuous"/>
        </w:sectPr>
      </w:pPr>
    </w:p>
    <w:bookmarkStart w:id="47" w:name="page48"/>
    <w:bookmarkEnd w:id="47"/>
    <w:p>
      <w:pPr>
        <w:jc w:val="both"/>
        <w:ind w:left="480"/>
        <w:spacing w:after="0" w:line="259" w:lineRule="auto"/>
        <w:rPr>
          <w:sz w:val="20"/>
          <w:szCs w:val="20"/>
          <w:color w:val="auto"/>
        </w:rPr>
      </w:pPr>
      <w:r>
        <w:rPr>
          <w:rFonts w:ascii="Arial" w:cs="Arial" w:eastAsia="Arial" w:hAnsi="Arial"/>
          <w:sz w:val="20"/>
          <w:szCs w:val="20"/>
          <w:color w:val="1E1E1E"/>
        </w:rPr>
        <w:t>and fiscal 2021, the Company recognized income of $39,000 and $41,000, respectively, as a result of a change in amortization from average remaining future service to average remaining lifetime. The corresponding tax provision for fiscal 2022 was $9,000. There was no related tax effect for fiscal 2021.</w:t>
      </w:r>
    </w:p>
    <w:p>
      <w:pPr>
        <w:spacing w:after="0" w:line="308"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Income Taxes</w:t>
      </w:r>
    </w:p>
    <w:p>
      <w:pPr>
        <w:spacing w:after="0" w:line="11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1E1E1E"/>
        </w:rPr>
        <w:t>Deferred income taxes are provided to recognize the effect of temporary differences between tax and financial statement reporting. Such taxes are provided for using enacted tax rates expected to be in place when such temporary differences are realized. A valuation allowance is recorded to reduce deferred tax assets if it is determined that it is more likely than not that the full deferred tax asset would not be realized. If it is subsequently determined that a deferred tax asset will more likely than not be realized, a credit to earnings is recorded to reduce the allowance. See Note F, Income Taxes.</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1E1E1E"/>
        </w:rPr>
        <w:t>ASC Topic 740, Income Taxes (“ASC 740”) clarifies a company’s accounting for uncertain income tax positions that are recognized in its financial statements and also provides guidance on a company’s de-recognition of uncertain positions, financial statement classification, accounting for interest and penalties, accounting for interim periods, and disclosure requirements. In accordance with ASC 740, the Company will recognize the benefit from a tax position only if it is more likely than not that the position would be sustained upon audit based solely on the technical merits of the tax position. The Company’s policy is to recognize accrued interest and penalties related to unrecognized tax benefits as income tax expense in its Consolidated Statement of Operations. The Company has not accrued or paid interest or penalties in amounts that were material to its results of operations for fiscal 2023, fiscal 2022 and fiscal 2021.</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1E1E1E"/>
        </w:rPr>
        <w:t>The Company is subject to U.S. federal income tax as well as income tax of multiple state and foreign jurisdictions. The Company has concluded all U.S. federal income tax matters for years through fiscal 2001, with remaining fiscal years subject to income tax examination by federal tax authorities.</w:t>
      </w:r>
    </w:p>
    <w:p>
      <w:pPr>
        <w:spacing w:after="0" w:line="308"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Net Income Per Share</w:t>
      </w:r>
    </w:p>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1E1E1E"/>
        </w:rPr>
        <w:t>Basic earnings per share are computed by dividing net income by the weighted average number of shares of common stock outstanding during the respective period. Diluted earnings per share is determined by giving effect to unvested shares of deferred stock and restricted stock units (RSUs) and the exercise of stock options using the treasury stock method. The following table provides a reconciliation of the number of shares outstanding for basic and diluted earnings per share: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Arial" w:cs="Arial" w:eastAsia="Arial" w:hAnsi="Arial"/>
                <w:sz w:val="16"/>
                <w:szCs w:val="16"/>
                <w:color w:val="1E1E1E"/>
                <w:w w:val="97"/>
              </w:rPr>
              <w:t>FISCAL YEARS ENDED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200" w:type="dxa"/>
            <w:vAlign w:val="bottom"/>
            <w:vMerge w:val="restart"/>
          </w:tcPr>
          <w:p>
            <w:pPr>
              <w:spacing w:after="0"/>
              <w:rPr>
                <w:sz w:val="20"/>
                <w:szCs w:val="20"/>
                <w:color w:val="auto"/>
              </w:rPr>
            </w:pPr>
            <w:r>
              <w:rPr>
                <w:rFonts w:ascii="Arial" w:cs="Arial" w:eastAsia="Arial" w:hAnsi="Arial"/>
                <w:sz w:val="16"/>
                <w:szCs w:val="16"/>
                <w:color w:val="1E1E1E"/>
              </w:rPr>
              <w:t>(in thousands)</w:t>
            </w:r>
          </w:p>
        </w:tc>
        <w:tc>
          <w:tcPr>
            <w:tcW w:w="120" w:type="dxa"/>
            <w:vAlign w:val="bottom"/>
          </w:tcPr>
          <w:p>
            <w:pPr>
              <w:spacing w:after="0"/>
              <w:rPr>
                <w:sz w:val="17"/>
                <w:szCs w:val="17"/>
                <w:color w:val="auto"/>
              </w:rPr>
            </w:pPr>
          </w:p>
        </w:tc>
        <w:tc>
          <w:tcPr>
            <w:tcW w:w="1300" w:type="dxa"/>
            <w:vAlign w:val="bottom"/>
          </w:tcPr>
          <w:p>
            <w:pPr>
              <w:jc w:val="right"/>
              <w:ind w:right="10"/>
              <w:spacing w:after="0"/>
              <w:rPr>
                <w:sz w:val="20"/>
                <w:szCs w:val="20"/>
                <w:color w:val="auto"/>
              </w:rPr>
            </w:pPr>
            <w:r>
              <w:rPr>
                <w:rFonts w:ascii="Arial" w:cs="Arial" w:eastAsia="Arial" w:hAnsi="Arial"/>
                <w:sz w:val="16"/>
                <w:szCs w:val="16"/>
                <w:color w:val="1E1E1E"/>
                <w:w w:val="96"/>
              </w:rPr>
              <w:t>February 3, 2024</w:t>
            </w:r>
          </w:p>
        </w:tc>
        <w:tc>
          <w:tcPr>
            <w:tcW w:w="220" w:type="dxa"/>
            <w:vAlign w:val="bottom"/>
          </w:tcPr>
          <w:p>
            <w:pPr>
              <w:spacing w:after="0"/>
              <w:rPr>
                <w:sz w:val="17"/>
                <w:szCs w:val="17"/>
                <w:color w:val="auto"/>
              </w:rPr>
            </w:pPr>
          </w:p>
        </w:tc>
        <w:tc>
          <w:tcPr>
            <w:tcW w:w="1540" w:type="dxa"/>
            <w:vAlign w:val="bottom"/>
            <w:gridSpan w:val="3"/>
          </w:tcPr>
          <w:p>
            <w:pPr>
              <w:jc w:val="center"/>
              <w:ind w:right="240"/>
              <w:spacing w:after="0"/>
              <w:rPr>
                <w:sz w:val="20"/>
                <w:szCs w:val="20"/>
                <w:color w:val="auto"/>
              </w:rPr>
            </w:pPr>
            <w:r>
              <w:rPr>
                <w:rFonts w:ascii="Arial" w:cs="Arial" w:eastAsia="Arial" w:hAnsi="Arial"/>
                <w:sz w:val="16"/>
                <w:szCs w:val="16"/>
                <w:color w:val="1E1E1E"/>
                <w:w w:val="88"/>
              </w:rPr>
              <w:t>January 28, 2023</w:t>
            </w:r>
          </w:p>
        </w:tc>
        <w:tc>
          <w:tcPr>
            <w:tcW w:w="1420" w:type="dxa"/>
            <w:vAlign w:val="bottom"/>
            <w:gridSpan w:val="2"/>
          </w:tcPr>
          <w:p>
            <w:pPr>
              <w:ind w:left="100"/>
              <w:spacing w:after="0"/>
              <w:rPr>
                <w:sz w:val="20"/>
                <w:szCs w:val="20"/>
                <w:color w:val="auto"/>
              </w:rPr>
            </w:pPr>
            <w:r>
              <w:rPr>
                <w:rFonts w:ascii="Arial" w:cs="Arial" w:eastAsia="Arial" w:hAnsi="Arial"/>
                <w:sz w:val="16"/>
                <w:szCs w:val="16"/>
                <w:color w:val="1E1E1E"/>
              </w:rPr>
              <w:t>January 29, 2022</w:t>
            </w:r>
          </w:p>
        </w:tc>
        <w:tc>
          <w:tcPr>
            <w:tcW w:w="0" w:type="dxa"/>
            <w:vAlign w:val="bottom"/>
          </w:tcPr>
          <w:p>
            <w:pPr>
              <w:spacing w:after="0"/>
              <w:rPr>
                <w:sz w:val="1"/>
                <w:szCs w:val="1"/>
                <w:color w:val="auto"/>
              </w:rPr>
            </w:pPr>
          </w:p>
        </w:tc>
      </w:tr>
      <w:tr>
        <w:trPr>
          <w:trHeight w:val="173"/>
        </w:trPr>
        <w:tc>
          <w:tcPr>
            <w:tcW w:w="6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top w:val="single" w:sz="8" w:color="1E1E1E"/>
            </w:tcBorders>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Borders>
              <w:top w:val="single" w:sz="8" w:color="1E1E1E"/>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top w:val="single" w:sz="8" w:color="1E1E1E"/>
            </w:tcBorders>
          </w:tcPr>
          <w:p>
            <w:pPr>
              <w:spacing w:after="0"/>
              <w:rPr>
                <w:sz w:val="15"/>
                <w:szCs w:val="15"/>
                <w:color w:val="auto"/>
              </w:rPr>
            </w:pPr>
          </w:p>
        </w:tc>
        <w:tc>
          <w:tcPr>
            <w:tcW w:w="1320" w:type="dxa"/>
            <w:vAlign w:val="bottom"/>
            <w:tcBorders>
              <w:top w:val="single" w:sz="8" w:color="1E1E1E"/>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E4E4E4"/>
          </w:tcPr>
          <w:p>
            <w:pPr>
              <w:spacing w:after="0"/>
              <w:rPr>
                <w:sz w:val="20"/>
                <w:szCs w:val="20"/>
                <w:color w:val="auto"/>
              </w:rPr>
            </w:pPr>
            <w:r>
              <w:rPr>
                <w:rFonts w:ascii="Arial" w:cs="Arial" w:eastAsia="Arial" w:hAnsi="Arial"/>
                <w:sz w:val="20"/>
                <w:szCs w:val="20"/>
                <w:color w:val="1E1E1E"/>
              </w:rPr>
              <w:t>Common stock outstanding:</w:t>
            </w:r>
          </w:p>
        </w:tc>
        <w:tc>
          <w:tcPr>
            <w:tcW w:w="120" w:type="dxa"/>
            <w:vAlign w:val="bottom"/>
            <w:shd w:val="clear" w:color="auto" w:fill="E4E4E4"/>
          </w:tcPr>
          <w:p>
            <w:pPr>
              <w:spacing w:after="0"/>
              <w:rPr>
                <w:sz w:val="20"/>
                <w:szCs w:val="20"/>
                <w:color w:val="auto"/>
              </w:rPr>
            </w:pPr>
          </w:p>
        </w:tc>
        <w:tc>
          <w:tcPr>
            <w:tcW w:w="1300" w:type="dxa"/>
            <w:vAlign w:val="bottom"/>
            <w:shd w:val="clear" w:color="auto" w:fill="E4E4E4"/>
          </w:tcPr>
          <w:p>
            <w:pPr>
              <w:spacing w:after="0"/>
              <w:rPr>
                <w:sz w:val="20"/>
                <w:szCs w:val="20"/>
                <w:color w:val="auto"/>
              </w:rPr>
            </w:pPr>
          </w:p>
        </w:tc>
        <w:tc>
          <w:tcPr>
            <w:tcW w:w="220" w:type="dxa"/>
            <w:vAlign w:val="bottom"/>
            <w:shd w:val="clear" w:color="auto" w:fill="E4E4E4"/>
          </w:tcPr>
          <w:p>
            <w:pPr>
              <w:spacing w:after="0"/>
              <w:rPr>
                <w:sz w:val="20"/>
                <w:szCs w:val="20"/>
                <w:color w:val="auto"/>
              </w:rPr>
            </w:pPr>
          </w:p>
        </w:tc>
        <w:tc>
          <w:tcPr>
            <w:tcW w:w="1320" w:type="dxa"/>
            <w:vAlign w:val="bottom"/>
            <w:shd w:val="clear" w:color="auto" w:fill="E4E4E4"/>
          </w:tcPr>
          <w:p>
            <w:pPr>
              <w:spacing w:after="0"/>
              <w:rPr>
                <w:sz w:val="20"/>
                <w:szCs w:val="20"/>
                <w:color w:val="auto"/>
              </w:rPr>
            </w:pPr>
          </w:p>
        </w:tc>
        <w:tc>
          <w:tcPr>
            <w:tcW w:w="2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3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line="210" w:lineRule="exact"/>
              <w:rPr>
                <w:sz w:val="20"/>
                <w:szCs w:val="20"/>
                <w:color w:val="auto"/>
              </w:rPr>
            </w:pPr>
            <w:r>
              <w:rPr>
                <w:rFonts w:ascii="Arial" w:cs="Arial" w:eastAsia="Arial" w:hAnsi="Arial"/>
                <w:sz w:val="20"/>
                <w:szCs w:val="20"/>
                <w:color w:val="1E1E1E"/>
              </w:rPr>
              <w:t>Basic weighted average common shares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200" w:type="dxa"/>
            <w:vAlign w:val="bottom"/>
          </w:tcPr>
          <w:p>
            <w:pPr>
              <w:ind w:left="160"/>
              <w:spacing w:after="0"/>
              <w:rPr>
                <w:sz w:val="20"/>
                <w:szCs w:val="20"/>
                <w:color w:val="auto"/>
              </w:rPr>
            </w:pPr>
            <w:r>
              <w:rPr>
                <w:rFonts w:ascii="Arial" w:cs="Arial" w:eastAsia="Arial" w:hAnsi="Arial"/>
                <w:sz w:val="20"/>
                <w:szCs w:val="20"/>
                <w:color w:val="1E1E1E"/>
              </w:rPr>
              <w:t>outstanding</w:t>
            </w:r>
          </w:p>
        </w:tc>
        <w:tc>
          <w:tcPr>
            <w:tcW w:w="1420" w:type="dxa"/>
            <w:vAlign w:val="bottom"/>
            <w:gridSpan w:val="2"/>
          </w:tcPr>
          <w:p>
            <w:pPr>
              <w:jc w:val="right"/>
              <w:spacing w:after="0"/>
              <w:rPr>
                <w:sz w:val="20"/>
                <w:szCs w:val="20"/>
                <w:color w:val="auto"/>
              </w:rPr>
            </w:pPr>
            <w:r>
              <w:rPr>
                <w:rFonts w:ascii="Arial" w:cs="Arial" w:eastAsia="Arial" w:hAnsi="Arial"/>
                <w:sz w:val="20"/>
                <w:szCs w:val="20"/>
                <w:color w:val="1E1E1E"/>
              </w:rPr>
              <w:t>61,018</w:t>
            </w:r>
          </w:p>
        </w:tc>
        <w:tc>
          <w:tcPr>
            <w:tcW w:w="1540" w:type="dxa"/>
            <w:vAlign w:val="bottom"/>
            <w:gridSpan w:val="2"/>
          </w:tcPr>
          <w:p>
            <w:pPr>
              <w:jc w:val="right"/>
              <w:spacing w:after="0"/>
              <w:rPr>
                <w:sz w:val="20"/>
                <w:szCs w:val="20"/>
                <w:color w:val="auto"/>
              </w:rPr>
            </w:pPr>
            <w:r>
              <w:rPr>
                <w:rFonts w:ascii="Arial" w:cs="Arial" w:eastAsia="Arial" w:hAnsi="Arial"/>
                <w:sz w:val="20"/>
                <w:szCs w:val="20"/>
                <w:color w:val="1E1E1E"/>
              </w:rPr>
              <w:t>62,825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20"/>
                <w:szCs w:val="20"/>
                <w:color w:val="1E1E1E"/>
              </w:rPr>
              <w:t>63,401</w:t>
            </w:r>
          </w:p>
        </w:tc>
        <w:tc>
          <w:tcPr>
            <w:tcW w:w="0" w:type="dxa"/>
            <w:vAlign w:val="bottom"/>
          </w:tcPr>
          <w:p>
            <w:pPr>
              <w:spacing w:after="0"/>
              <w:rPr>
                <w:sz w:val="1"/>
                <w:szCs w:val="1"/>
                <w:color w:val="auto"/>
              </w:rPr>
            </w:pPr>
          </w:p>
        </w:tc>
      </w:tr>
      <w:tr>
        <w:trPr>
          <w:trHeight w:val="213"/>
        </w:trPr>
        <w:tc>
          <w:tcPr>
            <w:tcW w:w="6200" w:type="dxa"/>
            <w:vAlign w:val="bottom"/>
            <w:shd w:val="clear" w:color="auto" w:fill="E4E4E4"/>
          </w:tcPr>
          <w:p>
            <w:pPr>
              <w:spacing w:after="0" w:line="213" w:lineRule="exact"/>
              <w:rPr>
                <w:sz w:val="20"/>
                <w:szCs w:val="20"/>
                <w:color w:val="auto"/>
              </w:rPr>
            </w:pPr>
            <w:r>
              <w:rPr>
                <w:rFonts w:ascii="Arial" w:cs="Arial" w:eastAsia="Arial" w:hAnsi="Arial"/>
                <w:sz w:val="20"/>
                <w:szCs w:val="20"/>
                <w:color w:val="1E1E1E"/>
              </w:rPr>
              <w:t>Common stock equivalents – stock options,</w:t>
            </w:r>
          </w:p>
        </w:tc>
        <w:tc>
          <w:tcPr>
            <w:tcW w:w="120" w:type="dxa"/>
            <w:vAlign w:val="bottom"/>
            <w:shd w:val="clear" w:color="auto" w:fill="E4E4E4"/>
          </w:tcPr>
          <w:p>
            <w:pPr>
              <w:spacing w:after="0"/>
              <w:rPr>
                <w:sz w:val="18"/>
                <w:szCs w:val="18"/>
                <w:color w:val="auto"/>
              </w:rPr>
            </w:pPr>
          </w:p>
        </w:tc>
        <w:tc>
          <w:tcPr>
            <w:tcW w:w="130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32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32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200" w:type="dxa"/>
            <w:vAlign w:val="bottom"/>
            <w:shd w:val="clear" w:color="auto" w:fill="E4E4E4"/>
          </w:tcPr>
          <w:p>
            <w:pPr>
              <w:ind w:left="160"/>
              <w:spacing w:after="0"/>
              <w:rPr>
                <w:sz w:val="20"/>
                <w:szCs w:val="20"/>
                <w:color w:val="auto"/>
              </w:rPr>
            </w:pPr>
            <w:r>
              <w:rPr>
                <w:rFonts w:ascii="Arial" w:cs="Arial" w:eastAsia="Arial" w:hAnsi="Arial"/>
                <w:sz w:val="20"/>
                <w:szCs w:val="20"/>
                <w:color w:val="1E1E1E"/>
              </w:rPr>
              <w:t>deferred stock and RSUs</w:t>
            </w:r>
          </w:p>
        </w:tc>
        <w:tc>
          <w:tcPr>
            <w:tcW w:w="142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3,287</w:t>
            </w:r>
          </w:p>
        </w:tc>
        <w:tc>
          <w:tcPr>
            <w:tcW w:w="154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4,065</w:t>
            </w:r>
          </w:p>
        </w:tc>
        <w:tc>
          <w:tcPr>
            <w:tcW w:w="2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420" w:type="dxa"/>
            <w:vAlign w:val="bottom"/>
            <w:gridSpan w:val="2"/>
            <w:shd w:val="clear" w:color="auto" w:fill="E4E4E4"/>
          </w:tcPr>
          <w:p>
            <w:pPr>
              <w:jc w:val="right"/>
              <w:ind w:right="100"/>
              <w:spacing w:after="0"/>
              <w:rPr>
                <w:sz w:val="20"/>
                <w:szCs w:val="20"/>
                <w:color w:val="auto"/>
              </w:rPr>
            </w:pPr>
            <w:r>
              <w:rPr>
                <w:rFonts w:ascii="Arial" w:cs="Arial" w:eastAsia="Arial" w:hAnsi="Arial"/>
                <w:sz w:val="20"/>
                <w:szCs w:val="20"/>
                <w:color w:val="1E1E1E"/>
              </w:rPr>
              <w:t>4,630</w:t>
            </w:r>
          </w:p>
        </w:tc>
        <w:tc>
          <w:tcPr>
            <w:tcW w:w="0" w:type="dxa"/>
            <w:vAlign w:val="bottom"/>
          </w:tcPr>
          <w:p>
            <w:pPr>
              <w:spacing w:after="0"/>
              <w:rPr>
                <w:sz w:val="1"/>
                <w:szCs w:val="1"/>
                <w:color w:val="auto"/>
              </w:rPr>
            </w:pPr>
          </w:p>
        </w:tc>
      </w:tr>
      <w:tr>
        <w:trPr>
          <w:trHeight w:val="200"/>
        </w:trPr>
        <w:tc>
          <w:tcPr>
            <w:tcW w:w="6200" w:type="dxa"/>
            <w:vAlign w:val="bottom"/>
          </w:tcPr>
          <w:p>
            <w:pPr>
              <w:spacing w:after="0" w:line="200" w:lineRule="exact"/>
              <w:rPr>
                <w:sz w:val="20"/>
                <w:szCs w:val="20"/>
                <w:color w:val="auto"/>
              </w:rPr>
            </w:pPr>
            <w:r>
              <w:rPr>
                <w:rFonts w:ascii="Arial" w:cs="Arial" w:eastAsia="Arial" w:hAnsi="Arial"/>
                <w:sz w:val="20"/>
                <w:szCs w:val="20"/>
                <w:color w:val="1E1E1E"/>
              </w:rPr>
              <w:t>Diluted weighted average common shares</w:t>
            </w:r>
          </w:p>
        </w:tc>
        <w:tc>
          <w:tcPr>
            <w:tcW w:w="120" w:type="dxa"/>
            <w:vAlign w:val="bottom"/>
          </w:tcPr>
          <w:p>
            <w:pPr>
              <w:spacing w:after="0"/>
              <w:rPr>
                <w:sz w:val="17"/>
                <w:szCs w:val="17"/>
                <w:color w:val="auto"/>
              </w:rPr>
            </w:pPr>
          </w:p>
        </w:tc>
        <w:tc>
          <w:tcPr>
            <w:tcW w:w="1300" w:type="dxa"/>
            <w:vAlign w:val="bottom"/>
            <w:tcBorders>
              <w:top w:val="single" w:sz="8" w:color="1E1E1E"/>
            </w:tcBorders>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1E1E1E"/>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1E1E1E"/>
            </w:tcBorders>
          </w:tcPr>
          <w:p>
            <w:pPr>
              <w:spacing w:after="0"/>
              <w:rPr>
                <w:sz w:val="17"/>
                <w:szCs w:val="17"/>
                <w:color w:val="auto"/>
              </w:rPr>
            </w:pPr>
          </w:p>
        </w:tc>
        <w:tc>
          <w:tcPr>
            <w:tcW w:w="1320" w:type="dxa"/>
            <w:vAlign w:val="bottom"/>
            <w:tcBorders>
              <w:top w:val="single" w:sz="8" w:color="1E1E1E"/>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200" w:type="dxa"/>
            <w:vAlign w:val="bottom"/>
          </w:tcPr>
          <w:p>
            <w:pPr>
              <w:ind w:left="160"/>
              <w:spacing w:after="0"/>
              <w:rPr>
                <w:sz w:val="20"/>
                <w:szCs w:val="20"/>
                <w:color w:val="auto"/>
              </w:rPr>
            </w:pPr>
            <w:r>
              <w:rPr>
                <w:rFonts w:ascii="Arial" w:cs="Arial" w:eastAsia="Arial" w:hAnsi="Arial"/>
                <w:sz w:val="20"/>
                <w:szCs w:val="20"/>
                <w:color w:val="1E1E1E"/>
              </w:rPr>
              <w:t>outstanding</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1E1E1E"/>
              </w:rPr>
              <w:t>64,305</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1E1E1E"/>
              </w:rPr>
              <w:t>66,890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1E1E1E"/>
              </w:rPr>
              <w:t>68,031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1E1E1E"/>
        </w:rPr>
        <w:t>The following potential common stock equivalents were excluded from the computation of diluted earnings per share in each year because the exercise price of such options was greater than the average market price per share of common stock for the respective periods or because the unearned compensation associated with either stock options, RSUs, or deferred stock had an anti-dilutive effect.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Arial" w:cs="Arial" w:eastAsia="Arial" w:hAnsi="Arial"/>
                <w:sz w:val="16"/>
                <w:szCs w:val="16"/>
                <w:color w:val="1E1E1E"/>
                <w:w w:val="97"/>
              </w:rPr>
              <w:t>FISCAL YEARS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200" w:type="dxa"/>
            <w:vAlign w:val="bottom"/>
            <w:vMerge w:val="restart"/>
          </w:tcPr>
          <w:p>
            <w:pPr>
              <w:spacing w:after="0"/>
              <w:rPr>
                <w:sz w:val="20"/>
                <w:szCs w:val="20"/>
                <w:color w:val="auto"/>
              </w:rPr>
            </w:pPr>
            <w:r>
              <w:rPr>
                <w:rFonts w:ascii="Arial" w:cs="Arial" w:eastAsia="Arial" w:hAnsi="Arial"/>
                <w:sz w:val="16"/>
                <w:szCs w:val="16"/>
                <w:color w:val="1E1E1E"/>
              </w:rPr>
              <w:t>(in thousands, except exercise prices)</w:t>
            </w:r>
          </w:p>
        </w:tc>
        <w:tc>
          <w:tcPr>
            <w:tcW w:w="12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1E1E1E"/>
                <w:w w:val="96"/>
              </w:rPr>
              <w:t>February 3, 2024</w:t>
            </w:r>
          </w:p>
        </w:tc>
        <w:tc>
          <w:tcPr>
            <w:tcW w:w="20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color w:val="1E1E1E"/>
                <w:w w:val="88"/>
              </w:rPr>
              <w:t>January 28, 2023</w:t>
            </w:r>
          </w:p>
        </w:tc>
        <w:tc>
          <w:tcPr>
            <w:tcW w:w="1440" w:type="dxa"/>
            <w:vAlign w:val="bottom"/>
            <w:gridSpan w:val="2"/>
          </w:tcPr>
          <w:p>
            <w:pPr>
              <w:ind w:left="120"/>
              <w:spacing w:after="0"/>
              <w:rPr>
                <w:sz w:val="20"/>
                <w:szCs w:val="20"/>
                <w:color w:val="auto"/>
              </w:rPr>
            </w:pPr>
            <w:r>
              <w:rPr>
                <w:rFonts w:ascii="Arial" w:cs="Arial" w:eastAsia="Arial" w:hAnsi="Arial"/>
                <w:sz w:val="16"/>
                <w:szCs w:val="16"/>
                <w:color w:val="1E1E1E"/>
              </w:rPr>
              <w:t>January 29, 2022</w:t>
            </w:r>
          </w:p>
        </w:tc>
        <w:tc>
          <w:tcPr>
            <w:tcW w:w="0" w:type="dxa"/>
            <w:vAlign w:val="bottom"/>
          </w:tcPr>
          <w:p>
            <w:pPr>
              <w:spacing w:after="0"/>
              <w:rPr>
                <w:sz w:val="1"/>
                <w:szCs w:val="1"/>
                <w:color w:val="auto"/>
              </w:rPr>
            </w:pPr>
          </w:p>
        </w:tc>
      </w:tr>
      <w:tr>
        <w:trPr>
          <w:trHeight w:val="173"/>
        </w:trPr>
        <w:tc>
          <w:tcPr>
            <w:tcW w:w="6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top w:val="single" w:sz="8" w:color="1E1E1E"/>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Borders>
              <w:top w:val="single" w:sz="8" w:color="1E1E1E"/>
            </w:tcBorders>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Borders>
              <w:top w:val="single" w:sz="8" w:color="1E1E1E"/>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E4E4E4"/>
          </w:tcPr>
          <w:p>
            <w:pPr>
              <w:spacing w:after="0"/>
              <w:rPr>
                <w:sz w:val="20"/>
                <w:szCs w:val="20"/>
                <w:color w:val="auto"/>
              </w:rPr>
            </w:pPr>
            <w:r>
              <w:rPr>
                <w:rFonts w:ascii="Arial" w:cs="Arial" w:eastAsia="Arial" w:hAnsi="Arial"/>
                <w:sz w:val="20"/>
                <w:szCs w:val="20"/>
                <w:color w:val="1E1E1E"/>
              </w:rPr>
              <w:t>Stock options (time-vested)</w:t>
            </w:r>
          </w:p>
        </w:tc>
        <w:tc>
          <w:tcPr>
            <w:tcW w:w="1440" w:type="dxa"/>
            <w:vAlign w:val="bottom"/>
            <w:gridSpan w:val="3"/>
            <w:shd w:val="clear" w:color="auto" w:fill="E4E4E4"/>
          </w:tcPr>
          <w:p>
            <w:pPr>
              <w:jc w:val="right"/>
              <w:ind w:right="20"/>
              <w:spacing w:after="0"/>
              <w:rPr>
                <w:sz w:val="20"/>
                <w:szCs w:val="20"/>
                <w:color w:val="auto"/>
              </w:rPr>
            </w:pPr>
            <w:r>
              <w:rPr>
                <w:rFonts w:ascii="Arial" w:cs="Arial" w:eastAsia="Arial" w:hAnsi="Arial"/>
                <w:sz w:val="20"/>
                <w:szCs w:val="20"/>
                <w:color w:val="1E1E1E"/>
              </w:rPr>
              <w:t>85</w:t>
            </w:r>
          </w:p>
        </w:tc>
        <w:tc>
          <w:tcPr>
            <w:tcW w:w="152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102</w:t>
            </w:r>
          </w:p>
        </w:tc>
        <w:tc>
          <w:tcPr>
            <w:tcW w:w="200" w:type="dxa"/>
            <w:vAlign w:val="bottom"/>
            <w:shd w:val="clear" w:color="auto" w:fill="E4E4E4"/>
          </w:tcPr>
          <w:p>
            <w:pPr>
              <w:spacing w:after="0"/>
              <w:rPr>
                <w:sz w:val="20"/>
                <w:szCs w:val="20"/>
                <w:color w:val="auto"/>
              </w:rPr>
            </w:pPr>
          </w:p>
        </w:tc>
        <w:tc>
          <w:tcPr>
            <w:tcW w:w="134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302</w:t>
            </w: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20"/>
                <w:szCs w:val="20"/>
                <w:color w:val="1E1E1E"/>
              </w:rPr>
              <w:t>RSUs (time-vested)</w:t>
            </w:r>
          </w:p>
        </w:tc>
        <w:tc>
          <w:tcPr>
            <w:tcW w:w="1440" w:type="dxa"/>
            <w:vAlign w:val="bottom"/>
            <w:gridSpan w:val="3"/>
          </w:tcPr>
          <w:p>
            <w:pPr>
              <w:jc w:val="right"/>
              <w:ind w:right="20"/>
              <w:spacing w:after="0"/>
              <w:rPr>
                <w:sz w:val="20"/>
                <w:szCs w:val="20"/>
                <w:color w:val="auto"/>
              </w:rPr>
            </w:pPr>
            <w:r>
              <w:rPr>
                <w:rFonts w:ascii="Arial" w:cs="Arial" w:eastAsia="Arial" w:hAnsi="Arial"/>
                <w:sz w:val="20"/>
                <w:szCs w:val="20"/>
                <w:color w:val="1E1E1E"/>
              </w:rPr>
              <w:t>39</w:t>
            </w:r>
          </w:p>
        </w:tc>
        <w:tc>
          <w:tcPr>
            <w:tcW w:w="1520" w:type="dxa"/>
            <w:vAlign w:val="bottom"/>
            <w:gridSpan w:val="2"/>
          </w:tcPr>
          <w:p>
            <w:pPr>
              <w:jc w:val="right"/>
              <w:spacing w:after="0"/>
              <w:rPr>
                <w:sz w:val="20"/>
                <w:szCs w:val="20"/>
                <w:color w:val="auto"/>
              </w:rPr>
            </w:pPr>
            <w:r>
              <w:rPr>
                <w:rFonts w:ascii="Arial" w:cs="Arial" w:eastAsia="Arial" w:hAnsi="Arial"/>
                <w:sz w:val="20"/>
                <w:szCs w:val="20"/>
                <w:color w:val="1E1E1E"/>
              </w:rPr>
              <w:t>104</w:t>
            </w:r>
          </w:p>
        </w:tc>
        <w:tc>
          <w:tcPr>
            <w:tcW w:w="20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20"/>
                <w:szCs w:val="20"/>
                <w:color w:val="1E1E1E"/>
              </w:rPr>
              <w:t>—</w:t>
            </w:r>
          </w:p>
        </w:tc>
        <w:tc>
          <w:tcPr>
            <w:tcW w:w="0" w:type="dxa"/>
            <w:vAlign w:val="bottom"/>
          </w:tcPr>
          <w:p>
            <w:pPr>
              <w:spacing w:after="0"/>
              <w:rPr>
                <w:sz w:val="1"/>
                <w:szCs w:val="1"/>
                <w:color w:val="auto"/>
              </w:rPr>
            </w:pPr>
          </w:p>
        </w:tc>
      </w:tr>
      <w:tr>
        <w:trPr>
          <w:trHeight w:val="233"/>
        </w:trPr>
        <w:tc>
          <w:tcPr>
            <w:tcW w:w="6200" w:type="dxa"/>
            <w:vAlign w:val="bottom"/>
            <w:shd w:val="clear" w:color="auto" w:fill="E4E4E4"/>
          </w:tcPr>
          <w:p>
            <w:pPr>
              <w:spacing w:after="0"/>
              <w:rPr>
                <w:sz w:val="20"/>
                <w:szCs w:val="20"/>
                <w:color w:val="auto"/>
              </w:rPr>
            </w:pPr>
            <w:r>
              <w:rPr>
                <w:rFonts w:ascii="Arial" w:cs="Arial" w:eastAsia="Arial" w:hAnsi="Arial"/>
                <w:sz w:val="20"/>
                <w:szCs w:val="20"/>
                <w:color w:val="1E1E1E"/>
              </w:rPr>
              <w:t>Range of exercise prices of such options</w:t>
            </w:r>
          </w:p>
        </w:tc>
        <w:tc>
          <w:tcPr>
            <w:tcW w:w="1440" w:type="dxa"/>
            <w:vAlign w:val="bottom"/>
            <w:gridSpan w:val="3"/>
            <w:shd w:val="clear" w:color="auto" w:fill="E4E4E4"/>
          </w:tcPr>
          <w:p>
            <w:pPr>
              <w:jc w:val="right"/>
              <w:ind w:right="20"/>
              <w:spacing w:after="0"/>
              <w:rPr>
                <w:sz w:val="20"/>
                <w:szCs w:val="20"/>
                <w:color w:val="auto"/>
              </w:rPr>
            </w:pPr>
            <w:r>
              <w:rPr>
                <w:rFonts w:ascii="Arial" w:cs="Arial" w:eastAsia="Arial" w:hAnsi="Arial"/>
                <w:sz w:val="20"/>
                <w:szCs w:val="20"/>
                <w:color w:val="1E1E1E"/>
              </w:rPr>
              <w:t>$4.48 - $6.59</w:t>
            </w:r>
          </w:p>
        </w:tc>
        <w:tc>
          <w:tcPr>
            <w:tcW w:w="1720" w:type="dxa"/>
            <w:vAlign w:val="bottom"/>
            <w:gridSpan w:val="3"/>
            <w:shd w:val="clear" w:color="auto" w:fill="E4E4E4"/>
          </w:tcPr>
          <w:p>
            <w:pPr>
              <w:jc w:val="right"/>
              <w:ind w:right="200"/>
              <w:spacing w:after="0"/>
              <w:rPr>
                <w:sz w:val="20"/>
                <w:szCs w:val="20"/>
                <w:color w:val="auto"/>
              </w:rPr>
            </w:pPr>
            <w:r>
              <w:rPr>
                <w:rFonts w:ascii="Arial" w:cs="Arial" w:eastAsia="Arial" w:hAnsi="Arial"/>
                <w:sz w:val="20"/>
                <w:szCs w:val="20"/>
                <w:color w:val="1E1E1E"/>
              </w:rPr>
              <w:t>$4.48 - $7.43</w:t>
            </w:r>
          </w:p>
        </w:tc>
        <w:tc>
          <w:tcPr>
            <w:tcW w:w="134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$4.19 -$5.50</w:t>
            </w: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1E1E1E"/>
        </w:rPr>
        <w:t>Excluded from the computation of basic and diluted earnings per share were 573,000 shares for fiscal 2023 and 240,000 shares in fiscal 2022 and fiscal 2021 of unvested performance stock units. These performance-based awards will be included in the computation of basic and diluted earnings per share if, and when, the respective performance targets are achieved. In addition, deferred stock of 435,568 shares for all three fiscal periods were excluded from basic earnings per share. Outstanding shares of deferred stock are not considered issued and outstanding until the vesting date of the deferral period and are excluded from basic earnings per share until such shares are issued.</w:t>
      </w:r>
    </w:p>
    <w:p>
      <w:pPr>
        <w:sectPr>
          <w:pgSz w:w="11880" w:h="15480" w:orient="portrait"/>
          <w:cols w:equalWidth="0" w:num="1">
            <w:col w:w="10800"/>
          </w:cols>
          <w:pgMar w:left="540" w:top="656"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46</w:t>
      </w:r>
    </w:p>
    <w:p>
      <w:pPr>
        <w:sectPr>
          <w:pgSz w:w="11880" w:h="15480" w:orient="portrait"/>
          <w:cols w:equalWidth="0" w:num="1">
            <w:col w:w="10800"/>
          </w:cols>
          <w:pgMar w:left="540" w:top="656" w:right="540" w:bottom="31" w:gutter="0" w:footer="0" w:header="0"/>
          <w:type w:val="continuous"/>
        </w:sectPr>
      </w:pPr>
    </w:p>
    <w:bookmarkStart w:id="48" w:name="page49"/>
    <w:bookmarkEnd w:id="48"/>
    <w:p>
      <w:pPr>
        <w:ind w:left="240"/>
        <w:spacing w:after="0"/>
        <w:rPr>
          <w:sz w:val="20"/>
          <w:szCs w:val="20"/>
          <w:color w:val="auto"/>
        </w:rPr>
      </w:pPr>
      <w:r>
        <w:rPr>
          <w:rFonts w:ascii="Arial" w:cs="Arial" w:eastAsia="Arial" w:hAnsi="Arial"/>
          <w:sz w:val="20"/>
          <w:szCs w:val="20"/>
          <w:color w:val="1E1E1E"/>
        </w:rPr>
        <w:t>Stock-based Compensation</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1E1E1E"/>
        </w:rPr>
        <w:t>ASC Topic 718, Compensation – Stock Compensation, requires measurement of compensation cost for all stock awards at fair value on the date of grant and recognition of compensation over the service period for awards expected to vest.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 derived from using the Black-Scholes model is recognized as expense over the vesting period, net of estimated forfeitures. The estimation of stock awards that will ultimately vest requires judgment. Actual results, and future changes in estimates, may differ from the Company’s current estimates.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1E1E1E"/>
        </w:rPr>
        <w:t>During fiscal 2023, the Company granted performance stock units. The fair value and derived service periods of the award were calculated using the Monte Carlo model. See Note I "Stock Compensation Plans" for more discussion regarding the performance metrics and the valuation assumptions used to calculate the fair value and derived service periods.</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1E1E1E"/>
        </w:rPr>
        <w:t>The Company recognized total stock- based compensation expense of $2.5 million, $1.4 million and $1.2 million for fiscal 2023, fiscal 2022 and fiscal 2021, respectively. The increase in stock-based compensation in fiscal 2023 was primarily due to the grant of performance stock units in August 2023 that are being expensed over the derived service period, which was determined to be an average of 12.5 months.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1E1E1E"/>
        </w:rPr>
        <w:t>The total stock-based compensation cost related to time-vested awards not yet recognized as of February 3, 2024 was approximately $3.4 million and will be expensed over a weighted average remaining life of approximately 22 months.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1E1E1E"/>
        </w:rPr>
        <w:t>The total grant-date fair value of awards vested was $1.2 million, $2.5 million and $1.7 million for fiscal 2023, fiscal 2022 and fiscal 2021, respectively.</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1E1E1E"/>
        </w:rPr>
        <w:t>Any excess tax benefits resulting from the exercise of stock options or the release of restricted shares were recognized as a component of income tax expense in the period in which they occurred.</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Valuation Assumptions - Stock Compensation</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1E1E1E"/>
        </w:rPr>
        <w:t>The fair value of each option grant is estimated on the date of grant using the Black-Scholes option-pricing model based on the following assumptions in the table. The fair value of each non-vested share is equal to the closing price of the Company’s stock on the date of grant. The weighted- average fair value of options granted and non-vested shares granted shown below does not include shares granted to directors in lieu of compensation.</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00" w:type="dxa"/>
            <w:vAlign w:val="bottom"/>
            <w:tcBorders>
              <w:bottom w:val="single" w:sz="8" w:color="E4E4E4"/>
            </w:tcBorders>
          </w:tcPr>
          <w:p>
            <w:pPr>
              <w:spacing w:after="0"/>
              <w:rPr>
                <w:sz w:val="20"/>
                <w:szCs w:val="20"/>
                <w:color w:val="auto"/>
              </w:rPr>
            </w:pPr>
            <w:r>
              <w:rPr>
                <w:rFonts w:ascii="Arial" w:cs="Arial" w:eastAsia="Arial" w:hAnsi="Arial"/>
                <w:sz w:val="20"/>
                <w:szCs w:val="20"/>
                <w:color w:val="1E1E1E"/>
              </w:rPr>
              <w:t>Fiscal years ended:</w:t>
            </w:r>
          </w:p>
        </w:tc>
        <w:tc>
          <w:tcPr>
            <w:tcW w:w="1860" w:type="dxa"/>
            <w:vAlign w:val="bottom"/>
            <w:tcBorders>
              <w:bottom w:val="single" w:sz="8" w:color="1E1E1E"/>
            </w:tcBorders>
          </w:tcPr>
          <w:p>
            <w:pPr>
              <w:ind w:left="380"/>
              <w:spacing w:after="0"/>
              <w:rPr>
                <w:sz w:val="20"/>
                <w:szCs w:val="20"/>
                <w:color w:val="auto"/>
              </w:rPr>
            </w:pPr>
            <w:r>
              <w:rPr>
                <w:rFonts w:ascii="Arial" w:cs="Arial" w:eastAsia="Arial" w:hAnsi="Arial"/>
                <w:sz w:val="16"/>
                <w:szCs w:val="16"/>
                <w:color w:val="1E1E1E"/>
              </w:rPr>
              <w:t>February 3, 2024</w:t>
            </w:r>
          </w:p>
        </w:tc>
        <w:tc>
          <w:tcPr>
            <w:tcW w:w="160" w:type="dxa"/>
            <w:vAlign w:val="bottom"/>
            <w:tcBorders>
              <w:bottom w:val="single" w:sz="8" w:color="E4E4E4"/>
            </w:tcBorders>
          </w:tcPr>
          <w:p>
            <w:pPr>
              <w:spacing w:after="0"/>
              <w:rPr>
                <w:sz w:val="21"/>
                <w:szCs w:val="21"/>
                <w:color w:val="auto"/>
              </w:rPr>
            </w:pPr>
          </w:p>
        </w:tc>
        <w:tc>
          <w:tcPr>
            <w:tcW w:w="1780" w:type="dxa"/>
            <w:vAlign w:val="bottom"/>
            <w:tcBorders>
              <w:bottom w:val="single" w:sz="8" w:color="1E1E1E"/>
            </w:tcBorders>
            <w:gridSpan w:val="2"/>
          </w:tcPr>
          <w:p>
            <w:pPr>
              <w:ind w:left="340"/>
              <w:spacing w:after="0"/>
              <w:rPr>
                <w:sz w:val="20"/>
                <w:szCs w:val="20"/>
                <w:color w:val="auto"/>
              </w:rPr>
            </w:pPr>
            <w:r>
              <w:rPr>
                <w:rFonts w:ascii="Arial" w:cs="Arial" w:eastAsia="Arial" w:hAnsi="Arial"/>
                <w:sz w:val="16"/>
                <w:szCs w:val="16"/>
                <w:color w:val="1E1E1E"/>
              </w:rPr>
              <w:t>January 28, 2023</w:t>
            </w:r>
          </w:p>
        </w:tc>
        <w:tc>
          <w:tcPr>
            <w:tcW w:w="140" w:type="dxa"/>
            <w:vAlign w:val="bottom"/>
            <w:tcBorders>
              <w:bottom w:val="single" w:sz="8" w:color="E4E4E4"/>
            </w:tcBorders>
          </w:tcPr>
          <w:p>
            <w:pPr>
              <w:spacing w:after="0"/>
              <w:rPr>
                <w:sz w:val="21"/>
                <w:szCs w:val="21"/>
                <w:color w:val="auto"/>
              </w:rPr>
            </w:pPr>
          </w:p>
        </w:tc>
        <w:tc>
          <w:tcPr>
            <w:tcW w:w="1760" w:type="dxa"/>
            <w:vAlign w:val="bottom"/>
            <w:tcBorders>
              <w:bottom w:val="single" w:sz="8" w:color="1E1E1E"/>
            </w:tcBorders>
            <w:gridSpan w:val="2"/>
          </w:tcPr>
          <w:p>
            <w:pPr>
              <w:ind w:left="340"/>
              <w:spacing w:after="0"/>
              <w:rPr>
                <w:sz w:val="20"/>
                <w:szCs w:val="20"/>
                <w:color w:val="auto"/>
              </w:rPr>
            </w:pPr>
            <w:r>
              <w:rPr>
                <w:rFonts w:ascii="Arial" w:cs="Arial" w:eastAsia="Arial" w:hAnsi="Arial"/>
                <w:sz w:val="16"/>
                <w:szCs w:val="16"/>
                <w:color w:val="1E1E1E"/>
              </w:rPr>
              <w:t>January 29, 2022</w:t>
            </w:r>
          </w:p>
        </w:tc>
      </w:tr>
      <w:tr>
        <w:trPr>
          <w:trHeight w:val="221"/>
        </w:trPr>
        <w:tc>
          <w:tcPr>
            <w:tcW w:w="5100" w:type="dxa"/>
            <w:vAlign w:val="bottom"/>
            <w:shd w:val="clear" w:color="auto" w:fill="E4E4E4"/>
          </w:tcPr>
          <w:p>
            <w:pPr>
              <w:spacing w:after="0" w:line="221" w:lineRule="exact"/>
              <w:rPr>
                <w:sz w:val="20"/>
                <w:szCs w:val="20"/>
                <w:color w:val="auto"/>
              </w:rPr>
            </w:pPr>
            <w:r>
              <w:rPr>
                <w:rFonts w:ascii="Arial" w:cs="Arial" w:eastAsia="Arial" w:hAnsi="Arial"/>
                <w:sz w:val="20"/>
                <w:szCs w:val="20"/>
                <w:color w:val="1E1E1E"/>
              </w:rPr>
              <w:t>Expected volatility</w:t>
            </w:r>
          </w:p>
        </w:tc>
        <w:tc>
          <w:tcPr>
            <w:tcW w:w="1860" w:type="dxa"/>
            <w:vAlign w:val="bottom"/>
            <w:shd w:val="clear" w:color="auto" w:fill="E4E4E4"/>
          </w:tcPr>
          <w:p>
            <w:pPr>
              <w:jc w:val="center"/>
              <w:spacing w:after="0" w:line="221" w:lineRule="exact"/>
              <w:rPr>
                <w:sz w:val="20"/>
                <w:szCs w:val="20"/>
                <w:color w:val="auto"/>
              </w:rPr>
            </w:pPr>
            <w:r>
              <w:rPr>
                <w:rFonts w:ascii="Arial" w:cs="Arial" w:eastAsia="Arial" w:hAnsi="Arial"/>
                <w:sz w:val="20"/>
                <w:szCs w:val="20"/>
                <w:color w:val="1E1E1E"/>
                <w:w w:val="91"/>
              </w:rPr>
              <w:t>86.3% - 92.1%</w:t>
            </w:r>
          </w:p>
        </w:tc>
        <w:tc>
          <w:tcPr>
            <w:tcW w:w="160" w:type="dxa"/>
            <w:vAlign w:val="bottom"/>
            <w:shd w:val="clear" w:color="auto" w:fill="E4E4E4"/>
          </w:tcPr>
          <w:p>
            <w:pPr>
              <w:spacing w:after="0"/>
              <w:rPr>
                <w:sz w:val="19"/>
                <w:szCs w:val="19"/>
                <w:color w:val="auto"/>
              </w:rPr>
            </w:pPr>
          </w:p>
        </w:tc>
        <w:tc>
          <w:tcPr>
            <w:tcW w:w="1780" w:type="dxa"/>
            <w:vAlign w:val="bottom"/>
            <w:gridSpan w:val="2"/>
            <w:shd w:val="clear" w:color="auto" w:fill="E4E4E4"/>
          </w:tcPr>
          <w:p>
            <w:pPr>
              <w:jc w:val="center"/>
              <w:spacing w:after="0" w:line="221" w:lineRule="exact"/>
              <w:rPr>
                <w:sz w:val="20"/>
                <w:szCs w:val="20"/>
                <w:color w:val="auto"/>
              </w:rPr>
            </w:pPr>
            <w:r>
              <w:rPr>
                <w:rFonts w:ascii="Arial" w:cs="Arial" w:eastAsia="Arial" w:hAnsi="Arial"/>
                <w:sz w:val="20"/>
                <w:szCs w:val="20"/>
                <w:color w:val="1E1E1E"/>
                <w:w w:val="91"/>
              </w:rPr>
              <w:t>87.9% - 123.7%</w:t>
            </w:r>
          </w:p>
        </w:tc>
        <w:tc>
          <w:tcPr>
            <w:tcW w:w="140" w:type="dxa"/>
            <w:vAlign w:val="bottom"/>
            <w:shd w:val="clear" w:color="auto" w:fill="E4E4E4"/>
          </w:tcPr>
          <w:p>
            <w:pPr>
              <w:spacing w:after="0"/>
              <w:rPr>
                <w:sz w:val="19"/>
                <w:szCs w:val="19"/>
                <w:color w:val="auto"/>
              </w:rPr>
            </w:pPr>
          </w:p>
        </w:tc>
        <w:tc>
          <w:tcPr>
            <w:tcW w:w="1760" w:type="dxa"/>
            <w:vAlign w:val="bottom"/>
            <w:gridSpan w:val="2"/>
            <w:shd w:val="clear" w:color="auto" w:fill="E4E4E4"/>
          </w:tcPr>
          <w:p>
            <w:pPr>
              <w:jc w:val="center"/>
              <w:spacing w:after="0" w:line="221" w:lineRule="exact"/>
              <w:rPr>
                <w:sz w:val="20"/>
                <w:szCs w:val="20"/>
                <w:color w:val="auto"/>
              </w:rPr>
            </w:pPr>
            <w:r>
              <w:rPr>
                <w:rFonts w:ascii="Arial" w:cs="Arial" w:eastAsia="Arial" w:hAnsi="Arial"/>
                <w:sz w:val="20"/>
                <w:szCs w:val="20"/>
                <w:color w:val="1E1E1E"/>
                <w:w w:val="91"/>
              </w:rPr>
              <w:t>97.4% - 104.9%</w:t>
            </w:r>
          </w:p>
        </w:tc>
      </w:tr>
      <w:tr>
        <w:trPr>
          <w:trHeight w:val="228"/>
        </w:trPr>
        <w:tc>
          <w:tcPr>
            <w:tcW w:w="5100" w:type="dxa"/>
            <w:vAlign w:val="bottom"/>
          </w:tcPr>
          <w:p>
            <w:pPr>
              <w:spacing w:after="0" w:line="228" w:lineRule="exact"/>
              <w:rPr>
                <w:sz w:val="20"/>
                <w:szCs w:val="20"/>
                <w:color w:val="auto"/>
              </w:rPr>
            </w:pPr>
            <w:r>
              <w:rPr>
                <w:rFonts w:ascii="Arial" w:cs="Arial" w:eastAsia="Arial" w:hAnsi="Arial"/>
                <w:sz w:val="20"/>
                <w:szCs w:val="20"/>
                <w:color w:val="1E1E1E"/>
              </w:rPr>
              <w:t>Risk-free interest rate</w:t>
            </w:r>
          </w:p>
        </w:tc>
        <w:tc>
          <w:tcPr>
            <w:tcW w:w="1860" w:type="dxa"/>
            <w:vAlign w:val="bottom"/>
          </w:tcPr>
          <w:p>
            <w:pPr>
              <w:jc w:val="center"/>
              <w:spacing w:after="0" w:line="228" w:lineRule="exact"/>
              <w:rPr>
                <w:sz w:val="20"/>
                <w:szCs w:val="20"/>
                <w:color w:val="auto"/>
              </w:rPr>
            </w:pPr>
            <w:r>
              <w:rPr>
                <w:rFonts w:ascii="Arial" w:cs="Arial" w:eastAsia="Arial" w:hAnsi="Arial"/>
                <w:sz w:val="20"/>
                <w:szCs w:val="20"/>
                <w:color w:val="1E1E1E"/>
                <w:w w:val="91"/>
              </w:rPr>
              <w:t>3.71%-4.42%</w:t>
            </w:r>
          </w:p>
        </w:tc>
        <w:tc>
          <w:tcPr>
            <w:tcW w:w="16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Arial" w:cs="Arial" w:eastAsia="Arial" w:hAnsi="Arial"/>
                <w:sz w:val="20"/>
                <w:szCs w:val="20"/>
                <w:color w:val="1E1E1E"/>
              </w:rPr>
              <w:t>2.52%</w:t>
            </w:r>
          </w:p>
        </w:tc>
        <w:tc>
          <w:tcPr>
            <w:tcW w:w="960" w:type="dxa"/>
            <w:vAlign w:val="bottom"/>
          </w:tcPr>
          <w:p>
            <w:pPr>
              <w:ind w:left="40"/>
              <w:spacing w:after="0" w:line="228" w:lineRule="exact"/>
              <w:rPr>
                <w:sz w:val="20"/>
                <w:szCs w:val="20"/>
                <w:color w:val="auto"/>
              </w:rPr>
            </w:pPr>
            <w:r>
              <w:rPr>
                <w:rFonts w:ascii="Arial" w:cs="Arial" w:eastAsia="Arial" w:hAnsi="Arial"/>
                <w:sz w:val="20"/>
                <w:szCs w:val="20"/>
                <w:color w:val="1E1E1E"/>
              </w:rPr>
              <w:t>- 4.41%</w:t>
            </w:r>
          </w:p>
        </w:tc>
        <w:tc>
          <w:tcPr>
            <w:tcW w:w="14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Arial" w:cs="Arial" w:eastAsia="Arial" w:hAnsi="Arial"/>
                <w:sz w:val="20"/>
                <w:szCs w:val="20"/>
                <w:color w:val="1E1E1E"/>
              </w:rPr>
              <w:t>0.31%</w:t>
            </w:r>
          </w:p>
        </w:tc>
        <w:tc>
          <w:tcPr>
            <w:tcW w:w="940" w:type="dxa"/>
            <w:vAlign w:val="bottom"/>
          </w:tcPr>
          <w:p>
            <w:pPr>
              <w:ind w:left="20"/>
              <w:spacing w:after="0" w:line="228" w:lineRule="exact"/>
              <w:rPr>
                <w:sz w:val="20"/>
                <w:szCs w:val="20"/>
                <w:color w:val="auto"/>
              </w:rPr>
            </w:pPr>
            <w:r>
              <w:rPr>
                <w:rFonts w:ascii="Arial" w:cs="Arial" w:eastAsia="Arial" w:hAnsi="Arial"/>
                <w:sz w:val="20"/>
                <w:szCs w:val="20"/>
                <w:color w:val="1E1E1E"/>
              </w:rPr>
              <w:t>- 0.60%</w:t>
            </w:r>
          </w:p>
        </w:tc>
      </w:tr>
      <w:tr>
        <w:trPr>
          <w:trHeight w:val="230"/>
        </w:trPr>
        <w:tc>
          <w:tcPr>
            <w:tcW w:w="5100" w:type="dxa"/>
            <w:vAlign w:val="bottom"/>
            <w:shd w:val="clear" w:color="auto" w:fill="E4E4E4"/>
          </w:tcPr>
          <w:p>
            <w:pPr>
              <w:spacing w:after="0"/>
              <w:rPr>
                <w:sz w:val="20"/>
                <w:szCs w:val="20"/>
                <w:color w:val="auto"/>
              </w:rPr>
            </w:pPr>
            <w:r>
              <w:rPr>
                <w:rFonts w:ascii="Arial" w:cs="Arial" w:eastAsia="Arial" w:hAnsi="Arial"/>
                <w:sz w:val="20"/>
                <w:szCs w:val="20"/>
                <w:color w:val="1E1E1E"/>
              </w:rPr>
              <w:t>Expected life (in years)</w:t>
            </w:r>
          </w:p>
        </w:tc>
        <w:tc>
          <w:tcPr>
            <w:tcW w:w="1860" w:type="dxa"/>
            <w:vAlign w:val="bottom"/>
            <w:shd w:val="clear" w:color="auto" w:fill="E4E4E4"/>
          </w:tcPr>
          <w:p>
            <w:pPr>
              <w:jc w:val="center"/>
              <w:spacing w:after="0"/>
              <w:rPr>
                <w:sz w:val="20"/>
                <w:szCs w:val="20"/>
                <w:color w:val="auto"/>
              </w:rPr>
            </w:pPr>
            <w:r>
              <w:rPr>
                <w:rFonts w:ascii="Arial" w:cs="Arial" w:eastAsia="Arial" w:hAnsi="Arial"/>
                <w:sz w:val="20"/>
                <w:szCs w:val="20"/>
                <w:color w:val="1E1E1E"/>
                <w:w w:val="93"/>
              </w:rPr>
              <w:t>2.5</w:t>
            </w:r>
          </w:p>
        </w:tc>
        <w:tc>
          <w:tcPr>
            <w:tcW w:w="98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2.0</w:t>
            </w:r>
          </w:p>
        </w:tc>
        <w:tc>
          <w:tcPr>
            <w:tcW w:w="960" w:type="dxa"/>
            <w:vAlign w:val="bottom"/>
            <w:shd w:val="clear" w:color="auto" w:fill="E4E4E4"/>
          </w:tcPr>
          <w:p>
            <w:pPr>
              <w:ind w:left="40"/>
              <w:spacing w:after="0"/>
              <w:rPr>
                <w:sz w:val="20"/>
                <w:szCs w:val="20"/>
                <w:color w:val="auto"/>
              </w:rPr>
            </w:pPr>
            <w:r>
              <w:rPr>
                <w:rFonts w:ascii="Arial" w:cs="Arial" w:eastAsia="Arial" w:hAnsi="Arial"/>
                <w:sz w:val="20"/>
                <w:szCs w:val="20"/>
                <w:color w:val="1E1E1E"/>
              </w:rPr>
              <w:t>- 3.5</w:t>
            </w:r>
          </w:p>
        </w:tc>
        <w:tc>
          <w:tcPr>
            <w:tcW w:w="96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3.0</w:t>
            </w:r>
          </w:p>
        </w:tc>
        <w:tc>
          <w:tcPr>
            <w:tcW w:w="940" w:type="dxa"/>
            <w:vAlign w:val="bottom"/>
            <w:shd w:val="clear" w:color="auto" w:fill="E4E4E4"/>
          </w:tcPr>
          <w:p>
            <w:pPr>
              <w:ind w:left="20"/>
              <w:spacing w:after="0"/>
              <w:rPr>
                <w:sz w:val="20"/>
                <w:szCs w:val="20"/>
                <w:color w:val="auto"/>
              </w:rPr>
            </w:pPr>
            <w:r>
              <w:rPr>
                <w:rFonts w:ascii="Arial" w:cs="Arial" w:eastAsia="Arial" w:hAnsi="Arial"/>
                <w:sz w:val="20"/>
                <w:szCs w:val="20"/>
                <w:color w:val="1E1E1E"/>
              </w:rPr>
              <w:t>- 4.0</w:t>
            </w:r>
          </w:p>
        </w:tc>
      </w:tr>
      <w:tr>
        <w:trPr>
          <w:trHeight w:val="230"/>
        </w:trPr>
        <w:tc>
          <w:tcPr>
            <w:tcW w:w="5100" w:type="dxa"/>
            <w:vAlign w:val="bottom"/>
          </w:tcPr>
          <w:p>
            <w:pPr>
              <w:spacing w:after="0"/>
              <w:rPr>
                <w:sz w:val="20"/>
                <w:szCs w:val="20"/>
                <w:color w:val="auto"/>
              </w:rPr>
            </w:pPr>
            <w:r>
              <w:rPr>
                <w:rFonts w:ascii="Arial" w:cs="Arial" w:eastAsia="Arial" w:hAnsi="Arial"/>
                <w:sz w:val="20"/>
                <w:szCs w:val="20"/>
                <w:color w:val="1E1E1E"/>
              </w:rPr>
              <w:t>Dividend rate</w:t>
            </w:r>
          </w:p>
        </w:tc>
        <w:tc>
          <w:tcPr>
            <w:tcW w:w="1860" w:type="dxa"/>
            <w:vAlign w:val="bottom"/>
          </w:tcPr>
          <w:p>
            <w:pPr>
              <w:jc w:val="center"/>
              <w:spacing w:after="0"/>
              <w:rPr>
                <w:sz w:val="20"/>
                <w:szCs w:val="20"/>
                <w:color w:val="auto"/>
              </w:rPr>
            </w:pPr>
            <w:r>
              <w:rPr>
                <w:rFonts w:ascii="Arial" w:cs="Arial" w:eastAsia="Arial" w:hAnsi="Arial"/>
                <w:sz w:val="20"/>
                <w:szCs w:val="20"/>
                <w:color w:val="1E1E1E"/>
                <w:w w:val="89"/>
              </w:rPr>
              <w:t>-</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jc w:val="center"/>
              <w:ind w:right="720"/>
              <w:spacing w:after="0"/>
              <w:rPr>
                <w:sz w:val="20"/>
                <w:szCs w:val="20"/>
                <w:color w:val="auto"/>
              </w:rPr>
            </w:pPr>
            <w:r>
              <w:rPr>
                <w:rFonts w:ascii="Arial" w:cs="Arial" w:eastAsia="Arial" w:hAnsi="Arial"/>
                <w:sz w:val="20"/>
                <w:szCs w:val="20"/>
                <w:color w:val="1E1E1E"/>
                <w:w w:val="89"/>
              </w:rPr>
              <w:t>-</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jc w:val="center"/>
              <w:ind w:right="720"/>
              <w:spacing w:after="0"/>
              <w:rPr>
                <w:sz w:val="20"/>
                <w:szCs w:val="20"/>
                <w:color w:val="auto"/>
              </w:rPr>
            </w:pPr>
            <w:r>
              <w:rPr>
                <w:rFonts w:ascii="Arial" w:cs="Arial" w:eastAsia="Arial" w:hAnsi="Arial"/>
                <w:sz w:val="20"/>
                <w:szCs w:val="20"/>
                <w:color w:val="1E1E1E"/>
              </w:rPr>
              <w:t>-</w:t>
            </w:r>
          </w:p>
        </w:tc>
      </w:tr>
      <w:tr>
        <w:trPr>
          <w:trHeight w:val="230"/>
        </w:trPr>
        <w:tc>
          <w:tcPr>
            <w:tcW w:w="5100" w:type="dxa"/>
            <w:vAlign w:val="bottom"/>
            <w:shd w:val="clear" w:color="auto" w:fill="E4E4E4"/>
          </w:tcPr>
          <w:p>
            <w:pPr>
              <w:spacing w:after="0"/>
              <w:rPr>
                <w:sz w:val="20"/>
                <w:szCs w:val="20"/>
                <w:color w:val="auto"/>
              </w:rPr>
            </w:pPr>
            <w:r>
              <w:rPr>
                <w:rFonts w:ascii="Arial" w:cs="Arial" w:eastAsia="Arial" w:hAnsi="Arial"/>
                <w:sz w:val="20"/>
                <w:szCs w:val="20"/>
                <w:color w:val="1E1E1E"/>
              </w:rPr>
              <w:t>Weighted average fair value of options granted</w:t>
            </w:r>
          </w:p>
        </w:tc>
        <w:tc>
          <w:tcPr>
            <w:tcW w:w="1860" w:type="dxa"/>
            <w:vAlign w:val="bottom"/>
            <w:shd w:val="clear" w:color="auto" w:fill="E4E4E4"/>
          </w:tcPr>
          <w:p>
            <w:pPr>
              <w:jc w:val="center"/>
              <w:spacing w:after="0"/>
              <w:rPr>
                <w:sz w:val="20"/>
                <w:szCs w:val="20"/>
                <w:color w:val="auto"/>
              </w:rPr>
            </w:pPr>
            <w:r>
              <w:rPr>
                <w:rFonts w:ascii="Arial" w:cs="Arial" w:eastAsia="Arial" w:hAnsi="Arial"/>
                <w:sz w:val="20"/>
                <w:szCs w:val="20"/>
                <w:color w:val="1E1E1E"/>
                <w:w w:val="91"/>
              </w:rPr>
              <w:t>$3.24</w:t>
            </w:r>
          </w:p>
        </w:tc>
        <w:tc>
          <w:tcPr>
            <w:tcW w:w="1940" w:type="dxa"/>
            <w:vAlign w:val="bottom"/>
            <w:gridSpan w:val="3"/>
            <w:shd w:val="clear" w:color="auto" w:fill="E4E4E4"/>
          </w:tcPr>
          <w:p>
            <w:pPr>
              <w:jc w:val="center"/>
              <w:ind w:left="60"/>
              <w:spacing w:after="0"/>
              <w:rPr>
                <w:sz w:val="20"/>
                <w:szCs w:val="20"/>
                <w:color w:val="auto"/>
              </w:rPr>
            </w:pPr>
            <w:r>
              <w:rPr>
                <w:rFonts w:ascii="Arial" w:cs="Arial" w:eastAsia="Arial" w:hAnsi="Arial"/>
                <w:sz w:val="20"/>
                <w:szCs w:val="20"/>
                <w:color w:val="1E1E1E"/>
                <w:w w:val="91"/>
              </w:rPr>
              <w:t>$3.58</w:t>
            </w:r>
          </w:p>
        </w:tc>
        <w:tc>
          <w:tcPr>
            <w:tcW w:w="1900" w:type="dxa"/>
            <w:vAlign w:val="bottom"/>
            <w:gridSpan w:val="3"/>
            <w:shd w:val="clear" w:color="auto" w:fill="E4E4E4"/>
          </w:tcPr>
          <w:p>
            <w:pPr>
              <w:jc w:val="center"/>
              <w:ind w:left="40"/>
              <w:spacing w:after="0"/>
              <w:rPr>
                <w:sz w:val="20"/>
                <w:szCs w:val="20"/>
                <w:color w:val="auto"/>
              </w:rPr>
            </w:pPr>
            <w:r>
              <w:rPr>
                <w:rFonts w:ascii="Arial" w:cs="Arial" w:eastAsia="Arial" w:hAnsi="Arial"/>
                <w:sz w:val="20"/>
                <w:szCs w:val="20"/>
                <w:color w:val="1E1E1E"/>
                <w:w w:val="87"/>
              </w:rPr>
              <w:t>$0.47</w:t>
            </w:r>
          </w:p>
        </w:tc>
      </w:tr>
      <w:tr>
        <w:trPr>
          <w:trHeight w:val="233"/>
        </w:trPr>
        <w:tc>
          <w:tcPr>
            <w:tcW w:w="5100" w:type="dxa"/>
            <w:vAlign w:val="bottom"/>
          </w:tcPr>
          <w:p>
            <w:pPr>
              <w:spacing w:after="0"/>
              <w:rPr>
                <w:sz w:val="20"/>
                <w:szCs w:val="20"/>
                <w:color w:val="auto"/>
              </w:rPr>
            </w:pPr>
            <w:r>
              <w:rPr>
                <w:rFonts w:ascii="Arial" w:cs="Arial" w:eastAsia="Arial" w:hAnsi="Arial"/>
                <w:sz w:val="20"/>
                <w:szCs w:val="20"/>
                <w:color w:val="1E1E1E"/>
                <w:w w:val="98"/>
              </w:rPr>
              <w:t>Weighted average fair value of non-vested shares granted</w:t>
            </w:r>
          </w:p>
        </w:tc>
        <w:tc>
          <w:tcPr>
            <w:tcW w:w="1860" w:type="dxa"/>
            <w:vAlign w:val="bottom"/>
          </w:tcPr>
          <w:p>
            <w:pPr>
              <w:jc w:val="center"/>
              <w:spacing w:after="0"/>
              <w:rPr>
                <w:sz w:val="20"/>
                <w:szCs w:val="20"/>
                <w:color w:val="auto"/>
              </w:rPr>
            </w:pPr>
            <w:r>
              <w:rPr>
                <w:rFonts w:ascii="Arial" w:cs="Arial" w:eastAsia="Arial" w:hAnsi="Arial"/>
                <w:sz w:val="20"/>
                <w:szCs w:val="20"/>
                <w:color w:val="1E1E1E"/>
                <w:w w:val="91"/>
              </w:rPr>
              <w:t>$4.47</w:t>
            </w:r>
          </w:p>
        </w:tc>
        <w:tc>
          <w:tcPr>
            <w:tcW w:w="1940" w:type="dxa"/>
            <w:vAlign w:val="bottom"/>
            <w:gridSpan w:val="3"/>
          </w:tcPr>
          <w:p>
            <w:pPr>
              <w:jc w:val="center"/>
              <w:ind w:left="60"/>
              <w:spacing w:after="0"/>
              <w:rPr>
                <w:sz w:val="20"/>
                <w:szCs w:val="20"/>
                <w:color w:val="auto"/>
              </w:rPr>
            </w:pPr>
            <w:r>
              <w:rPr>
                <w:rFonts w:ascii="Arial" w:cs="Arial" w:eastAsia="Arial" w:hAnsi="Arial"/>
                <w:sz w:val="20"/>
                <w:szCs w:val="20"/>
                <w:color w:val="1E1E1E"/>
                <w:w w:val="91"/>
              </w:rPr>
              <w:t>$5.28</w:t>
            </w:r>
          </w:p>
        </w:tc>
        <w:tc>
          <w:tcPr>
            <w:tcW w:w="1900" w:type="dxa"/>
            <w:vAlign w:val="bottom"/>
            <w:gridSpan w:val="3"/>
          </w:tcPr>
          <w:p>
            <w:pPr>
              <w:jc w:val="center"/>
              <w:ind w:left="40"/>
              <w:spacing w:after="0"/>
              <w:rPr>
                <w:sz w:val="20"/>
                <w:szCs w:val="20"/>
                <w:color w:val="auto"/>
              </w:rPr>
            </w:pPr>
            <w:r>
              <w:rPr>
                <w:rFonts w:ascii="Arial" w:cs="Arial" w:eastAsia="Arial" w:hAnsi="Arial"/>
                <w:sz w:val="20"/>
                <w:szCs w:val="20"/>
                <w:color w:val="1E1E1E"/>
                <w:w w:val="87"/>
              </w:rPr>
              <w:t>$0.66</w:t>
            </w:r>
          </w:p>
        </w:tc>
      </w:tr>
    </w:tbl>
    <w:p>
      <w:pPr>
        <w:spacing w:after="0" w:line="24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1E1E1E"/>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313"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Impairment of Long-Lived Assets</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1E1E1E"/>
        </w:rPr>
        <w:t>The Company recorded an impairment charge of $0.1 million in fiscal 2023 and recorded a net gain of $0.2 million and $2.3 million in fiscal 2022 and fiscal 2021, respectively.</w:t>
      </w:r>
    </w:p>
    <w:p>
      <w:pPr>
        <w:spacing w:after="0" w:line="49"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1E1E1E"/>
        </w:rPr>
        <w:t>The Company reviews its long- 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w:t>
      </w:r>
    </w:p>
    <w:p>
      <w:pPr>
        <w:sectPr>
          <w:pgSz w:w="11880" w:h="15480" w:orient="portrait"/>
          <w:cols w:equalWidth="0" w:num="1">
            <w:col w:w="10800"/>
          </w:cols>
          <w:pgMar w:left="540" w:top="658" w:right="540" w:bottom="31" w:gutter="0" w:footer="0" w:header="0"/>
        </w:sect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47</w:t>
      </w:r>
    </w:p>
    <w:p>
      <w:pPr>
        <w:sectPr>
          <w:pgSz w:w="11880" w:h="15480" w:orient="portrait"/>
          <w:cols w:equalWidth="0" w:num="1">
            <w:col w:w="10800"/>
          </w:cols>
          <w:pgMar w:left="540" w:top="658" w:right="540" w:bottom="31" w:gutter="0" w:footer="0" w:header="0"/>
          <w:type w:val="continuous"/>
        </w:sectPr>
      </w:pPr>
    </w:p>
    <w:bookmarkStart w:id="49" w:name="page50"/>
    <w:bookmarkEnd w:id="49"/>
    <w:p>
      <w:pPr>
        <w:jc w:val="both"/>
        <w:spacing w:after="0" w:line="273" w:lineRule="auto"/>
        <w:rPr>
          <w:sz w:val="20"/>
          <w:szCs w:val="20"/>
          <w:color w:val="auto"/>
        </w:rPr>
      </w:pPr>
      <w:r>
        <w:rPr>
          <w:rFonts w:ascii="Arial" w:cs="Arial" w:eastAsia="Arial" w:hAnsi="Arial"/>
          <w:sz w:val="18"/>
          <w:szCs w:val="18"/>
          <w:color w:val="1E1E1E"/>
        </w:rPr>
        <w:t>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The Company assesses the recoverability of the assets by determining whether the carrying value of such assets over 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asset. The amount of impairment, if any, is measured based on projected discounted future cash flows using a discount rate reflecting the Company’s average cost of funds. With respect to the impairment charges taken on operating lease right -of-use assets, if the Company subsequently makes a decision to close previously impaired stores and a gain is realized as a result of the reevaluation of the existing lease liabilities, to the extent the gain related to previously recorded impairment charges against the right-of-use assets, the gain will be included as an offset to asset impairment charges with the remainder included as a reduction in store occupancy costs.</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1E1E1E"/>
        </w:rPr>
        <w:t>For fiscal 2023, the Company recorded a total asset impairment charge of $0.1 million, which included a write-down for certain store and operating lease right-of-use assets. For fiscal 2022 and fiscal 2021, the Company recognized non-cash gains of $0.6 million and $2.7 million, respectively, related to the Company's decision to close certain retail stores, with $0.4 million and $2.3 million, respectively, of the gains included as an offset to asset impairment charges and the remaining $0.2 million and $0.4 million, respectively, of the gains included as a reduction of store occupancy costs. Partially offsetting the gain of $0.4 million for fiscal 2022, was an impairment charge of $0.2 million related to the write-down of store assets.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1E1E1E"/>
        </w:rPr>
        <w:t>Leases</w:t>
      </w:r>
    </w:p>
    <w:p>
      <w:pPr>
        <w:spacing w:after="0" w:line="119"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1E1E1E"/>
        </w:rPr>
        <w:t>The Company determines if an arrangement contains a lease at the inception of a contract. Right-of-use assets represent the Company’s right to use an underlying asset for the lease term and lease liabilities represent the Company’s obligation to make lease payments arising from the lease. Right-of-use (“ROU”) assets and lease liabilities are recognized at the commencement date based on the present value of the remaining future minimum lease payments, initial direct costs and any lease incentives are included in the value of those ROU assets. As the interest 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842 will not be applied to certain, if any, non-store leases, with a term of 12 months or less, recognizing those lease payments on a straight-line basis over the lease term. At February 3, 2024, the Company had no short-term leases.</w:t>
      </w:r>
    </w:p>
    <w:p>
      <w:pPr>
        <w:spacing w:after="0" w:line="41"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1E1E1E"/>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 leases with an initial term of 5 years, the Company evaluates each lease independently and, when the Company considers it reasonably certain that it will exercise an option to extend, the associated payment of that option will be included in the measurement of the ROU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headquarters and distribution center lease, which was entered into in 2006 and was for an initial 20-year term. At the end of the initial term, the Company will have the opportunity to extend this lease for six additional successive periods of five years.</w:t>
      </w:r>
    </w:p>
    <w:p>
      <w:pPr>
        <w:spacing w:after="0" w:line="3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1E1E1E"/>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ROU assets and lease liabilities. Tenant allowances are included as an offset to the right-of-use asset and amortized as reductions to rent expense over the associated lease term.</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1E1E1E"/>
        </w:rPr>
        <w:t>See Note E "Leases" for additional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1E1E1E"/>
        </w:rPr>
        <w:t>Recently Issued Accounting Pronouncements - Adopted</w:t>
      </w:r>
    </w:p>
    <w:p>
      <w:pPr>
        <w:spacing w:after="0" w:line="23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1E1E1E"/>
        </w:rPr>
        <w:t xml:space="preserve">In September 2022, the FASB issued Accounting Standards Update ("ASU") </w:t>
      </w:r>
      <w:r>
        <w:rPr>
          <w:rFonts w:ascii="Arial" w:cs="Arial" w:eastAsia="Arial" w:hAnsi="Arial"/>
          <w:sz w:val="18"/>
          <w:szCs w:val="18"/>
          <w:color w:val="1A1A1A"/>
        </w:rPr>
        <w:t>2022</w:t>
      </w:r>
      <w:r>
        <w:rPr>
          <w:rFonts w:ascii="Arial" w:cs="Arial" w:eastAsia="Arial" w:hAnsi="Arial"/>
          <w:sz w:val="18"/>
          <w:szCs w:val="18"/>
          <w:color w:val="1E1E1E"/>
        </w:rPr>
        <w:t>-</w:t>
      </w:r>
      <w:r>
        <w:rPr>
          <w:rFonts w:ascii="Arial" w:cs="Arial" w:eastAsia="Arial" w:hAnsi="Arial"/>
          <w:sz w:val="18"/>
          <w:szCs w:val="18"/>
          <w:color w:val="1A1A1A"/>
        </w:rPr>
        <w:t>04,</w:t>
      </w:r>
      <w:r>
        <w:rPr>
          <w:rFonts w:ascii="Arial" w:cs="Arial" w:eastAsia="Arial" w:hAnsi="Arial"/>
          <w:sz w:val="18"/>
          <w:szCs w:val="18"/>
          <w:color w:val="1E1E1E"/>
        </w:rPr>
        <w:t xml:space="preserve"> </w:t>
      </w:r>
      <w:r>
        <w:rPr>
          <w:rFonts w:ascii="Arial" w:cs="Arial" w:eastAsia="Arial" w:hAnsi="Arial"/>
          <w:sz w:val="18"/>
          <w:szCs w:val="18"/>
          <w:color w:val="1A1A1A"/>
        </w:rPr>
        <w:t>Liabilities – Supplier Finance Programs,</w:t>
      </w:r>
      <w:r>
        <w:rPr>
          <w:rFonts w:ascii="Arial" w:cs="Arial" w:eastAsia="Arial" w:hAnsi="Arial"/>
          <w:sz w:val="18"/>
          <w:szCs w:val="18"/>
          <w:color w:val="1E1E1E"/>
        </w:rPr>
        <w:t xml:space="preserve"> which is intended to enhance the transparency surrounding the use of supplier finance programs in connection with the purchase of goods and services. The guidance requires companies that use supplier finance programs to make annual disclosures about the program’s key terms, the balance sheet presentation of related amounts, the confirmed amount outstanding at the end of the period and associated rollforward information. The new standard does not affect the recognition, measurement, or financial statement presentation of supplier finance program obligations. ASU 2022-04 was adopted in the first quarter of fiscal 2023, with the exception of the rollforward information, which is not effective until fiscal 2024. The adoption of ASU 2022-04 did not have a material effect on the Company's Consolidated Financial Statements as the Company does not participate in supplier finance programs.</w:t>
      </w:r>
    </w:p>
    <w:p>
      <w:pPr>
        <w:sectPr>
          <w:pgSz w:w="11880" w:h="15480" w:orient="portrait"/>
          <w:cols w:equalWidth="0" w:num="1">
            <w:col w:w="10800"/>
          </w:cols>
          <w:pgMar w:left="540" w:top="656"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48</w:t>
      </w:r>
    </w:p>
    <w:p>
      <w:pPr>
        <w:sectPr>
          <w:pgSz w:w="11880" w:h="15480" w:orient="portrait"/>
          <w:cols w:equalWidth="0" w:num="1">
            <w:col w:w="10800"/>
          </w:cols>
          <w:pgMar w:left="540" w:top="656" w:right="540" w:bottom="31" w:gutter="0" w:footer="0" w:header="0"/>
          <w:type w:val="continuous"/>
        </w:sectPr>
      </w:pPr>
    </w:p>
    <w:bookmarkStart w:id="50" w:name="page51"/>
    <w:bookmarkEnd w:id="50"/>
    <w:p>
      <w:pPr>
        <w:spacing w:after="0"/>
        <w:rPr>
          <w:sz w:val="20"/>
          <w:szCs w:val="20"/>
          <w:color w:val="auto"/>
        </w:rPr>
      </w:pPr>
      <w:r>
        <w:rPr>
          <w:rFonts w:ascii="Arial" w:cs="Arial" w:eastAsia="Arial" w:hAnsi="Arial"/>
          <w:sz w:val="20"/>
          <w:szCs w:val="20"/>
          <w:color w:val="1E1E1E"/>
        </w:rPr>
        <w:t>Recently Issued Accounting Pronouncements - Not Yet Adopted</w:t>
      </w:r>
    </w:p>
    <w:p>
      <w:pPr>
        <w:spacing w:after="0" w:line="119"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1E1E1E"/>
        </w:rPr>
        <w:t>In July 2023, the FASB issued ASU 2023-03, Presentation of Financial Statements (Topic 205), Income Statement - Reporting Comprehensive Income (Topic 220), Distinguishing Liabilities from Equity (Topic 480), Equity (Topic 505), and Compensation - Stock Compensation (Topic 718): Amendments to SEC Paragraphs Pursuant to SEC Staff Accounting Bulletin No. 120, SEC Staff Announcement at the March 24, 2022 EITF Meeting, and Staff Accounting Bulletin Topic 6.B, Accounting Series Release 280 - General Revision of Regulation S-X: Income or Loss Applicable to Common Stock, which amends or supersedes various SEC paragraphs within the Accounting Standards Codification to conform to past SEC announcements and guidance issued by the SEC. The ASU does not provide any new guidance, and as such, there is no transition effective date. ASU 2023-03 is not expected to have a material impact on the Company's Consolidated Financial Statements.</w:t>
      </w:r>
    </w:p>
    <w:p>
      <w:pPr>
        <w:spacing w:after="0" w:line="67" w:lineRule="exact"/>
        <w:rPr>
          <w:sz w:val="20"/>
          <w:szCs w:val="20"/>
          <w:color w:val="auto"/>
        </w:rPr>
      </w:pPr>
    </w:p>
    <w:p>
      <w:pPr>
        <w:spacing w:after="0" w:line="263" w:lineRule="auto"/>
        <w:rPr>
          <w:sz w:val="20"/>
          <w:szCs w:val="20"/>
          <w:color w:val="auto"/>
        </w:rPr>
      </w:pPr>
      <w:r>
        <w:rPr>
          <w:rFonts w:ascii="Arial" w:cs="Arial" w:eastAsia="Arial" w:hAnsi="Arial"/>
          <w:sz w:val="19"/>
          <w:szCs w:val="19"/>
          <w:color w:val="1E1E1E"/>
        </w:rPr>
        <w:t>In October 2023, the FASB issued ASU 2023-06, Disclosure Improvements: Codification Amendment in Response to the SEC</w:t>
      </w:r>
      <w:r>
        <w:rPr>
          <w:rFonts w:ascii="Arial" w:cs="Arial" w:eastAsia="Arial" w:hAnsi="Arial"/>
          <w:sz w:val="19"/>
          <w:szCs w:val="19"/>
          <w:color w:val="161616"/>
        </w:rPr>
        <w:t>’</w:t>
      </w:r>
      <w:r>
        <w:rPr>
          <w:rFonts w:ascii="Arial" w:cs="Arial" w:eastAsia="Arial" w:hAnsi="Arial"/>
          <w:sz w:val="19"/>
          <w:szCs w:val="19"/>
          <w:color w:val="1E1E1E"/>
        </w:rPr>
        <w:t>s Disclosure Update and Simplification Initiative</w:t>
      </w:r>
      <w:r>
        <w:rPr>
          <w:rFonts w:ascii="Arial" w:cs="Arial" w:eastAsia="Arial" w:hAnsi="Arial"/>
          <w:sz w:val="19"/>
          <w:szCs w:val="19"/>
          <w:color w:val="161616"/>
        </w:rPr>
        <w:t>.</w:t>
      </w:r>
      <w:r>
        <w:rPr>
          <w:rFonts w:ascii="Arial" w:cs="Arial" w:eastAsia="Arial" w:hAnsi="Arial"/>
          <w:sz w:val="19"/>
          <w:szCs w:val="19"/>
          <w:color w:val="1E1E1E"/>
        </w:rPr>
        <w:t xml:space="preserve"> </w:t>
      </w:r>
      <w:r>
        <w:rPr>
          <w:rFonts w:ascii="Arial" w:cs="Arial" w:eastAsia="Arial" w:hAnsi="Arial"/>
          <w:sz w:val="19"/>
          <w:szCs w:val="19"/>
          <w:color w:val="1A1A1A"/>
        </w:rPr>
        <w:t>ASU-2023-06</w:t>
      </w:r>
      <w:r>
        <w:rPr>
          <w:rFonts w:ascii="Arial" w:cs="Arial" w:eastAsia="Arial" w:hAnsi="Arial"/>
          <w:sz w:val="19"/>
          <w:szCs w:val="19"/>
          <w:color w:val="1E1E1E"/>
        </w:rPr>
        <w:t xml:space="preserve"> </w:t>
      </w:r>
      <w:r>
        <w:rPr>
          <w:rFonts w:ascii="Arial" w:cs="Arial" w:eastAsia="Arial" w:hAnsi="Arial"/>
          <w:sz w:val="19"/>
          <w:szCs w:val="19"/>
          <w:color w:val="161616"/>
        </w:rPr>
        <w:t>incorporates several disclosure and presentation requirements currently</w:t>
      </w:r>
      <w:r>
        <w:rPr>
          <w:rFonts w:ascii="Arial" w:cs="Arial" w:eastAsia="Arial" w:hAnsi="Arial"/>
          <w:sz w:val="19"/>
          <w:szCs w:val="19"/>
          <w:color w:val="1E1E1E"/>
        </w:rPr>
        <w:t xml:space="preserve"> </w:t>
      </w:r>
      <w:r>
        <w:rPr>
          <w:rFonts w:ascii="Arial" w:cs="Arial" w:eastAsia="Arial" w:hAnsi="Arial"/>
          <w:sz w:val="19"/>
          <w:szCs w:val="19"/>
          <w:color w:val="161616"/>
        </w:rPr>
        <w:t xml:space="preserve">residing in the SEC Regulations S-X and S-K. The amendments will be applied prospectively and are effective when the SEC removes the related requirements from Regulations S- X or S-K. Any amendments the SEC does not remove by June 30, 2027 will not be effective. The </w:t>
      </w:r>
      <w:r>
        <w:rPr>
          <w:rFonts w:ascii="Arial" w:cs="Arial" w:eastAsia="Arial" w:hAnsi="Arial"/>
          <w:sz w:val="19"/>
          <w:szCs w:val="19"/>
          <w:color w:val="1A1A1A"/>
        </w:rPr>
        <w:t>ASU</w:t>
      </w:r>
      <w:r>
        <w:rPr>
          <w:rFonts w:ascii="Arial" w:cs="Arial" w:eastAsia="Arial" w:hAnsi="Arial"/>
          <w:sz w:val="19"/>
          <w:szCs w:val="19"/>
          <w:color w:val="161616"/>
        </w:rPr>
        <w:t xml:space="preserve"> is not expected to have a material impact on our consolidated financial statements or related disclosures because the Company is currently subjected to the reporting requirements of Regulations S-X and S-K.</w:t>
      </w:r>
    </w:p>
    <w:p>
      <w:pPr>
        <w:spacing w:after="0" w:line="63" w:lineRule="exact"/>
        <w:rPr>
          <w:sz w:val="20"/>
          <w:szCs w:val="20"/>
          <w:color w:val="auto"/>
        </w:rPr>
      </w:pPr>
    </w:p>
    <w:p>
      <w:pPr>
        <w:jc w:val="both"/>
        <w:ind w:right="440"/>
        <w:spacing w:after="0" w:line="270" w:lineRule="auto"/>
        <w:rPr>
          <w:sz w:val="20"/>
          <w:szCs w:val="20"/>
          <w:color w:val="auto"/>
        </w:rPr>
      </w:pPr>
      <w:r>
        <w:rPr>
          <w:rFonts w:ascii="Arial" w:cs="Arial" w:eastAsia="Arial" w:hAnsi="Arial"/>
          <w:sz w:val="19"/>
          <w:szCs w:val="19"/>
          <w:color w:val="1E1E1E"/>
        </w:rPr>
        <w:t xml:space="preserve">In November 2023, the FASB issued ASU 2023-07, Segment Reporting (Topic 280), </w:t>
      </w:r>
      <w:r>
        <w:rPr>
          <w:rFonts w:ascii="Arial" w:cs="Arial" w:eastAsia="Arial" w:hAnsi="Arial"/>
          <w:sz w:val="19"/>
          <w:szCs w:val="19"/>
          <w:color w:val="161616"/>
        </w:rPr>
        <w:t>which requires all public entities to provide</w:t>
      </w:r>
      <w:r>
        <w:rPr>
          <w:rFonts w:ascii="Arial" w:cs="Arial" w:eastAsia="Arial" w:hAnsi="Arial"/>
          <w:sz w:val="19"/>
          <w:szCs w:val="19"/>
          <w:color w:val="1E1E1E"/>
        </w:rPr>
        <w:t xml:space="preserve"> </w:t>
      </w:r>
      <w:r>
        <w:rPr>
          <w:rFonts w:ascii="Arial" w:cs="Arial" w:eastAsia="Arial" w:hAnsi="Arial"/>
          <w:sz w:val="19"/>
          <w:szCs w:val="19"/>
          <w:color w:val="161616"/>
        </w:rPr>
        <w:t xml:space="preserve">enhanced disclosures about significant segment expenses. The amendments in this </w:t>
      </w:r>
      <w:r>
        <w:rPr>
          <w:rFonts w:ascii="Arial" w:cs="Arial" w:eastAsia="Arial" w:hAnsi="Arial"/>
          <w:sz w:val="19"/>
          <w:szCs w:val="19"/>
          <w:color w:val="1A1A1A"/>
        </w:rPr>
        <w:t>ASU</w:t>
      </w:r>
      <w:r>
        <w:rPr>
          <w:rFonts w:ascii="Arial" w:cs="Arial" w:eastAsia="Arial" w:hAnsi="Arial"/>
          <w:sz w:val="19"/>
          <w:szCs w:val="19"/>
          <w:color w:val="161616"/>
        </w:rPr>
        <w:t xml:space="preserve"> are to be applied retrospectively and are effective for our annual financial statements starting in fiscal 2025 and interim periods starting in fiscal 2026, with early adoption permitted. We are currently evaluating the impact of this accounting standard.</w:t>
      </w:r>
    </w:p>
    <w:p>
      <w:pPr>
        <w:spacing w:after="0" w:line="56" w:lineRule="exact"/>
        <w:rPr>
          <w:sz w:val="20"/>
          <w:szCs w:val="20"/>
          <w:color w:val="auto"/>
        </w:rPr>
      </w:pPr>
    </w:p>
    <w:p>
      <w:pPr>
        <w:ind w:right="100"/>
        <w:spacing w:after="0" w:line="249" w:lineRule="auto"/>
        <w:rPr>
          <w:sz w:val="20"/>
          <w:szCs w:val="20"/>
          <w:color w:val="auto"/>
        </w:rPr>
      </w:pPr>
      <w:r>
        <w:rPr>
          <w:rFonts w:ascii="Arial" w:cs="Arial" w:eastAsia="Arial" w:hAnsi="Arial"/>
          <w:sz w:val="20"/>
          <w:szCs w:val="20"/>
          <w:color w:val="1E1E1E"/>
        </w:rPr>
        <w:t xml:space="preserve">In December 2023, the FASB issued ASU 2023-09, Income Taxes (Topic 740), </w:t>
      </w:r>
      <w:r>
        <w:rPr>
          <w:rFonts w:ascii="Arial" w:cs="Arial" w:eastAsia="Arial" w:hAnsi="Arial"/>
          <w:sz w:val="20"/>
          <w:szCs w:val="20"/>
          <w:color w:val="161616"/>
        </w:rPr>
        <w:t>which enhances transparency about income tax</w:t>
      </w:r>
      <w:r>
        <w:rPr>
          <w:rFonts w:ascii="Arial" w:cs="Arial" w:eastAsia="Arial" w:hAnsi="Arial"/>
          <w:sz w:val="20"/>
          <w:szCs w:val="20"/>
          <w:color w:val="1E1E1E"/>
        </w:rPr>
        <w:t xml:space="preserve"> </w:t>
      </w:r>
      <w:r>
        <w:rPr>
          <w:rFonts w:ascii="Arial" w:cs="Arial" w:eastAsia="Arial" w:hAnsi="Arial"/>
          <w:sz w:val="20"/>
          <w:szCs w:val="20"/>
          <w:color w:val="161616"/>
        </w:rPr>
        <w:t xml:space="preserve">information through improvements to income tax disclosures primarily related to the rate reconciliation and income taxes paid and to improve the effectiveness of income tax disclosures. This ASU will be effective for fiscal year 2025, and allows for adoption on a prospective basis, with a retrospective option. Early adoption is permitted. We are </w:t>
      </w:r>
      <w:r>
        <w:rPr>
          <w:rFonts w:ascii="Arial" w:cs="Arial" w:eastAsia="Arial" w:hAnsi="Arial"/>
          <w:sz w:val="20"/>
          <w:szCs w:val="20"/>
          <w:color w:val="1E1E1E"/>
        </w:rPr>
        <w:t>currently evaluating the effect of adopting this new</w:t>
      </w:r>
      <w:r>
        <w:rPr>
          <w:rFonts w:ascii="Arial" w:cs="Arial" w:eastAsia="Arial" w:hAnsi="Arial"/>
          <w:sz w:val="20"/>
          <w:szCs w:val="20"/>
          <w:color w:val="161616"/>
        </w:rPr>
        <w:t xml:space="preserve"> </w:t>
      </w:r>
      <w:r>
        <w:rPr>
          <w:rFonts w:ascii="Arial" w:cs="Arial" w:eastAsia="Arial" w:hAnsi="Arial"/>
          <w:sz w:val="20"/>
          <w:szCs w:val="20"/>
          <w:color w:val="1E1E1E"/>
        </w:rPr>
        <w:t>accounting standard.</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1E1E1E"/>
        </w:rPr>
        <w:t>No other new accounting pronouncements, issued or effective during fiscal 2023, have had or are expected to have a significant impact on the Company’s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1E1E1E"/>
        </w:rPr>
        <w:t>B. REVENUE RECOGNITION</w:t>
      </w:r>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1E1E1E"/>
        </w:rPr>
        <w:t>Revenue is recognized in accordance with ASC 606, Revenue from Contracts with Customers. The Company operates as a retailer of big and tall men’s clothing, which includes sales through its stores and direct channels. Revenue is recognized by the operating segment that initiates a customer’s order. Store sales are defined as sales that originate and are fulfilled directly at the store level. Direct sales are defined as sales that originate online, including those initiated online at the store level, on its website or on third-party marketplaces. Sales from the wholesale business, which the Company operated until the first quarter of fiscal 2022, were defined as sales made to wholesale customers pursuant to the terms of each customer’s contract with the Company. Generally, all revenues are recognized when control of the promised goods is transferred to customers, in an amount that reflects the consideration in exchange for those goods. Sales tax collected from customers and remitted to taxing authorities is excluded from revenue and is included as part of accrued expenses on the Consolidated Balance Sheets.</w:t>
      </w:r>
    </w:p>
    <w:p>
      <w:pPr>
        <w:spacing w:after="0" w:line="6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1E1E1E"/>
        </w:rPr>
        <w:t>Unredeemed Loyalty Coupons. The Company offers a free loyalty program to its customers for which points accumulate based on the purchase of merchandise. Under ASC 606, these loyalty points provide the customer with a material right and a distinct performance obligation with revenue deferred and recognized when the points are redeemed. The cycle of earning and redeeming loyalty points is generally under one year in duration. The loyalty accrual, net of breakage, was $1.7 million and $1.6 million at February 3, 2024 and January 28, 2023, respectively.</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1E1E1E"/>
        </w:rPr>
        <w:t>Unredeemed Gift Cards, Gift Certificates, and Credit Vouchers. Upon issuance of a gift card, gift certificate, or credit voucher, a liability is established for its 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$3.2 million and $3.4 million at February 3, 2024 and January 28, 2023, respectively.</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1E1E1E"/>
        </w:rPr>
        <w:t>Shipping. Shipping and handling costs are accounted for as fulfillment costs and are included in cost of sales for all periods presented. Amounts related to shipping and handling that are billed to customers are recorded in sales, and the related costs are recorded in cost of goods sold including occupancy costs, in the Consolidated Statements of Operations.</w:t>
      </w:r>
    </w:p>
    <w:p>
      <w:pPr>
        <w:sectPr>
          <w:pgSz w:w="11880" w:h="15480" w:orient="portrait"/>
          <w:cols w:equalWidth="0" w:num="1">
            <w:col w:w="10800"/>
          </w:cols>
          <w:pgMar w:left="540" w:top="658"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49</w:t>
      </w:r>
    </w:p>
    <w:p>
      <w:pPr>
        <w:sectPr>
          <w:pgSz w:w="11880" w:h="15480" w:orient="portrait"/>
          <w:cols w:equalWidth="0" w:num="1">
            <w:col w:w="10800"/>
          </w:cols>
          <w:pgMar w:left="540" w:top="658" w:right="540" w:bottom="31" w:gutter="0" w:footer="0" w:header="0"/>
          <w:type w:val="continuous"/>
        </w:sectPr>
      </w:pPr>
    </w:p>
    <w:bookmarkStart w:id="51" w:name="page52"/>
    <w:bookmarkEnd w:id="51"/>
    <w:p>
      <w:pPr>
        <w:spacing w:after="0"/>
        <w:rPr>
          <w:sz w:val="20"/>
          <w:szCs w:val="20"/>
          <w:color w:val="auto"/>
        </w:rPr>
      </w:pPr>
      <w:r>
        <w:rPr>
          <w:rFonts w:ascii="Arial" w:cs="Arial" w:eastAsia="Arial" w:hAnsi="Arial"/>
          <w:sz w:val="20"/>
          <w:szCs w:val="20"/>
          <w:u w:val="single" w:color="auto"/>
          <w:color w:val="1E1E1E"/>
        </w:rPr>
        <w:t>Disaggregation of Revenue</w:t>
      </w:r>
    </w:p>
    <w:p>
      <w:pPr>
        <w:spacing w:after="0" w:line="12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1E1E1E"/>
        </w:rPr>
        <w:t>As noted above under Segment Information in Note A, the Company’s business at February 3, 2024 consists of one reportable segment, its retail segment. Substantially all of the Company’s revenue is generated from its stores and direct businesses. In the first quarter of fiscal 2022, the Company ended its relationship with its primary wholesale customer. Accordingly, the Company has determined that the following sales channels depict the nature, amount, timing, and uncertainty of how revenue and cash flows are affected by economic factors for each of the following fiscal years: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620" w:type="dxa"/>
            <w:vAlign w:val="bottom"/>
          </w:tcPr>
          <w:p>
            <w:pPr>
              <w:spacing w:after="0"/>
              <w:rPr>
                <w:sz w:val="20"/>
                <w:szCs w:val="20"/>
                <w:color w:val="auto"/>
              </w:rPr>
            </w:pPr>
            <w:r>
              <w:rPr>
                <w:rFonts w:ascii="Arial" w:cs="Arial" w:eastAsia="Arial" w:hAnsi="Arial"/>
                <w:sz w:val="16"/>
                <w:szCs w:val="16"/>
                <w:color w:val="1E1E1E"/>
              </w:rPr>
              <w:t>(in thousands)</w:t>
            </w: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20"/>
                <w:szCs w:val="20"/>
                <w:color w:val="1E1E1E"/>
              </w:rPr>
              <w:t>Fiscal 2023</w:t>
            </w: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4"/>
          </w:tcPr>
          <w:p>
            <w:pPr>
              <w:jc w:val="right"/>
              <w:ind w:right="400"/>
              <w:spacing w:after="0"/>
              <w:rPr>
                <w:sz w:val="20"/>
                <w:szCs w:val="20"/>
                <w:color w:val="auto"/>
              </w:rPr>
            </w:pPr>
            <w:r>
              <w:rPr>
                <w:rFonts w:ascii="Arial" w:cs="Arial" w:eastAsia="Arial" w:hAnsi="Arial"/>
                <w:sz w:val="20"/>
                <w:szCs w:val="20"/>
                <w:color w:val="1E1E1E"/>
                <w:w w:val="97"/>
              </w:rPr>
              <w:t>Fiscal 2022</w:t>
            </w: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3"/>
          </w:tcPr>
          <w:p>
            <w:pPr>
              <w:jc w:val="right"/>
              <w:ind w:right="320"/>
              <w:spacing w:after="0"/>
              <w:rPr>
                <w:sz w:val="20"/>
                <w:szCs w:val="20"/>
                <w:color w:val="auto"/>
              </w:rPr>
            </w:pPr>
            <w:r>
              <w:rPr>
                <w:rFonts w:ascii="Arial" w:cs="Arial" w:eastAsia="Arial" w:hAnsi="Arial"/>
                <w:sz w:val="20"/>
                <w:szCs w:val="20"/>
                <w:color w:val="1E1E1E"/>
              </w:rPr>
              <w:t>Fiscal 2021</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1620" w:type="dxa"/>
            <w:vAlign w:val="bottom"/>
            <w:tcBorders>
              <w:top w:val="single" w:sz="8" w:color="1E1E1E"/>
            </w:tcBorders>
          </w:tcPr>
          <w:p>
            <w:pPr>
              <w:ind w:left="100"/>
              <w:spacing w:after="0" w:line="219" w:lineRule="exact"/>
              <w:rPr>
                <w:sz w:val="20"/>
                <w:szCs w:val="20"/>
                <w:color w:val="auto"/>
              </w:rPr>
            </w:pPr>
            <w:r>
              <w:rPr>
                <w:rFonts w:ascii="Arial" w:cs="Arial" w:eastAsia="Arial" w:hAnsi="Arial"/>
                <w:sz w:val="20"/>
                <w:szCs w:val="20"/>
                <w:color w:val="1E1E1E"/>
              </w:rPr>
              <w:t>Store sales</w:t>
            </w:r>
          </w:p>
        </w:tc>
        <w:tc>
          <w:tcPr>
            <w:tcW w:w="780" w:type="dxa"/>
            <w:vAlign w:val="bottom"/>
            <w:tcBorders>
              <w:top w:val="single" w:sz="8" w:color="1E1E1E"/>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1E1E1E"/>
            </w:tcBorders>
          </w:tcPr>
          <w:p>
            <w:pPr>
              <w:jc w:val="right"/>
              <w:ind w:right="700"/>
              <w:spacing w:after="0" w:line="219" w:lineRule="exact"/>
              <w:rPr>
                <w:sz w:val="20"/>
                <w:szCs w:val="20"/>
                <w:color w:val="auto"/>
              </w:rPr>
            </w:pPr>
            <w:r>
              <w:rPr>
                <w:rFonts w:ascii="Arial" w:cs="Arial" w:eastAsia="Arial" w:hAnsi="Arial"/>
                <w:sz w:val="20"/>
                <w:szCs w:val="20"/>
                <w:color w:val="1E1E1E"/>
                <w:w w:val="71"/>
              </w:rPr>
              <w:t>$</w:t>
            </w:r>
          </w:p>
        </w:tc>
        <w:tc>
          <w:tcPr>
            <w:tcW w:w="660" w:type="dxa"/>
            <w:vAlign w:val="bottom"/>
            <w:tcBorders>
              <w:top w:val="single" w:sz="8" w:color="1E1E1E"/>
            </w:tcBorders>
          </w:tcPr>
          <w:p>
            <w:pPr>
              <w:jc w:val="right"/>
              <w:spacing w:after="0" w:line="219" w:lineRule="exact"/>
              <w:rPr>
                <w:sz w:val="20"/>
                <w:szCs w:val="20"/>
                <w:color w:val="auto"/>
              </w:rPr>
            </w:pPr>
            <w:r>
              <w:rPr>
                <w:rFonts w:ascii="Arial" w:cs="Arial" w:eastAsia="Arial" w:hAnsi="Arial"/>
                <w:sz w:val="20"/>
                <w:szCs w:val="20"/>
                <w:color w:val="1E1E1E"/>
                <w:w w:val="88"/>
              </w:rPr>
              <w:t>358,710</w:t>
            </w:r>
          </w:p>
        </w:tc>
        <w:tc>
          <w:tcPr>
            <w:tcW w:w="980" w:type="dxa"/>
            <w:vAlign w:val="bottom"/>
          </w:tcPr>
          <w:p>
            <w:pPr>
              <w:ind w:left="100"/>
              <w:spacing w:after="0"/>
              <w:rPr>
                <w:sz w:val="20"/>
                <w:szCs w:val="20"/>
                <w:color w:val="auto"/>
              </w:rPr>
            </w:pPr>
            <w:r>
              <w:rPr>
                <w:rFonts w:ascii="Arial" w:cs="Arial" w:eastAsia="Arial" w:hAnsi="Arial"/>
                <w:sz w:val="16"/>
                <w:szCs w:val="16"/>
                <w:color w:val="1E1E1E"/>
              </w:rPr>
              <w:t>68.7%</w:t>
            </w:r>
          </w:p>
        </w:tc>
        <w:tc>
          <w:tcPr>
            <w:tcW w:w="140" w:type="dxa"/>
            <w:vAlign w:val="bottom"/>
          </w:tcPr>
          <w:p>
            <w:pPr>
              <w:spacing w:after="0"/>
              <w:rPr>
                <w:sz w:val="19"/>
                <w:szCs w:val="19"/>
                <w:color w:val="auto"/>
              </w:rPr>
            </w:pPr>
          </w:p>
        </w:tc>
        <w:tc>
          <w:tcPr>
            <w:tcW w:w="220" w:type="dxa"/>
            <w:vAlign w:val="bottom"/>
            <w:tcBorders>
              <w:top w:val="single" w:sz="8" w:color="1E1E1E"/>
            </w:tcBorders>
          </w:tcPr>
          <w:p>
            <w:pPr>
              <w:jc w:val="right"/>
              <w:ind w:right="20"/>
              <w:spacing w:after="0" w:line="219" w:lineRule="exact"/>
              <w:rPr>
                <w:sz w:val="20"/>
                <w:szCs w:val="20"/>
                <w:color w:val="auto"/>
              </w:rPr>
            </w:pPr>
            <w:r>
              <w:rPr>
                <w:rFonts w:ascii="Arial" w:cs="Arial" w:eastAsia="Arial" w:hAnsi="Arial"/>
                <w:sz w:val="20"/>
                <w:szCs w:val="20"/>
                <w:color w:val="1E1E1E"/>
                <w:w w:val="71"/>
              </w:rPr>
              <w:t>$</w:t>
            </w:r>
          </w:p>
        </w:tc>
        <w:tc>
          <w:tcPr>
            <w:tcW w:w="1340" w:type="dxa"/>
            <w:vAlign w:val="bottom"/>
            <w:tcBorders>
              <w:top w:val="single" w:sz="8" w:color="1E1E1E"/>
            </w:tcBorders>
            <w:gridSpan w:val="3"/>
          </w:tcPr>
          <w:p>
            <w:pPr>
              <w:jc w:val="right"/>
              <w:spacing w:after="0" w:line="219" w:lineRule="exact"/>
              <w:rPr>
                <w:sz w:val="20"/>
                <w:szCs w:val="20"/>
                <w:color w:val="auto"/>
              </w:rPr>
            </w:pPr>
            <w:r>
              <w:rPr>
                <w:rFonts w:ascii="Arial" w:cs="Arial" w:eastAsia="Arial" w:hAnsi="Arial"/>
                <w:sz w:val="20"/>
                <w:szCs w:val="20"/>
                <w:color w:val="1E1E1E"/>
              </w:rPr>
              <w:t>375,618</w:t>
            </w:r>
          </w:p>
        </w:tc>
        <w:tc>
          <w:tcPr>
            <w:tcW w:w="80" w:type="dxa"/>
            <w:vAlign w:val="bottom"/>
          </w:tcPr>
          <w:p>
            <w:pPr>
              <w:spacing w:after="0"/>
              <w:rPr>
                <w:sz w:val="19"/>
                <w:szCs w:val="19"/>
                <w:color w:val="auto"/>
              </w:rPr>
            </w:pPr>
          </w:p>
        </w:tc>
        <w:tc>
          <w:tcPr>
            <w:tcW w:w="920" w:type="dxa"/>
            <w:vAlign w:val="bottom"/>
          </w:tcPr>
          <w:p>
            <w:pPr>
              <w:ind w:left="40"/>
              <w:spacing w:after="0"/>
              <w:rPr>
                <w:sz w:val="20"/>
                <w:szCs w:val="20"/>
                <w:color w:val="auto"/>
              </w:rPr>
            </w:pPr>
            <w:r>
              <w:rPr>
                <w:rFonts w:ascii="Arial" w:cs="Arial" w:eastAsia="Arial" w:hAnsi="Arial"/>
                <w:sz w:val="16"/>
                <w:szCs w:val="16"/>
                <w:color w:val="1E1E1E"/>
              </w:rPr>
              <w:t>68.9%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1E1E1E"/>
            </w:tcBorders>
          </w:tcPr>
          <w:p>
            <w:pPr>
              <w:jc w:val="right"/>
              <w:spacing w:after="0" w:line="219" w:lineRule="exact"/>
              <w:rPr>
                <w:sz w:val="20"/>
                <w:szCs w:val="20"/>
                <w:color w:val="auto"/>
              </w:rPr>
            </w:pPr>
            <w:r>
              <w:rPr>
                <w:rFonts w:ascii="Arial" w:cs="Arial" w:eastAsia="Arial" w:hAnsi="Arial"/>
                <w:sz w:val="20"/>
                <w:szCs w:val="20"/>
                <w:color w:val="1E1E1E"/>
                <w:w w:val="71"/>
              </w:rPr>
              <w:t>$</w:t>
            </w:r>
          </w:p>
        </w:tc>
        <w:tc>
          <w:tcPr>
            <w:tcW w:w="1440" w:type="dxa"/>
            <w:vAlign w:val="bottom"/>
            <w:tcBorders>
              <w:top w:val="single" w:sz="8" w:color="1E1E1E"/>
            </w:tcBorders>
            <w:gridSpan w:val="3"/>
          </w:tcPr>
          <w:p>
            <w:pPr>
              <w:jc w:val="right"/>
              <w:spacing w:after="0" w:line="219" w:lineRule="exact"/>
              <w:rPr>
                <w:sz w:val="20"/>
                <w:szCs w:val="20"/>
                <w:color w:val="auto"/>
              </w:rPr>
            </w:pPr>
            <w:r>
              <w:rPr>
                <w:rFonts w:ascii="Arial" w:cs="Arial" w:eastAsia="Arial" w:hAnsi="Arial"/>
                <w:sz w:val="20"/>
                <w:szCs w:val="20"/>
                <w:color w:val="1E1E1E"/>
              </w:rPr>
              <w:t>344,761</w:t>
            </w:r>
          </w:p>
        </w:tc>
        <w:tc>
          <w:tcPr>
            <w:tcW w:w="1180" w:type="dxa"/>
            <w:vAlign w:val="bottom"/>
          </w:tcPr>
          <w:p>
            <w:pPr>
              <w:ind w:left="120"/>
              <w:spacing w:after="0"/>
              <w:rPr>
                <w:sz w:val="20"/>
                <w:szCs w:val="20"/>
                <w:color w:val="auto"/>
              </w:rPr>
            </w:pPr>
            <w:r>
              <w:rPr>
                <w:rFonts w:ascii="Arial" w:cs="Arial" w:eastAsia="Arial" w:hAnsi="Arial"/>
                <w:sz w:val="16"/>
                <w:szCs w:val="16"/>
                <w:color w:val="1E1E1E"/>
              </w:rPr>
              <w:t>69.0%</w:t>
            </w:r>
          </w:p>
        </w:tc>
        <w:tc>
          <w:tcPr>
            <w:tcW w:w="0" w:type="dxa"/>
            <w:vAlign w:val="bottom"/>
          </w:tcPr>
          <w:p>
            <w:pPr>
              <w:spacing w:after="0"/>
              <w:rPr>
                <w:sz w:val="1"/>
                <w:szCs w:val="1"/>
                <w:color w:val="auto"/>
              </w:rPr>
            </w:pPr>
          </w:p>
        </w:tc>
      </w:tr>
      <w:tr>
        <w:trPr>
          <w:trHeight w:val="230"/>
        </w:trPr>
        <w:tc>
          <w:tcPr>
            <w:tcW w:w="1620" w:type="dxa"/>
            <w:vAlign w:val="bottom"/>
            <w:shd w:val="clear" w:color="auto" w:fill="E4E4E4"/>
          </w:tcPr>
          <w:p>
            <w:pPr>
              <w:ind w:left="100"/>
              <w:spacing w:after="0"/>
              <w:rPr>
                <w:sz w:val="20"/>
                <w:szCs w:val="20"/>
                <w:color w:val="auto"/>
              </w:rPr>
            </w:pPr>
            <w:r>
              <w:rPr>
                <w:rFonts w:ascii="Arial" w:cs="Arial" w:eastAsia="Arial" w:hAnsi="Arial"/>
                <w:sz w:val="20"/>
                <w:szCs w:val="20"/>
                <w:color w:val="1E1E1E"/>
              </w:rPr>
              <w:t>Direct sales</w:t>
            </w:r>
          </w:p>
        </w:tc>
        <w:tc>
          <w:tcPr>
            <w:tcW w:w="780" w:type="dxa"/>
            <w:vAlign w:val="bottom"/>
            <w:shd w:val="clear" w:color="auto" w:fill="E4E4E4"/>
          </w:tcPr>
          <w:p>
            <w:pPr>
              <w:spacing w:after="0"/>
              <w:rPr>
                <w:sz w:val="20"/>
                <w:szCs w:val="20"/>
                <w:color w:val="auto"/>
              </w:rPr>
            </w:pPr>
          </w:p>
        </w:tc>
        <w:tc>
          <w:tcPr>
            <w:tcW w:w="200" w:type="dxa"/>
            <w:vAlign w:val="bottom"/>
            <w:shd w:val="clear" w:color="auto" w:fill="E4E4E4"/>
          </w:tcPr>
          <w:p>
            <w:pPr>
              <w:spacing w:after="0"/>
              <w:rPr>
                <w:sz w:val="20"/>
                <w:szCs w:val="20"/>
                <w:color w:val="auto"/>
              </w:rPr>
            </w:pPr>
          </w:p>
        </w:tc>
        <w:tc>
          <w:tcPr>
            <w:tcW w:w="900" w:type="dxa"/>
            <w:vAlign w:val="bottom"/>
            <w:tcBorders>
              <w:bottom w:val="single" w:sz="8" w:color="1E1E1E"/>
            </w:tcBorders>
            <w:shd w:val="clear" w:color="auto" w:fill="E4E4E4"/>
          </w:tcPr>
          <w:p>
            <w:pPr>
              <w:spacing w:after="0"/>
              <w:rPr>
                <w:sz w:val="20"/>
                <w:szCs w:val="20"/>
                <w:color w:val="auto"/>
              </w:rPr>
            </w:pPr>
          </w:p>
        </w:tc>
        <w:tc>
          <w:tcPr>
            <w:tcW w:w="660" w:type="dxa"/>
            <w:vAlign w:val="bottom"/>
            <w:tcBorders>
              <w:bottom w:val="single" w:sz="8" w:color="1E1E1E"/>
            </w:tcBorders>
            <w:shd w:val="clear" w:color="auto" w:fill="E4E4E4"/>
          </w:tcPr>
          <w:p>
            <w:pPr>
              <w:jc w:val="right"/>
              <w:spacing w:after="0"/>
              <w:rPr>
                <w:sz w:val="20"/>
                <w:szCs w:val="20"/>
                <w:color w:val="auto"/>
              </w:rPr>
            </w:pPr>
            <w:r>
              <w:rPr>
                <w:rFonts w:ascii="Arial" w:cs="Arial" w:eastAsia="Arial" w:hAnsi="Arial"/>
                <w:sz w:val="20"/>
                <w:szCs w:val="20"/>
                <w:color w:val="1E1E1E"/>
                <w:w w:val="88"/>
              </w:rPr>
              <w:t>163,105</w:t>
            </w:r>
          </w:p>
        </w:tc>
        <w:tc>
          <w:tcPr>
            <w:tcW w:w="980" w:type="dxa"/>
            <w:vAlign w:val="bottom"/>
            <w:shd w:val="clear" w:color="auto" w:fill="E4E4E4"/>
          </w:tcPr>
          <w:p>
            <w:pPr>
              <w:ind w:left="100"/>
              <w:spacing w:after="0"/>
              <w:rPr>
                <w:sz w:val="20"/>
                <w:szCs w:val="20"/>
                <w:color w:val="auto"/>
              </w:rPr>
            </w:pPr>
            <w:r>
              <w:rPr>
                <w:rFonts w:ascii="Arial" w:cs="Arial" w:eastAsia="Arial" w:hAnsi="Arial"/>
                <w:sz w:val="16"/>
                <w:szCs w:val="16"/>
                <w:color w:val="1E1E1E"/>
              </w:rPr>
              <w:t>31.3%</w:t>
            </w:r>
          </w:p>
        </w:tc>
        <w:tc>
          <w:tcPr>
            <w:tcW w:w="140" w:type="dxa"/>
            <w:vAlign w:val="bottom"/>
            <w:shd w:val="clear" w:color="auto" w:fill="E4E4E4"/>
          </w:tcPr>
          <w:p>
            <w:pPr>
              <w:spacing w:after="0"/>
              <w:rPr>
                <w:sz w:val="20"/>
                <w:szCs w:val="20"/>
                <w:color w:val="auto"/>
              </w:rPr>
            </w:pPr>
          </w:p>
        </w:tc>
        <w:tc>
          <w:tcPr>
            <w:tcW w:w="220" w:type="dxa"/>
            <w:vAlign w:val="bottom"/>
            <w:tcBorders>
              <w:bottom w:val="single" w:sz="8" w:color="1E1E1E"/>
            </w:tcBorders>
            <w:shd w:val="clear" w:color="auto" w:fill="E4E4E4"/>
          </w:tcPr>
          <w:p>
            <w:pPr>
              <w:spacing w:after="0"/>
              <w:rPr>
                <w:sz w:val="20"/>
                <w:szCs w:val="20"/>
                <w:color w:val="auto"/>
              </w:rPr>
            </w:pPr>
          </w:p>
        </w:tc>
        <w:tc>
          <w:tcPr>
            <w:tcW w:w="1340" w:type="dxa"/>
            <w:vAlign w:val="bottom"/>
            <w:tcBorders>
              <w:bottom w:val="single" w:sz="8" w:color="1E1E1E"/>
            </w:tcBorders>
            <w:gridSpan w:val="3"/>
            <w:shd w:val="clear" w:color="auto" w:fill="E4E4E4"/>
          </w:tcPr>
          <w:p>
            <w:pPr>
              <w:jc w:val="right"/>
              <w:spacing w:after="0"/>
              <w:rPr>
                <w:sz w:val="20"/>
                <w:szCs w:val="20"/>
                <w:color w:val="auto"/>
              </w:rPr>
            </w:pPr>
            <w:r>
              <w:rPr>
                <w:rFonts w:ascii="Arial" w:cs="Arial" w:eastAsia="Arial" w:hAnsi="Arial"/>
                <w:sz w:val="20"/>
                <w:szCs w:val="20"/>
                <w:color w:val="1E1E1E"/>
              </w:rPr>
              <w:t>169,821</w:t>
            </w:r>
          </w:p>
        </w:tc>
        <w:tc>
          <w:tcPr>
            <w:tcW w:w="80" w:type="dxa"/>
            <w:vAlign w:val="bottom"/>
            <w:shd w:val="clear" w:color="auto" w:fill="E4E4E4"/>
          </w:tcPr>
          <w:p>
            <w:pPr>
              <w:spacing w:after="0"/>
              <w:rPr>
                <w:sz w:val="20"/>
                <w:szCs w:val="20"/>
                <w:color w:val="auto"/>
              </w:rPr>
            </w:pPr>
          </w:p>
        </w:tc>
        <w:tc>
          <w:tcPr>
            <w:tcW w:w="920" w:type="dxa"/>
            <w:vAlign w:val="bottom"/>
            <w:shd w:val="clear" w:color="auto" w:fill="E4E4E4"/>
          </w:tcPr>
          <w:p>
            <w:pPr>
              <w:ind w:left="40"/>
              <w:spacing w:after="0"/>
              <w:rPr>
                <w:sz w:val="20"/>
                <w:szCs w:val="20"/>
                <w:color w:val="auto"/>
              </w:rPr>
            </w:pPr>
            <w:r>
              <w:rPr>
                <w:rFonts w:ascii="Arial" w:cs="Arial" w:eastAsia="Arial" w:hAnsi="Arial"/>
                <w:sz w:val="16"/>
                <w:szCs w:val="16"/>
                <w:color w:val="1E1E1E"/>
              </w:rPr>
              <w:t>31.1%</w:t>
            </w:r>
          </w:p>
        </w:tc>
        <w:tc>
          <w:tcPr>
            <w:tcW w:w="2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tcBorders>
              <w:bottom w:val="single" w:sz="8" w:color="1E1E1E"/>
            </w:tcBorders>
            <w:shd w:val="clear" w:color="auto" w:fill="E4E4E4"/>
          </w:tcPr>
          <w:p>
            <w:pPr>
              <w:spacing w:after="0"/>
              <w:rPr>
                <w:sz w:val="20"/>
                <w:szCs w:val="20"/>
                <w:color w:val="auto"/>
              </w:rPr>
            </w:pPr>
          </w:p>
        </w:tc>
        <w:tc>
          <w:tcPr>
            <w:tcW w:w="1440" w:type="dxa"/>
            <w:vAlign w:val="bottom"/>
            <w:tcBorders>
              <w:bottom w:val="single" w:sz="8" w:color="1E1E1E"/>
            </w:tcBorders>
            <w:gridSpan w:val="3"/>
            <w:shd w:val="clear" w:color="auto" w:fill="E4E4E4"/>
          </w:tcPr>
          <w:p>
            <w:pPr>
              <w:jc w:val="right"/>
              <w:spacing w:after="0"/>
              <w:rPr>
                <w:sz w:val="20"/>
                <w:szCs w:val="20"/>
                <w:color w:val="auto"/>
              </w:rPr>
            </w:pPr>
            <w:r>
              <w:rPr>
                <w:rFonts w:ascii="Arial" w:cs="Arial" w:eastAsia="Arial" w:hAnsi="Arial"/>
                <w:sz w:val="20"/>
                <w:szCs w:val="20"/>
                <w:color w:val="1E1E1E"/>
              </w:rPr>
              <w:t>154,891</w:t>
            </w:r>
          </w:p>
        </w:tc>
        <w:tc>
          <w:tcPr>
            <w:tcW w:w="1180" w:type="dxa"/>
            <w:vAlign w:val="bottom"/>
            <w:shd w:val="clear" w:color="auto" w:fill="E4E4E4"/>
          </w:tcPr>
          <w:p>
            <w:pPr>
              <w:ind w:left="120"/>
              <w:spacing w:after="0"/>
              <w:rPr>
                <w:sz w:val="20"/>
                <w:szCs w:val="20"/>
                <w:color w:val="auto"/>
              </w:rPr>
            </w:pPr>
            <w:r>
              <w:rPr>
                <w:rFonts w:ascii="Arial" w:cs="Arial" w:eastAsia="Arial" w:hAnsi="Arial"/>
                <w:sz w:val="16"/>
                <w:szCs w:val="16"/>
                <w:color w:val="1E1E1E"/>
              </w:rPr>
              <w:t>31.0%</w:t>
            </w:r>
          </w:p>
        </w:tc>
        <w:tc>
          <w:tcPr>
            <w:tcW w:w="0" w:type="dxa"/>
            <w:vAlign w:val="bottom"/>
          </w:tcPr>
          <w:p>
            <w:pPr>
              <w:spacing w:after="0"/>
              <w:rPr>
                <w:sz w:val="1"/>
                <w:szCs w:val="1"/>
                <w:color w:val="auto"/>
              </w:rPr>
            </w:pPr>
          </w:p>
        </w:tc>
      </w:tr>
      <w:tr>
        <w:trPr>
          <w:trHeight w:val="220"/>
        </w:trPr>
        <w:tc>
          <w:tcPr>
            <w:tcW w:w="1620" w:type="dxa"/>
            <w:vAlign w:val="bottom"/>
          </w:tcPr>
          <w:p>
            <w:pPr>
              <w:spacing w:after="0" w:line="220" w:lineRule="exact"/>
              <w:rPr>
                <w:sz w:val="20"/>
                <w:szCs w:val="20"/>
                <w:color w:val="auto"/>
              </w:rPr>
            </w:pPr>
            <w:r>
              <w:rPr>
                <w:rFonts w:ascii="Arial" w:cs="Arial" w:eastAsia="Arial" w:hAnsi="Arial"/>
                <w:sz w:val="20"/>
                <w:szCs w:val="20"/>
                <w:color w:val="1E1E1E"/>
              </w:rPr>
              <w:t>Retail segment</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spacing w:after="0" w:line="220" w:lineRule="exact"/>
              <w:rPr>
                <w:sz w:val="20"/>
                <w:szCs w:val="20"/>
                <w:color w:val="auto"/>
              </w:rPr>
            </w:pPr>
            <w:r>
              <w:rPr>
                <w:rFonts w:ascii="Arial" w:cs="Arial" w:eastAsia="Arial" w:hAnsi="Arial"/>
                <w:sz w:val="20"/>
                <w:szCs w:val="20"/>
                <w:color w:val="1E1E1E"/>
                <w:w w:val="88"/>
              </w:rPr>
              <w:t>521,815</w:t>
            </w:r>
          </w:p>
        </w:tc>
        <w:tc>
          <w:tcPr>
            <w:tcW w:w="980" w:type="dxa"/>
            <w:vAlign w:val="bottom"/>
          </w:tcPr>
          <w:p>
            <w:pPr>
              <w:ind w:left="100"/>
              <w:spacing w:after="0"/>
              <w:rPr>
                <w:sz w:val="20"/>
                <w:szCs w:val="20"/>
                <w:color w:val="auto"/>
              </w:rPr>
            </w:pPr>
            <w:r>
              <w:rPr>
                <w:rFonts w:ascii="Arial" w:cs="Arial" w:eastAsia="Arial" w:hAnsi="Arial"/>
                <w:sz w:val="16"/>
                <w:szCs w:val="16"/>
                <w:color w:val="1E1E1E"/>
              </w:rPr>
              <w:t>100.0%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3"/>
          </w:tcPr>
          <w:p>
            <w:pPr>
              <w:jc w:val="right"/>
              <w:spacing w:after="0" w:line="220" w:lineRule="exact"/>
              <w:rPr>
                <w:sz w:val="20"/>
                <w:szCs w:val="20"/>
                <w:color w:val="auto"/>
              </w:rPr>
            </w:pPr>
            <w:r>
              <w:rPr>
                <w:rFonts w:ascii="Arial" w:cs="Arial" w:eastAsia="Arial" w:hAnsi="Arial"/>
                <w:sz w:val="20"/>
                <w:szCs w:val="20"/>
                <w:color w:val="1E1E1E"/>
              </w:rPr>
              <w:t>545,439</w:t>
            </w:r>
          </w:p>
        </w:tc>
        <w:tc>
          <w:tcPr>
            <w:tcW w:w="80" w:type="dxa"/>
            <w:vAlign w:val="bottom"/>
          </w:tcPr>
          <w:p>
            <w:pPr>
              <w:spacing w:after="0"/>
              <w:rPr>
                <w:sz w:val="19"/>
                <w:szCs w:val="19"/>
                <w:color w:val="auto"/>
              </w:rPr>
            </w:pPr>
          </w:p>
        </w:tc>
        <w:tc>
          <w:tcPr>
            <w:tcW w:w="920" w:type="dxa"/>
            <w:vAlign w:val="bottom"/>
          </w:tcPr>
          <w:p>
            <w:pPr>
              <w:ind w:left="40"/>
              <w:spacing w:after="0"/>
              <w:rPr>
                <w:sz w:val="20"/>
                <w:szCs w:val="20"/>
                <w:color w:val="auto"/>
              </w:rPr>
            </w:pPr>
            <w:r>
              <w:rPr>
                <w:rFonts w:ascii="Arial" w:cs="Arial" w:eastAsia="Arial" w:hAnsi="Arial"/>
                <w:sz w:val="16"/>
                <w:szCs w:val="16"/>
                <w:color w:val="1E1E1E"/>
              </w:rPr>
              <w:t>100.0%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right"/>
              <w:spacing w:after="0" w:line="220" w:lineRule="exact"/>
              <w:rPr>
                <w:sz w:val="20"/>
                <w:szCs w:val="20"/>
                <w:color w:val="auto"/>
              </w:rPr>
            </w:pPr>
            <w:r>
              <w:rPr>
                <w:rFonts w:ascii="Arial" w:cs="Arial" w:eastAsia="Arial" w:hAnsi="Arial"/>
                <w:sz w:val="20"/>
                <w:szCs w:val="20"/>
                <w:color w:val="1E1E1E"/>
              </w:rPr>
              <w:t>499,652</w:t>
            </w:r>
          </w:p>
        </w:tc>
        <w:tc>
          <w:tcPr>
            <w:tcW w:w="1180" w:type="dxa"/>
            <w:vAlign w:val="bottom"/>
          </w:tcPr>
          <w:p>
            <w:pPr>
              <w:ind w:left="120"/>
              <w:spacing w:after="0"/>
              <w:rPr>
                <w:sz w:val="20"/>
                <w:szCs w:val="20"/>
                <w:color w:val="auto"/>
              </w:rPr>
            </w:pPr>
            <w:r>
              <w:rPr>
                <w:rFonts w:ascii="Arial" w:cs="Arial" w:eastAsia="Arial" w:hAnsi="Arial"/>
                <w:sz w:val="16"/>
                <w:szCs w:val="16"/>
                <w:color w:val="1E1E1E"/>
              </w:rPr>
              <w:t>100.0%</w:t>
            </w:r>
          </w:p>
        </w:tc>
        <w:tc>
          <w:tcPr>
            <w:tcW w:w="0" w:type="dxa"/>
            <w:vAlign w:val="bottom"/>
          </w:tcPr>
          <w:p>
            <w:pPr>
              <w:spacing w:after="0"/>
              <w:rPr>
                <w:sz w:val="1"/>
                <w:szCs w:val="1"/>
                <w:color w:val="auto"/>
              </w:rPr>
            </w:pPr>
          </w:p>
        </w:tc>
      </w:tr>
      <w:tr>
        <w:trPr>
          <w:trHeight w:val="230"/>
        </w:trPr>
        <w:tc>
          <w:tcPr>
            <w:tcW w:w="1620" w:type="dxa"/>
            <w:vAlign w:val="bottom"/>
            <w:shd w:val="clear" w:color="auto" w:fill="E4E4E4"/>
          </w:tcPr>
          <w:p>
            <w:pPr>
              <w:spacing w:after="0"/>
              <w:rPr>
                <w:sz w:val="20"/>
                <w:szCs w:val="20"/>
                <w:color w:val="auto"/>
              </w:rPr>
            </w:pPr>
            <w:r>
              <w:rPr>
                <w:rFonts w:ascii="Arial" w:cs="Arial" w:eastAsia="Arial" w:hAnsi="Arial"/>
                <w:sz w:val="20"/>
                <w:szCs w:val="20"/>
                <w:color w:val="1E1E1E"/>
                <w:w w:val="91"/>
              </w:rPr>
              <w:t>Wholesale segment</w:t>
            </w:r>
          </w:p>
        </w:tc>
        <w:tc>
          <w:tcPr>
            <w:tcW w:w="780" w:type="dxa"/>
            <w:vAlign w:val="bottom"/>
            <w:shd w:val="clear" w:color="auto" w:fill="E4E4E4"/>
          </w:tcPr>
          <w:p>
            <w:pPr>
              <w:spacing w:after="0"/>
              <w:rPr>
                <w:sz w:val="20"/>
                <w:szCs w:val="20"/>
                <w:color w:val="auto"/>
              </w:rPr>
            </w:pPr>
          </w:p>
        </w:tc>
        <w:tc>
          <w:tcPr>
            <w:tcW w:w="200" w:type="dxa"/>
            <w:vAlign w:val="bottom"/>
            <w:shd w:val="clear" w:color="auto" w:fill="E4E4E4"/>
          </w:tcPr>
          <w:p>
            <w:pPr>
              <w:spacing w:after="0"/>
              <w:rPr>
                <w:sz w:val="20"/>
                <w:szCs w:val="20"/>
                <w:color w:val="auto"/>
              </w:rPr>
            </w:pPr>
          </w:p>
        </w:tc>
        <w:tc>
          <w:tcPr>
            <w:tcW w:w="900" w:type="dxa"/>
            <w:vAlign w:val="bottom"/>
            <w:tcBorders>
              <w:bottom w:val="single" w:sz="8" w:color="1E1E1E"/>
            </w:tcBorders>
            <w:shd w:val="clear" w:color="auto" w:fill="E4E4E4"/>
          </w:tcPr>
          <w:p>
            <w:pPr>
              <w:spacing w:after="0"/>
              <w:rPr>
                <w:sz w:val="20"/>
                <w:szCs w:val="20"/>
                <w:color w:val="auto"/>
              </w:rPr>
            </w:pPr>
          </w:p>
        </w:tc>
        <w:tc>
          <w:tcPr>
            <w:tcW w:w="660" w:type="dxa"/>
            <w:vAlign w:val="bottom"/>
            <w:tcBorders>
              <w:bottom w:val="single" w:sz="8" w:color="1E1E1E"/>
            </w:tcBorders>
            <w:shd w:val="clear" w:color="auto" w:fill="E4E4E4"/>
          </w:tcPr>
          <w:p>
            <w:pPr>
              <w:jc w:val="right"/>
              <w:spacing w:after="0"/>
              <w:rPr>
                <w:sz w:val="20"/>
                <w:szCs w:val="20"/>
                <w:color w:val="auto"/>
              </w:rPr>
            </w:pPr>
            <w:r>
              <w:rPr>
                <w:rFonts w:ascii="Arial" w:cs="Arial" w:eastAsia="Arial" w:hAnsi="Arial"/>
                <w:sz w:val="20"/>
                <w:szCs w:val="20"/>
                <w:color w:val="1E1E1E"/>
              </w:rPr>
              <w:t>—</w:t>
            </w:r>
          </w:p>
        </w:tc>
        <w:tc>
          <w:tcPr>
            <w:tcW w:w="98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220" w:type="dxa"/>
            <w:vAlign w:val="bottom"/>
            <w:tcBorders>
              <w:bottom w:val="single" w:sz="8" w:color="1E1E1E"/>
            </w:tcBorders>
            <w:shd w:val="clear" w:color="auto" w:fill="E4E4E4"/>
          </w:tcPr>
          <w:p>
            <w:pPr>
              <w:spacing w:after="0"/>
              <w:rPr>
                <w:sz w:val="20"/>
                <w:szCs w:val="20"/>
                <w:color w:val="auto"/>
              </w:rPr>
            </w:pPr>
          </w:p>
        </w:tc>
        <w:tc>
          <w:tcPr>
            <w:tcW w:w="1340" w:type="dxa"/>
            <w:vAlign w:val="bottom"/>
            <w:tcBorders>
              <w:bottom w:val="single" w:sz="8" w:color="1E1E1E"/>
            </w:tcBorders>
            <w:gridSpan w:val="3"/>
            <w:shd w:val="clear" w:color="auto" w:fill="E4E4E4"/>
          </w:tcPr>
          <w:p>
            <w:pPr>
              <w:jc w:val="right"/>
              <w:spacing w:after="0"/>
              <w:rPr>
                <w:sz w:val="20"/>
                <w:szCs w:val="20"/>
                <w:color w:val="auto"/>
              </w:rPr>
            </w:pPr>
            <w:r>
              <w:rPr>
                <w:rFonts w:ascii="Arial" w:cs="Arial" w:eastAsia="Arial" w:hAnsi="Arial"/>
                <w:sz w:val="20"/>
                <w:szCs w:val="20"/>
                <w:color w:val="1E1E1E"/>
              </w:rPr>
              <w:t>399</w:t>
            </w:r>
          </w:p>
        </w:tc>
        <w:tc>
          <w:tcPr>
            <w:tcW w:w="80" w:type="dxa"/>
            <w:vAlign w:val="bottom"/>
            <w:shd w:val="clear" w:color="auto" w:fill="E4E4E4"/>
          </w:tcPr>
          <w:p>
            <w:pPr>
              <w:spacing w:after="0"/>
              <w:rPr>
                <w:sz w:val="20"/>
                <w:szCs w:val="20"/>
                <w:color w:val="auto"/>
              </w:rPr>
            </w:pPr>
          </w:p>
        </w:tc>
        <w:tc>
          <w:tcPr>
            <w:tcW w:w="92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tcBorders>
              <w:bottom w:val="single" w:sz="8" w:color="1E1E1E"/>
            </w:tcBorders>
            <w:shd w:val="clear" w:color="auto" w:fill="E4E4E4"/>
          </w:tcPr>
          <w:p>
            <w:pPr>
              <w:spacing w:after="0"/>
              <w:rPr>
                <w:sz w:val="20"/>
                <w:szCs w:val="20"/>
                <w:color w:val="auto"/>
              </w:rPr>
            </w:pPr>
          </w:p>
        </w:tc>
        <w:tc>
          <w:tcPr>
            <w:tcW w:w="1440" w:type="dxa"/>
            <w:vAlign w:val="bottom"/>
            <w:tcBorders>
              <w:bottom w:val="single" w:sz="8" w:color="1E1E1E"/>
            </w:tcBorders>
            <w:gridSpan w:val="3"/>
            <w:shd w:val="clear" w:color="auto" w:fill="E4E4E4"/>
          </w:tcPr>
          <w:p>
            <w:pPr>
              <w:jc w:val="right"/>
              <w:spacing w:after="0"/>
              <w:rPr>
                <w:sz w:val="20"/>
                <w:szCs w:val="20"/>
                <w:color w:val="auto"/>
              </w:rPr>
            </w:pPr>
            <w:r>
              <w:rPr>
                <w:rFonts w:ascii="Arial" w:cs="Arial" w:eastAsia="Arial" w:hAnsi="Arial"/>
                <w:sz w:val="20"/>
                <w:szCs w:val="20"/>
                <w:color w:val="1E1E1E"/>
              </w:rPr>
              <w:t>5,369</w:t>
            </w:r>
          </w:p>
        </w:tc>
        <w:tc>
          <w:tcPr>
            <w:tcW w:w="11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line="223" w:lineRule="exact"/>
              <w:rPr>
                <w:sz w:val="20"/>
                <w:szCs w:val="20"/>
                <w:color w:val="auto"/>
              </w:rPr>
            </w:pPr>
            <w:r>
              <w:rPr>
                <w:rFonts w:ascii="Arial" w:cs="Arial" w:eastAsia="Arial" w:hAnsi="Arial"/>
                <w:sz w:val="20"/>
                <w:szCs w:val="20"/>
                <w:color w:val="1E1E1E"/>
              </w:rPr>
              <w:t>Total sales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700"/>
              <w:spacing w:after="0" w:line="223" w:lineRule="exact"/>
              <w:rPr>
                <w:sz w:val="20"/>
                <w:szCs w:val="20"/>
                <w:color w:val="auto"/>
              </w:rPr>
            </w:pPr>
            <w:r>
              <w:rPr>
                <w:rFonts w:ascii="Arial" w:cs="Arial" w:eastAsia="Arial" w:hAnsi="Arial"/>
                <w:sz w:val="20"/>
                <w:szCs w:val="20"/>
                <w:color w:val="1E1E1E"/>
                <w:w w:val="71"/>
              </w:rPr>
              <w:t>$</w:t>
            </w:r>
          </w:p>
        </w:tc>
        <w:tc>
          <w:tcPr>
            <w:tcW w:w="660" w:type="dxa"/>
            <w:vAlign w:val="bottom"/>
          </w:tcPr>
          <w:p>
            <w:pPr>
              <w:jc w:val="right"/>
              <w:spacing w:after="0" w:line="223" w:lineRule="exact"/>
              <w:rPr>
                <w:sz w:val="20"/>
                <w:szCs w:val="20"/>
                <w:color w:val="auto"/>
              </w:rPr>
            </w:pPr>
            <w:r>
              <w:rPr>
                <w:rFonts w:ascii="Arial" w:cs="Arial" w:eastAsia="Arial" w:hAnsi="Arial"/>
                <w:sz w:val="20"/>
                <w:szCs w:val="20"/>
                <w:color w:val="1E1E1E"/>
                <w:w w:val="88"/>
              </w:rPr>
              <w:t>521,815</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jc w:val="right"/>
              <w:ind w:right="20"/>
              <w:spacing w:after="0" w:line="223" w:lineRule="exact"/>
              <w:rPr>
                <w:sz w:val="20"/>
                <w:szCs w:val="20"/>
                <w:color w:val="auto"/>
              </w:rPr>
            </w:pPr>
            <w:r>
              <w:rPr>
                <w:rFonts w:ascii="Arial" w:cs="Arial" w:eastAsia="Arial" w:hAnsi="Arial"/>
                <w:sz w:val="20"/>
                <w:szCs w:val="20"/>
                <w:color w:val="1E1E1E"/>
                <w:w w:val="71"/>
              </w:rPr>
              <w:t>$</w:t>
            </w:r>
          </w:p>
        </w:tc>
        <w:tc>
          <w:tcPr>
            <w:tcW w:w="1340" w:type="dxa"/>
            <w:vAlign w:val="bottom"/>
            <w:gridSpan w:val="3"/>
          </w:tcPr>
          <w:p>
            <w:pPr>
              <w:jc w:val="right"/>
              <w:spacing w:after="0" w:line="223" w:lineRule="exact"/>
              <w:rPr>
                <w:sz w:val="20"/>
                <w:szCs w:val="20"/>
                <w:color w:val="auto"/>
              </w:rPr>
            </w:pPr>
            <w:r>
              <w:rPr>
                <w:rFonts w:ascii="Arial" w:cs="Arial" w:eastAsia="Arial" w:hAnsi="Arial"/>
                <w:sz w:val="20"/>
                <w:szCs w:val="20"/>
                <w:color w:val="1E1E1E"/>
              </w:rPr>
              <w:t>545,838</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line="223" w:lineRule="exact"/>
              <w:rPr>
                <w:sz w:val="20"/>
                <w:szCs w:val="20"/>
                <w:color w:val="auto"/>
              </w:rPr>
            </w:pPr>
            <w:r>
              <w:rPr>
                <w:rFonts w:ascii="Arial" w:cs="Arial" w:eastAsia="Arial" w:hAnsi="Arial"/>
                <w:sz w:val="20"/>
                <w:szCs w:val="20"/>
                <w:color w:val="1E1E1E"/>
                <w:w w:val="71"/>
              </w:rPr>
              <w:t>$</w:t>
            </w:r>
          </w:p>
        </w:tc>
        <w:tc>
          <w:tcPr>
            <w:tcW w:w="1440" w:type="dxa"/>
            <w:vAlign w:val="bottom"/>
            <w:gridSpan w:val="3"/>
          </w:tcPr>
          <w:p>
            <w:pPr>
              <w:jc w:val="right"/>
              <w:spacing w:after="0" w:line="223" w:lineRule="exact"/>
              <w:rPr>
                <w:sz w:val="20"/>
                <w:szCs w:val="20"/>
                <w:color w:val="auto"/>
              </w:rPr>
            </w:pPr>
            <w:r>
              <w:rPr>
                <w:rFonts w:ascii="Arial" w:cs="Arial" w:eastAsia="Arial" w:hAnsi="Arial"/>
                <w:sz w:val="20"/>
                <w:szCs w:val="20"/>
                <w:color w:val="1E1E1E"/>
              </w:rPr>
              <w:t>505,021</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8"/>
        </w:trPr>
        <w:tc>
          <w:tcPr>
            <w:tcW w:w="3500" w:type="dxa"/>
            <w:vAlign w:val="bottom"/>
            <w:gridSpan w:val="4"/>
          </w:tcPr>
          <w:p>
            <w:pPr>
              <w:spacing w:after="0"/>
              <w:rPr>
                <w:sz w:val="20"/>
                <w:szCs w:val="20"/>
                <w:color w:val="auto"/>
              </w:rPr>
            </w:pPr>
            <w:r>
              <w:rPr>
                <w:rFonts w:ascii="Arial" w:cs="Arial" w:eastAsia="Arial" w:hAnsi="Arial"/>
                <w:sz w:val="20"/>
                <w:szCs w:val="20"/>
                <w:color w:val="1E1E1E"/>
              </w:rPr>
              <w:t>C. PROPERTY AND EQUIPMENT</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920" w:type="dxa"/>
            <w:vAlign w:val="bottom"/>
            <w:gridSpan w:val="12"/>
          </w:tcPr>
          <w:p>
            <w:pPr>
              <w:spacing w:after="0"/>
              <w:rPr>
                <w:sz w:val="20"/>
                <w:szCs w:val="20"/>
                <w:color w:val="auto"/>
              </w:rPr>
            </w:pPr>
            <w:r>
              <w:rPr>
                <w:rFonts w:ascii="Arial" w:cs="Arial" w:eastAsia="Arial" w:hAnsi="Arial"/>
                <w:sz w:val="20"/>
                <w:szCs w:val="20"/>
                <w:color w:val="1E1E1E"/>
              </w:rPr>
              <w:t>Property and equipment consisted of the following at the dates indicated:</w:t>
            </w:r>
          </w:p>
        </w:tc>
        <w:tc>
          <w:tcPr>
            <w:tcW w:w="940" w:type="dxa"/>
            <w:vAlign w:val="bottom"/>
            <w:gridSpan w:val="2"/>
            <w:vMerge w:val="restart"/>
          </w:tcPr>
          <w:p>
            <w:pPr>
              <w:ind w:left="20"/>
              <w:spacing w:after="0"/>
              <w:rPr>
                <w:sz w:val="20"/>
                <w:szCs w:val="20"/>
                <w:color w:val="auto"/>
              </w:rPr>
            </w:pPr>
            <w:r>
              <w:rPr>
                <w:rFonts w:ascii="Arial" w:cs="Arial" w:eastAsia="Arial" w:hAnsi="Arial"/>
                <w:sz w:val="16"/>
                <w:szCs w:val="16"/>
                <w:color w:val="1E1E1E"/>
              </w:rPr>
              <w:t>February 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vMerge w:val="restart"/>
          </w:tcPr>
          <w:p>
            <w:pPr>
              <w:jc w:val="right"/>
              <w:ind w:right="680"/>
              <w:spacing w:after="0"/>
              <w:rPr>
                <w:sz w:val="20"/>
                <w:szCs w:val="20"/>
                <w:color w:val="auto"/>
              </w:rPr>
            </w:pPr>
            <w:r>
              <w:rPr>
                <w:rFonts w:ascii="Arial" w:cs="Arial" w:eastAsia="Arial" w:hAnsi="Arial"/>
                <w:sz w:val="16"/>
                <w:szCs w:val="16"/>
                <w:color w:val="1E1E1E"/>
                <w:w w:val="88"/>
              </w:rPr>
              <w:t>January 28,</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620" w:type="dxa"/>
            <w:vAlign w:val="bottom"/>
          </w:tcPr>
          <w:p>
            <w:pPr>
              <w:spacing w:after="0"/>
              <w:rPr>
                <w:sz w:val="17"/>
                <w:szCs w:val="17"/>
                <w:color w:val="auto"/>
              </w:rPr>
            </w:pPr>
          </w:p>
        </w:tc>
        <w:tc>
          <w:tcPr>
            <w:tcW w:w="1880" w:type="dxa"/>
            <w:vAlign w:val="bottom"/>
            <w:tcBorders>
              <w:bottom w:val="single" w:sz="8" w:color="1E1E1E"/>
            </w:tcBorders>
            <w:gridSpan w:val="3"/>
          </w:tcPr>
          <w:p>
            <w:pPr>
              <w:spacing w:after="0"/>
              <w:rPr>
                <w:sz w:val="20"/>
                <w:szCs w:val="20"/>
                <w:color w:val="auto"/>
              </w:rPr>
            </w:pPr>
            <w:r>
              <w:rPr>
                <w:rFonts w:ascii="Arial" w:cs="Arial" w:eastAsia="Arial" w:hAnsi="Arial"/>
                <w:sz w:val="16"/>
                <w:szCs w:val="16"/>
                <w:color w:val="1E1E1E"/>
              </w:rPr>
              <w:t>(in thousands)</w:t>
            </w:r>
          </w:p>
        </w:tc>
        <w:tc>
          <w:tcPr>
            <w:tcW w:w="660" w:type="dxa"/>
            <w:vAlign w:val="bottom"/>
            <w:tcBorders>
              <w:bottom w:val="single" w:sz="8" w:color="1E1E1E"/>
            </w:tcBorders>
          </w:tcPr>
          <w:p>
            <w:pPr>
              <w:spacing w:after="0"/>
              <w:rPr>
                <w:sz w:val="17"/>
                <w:szCs w:val="17"/>
                <w:color w:val="auto"/>
              </w:rPr>
            </w:pPr>
          </w:p>
        </w:tc>
        <w:tc>
          <w:tcPr>
            <w:tcW w:w="980" w:type="dxa"/>
            <w:vAlign w:val="bottom"/>
            <w:tcBorders>
              <w:bottom w:val="single" w:sz="8" w:color="1E1E1E"/>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1180" w:type="dxa"/>
            <w:vAlign w:val="bottom"/>
            <w:tcBorders>
              <w:bottom w:val="single" w:sz="8" w:color="1E1E1E"/>
            </w:tcBorders>
          </w:tcPr>
          <w:p>
            <w:pPr>
              <w:spacing w:after="0"/>
              <w:rPr>
                <w:sz w:val="17"/>
                <w:szCs w:val="17"/>
                <w:color w:val="auto"/>
              </w:rPr>
            </w:pPr>
          </w:p>
        </w:tc>
        <w:tc>
          <w:tcPr>
            <w:tcW w:w="100" w:type="dxa"/>
            <w:vAlign w:val="bottom"/>
            <w:tcBorders>
              <w:bottom w:val="single" w:sz="8" w:color="E4E4E4"/>
            </w:tcBorders>
          </w:tcPr>
          <w:p>
            <w:pPr>
              <w:spacing w:after="0"/>
              <w:rPr>
                <w:sz w:val="17"/>
                <w:szCs w:val="17"/>
                <w:color w:val="auto"/>
              </w:rPr>
            </w:pPr>
          </w:p>
        </w:tc>
        <w:tc>
          <w:tcPr>
            <w:tcW w:w="60" w:type="dxa"/>
            <w:vAlign w:val="bottom"/>
            <w:tcBorders>
              <w:bottom w:val="single" w:sz="8" w:color="1E1E1E"/>
            </w:tcBorders>
          </w:tcPr>
          <w:p>
            <w:pPr>
              <w:spacing w:after="0"/>
              <w:rPr>
                <w:sz w:val="17"/>
                <w:szCs w:val="17"/>
                <w:color w:val="auto"/>
              </w:rPr>
            </w:pPr>
          </w:p>
        </w:tc>
        <w:tc>
          <w:tcPr>
            <w:tcW w:w="80" w:type="dxa"/>
            <w:vAlign w:val="bottom"/>
            <w:tcBorders>
              <w:bottom w:val="single" w:sz="8" w:color="1E1E1E"/>
            </w:tcBorders>
          </w:tcPr>
          <w:p>
            <w:pPr>
              <w:spacing w:after="0"/>
              <w:rPr>
                <w:sz w:val="17"/>
                <w:szCs w:val="17"/>
                <w:color w:val="auto"/>
              </w:rPr>
            </w:pPr>
          </w:p>
        </w:tc>
        <w:tc>
          <w:tcPr>
            <w:tcW w:w="920" w:type="dxa"/>
            <w:vAlign w:val="bottom"/>
            <w:tcBorders>
              <w:bottom w:val="single" w:sz="8" w:color="1E1E1E"/>
            </w:tcBorders>
          </w:tcPr>
          <w:p>
            <w:pPr>
              <w:jc w:val="right"/>
              <w:ind w:right="268"/>
              <w:spacing w:after="0"/>
              <w:rPr>
                <w:sz w:val="20"/>
                <w:szCs w:val="20"/>
                <w:color w:val="auto"/>
              </w:rPr>
            </w:pPr>
            <w:r>
              <w:rPr>
                <w:rFonts w:ascii="Arial" w:cs="Arial" w:eastAsia="Arial" w:hAnsi="Arial"/>
                <w:sz w:val="16"/>
                <w:szCs w:val="16"/>
                <w:color w:val="1E1E1E"/>
              </w:rPr>
              <w:t>2024</w:t>
            </w:r>
          </w:p>
        </w:tc>
        <w:tc>
          <w:tcPr>
            <w:tcW w:w="20" w:type="dxa"/>
            <w:vAlign w:val="bottom"/>
            <w:tcBorders>
              <w:bottom w:val="single" w:sz="8" w:color="E4E4E4"/>
            </w:tcBorders>
          </w:tcPr>
          <w:p>
            <w:pPr>
              <w:spacing w:after="0"/>
              <w:rPr>
                <w:sz w:val="17"/>
                <w:szCs w:val="17"/>
                <w:color w:val="auto"/>
              </w:rPr>
            </w:pPr>
          </w:p>
        </w:tc>
        <w:tc>
          <w:tcPr>
            <w:tcW w:w="60" w:type="dxa"/>
            <w:vAlign w:val="bottom"/>
            <w:tcBorders>
              <w:bottom w:val="single" w:sz="8" w:color="E4E4E4"/>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20" w:type="dxa"/>
            <w:vAlign w:val="bottom"/>
            <w:tcBorders>
              <w:bottom w:val="single" w:sz="8" w:color="1E1E1E"/>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920" w:type="dxa"/>
            <w:vAlign w:val="bottom"/>
            <w:tcBorders>
              <w:bottom w:val="single" w:sz="8" w:color="1E1E1E"/>
            </w:tcBorders>
          </w:tcPr>
          <w:p>
            <w:pPr>
              <w:jc w:val="right"/>
              <w:ind w:right="283"/>
              <w:spacing w:after="0"/>
              <w:rPr>
                <w:sz w:val="20"/>
                <w:szCs w:val="20"/>
                <w:color w:val="auto"/>
              </w:rPr>
            </w:pPr>
            <w:r>
              <w:rPr>
                <w:rFonts w:ascii="Arial" w:cs="Arial" w:eastAsia="Arial" w:hAnsi="Arial"/>
                <w:sz w:val="16"/>
                <w:szCs w:val="16"/>
                <w:color w:val="1E1E1E"/>
              </w:rPr>
              <w:t>2023</w:t>
            </w:r>
          </w:p>
        </w:tc>
        <w:tc>
          <w:tcPr>
            <w:tcW w:w="80" w:type="dxa"/>
            <w:vAlign w:val="bottom"/>
            <w:tcBorders>
              <w:bottom w:val="single" w:sz="8" w:color="E4E4E4"/>
            </w:tcBorders>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20" w:type="dxa"/>
            <w:vAlign w:val="bottom"/>
          </w:tcPr>
          <w:p>
            <w:pPr>
              <w:spacing w:after="0"/>
              <w:rPr>
                <w:sz w:val="19"/>
                <w:szCs w:val="19"/>
                <w:color w:val="auto"/>
              </w:rPr>
            </w:pPr>
          </w:p>
        </w:tc>
        <w:tc>
          <w:tcPr>
            <w:tcW w:w="1880" w:type="dxa"/>
            <w:vAlign w:val="bottom"/>
            <w:gridSpan w:val="3"/>
            <w:shd w:val="clear" w:color="auto" w:fill="E4E4E4"/>
          </w:tcPr>
          <w:p>
            <w:pPr>
              <w:spacing w:after="0" w:line="220" w:lineRule="exact"/>
              <w:rPr>
                <w:sz w:val="20"/>
                <w:szCs w:val="20"/>
                <w:color w:val="auto"/>
              </w:rPr>
            </w:pPr>
            <w:r>
              <w:rPr>
                <w:rFonts w:ascii="Arial" w:cs="Arial" w:eastAsia="Arial" w:hAnsi="Arial"/>
                <w:sz w:val="20"/>
                <w:szCs w:val="20"/>
                <w:color w:val="1E1E1E"/>
                <w:w w:val="98"/>
              </w:rPr>
              <w:t>Furniture and fixtures</w:t>
            </w:r>
          </w:p>
        </w:tc>
        <w:tc>
          <w:tcPr>
            <w:tcW w:w="66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40" w:type="dxa"/>
            <w:vAlign w:val="bottom"/>
            <w:gridSpan w:val="2"/>
            <w:shd w:val="clear" w:color="auto" w:fill="E4E4E4"/>
          </w:tcPr>
          <w:p>
            <w:pPr>
              <w:jc w:val="right"/>
              <w:ind w:right="40"/>
              <w:spacing w:after="0" w:line="220" w:lineRule="exact"/>
              <w:rPr>
                <w:sz w:val="20"/>
                <w:szCs w:val="20"/>
                <w:color w:val="auto"/>
              </w:rPr>
            </w:pPr>
            <w:r>
              <w:rPr>
                <w:rFonts w:ascii="Arial" w:cs="Arial" w:eastAsia="Arial" w:hAnsi="Arial"/>
                <w:sz w:val="20"/>
                <w:szCs w:val="20"/>
                <w:color w:val="1E1E1E"/>
                <w:w w:val="71"/>
              </w:rPr>
              <w:t>$</w:t>
            </w:r>
          </w:p>
        </w:tc>
        <w:tc>
          <w:tcPr>
            <w:tcW w:w="92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1E1E1E"/>
              </w:rPr>
              <w:t>75,987</w:t>
            </w: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60" w:type="dxa"/>
            <w:vAlign w:val="bottom"/>
            <w:gridSpan w:val="3"/>
            <w:shd w:val="clear" w:color="auto" w:fill="E4E4E4"/>
          </w:tcPr>
          <w:p>
            <w:pPr>
              <w:jc w:val="right"/>
              <w:spacing w:after="0" w:line="220" w:lineRule="exact"/>
              <w:rPr>
                <w:sz w:val="20"/>
                <w:szCs w:val="20"/>
                <w:color w:val="auto"/>
              </w:rPr>
            </w:pPr>
            <w:r>
              <w:rPr>
                <w:rFonts w:ascii="Arial" w:cs="Arial" w:eastAsia="Arial" w:hAnsi="Arial"/>
                <w:sz w:val="20"/>
                <w:szCs w:val="20"/>
                <w:color w:val="1E1E1E"/>
              </w:rPr>
              <w:t>$</w:t>
            </w:r>
          </w:p>
        </w:tc>
        <w:tc>
          <w:tcPr>
            <w:tcW w:w="92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1E1E1E"/>
              </w:rPr>
              <w:t>74,784</w:t>
            </w:r>
          </w:p>
        </w:tc>
        <w:tc>
          <w:tcPr>
            <w:tcW w:w="80" w:type="dxa"/>
            <w:vAlign w:val="bottom"/>
            <w:shd w:val="clear" w:color="auto" w:fill="E4E4E4"/>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Arial" w:cs="Arial" w:eastAsia="Arial" w:hAnsi="Arial"/>
                <w:sz w:val="20"/>
                <w:szCs w:val="20"/>
                <w:color w:val="1E1E1E"/>
              </w:rPr>
              <w:t>Equipment</w:t>
            </w: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1E1E1E"/>
              </w:rPr>
              <w:t>25,184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1E1E1E"/>
              </w:rPr>
              <w:t>24,035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540" w:type="dxa"/>
            <w:vAlign w:val="bottom"/>
            <w:gridSpan w:val="4"/>
            <w:shd w:val="clear" w:color="auto" w:fill="E4E4E4"/>
          </w:tcPr>
          <w:p>
            <w:pPr>
              <w:spacing w:after="0"/>
              <w:rPr>
                <w:sz w:val="20"/>
                <w:szCs w:val="20"/>
                <w:color w:val="auto"/>
              </w:rPr>
            </w:pPr>
            <w:r>
              <w:rPr>
                <w:rFonts w:ascii="Arial" w:cs="Arial" w:eastAsia="Arial" w:hAnsi="Arial"/>
                <w:sz w:val="20"/>
                <w:szCs w:val="20"/>
                <w:color w:val="1E1E1E"/>
              </w:rPr>
              <w:t>Leasehold improvements</w:t>
            </w:r>
          </w:p>
        </w:tc>
        <w:tc>
          <w:tcPr>
            <w:tcW w:w="98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220" w:type="dxa"/>
            <w:vAlign w:val="bottom"/>
            <w:shd w:val="clear" w:color="auto" w:fill="E4E4E4"/>
          </w:tcPr>
          <w:p>
            <w:pPr>
              <w:spacing w:after="0"/>
              <w:rPr>
                <w:sz w:val="20"/>
                <w:szCs w:val="20"/>
                <w:color w:val="auto"/>
              </w:rPr>
            </w:pPr>
          </w:p>
        </w:tc>
        <w:tc>
          <w:tcPr>
            <w:tcW w:w="118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92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122,555</w:t>
            </w:r>
          </w:p>
        </w:tc>
        <w:tc>
          <w:tcPr>
            <w:tcW w:w="2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92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115,258</w:t>
            </w:r>
          </w:p>
        </w:tc>
        <w:tc>
          <w:tcPr>
            <w:tcW w:w="80" w:type="dxa"/>
            <w:vAlign w:val="bottom"/>
            <w:shd w:val="clear" w:color="auto" w:fill="E4E4E4"/>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Arial" w:cs="Arial" w:eastAsia="Arial" w:hAnsi="Arial"/>
                <w:sz w:val="20"/>
                <w:szCs w:val="20"/>
                <w:color w:val="1E1E1E"/>
                <w:w w:val="89"/>
              </w:rPr>
              <w:t>Hardware and software</w:t>
            </w: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1E1E1E"/>
              </w:rPr>
              <w:t>111,884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1E1E1E"/>
              </w:rPr>
              <w:t>106,643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2540" w:type="dxa"/>
            <w:vAlign w:val="bottom"/>
            <w:gridSpan w:val="4"/>
            <w:shd w:val="clear" w:color="auto" w:fill="E4E4E4"/>
          </w:tcPr>
          <w:p>
            <w:pPr>
              <w:spacing w:after="0" w:line="228" w:lineRule="exact"/>
              <w:rPr>
                <w:sz w:val="20"/>
                <w:szCs w:val="20"/>
                <w:color w:val="auto"/>
              </w:rPr>
            </w:pPr>
            <w:r>
              <w:rPr>
                <w:rFonts w:ascii="Arial" w:cs="Arial" w:eastAsia="Arial" w:hAnsi="Arial"/>
                <w:sz w:val="20"/>
                <w:szCs w:val="20"/>
                <w:color w:val="1E1E1E"/>
              </w:rPr>
              <w:t>Construction in progress</w:t>
            </w:r>
          </w:p>
        </w:tc>
        <w:tc>
          <w:tcPr>
            <w:tcW w:w="98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940" w:type="dxa"/>
            <w:vAlign w:val="bottom"/>
            <w:gridSpan w:val="2"/>
            <w:shd w:val="clear" w:color="auto" w:fill="E4E4E4"/>
          </w:tcPr>
          <w:p>
            <w:pPr>
              <w:ind w:left="480"/>
              <w:spacing w:after="0" w:line="228" w:lineRule="exact"/>
              <w:rPr>
                <w:sz w:val="20"/>
                <w:szCs w:val="20"/>
                <w:color w:val="auto"/>
              </w:rPr>
            </w:pPr>
            <w:r>
              <w:rPr>
                <w:rFonts w:ascii="Arial" w:cs="Arial" w:eastAsia="Arial" w:hAnsi="Arial"/>
                <w:sz w:val="20"/>
                <w:szCs w:val="20"/>
                <w:color w:val="1E1E1E"/>
                <w:w w:val="87"/>
              </w:rPr>
              <w:t>7,560</w:t>
            </w:r>
          </w:p>
        </w:tc>
        <w:tc>
          <w:tcPr>
            <w:tcW w:w="6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920" w:type="dxa"/>
            <w:vAlign w:val="bottom"/>
            <w:shd w:val="clear" w:color="auto" w:fill="E4E4E4"/>
          </w:tcPr>
          <w:p>
            <w:pPr>
              <w:jc w:val="right"/>
              <w:spacing w:after="0" w:line="228" w:lineRule="exact"/>
              <w:rPr>
                <w:sz w:val="20"/>
                <w:szCs w:val="20"/>
                <w:color w:val="auto"/>
              </w:rPr>
            </w:pPr>
            <w:r>
              <w:rPr>
                <w:rFonts w:ascii="Arial" w:cs="Arial" w:eastAsia="Arial" w:hAnsi="Arial"/>
                <w:sz w:val="20"/>
                <w:szCs w:val="20"/>
                <w:color w:val="1E1E1E"/>
              </w:rPr>
              <w:t>5,659</w:t>
            </w:r>
          </w:p>
        </w:tc>
        <w:tc>
          <w:tcPr>
            <w:tcW w:w="80" w:type="dxa"/>
            <w:vAlign w:val="bottom"/>
            <w:shd w:val="clear" w:color="auto" w:fill="E4E4E4"/>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1E1E1E"/>
            </w:tcBorders>
          </w:tcPr>
          <w:p>
            <w:pPr>
              <w:spacing w:after="0"/>
              <w:rPr>
                <w:sz w:val="19"/>
                <w:szCs w:val="19"/>
                <w:color w:val="auto"/>
              </w:rPr>
            </w:pPr>
          </w:p>
        </w:tc>
        <w:tc>
          <w:tcPr>
            <w:tcW w:w="80" w:type="dxa"/>
            <w:vAlign w:val="bottom"/>
            <w:tcBorders>
              <w:top w:val="single" w:sz="8" w:color="1E1E1E"/>
            </w:tcBorders>
          </w:tcPr>
          <w:p>
            <w:pPr>
              <w:spacing w:after="0"/>
              <w:rPr>
                <w:sz w:val="19"/>
                <w:szCs w:val="19"/>
                <w:color w:val="auto"/>
              </w:rPr>
            </w:pPr>
          </w:p>
        </w:tc>
        <w:tc>
          <w:tcPr>
            <w:tcW w:w="920" w:type="dxa"/>
            <w:vAlign w:val="bottom"/>
            <w:tcBorders>
              <w:top w:val="single" w:sz="8" w:color="1E1E1E"/>
            </w:tcBorders>
          </w:tcPr>
          <w:p>
            <w:pPr>
              <w:jc w:val="right"/>
              <w:spacing w:after="0" w:line="219" w:lineRule="exact"/>
              <w:rPr>
                <w:sz w:val="20"/>
                <w:szCs w:val="20"/>
                <w:color w:val="auto"/>
              </w:rPr>
            </w:pPr>
            <w:r>
              <w:rPr>
                <w:rFonts w:ascii="Arial" w:cs="Arial" w:eastAsia="Arial" w:hAnsi="Arial"/>
                <w:sz w:val="20"/>
                <w:szCs w:val="20"/>
                <w:color w:val="1E1E1E"/>
              </w:rPr>
              <w:t>343,170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1E1E1E"/>
            </w:tcBorders>
          </w:tcPr>
          <w:p>
            <w:pPr>
              <w:spacing w:after="0"/>
              <w:rPr>
                <w:sz w:val="19"/>
                <w:szCs w:val="19"/>
                <w:color w:val="auto"/>
              </w:rPr>
            </w:pPr>
          </w:p>
        </w:tc>
        <w:tc>
          <w:tcPr>
            <w:tcW w:w="120" w:type="dxa"/>
            <w:vAlign w:val="bottom"/>
            <w:tcBorders>
              <w:top w:val="single" w:sz="8" w:color="1E1E1E"/>
            </w:tcBorders>
          </w:tcPr>
          <w:p>
            <w:pPr>
              <w:spacing w:after="0"/>
              <w:rPr>
                <w:sz w:val="19"/>
                <w:szCs w:val="19"/>
                <w:color w:val="auto"/>
              </w:rPr>
            </w:pPr>
          </w:p>
        </w:tc>
        <w:tc>
          <w:tcPr>
            <w:tcW w:w="920" w:type="dxa"/>
            <w:vAlign w:val="bottom"/>
            <w:tcBorders>
              <w:top w:val="single" w:sz="8" w:color="1E1E1E"/>
            </w:tcBorders>
          </w:tcPr>
          <w:p>
            <w:pPr>
              <w:jc w:val="right"/>
              <w:spacing w:after="0" w:line="219" w:lineRule="exact"/>
              <w:rPr>
                <w:sz w:val="20"/>
                <w:szCs w:val="20"/>
                <w:color w:val="auto"/>
              </w:rPr>
            </w:pPr>
            <w:r>
              <w:rPr>
                <w:rFonts w:ascii="Arial" w:cs="Arial" w:eastAsia="Arial" w:hAnsi="Arial"/>
                <w:sz w:val="20"/>
                <w:szCs w:val="20"/>
                <w:color w:val="1E1E1E"/>
              </w:rPr>
              <w:t>326,379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540" w:type="dxa"/>
            <w:vAlign w:val="bottom"/>
            <w:gridSpan w:val="4"/>
            <w:shd w:val="clear" w:color="auto" w:fill="E4E4E4"/>
          </w:tcPr>
          <w:p>
            <w:pPr>
              <w:spacing w:after="0"/>
              <w:rPr>
                <w:sz w:val="20"/>
                <w:szCs w:val="20"/>
                <w:color w:val="auto"/>
              </w:rPr>
            </w:pPr>
            <w:r>
              <w:rPr>
                <w:rFonts w:ascii="Arial" w:cs="Arial" w:eastAsia="Arial" w:hAnsi="Arial"/>
                <w:sz w:val="20"/>
                <w:szCs w:val="20"/>
                <w:color w:val="1E1E1E"/>
                <w:w w:val="89"/>
              </w:rPr>
              <w:t>Less: accumulated depreciation</w:t>
            </w:r>
          </w:p>
        </w:tc>
        <w:tc>
          <w:tcPr>
            <w:tcW w:w="98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220" w:type="dxa"/>
            <w:vAlign w:val="bottom"/>
            <w:shd w:val="clear" w:color="auto" w:fill="E4E4E4"/>
          </w:tcPr>
          <w:p>
            <w:pPr>
              <w:spacing w:after="0"/>
              <w:rPr>
                <w:sz w:val="20"/>
                <w:szCs w:val="20"/>
                <w:color w:val="auto"/>
              </w:rPr>
            </w:pPr>
          </w:p>
        </w:tc>
        <w:tc>
          <w:tcPr>
            <w:tcW w:w="118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60" w:type="dxa"/>
            <w:vAlign w:val="bottom"/>
            <w:tcBorders>
              <w:bottom w:val="single" w:sz="8" w:color="1E1E1E"/>
            </w:tcBorders>
            <w:shd w:val="clear" w:color="auto" w:fill="E4E4E4"/>
          </w:tcPr>
          <w:p>
            <w:pPr>
              <w:spacing w:after="0"/>
              <w:rPr>
                <w:sz w:val="20"/>
                <w:szCs w:val="20"/>
                <w:color w:val="auto"/>
              </w:rPr>
            </w:pPr>
          </w:p>
        </w:tc>
        <w:tc>
          <w:tcPr>
            <w:tcW w:w="80" w:type="dxa"/>
            <w:vAlign w:val="bottom"/>
            <w:tcBorders>
              <w:bottom w:val="single" w:sz="8" w:color="1E1E1E"/>
            </w:tcBorders>
            <w:shd w:val="clear" w:color="auto" w:fill="E4E4E4"/>
          </w:tcPr>
          <w:p>
            <w:pPr>
              <w:spacing w:after="0"/>
              <w:rPr>
                <w:sz w:val="20"/>
                <w:szCs w:val="20"/>
                <w:color w:val="auto"/>
              </w:rPr>
            </w:pPr>
          </w:p>
        </w:tc>
        <w:tc>
          <w:tcPr>
            <w:tcW w:w="920" w:type="dxa"/>
            <w:vAlign w:val="bottom"/>
            <w:tcBorders>
              <w:bottom w:val="single" w:sz="8" w:color="1E1E1E"/>
            </w:tcBorders>
            <w:shd w:val="clear" w:color="auto" w:fill="E4E4E4"/>
          </w:tcPr>
          <w:p>
            <w:pPr>
              <w:jc w:val="right"/>
              <w:spacing w:after="0"/>
              <w:rPr>
                <w:sz w:val="20"/>
                <w:szCs w:val="20"/>
                <w:color w:val="auto"/>
              </w:rPr>
            </w:pPr>
            <w:r>
              <w:rPr>
                <w:rFonts w:ascii="Arial" w:cs="Arial" w:eastAsia="Arial" w:hAnsi="Arial"/>
                <w:sz w:val="20"/>
                <w:szCs w:val="20"/>
                <w:color w:val="1E1E1E"/>
              </w:rPr>
              <w:t>299,932</w:t>
            </w:r>
          </w:p>
        </w:tc>
        <w:tc>
          <w:tcPr>
            <w:tcW w:w="2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20" w:type="dxa"/>
            <w:vAlign w:val="bottom"/>
            <w:tcBorders>
              <w:bottom w:val="single" w:sz="8" w:color="1E1E1E"/>
            </w:tcBorders>
            <w:shd w:val="clear" w:color="auto" w:fill="E4E4E4"/>
          </w:tcPr>
          <w:p>
            <w:pPr>
              <w:spacing w:after="0"/>
              <w:rPr>
                <w:sz w:val="20"/>
                <w:szCs w:val="20"/>
                <w:color w:val="auto"/>
              </w:rPr>
            </w:pPr>
          </w:p>
        </w:tc>
        <w:tc>
          <w:tcPr>
            <w:tcW w:w="120" w:type="dxa"/>
            <w:vAlign w:val="bottom"/>
            <w:tcBorders>
              <w:bottom w:val="single" w:sz="8" w:color="1E1E1E"/>
            </w:tcBorders>
            <w:shd w:val="clear" w:color="auto" w:fill="E4E4E4"/>
          </w:tcPr>
          <w:p>
            <w:pPr>
              <w:spacing w:after="0"/>
              <w:rPr>
                <w:sz w:val="20"/>
                <w:szCs w:val="20"/>
                <w:color w:val="auto"/>
              </w:rPr>
            </w:pPr>
          </w:p>
        </w:tc>
        <w:tc>
          <w:tcPr>
            <w:tcW w:w="920" w:type="dxa"/>
            <w:vAlign w:val="bottom"/>
            <w:tcBorders>
              <w:bottom w:val="single" w:sz="8" w:color="1E1E1E"/>
            </w:tcBorders>
            <w:shd w:val="clear" w:color="auto" w:fill="E4E4E4"/>
          </w:tcPr>
          <w:p>
            <w:pPr>
              <w:jc w:val="right"/>
              <w:spacing w:after="0"/>
              <w:rPr>
                <w:sz w:val="20"/>
                <w:szCs w:val="20"/>
                <w:color w:val="auto"/>
              </w:rPr>
            </w:pPr>
            <w:r>
              <w:rPr>
                <w:rFonts w:ascii="Arial" w:cs="Arial" w:eastAsia="Arial" w:hAnsi="Arial"/>
                <w:sz w:val="20"/>
                <w:szCs w:val="20"/>
                <w:color w:val="1E1E1E"/>
              </w:rPr>
              <w:t>287,317</w:t>
            </w:r>
          </w:p>
        </w:tc>
        <w:tc>
          <w:tcPr>
            <w:tcW w:w="80" w:type="dxa"/>
            <w:vAlign w:val="bottom"/>
            <w:shd w:val="clear" w:color="auto" w:fill="E4E4E4"/>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3520" w:type="dxa"/>
            <w:vAlign w:val="bottom"/>
            <w:gridSpan w:val="5"/>
          </w:tcPr>
          <w:p>
            <w:pPr>
              <w:spacing w:after="0" w:line="223" w:lineRule="exact"/>
              <w:rPr>
                <w:sz w:val="20"/>
                <w:szCs w:val="20"/>
                <w:color w:val="auto"/>
              </w:rPr>
            </w:pPr>
            <w:r>
              <w:rPr>
                <w:rFonts w:ascii="Arial" w:cs="Arial" w:eastAsia="Arial" w:hAnsi="Arial"/>
                <w:sz w:val="20"/>
                <w:szCs w:val="20"/>
                <w:color w:val="1E1E1E"/>
              </w:rPr>
              <w:t>Total property and equipment, net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right"/>
              <w:ind w:right="40"/>
              <w:spacing w:after="0" w:line="223" w:lineRule="exact"/>
              <w:rPr>
                <w:sz w:val="20"/>
                <w:szCs w:val="20"/>
                <w:color w:val="auto"/>
              </w:rPr>
            </w:pPr>
            <w:r>
              <w:rPr>
                <w:rFonts w:ascii="Arial" w:cs="Arial" w:eastAsia="Arial" w:hAnsi="Arial"/>
                <w:sz w:val="20"/>
                <w:szCs w:val="20"/>
                <w:color w:val="1E1E1E"/>
                <w:w w:val="71"/>
              </w:rPr>
              <w:t>$</w:t>
            </w:r>
          </w:p>
        </w:tc>
        <w:tc>
          <w:tcPr>
            <w:tcW w:w="920" w:type="dxa"/>
            <w:vAlign w:val="bottom"/>
          </w:tcPr>
          <w:p>
            <w:pPr>
              <w:jc w:val="right"/>
              <w:spacing w:after="0" w:line="223" w:lineRule="exact"/>
              <w:rPr>
                <w:sz w:val="20"/>
                <w:szCs w:val="20"/>
                <w:color w:val="auto"/>
              </w:rPr>
            </w:pPr>
            <w:r>
              <w:rPr>
                <w:rFonts w:ascii="Arial" w:cs="Arial" w:eastAsia="Arial" w:hAnsi="Arial"/>
                <w:sz w:val="20"/>
                <w:szCs w:val="20"/>
                <w:color w:val="1E1E1E"/>
              </w:rPr>
              <w:t>43,238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gridSpan w:val="2"/>
          </w:tcPr>
          <w:p>
            <w:pPr>
              <w:jc w:val="right"/>
              <w:spacing w:after="0" w:line="223" w:lineRule="exact"/>
              <w:rPr>
                <w:sz w:val="20"/>
                <w:szCs w:val="20"/>
                <w:color w:val="auto"/>
              </w:rPr>
            </w:pPr>
            <w:r>
              <w:rPr>
                <w:rFonts w:ascii="Arial" w:cs="Arial" w:eastAsia="Arial" w:hAnsi="Arial"/>
                <w:sz w:val="20"/>
                <w:szCs w:val="20"/>
                <w:color w:val="1E1E1E"/>
                <w:w w:val="71"/>
              </w:rPr>
              <w:t>$</w:t>
            </w:r>
          </w:p>
        </w:tc>
        <w:tc>
          <w:tcPr>
            <w:tcW w:w="920" w:type="dxa"/>
            <w:vAlign w:val="bottom"/>
          </w:tcPr>
          <w:p>
            <w:pPr>
              <w:jc w:val="right"/>
              <w:spacing w:after="0" w:line="223" w:lineRule="exact"/>
              <w:rPr>
                <w:sz w:val="20"/>
                <w:szCs w:val="20"/>
                <w:color w:val="auto"/>
              </w:rPr>
            </w:pPr>
            <w:r>
              <w:rPr>
                <w:rFonts w:ascii="Arial" w:cs="Arial" w:eastAsia="Arial" w:hAnsi="Arial"/>
                <w:sz w:val="20"/>
                <w:szCs w:val="20"/>
                <w:color w:val="1E1E1E"/>
              </w:rPr>
              <w:t>39,062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1630680</wp:posOffset>
            </wp:positionH>
            <wp:positionV relativeFrom="paragraph">
              <wp:posOffset>-2052320</wp:posOffset>
            </wp:positionV>
            <wp:extent cx="4495800" cy="609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495800" cy="60960"/>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-15875</wp:posOffset>
            </wp:positionV>
            <wp:extent cx="1507490" cy="609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07490" cy="6096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1E1E1E"/>
        </w:rPr>
        <w:t>Depreciation expense was $13.8 million, $15.4 million and $17.2 million for fiscal 2023, fiscal 2022, and fiscal 2021, respectively.</w:t>
      </w:r>
    </w:p>
    <w:p>
      <w:pPr>
        <w:spacing w:after="0" w:line="254" w:lineRule="exact"/>
        <w:rPr>
          <w:sz w:val="20"/>
          <w:szCs w:val="20"/>
          <w:color w:val="auto"/>
        </w:rPr>
      </w:pPr>
    </w:p>
    <w:p>
      <w:pPr>
        <w:ind w:right="280"/>
        <w:spacing w:after="0" w:line="279" w:lineRule="auto"/>
        <w:rPr>
          <w:sz w:val="20"/>
          <w:szCs w:val="20"/>
          <w:color w:val="auto"/>
        </w:rPr>
      </w:pPr>
      <w:r>
        <w:rPr>
          <w:rFonts w:ascii="Arial" w:cs="Arial" w:eastAsia="Arial" w:hAnsi="Arial"/>
          <w:sz w:val="20"/>
          <w:szCs w:val="20"/>
          <w:color w:val="1E1E1E"/>
        </w:rPr>
        <w:t>Additions to property and equipment that were included in accounts payable and accrued expenses at February 3, 2024, January 28, 2023 and January 29, 2022 were $2.3 million, $1.7 million, and $1.1 million,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1E1E1E"/>
        </w:rPr>
        <w:t>D. DEBT OBLIGATIONS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Credit Agreement with Citizens Bank, N.A.</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1E1E1E"/>
        </w:rPr>
        <w:t>On October 28, 2021, the Company entered into a credit facility with Citizens Bank, N.A. On April 20, 2023, the Company entered into the First Amendment to Credit Agreement which provided for the replacement of the London Interbank Offering Rate (“LIBOR”) interest rate options with the secured overnight financing rate ("SOFR") based options (as amended, the "Credit Facility").</w:t>
      </w:r>
    </w:p>
    <w:p>
      <w:pPr>
        <w:spacing w:after="0" w:line="30" w:lineRule="exact"/>
        <w:rPr>
          <w:sz w:val="20"/>
          <w:szCs w:val="20"/>
          <w:color w:val="auto"/>
        </w:rPr>
      </w:pPr>
    </w:p>
    <w:p>
      <w:pPr>
        <w:jc w:val="both"/>
        <w:ind w:right="260"/>
        <w:spacing w:after="0" w:line="252" w:lineRule="auto"/>
        <w:rPr>
          <w:sz w:val="20"/>
          <w:szCs w:val="20"/>
          <w:color w:val="auto"/>
        </w:rPr>
      </w:pPr>
      <w:r>
        <w:rPr>
          <w:rFonts w:ascii="Arial" w:cs="Arial" w:eastAsia="Arial" w:hAnsi="Arial"/>
          <w:sz w:val="20"/>
          <w:szCs w:val="20"/>
          <w:color w:val="1E1E1E"/>
        </w:rPr>
        <w:t>The Credit Facility provides for a $125.0 million secured, asset-based credit facility with a maturity date of October 28, 2026. The maximum committed borrowing of $125.0 million includes a sublimit of $20.0 million for commercial and standby letters of credit and a sublimit of up to $15.0 million for swing line loans. The Company’s ability to borrow under the Credit Facility is determined using an availability formula based on eligible assets.</w:t>
      </w:r>
    </w:p>
    <w:p>
      <w:pPr>
        <w:spacing w:after="0" w:line="73"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1E1E1E"/>
        </w:rPr>
        <w:t>Effective April 20, 2023, borrowings under the Credit Facility bear interest at either a Base Rate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Credit Facility)), plus (ii) 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w:t>
      </w:r>
    </w:p>
    <w:p>
      <w:pPr>
        <w:spacing w:after="0" w:line="4" w:lineRule="exact"/>
        <w:rPr>
          <w:sz w:val="20"/>
          <w:szCs w:val="20"/>
          <w:color w:val="auto"/>
        </w:rPr>
      </w:pPr>
    </w:p>
    <w:p>
      <w:pPr>
        <w:ind w:right="520"/>
        <w:spacing w:after="0" w:line="279" w:lineRule="auto"/>
        <w:tabs>
          <w:tab w:leader="none" w:pos="295" w:val="left"/>
        </w:tabs>
        <w:numPr>
          <w:ilvl w:val="0"/>
          <w:numId w:val="3"/>
        </w:numPr>
        <w:rPr>
          <w:rFonts w:ascii="Arial" w:cs="Arial" w:eastAsia="Arial" w:hAnsi="Arial"/>
          <w:sz w:val="20"/>
          <w:szCs w:val="20"/>
          <w:color w:val="1E1E1E"/>
        </w:rPr>
      </w:pPr>
      <w:r>
        <w:rPr>
          <w:rFonts w:ascii="Arial" w:cs="Arial" w:eastAsia="Arial" w:hAnsi="Arial"/>
          <w:sz w:val="20"/>
          <w:szCs w:val="20"/>
          <w:color w:val="1E1E1E"/>
        </w:rPr>
        <w:t>the Applicable Margin. Any swingline loan will continue to bear interest at a rate equal to the Base Rate plus the Applicable Margin. The Company is subject to an unused line fee of 0.25%.</w:t>
      </w:r>
    </w:p>
    <w:p>
      <w:pPr>
        <w:spacing w:after="0" w:line="46" w:lineRule="exact"/>
        <w:rPr>
          <w:sz w:val="20"/>
          <w:szCs w:val="20"/>
          <w:color w:val="auto"/>
        </w:rPr>
      </w:pPr>
    </w:p>
    <w:p>
      <w:pPr>
        <w:ind w:right="160"/>
        <w:spacing w:after="0" w:line="300" w:lineRule="auto"/>
        <w:rPr>
          <w:sz w:val="20"/>
          <w:szCs w:val="20"/>
          <w:color w:val="auto"/>
        </w:rPr>
      </w:pPr>
      <w:r>
        <w:rPr>
          <w:rFonts w:ascii="Arial" w:cs="Arial" w:eastAsia="Arial" w:hAnsi="Arial"/>
          <w:sz w:val="18"/>
          <w:szCs w:val="18"/>
          <w:color w:val="1E1E1E"/>
        </w:rPr>
        <w:t>The Company’s obligations under the Credit Facility are secured by a lien on substantially all of its assets. If the Company’s availability under the Credit Facility at any time is less than the greater of (i) 10% of the Revolving Loan Cap (the lesser of the aggregate revolving commitments or the borrowing base) and (ii) $7.5 million, then the Company is required to maintain a minimum</w:t>
      </w:r>
    </w:p>
    <w:p>
      <w:pPr>
        <w:sectPr>
          <w:pgSz w:w="11880" w:h="15480" w:orient="portrait"/>
          <w:cols w:equalWidth="0" w:num="1">
            <w:col w:w="10800"/>
          </w:cols>
          <w:pgMar w:left="540" w:top="656" w:right="540" w:bottom="31"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50</w:t>
      </w:r>
    </w:p>
    <w:p>
      <w:pPr>
        <w:sectPr>
          <w:pgSz w:w="11880" w:h="15480" w:orient="portrait"/>
          <w:cols w:equalWidth="0" w:num="1">
            <w:col w:w="10800"/>
          </w:cols>
          <w:pgMar w:left="540" w:top="656" w:right="540" w:bottom="31" w:gutter="0" w:footer="0" w:header="0"/>
          <w:type w:val="continuous"/>
        </w:sectPr>
      </w:pPr>
    </w:p>
    <w:bookmarkStart w:id="52" w:name="page53"/>
    <w:bookmarkEnd w:id="52"/>
    <w:p>
      <w:pPr>
        <w:jc w:val="both"/>
        <w:ind w:right="20"/>
        <w:spacing w:after="0" w:line="279" w:lineRule="auto"/>
        <w:rPr>
          <w:sz w:val="20"/>
          <w:szCs w:val="20"/>
          <w:color w:val="auto"/>
        </w:rPr>
      </w:pPr>
      <w:r>
        <w:rPr>
          <w:rFonts w:ascii="Arial" w:cs="Arial" w:eastAsia="Arial" w:hAnsi="Arial"/>
          <w:sz w:val="20"/>
          <w:szCs w:val="20"/>
          <w:color w:val="1E1E1E"/>
        </w:rPr>
        <w:t>consolidated fixed charge coverage ratio of 1.0:1.0 until such time as availability has exceeded the greater of (1) 10% of the Revolving Loan Cap and (2) $7.5 million for 30 consecutive days.</w:t>
      </w:r>
    </w:p>
    <w:p>
      <w:pPr>
        <w:spacing w:after="0" w:line="4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1E1E1E"/>
        </w:rPr>
        <w:t>At February 3, 2024, the Company had no borrowings outstanding and availability of $69.8 million under the Credit Facility. There were no borrowings under the Credit Facility during fiscal 2023, resulting in an average unused excess availability of approximately $84.5 million. Outstanding standby letters of credit were $4.3 million and outstanding documentary letters were $1.0 million at February 3, 2024. At February 3, 2024, the Company's prime interest rate was 8.75%.</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Interest and Fees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1E1E1E"/>
        </w:rPr>
        <w:t>The Company paid interest and fees totaling $0.3 million, $0.4 million and $3.2 million for fiscal 2023, fiscal 2022 and fiscal 2021, respectively. Included in the $3.2 million for fiscal 2021 was a prepayment penalty of $1.1 million associated with the prepayment of its long-term FILO loan.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1E1E1E"/>
        </w:rPr>
        <w:t>E. LEASES</w:t>
      </w:r>
    </w:p>
    <w:p>
      <w:pPr>
        <w:spacing w:after="0" w:line="24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1E1E1E"/>
        </w:rPr>
        <w:t>The Company leases all of its store locations and its corporate headquarters, which also includes its distribution center, under operating leases. The store leases typically have initial terms of 10 years, with options that usually permit renewal for additional five-year periods. The initial term of the lease for the corporate headquarters is for 20 years, with the opportunity to extend for six additional consecutive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51"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1E1E1E"/>
        </w:rPr>
        <w:t>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As of February 3, 2024, the Company’s operating leases liabilities represent the present value of the remaining future minimum lease payments updated based on concessions and lease modifications, as applicable.</w:t>
      </w:r>
    </w:p>
    <w:p>
      <w:pPr>
        <w:spacing w:after="0" w:line="23" w:lineRule="exact"/>
        <w:rPr>
          <w:sz w:val="20"/>
          <w:szCs w:val="20"/>
          <w:color w:val="auto"/>
        </w:rPr>
      </w:pPr>
    </w:p>
    <w:p>
      <w:pPr>
        <w:jc w:val="both"/>
        <w:ind w:right="180"/>
        <w:spacing w:after="0" w:line="259" w:lineRule="auto"/>
        <w:rPr>
          <w:sz w:val="20"/>
          <w:szCs w:val="20"/>
          <w:color w:val="auto"/>
        </w:rPr>
      </w:pPr>
      <w:r>
        <w:rPr>
          <w:rFonts w:ascii="Arial" w:cs="Arial" w:eastAsia="Arial" w:hAnsi="Arial"/>
          <w:sz w:val="20"/>
          <w:szCs w:val="20"/>
          <w:color w:val="1E1E1E"/>
        </w:rPr>
        <w:t>Lease costs related to store locations are included in cost of goods sold including occupancy costs on the Consolidated Statements of Operations, and expenses and lease costs related to the corporate headquarters and equipment leases are included in selling, general and administrative expenses on the Consolidated Statements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1E1E1E"/>
        </w:rPr>
        <w:t>The following table is a summary of the Company’s components of lease costs for fiscal 2023, fiscal 2022 and fiscal 2021:</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4640" w:type="dxa"/>
            <w:vAlign w:val="bottom"/>
            <w:shd w:val="clear" w:color="auto" w:fill="E4E4E4"/>
          </w:tcPr>
          <w:p>
            <w:pPr>
              <w:spacing w:after="0"/>
              <w:rPr>
                <w:sz w:val="18"/>
                <w:szCs w:val="18"/>
                <w:color w:val="auto"/>
              </w:rPr>
            </w:pPr>
          </w:p>
        </w:tc>
        <w:tc>
          <w:tcPr>
            <w:tcW w:w="440" w:type="dxa"/>
            <w:vAlign w:val="bottom"/>
            <w:shd w:val="clear" w:color="auto" w:fill="E4E4E4"/>
          </w:tcPr>
          <w:p>
            <w:pPr>
              <w:spacing w:after="0"/>
              <w:rPr>
                <w:sz w:val="18"/>
                <w:szCs w:val="18"/>
                <w:color w:val="auto"/>
              </w:rPr>
            </w:pPr>
          </w:p>
        </w:tc>
        <w:tc>
          <w:tcPr>
            <w:tcW w:w="1700" w:type="dxa"/>
            <w:vAlign w:val="bottom"/>
            <w:gridSpan w:val="3"/>
            <w:shd w:val="clear" w:color="auto" w:fill="E4E4E4"/>
          </w:tcPr>
          <w:p>
            <w:pPr>
              <w:spacing w:after="0" w:line="207" w:lineRule="exact"/>
              <w:rPr>
                <w:sz w:val="20"/>
                <w:szCs w:val="20"/>
                <w:color w:val="auto"/>
              </w:rPr>
            </w:pPr>
            <w:r>
              <w:rPr>
                <w:rFonts w:ascii="Arial" w:cs="Arial" w:eastAsia="Arial" w:hAnsi="Arial"/>
                <w:sz w:val="20"/>
                <w:szCs w:val="20"/>
                <w:color w:val="1E1E1E"/>
              </w:rPr>
              <w:t>Fiscal 2023</w:t>
            </w:r>
          </w:p>
        </w:tc>
        <w:tc>
          <w:tcPr>
            <w:tcW w:w="420" w:type="dxa"/>
            <w:vAlign w:val="bottom"/>
            <w:shd w:val="clear" w:color="auto" w:fill="E4E4E4"/>
          </w:tcPr>
          <w:p>
            <w:pPr>
              <w:spacing w:after="0"/>
              <w:rPr>
                <w:sz w:val="18"/>
                <w:szCs w:val="18"/>
                <w:color w:val="auto"/>
              </w:rPr>
            </w:pPr>
          </w:p>
        </w:tc>
        <w:tc>
          <w:tcPr>
            <w:tcW w:w="1700" w:type="dxa"/>
            <w:vAlign w:val="bottom"/>
            <w:gridSpan w:val="3"/>
            <w:shd w:val="clear" w:color="auto" w:fill="E4E4E4"/>
          </w:tcPr>
          <w:p>
            <w:pPr>
              <w:jc w:val="right"/>
              <w:ind w:right="760"/>
              <w:spacing w:after="0" w:line="207" w:lineRule="exact"/>
              <w:rPr>
                <w:sz w:val="20"/>
                <w:szCs w:val="20"/>
                <w:color w:val="auto"/>
              </w:rPr>
            </w:pPr>
            <w:r>
              <w:rPr>
                <w:rFonts w:ascii="Arial" w:cs="Arial" w:eastAsia="Arial" w:hAnsi="Arial"/>
                <w:sz w:val="20"/>
                <w:szCs w:val="20"/>
                <w:color w:val="1E1E1E"/>
                <w:w w:val="89"/>
              </w:rPr>
              <w:t>Fiscal 2022</w:t>
            </w:r>
          </w:p>
        </w:tc>
        <w:tc>
          <w:tcPr>
            <w:tcW w:w="260" w:type="dxa"/>
            <w:vAlign w:val="bottom"/>
            <w:shd w:val="clear" w:color="auto" w:fill="E4E4E4"/>
          </w:tcPr>
          <w:p>
            <w:pPr>
              <w:spacing w:after="0"/>
              <w:rPr>
                <w:sz w:val="18"/>
                <w:szCs w:val="18"/>
                <w:color w:val="auto"/>
              </w:rPr>
            </w:pPr>
          </w:p>
        </w:tc>
        <w:tc>
          <w:tcPr>
            <w:tcW w:w="1640" w:type="dxa"/>
            <w:vAlign w:val="bottom"/>
            <w:gridSpan w:val="4"/>
            <w:shd w:val="clear" w:color="auto" w:fill="E4E4E4"/>
          </w:tcPr>
          <w:p>
            <w:pPr>
              <w:ind w:left="180"/>
              <w:spacing w:after="0" w:line="207" w:lineRule="exact"/>
              <w:rPr>
                <w:sz w:val="20"/>
                <w:szCs w:val="20"/>
                <w:color w:val="auto"/>
              </w:rPr>
            </w:pPr>
            <w:r>
              <w:rPr>
                <w:rFonts w:ascii="Arial" w:cs="Arial" w:eastAsia="Arial" w:hAnsi="Arial"/>
                <w:sz w:val="20"/>
                <w:szCs w:val="20"/>
                <w:color w:val="1E1E1E"/>
              </w:rPr>
              <w:t>Fiscal 2021</w:t>
            </w:r>
          </w:p>
        </w:tc>
      </w:tr>
      <w:tr>
        <w:trPr>
          <w:trHeight w:val="230"/>
        </w:trPr>
        <w:tc>
          <w:tcPr>
            <w:tcW w:w="4640" w:type="dxa"/>
            <w:vAlign w:val="bottom"/>
            <w:tcBorders>
              <w:top w:val="single" w:sz="8" w:color="E4E4E4"/>
            </w:tcBorders>
          </w:tcPr>
          <w:p>
            <w:pPr>
              <w:spacing w:after="0"/>
              <w:rPr>
                <w:sz w:val="20"/>
                <w:szCs w:val="20"/>
                <w:color w:val="auto"/>
              </w:rPr>
            </w:pPr>
            <w:r>
              <w:rPr>
                <w:rFonts w:ascii="Arial" w:cs="Arial" w:eastAsia="Arial" w:hAnsi="Arial"/>
                <w:sz w:val="20"/>
                <w:szCs w:val="20"/>
                <w:color w:val="1E1E1E"/>
              </w:rPr>
              <w:t>(in thousands)</w:t>
            </w:r>
          </w:p>
        </w:tc>
        <w:tc>
          <w:tcPr>
            <w:tcW w:w="440" w:type="dxa"/>
            <w:vAlign w:val="bottom"/>
            <w:tcBorders>
              <w:top w:val="single" w:sz="8" w:color="E4E4E4"/>
            </w:tcBorders>
          </w:tcPr>
          <w:p>
            <w:pPr>
              <w:spacing w:after="0"/>
              <w:rPr>
                <w:sz w:val="20"/>
                <w:szCs w:val="20"/>
                <w:color w:val="auto"/>
              </w:rPr>
            </w:pPr>
          </w:p>
        </w:tc>
        <w:tc>
          <w:tcPr>
            <w:tcW w:w="920" w:type="dxa"/>
            <w:vAlign w:val="bottom"/>
            <w:tcBorders>
              <w:top w:val="single" w:sz="8" w:color="1E1E1E"/>
            </w:tcBorders>
          </w:tcPr>
          <w:p>
            <w:pPr>
              <w:spacing w:after="0"/>
              <w:rPr>
                <w:sz w:val="20"/>
                <w:szCs w:val="20"/>
                <w:color w:val="auto"/>
              </w:rPr>
            </w:pPr>
          </w:p>
        </w:tc>
        <w:tc>
          <w:tcPr>
            <w:tcW w:w="440" w:type="dxa"/>
            <w:vAlign w:val="bottom"/>
            <w:tcBorders>
              <w:top w:val="single" w:sz="8" w:color="E4E4E4"/>
            </w:tcBorders>
          </w:tcPr>
          <w:p>
            <w:pPr>
              <w:spacing w:after="0"/>
              <w:rPr>
                <w:sz w:val="20"/>
                <w:szCs w:val="20"/>
                <w:color w:val="auto"/>
              </w:rPr>
            </w:pPr>
          </w:p>
        </w:tc>
        <w:tc>
          <w:tcPr>
            <w:tcW w:w="340" w:type="dxa"/>
            <w:vAlign w:val="bottom"/>
            <w:tcBorders>
              <w:top w:val="single" w:sz="8" w:color="E4E4E4"/>
            </w:tcBorders>
          </w:tcPr>
          <w:p>
            <w:pPr>
              <w:spacing w:after="0"/>
              <w:rPr>
                <w:sz w:val="20"/>
                <w:szCs w:val="20"/>
                <w:color w:val="auto"/>
              </w:rPr>
            </w:pPr>
          </w:p>
        </w:tc>
        <w:tc>
          <w:tcPr>
            <w:tcW w:w="420" w:type="dxa"/>
            <w:vAlign w:val="bottom"/>
            <w:tcBorders>
              <w:top w:val="single" w:sz="8" w:color="E4E4E4"/>
            </w:tcBorders>
          </w:tcPr>
          <w:p>
            <w:pPr>
              <w:spacing w:after="0"/>
              <w:rPr>
                <w:sz w:val="20"/>
                <w:szCs w:val="20"/>
                <w:color w:val="auto"/>
              </w:rPr>
            </w:pPr>
          </w:p>
        </w:tc>
        <w:tc>
          <w:tcPr>
            <w:tcW w:w="940" w:type="dxa"/>
            <w:vAlign w:val="bottom"/>
            <w:tcBorders>
              <w:top w:val="single" w:sz="8" w:color="1E1E1E"/>
            </w:tcBorders>
          </w:tcPr>
          <w:p>
            <w:pPr>
              <w:spacing w:after="0"/>
              <w:rPr>
                <w:sz w:val="20"/>
                <w:szCs w:val="20"/>
                <w:color w:val="auto"/>
              </w:rPr>
            </w:pPr>
          </w:p>
        </w:tc>
        <w:tc>
          <w:tcPr>
            <w:tcW w:w="420" w:type="dxa"/>
            <w:vAlign w:val="bottom"/>
            <w:tcBorders>
              <w:top w:val="single" w:sz="8" w:color="E4E4E4"/>
            </w:tcBorders>
          </w:tcPr>
          <w:p>
            <w:pPr>
              <w:spacing w:after="0"/>
              <w:rPr>
                <w:sz w:val="20"/>
                <w:szCs w:val="20"/>
                <w:color w:val="auto"/>
              </w:rPr>
            </w:pPr>
          </w:p>
        </w:tc>
        <w:tc>
          <w:tcPr>
            <w:tcW w:w="340" w:type="dxa"/>
            <w:vAlign w:val="bottom"/>
            <w:tcBorders>
              <w:top w:val="single" w:sz="8" w:color="E4E4E4"/>
            </w:tcBorders>
          </w:tcPr>
          <w:p>
            <w:pPr>
              <w:spacing w:after="0"/>
              <w:rPr>
                <w:sz w:val="20"/>
                <w:szCs w:val="20"/>
                <w:color w:val="auto"/>
              </w:rPr>
            </w:pPr>
          </w:p>
        </w:tc>
        <w:tc>
          <w:tcPr>
            <w:tcW w:w="260" w:type="dxa"/>
            <w:vAlign w:val="bottom"/>
            <w:tcBorders>
              <w:top w:val="single" w:sz="8" w:color="E4E4E4"/>
            </w:tcBorders>
          </w:tcPr>
          <w:p>
            <w:pPr>
              <w:spacing w:after="0"/>
              <w:rPr>
                <w:sz w:val="20"/>
                <w:szCs w:val="20"/>
                <w:color w:val="auto"/>
              </w:rPr>
            </w:pPr>
          </w:p>
        </w:tc>
        <w:tc>
          <w:tcPr>
            <w:tcW w:w="180" w:type="dxa"/>
            <w:vAlign w:val="bottom"/>
            <w:tcBorders>
              <w:top w:val="single" w:sz="8" w:color="E4E4E4"/>
            </w:tcBorders>
          </w:tcPr>
          <w:p>
            <w:pPr>
              <w:spacing w:after="0"/>
              <w:rPr>
                <w:sz w:val="20"/>
                <w:szCs w:val="20"/>
                <w:color w:val="auto"/>
              </w:rPr>
            </w:pPr>
          </w:p>
        </w:tc>
        <w:tc>
          <w:tcPr>
            <w:tcW w:w="920" w:type="dxa"/>
            <w:vAlign w:val="bottom"/>
            <w:tcBorders>
              <w:top w:val="single" w:sz="8" w:color="1E1E1E"/>
            </w:tcBorders>
          </w:tcPr>
          <w:p>
            <w:pPr>
              <w:spacing w:after="0"/>
              <w:rPr>
                <w:sz w:val="20"/>
                <w:szCs w:val="20"/>
                <w:color w:val="auto"/>
              </w:rPr>
            </w:pPr>
          </w:p>
        </w:tc>
        <w:tc>
          <w:tcPr>
            <w:tcW w:w="440" w:type="dxa"/>
            <w:vAlign w:val="bottom"/>
            <w:tcBorders>
              <w:top w:val="single" w:sz="8" w:color="E4E4E4"/>
            </w:tcBorders>
          </w:tcPr>
          <w:p>
            <w:pPr>
              <w:spacing w:after="0"/>
              <w:rPr>
                <w:sz w:val="20"/>
                <w:szCs w:val="20"/>
                <w:color w:val="auto"/>
              </w:rPr>
            </w:pPr>
          </w:p>
        </w:tc>
        <w:tc>
          <w:tcPr>
            <w:tcW w:w="100" w:type="dxa"/>
            <w:vAlign w:val="bottom"/>
            <w:tcBorders>
              <w:top w:val="single" w:sz="8" w:color="E4E4E4"/>
            </w:tcBorders>
          </w:tcPr>
          <w:p>
            <w:pPr>
              <w:spacing w:after="0"/>
              <w:rPr>
                <w:sz w:val="20"/>
                <w:szCs w:val="20"/>
                <w:color w:val="auto"/>
              </w:rPr>
            </w:pPr>
          </w:p>
        </w:tc>
      </w:tr>
      <w:tr>
        <w:trPr>
          <w:trHeight w:val="230"/>
        </w:trPr>
        <w:tc>
          <w:tcPr>
            <w:tcW w:w="4640" w:type="dxa"/>
            <w:vAlign w:val="bottom"/>
            <w:shd w:val="clear" w:color="auto" w:fill="E4E4E4"/>
          </w:tcPr>
          <w:p>
            <w:pPr>
              <w:spacing w:after="0"/>
              <w:rPr>
                <w:sz w:val="20"/>
                <w:szCs w:val="20"/>
                <w:color w:val="auto"/>
              </w:rPr>
            </w:pPr>
            <w:r>
              <w:rPr>
                <w:rFonts w:ascii="Arial" w:cs="Arial" w:eastAsia="Arial" w:hAnsi="Arial"/>
                <w:sz w:val="20"/>
                <w:szCs w:val="20"/>
                <w:color w:val="1E1E1E"/>
              </w:rPr>
              <w:t>Operating lease cost</w:t>
            </w:r>
          </w:p>
        </w:tc>
        <w:tc>
          <w:tcPr>
            <w:tcW w:w="440" w:type="dxa"/>
            <w:vAlign w:val="bottom"/>
            <w:shd w:val="clear" w:color="auto" w:fill="E4E4E4"/>
          </w:tcPr>
          <w:p>
            <w:pPr>
              <w:jc w:val="right"/>
              <w:ind w:right="240"/>
              <w:spacing w:after="0"/>
              <w:rPr>
                <w:sz w:val="20"/>
                <w:szCs w:val="20"/>
                <w:color w:val="auto"/>
              </w:rPr>
            </w:pPr>
            <w:r>
              <w:rPr>
                <w:rFonts w:ascii="Arial" w:cs="Arial" w:eastAsia="Arial" w:hAnsi="Arial"/>
                <w:sz w:val="20"/>
                <w:szCs w:val="20"/>
                <w:color w:val="1E1E1E"/>
                <w:w w:val="71"/>
              </w:rPr>
              <w:t>$</w:t>
            </w:r>
          </w:p>
        </w:tc>
        <w:tc>
          <w:tcPr>
            <w:tcW w:w="1700" w:type="dxa"/>
            <w:vAlign w:val="bottom"/>
            <w:gridSpan w:val="3"/>
            <w:shd w:val="clear" w:color="auto" w:fill="E4E4E4"/>
          </w:tcPr>
          <w:p>
            <w:pPr>
              <w:jc w:val="right"/>
              <w:ind w:right="340"/>
              <w:spacing w:after="0"/>
              <w:rPr>
                <w:sz w:val="20"/>
                <w:szCs w:val="20"/>
                <w:color w:val="auto"/>
              </w:rPr>
            </w:pPr>
            <w:r>
              <w:rPr>
                <w:rFonts w:ascii="Arial" w:cs="Arial" w:eastAsia="Arial" w:hAnsi="Arial"/>
                <w:sz w:val="20"/>
                <w:szCs w:val="20"/>
                <w:color w:val="1E1E1E"/>
              </w:rPr>
              <w:t>45,018</w:t>
            </w:r>
          </w:p>
        </w:tc>
        <w:tc>
          <w:tcPr>
            <w:tcW w:w="420" w:type="dxa"/>
            <w:vAlign w:val="bottom"/>
            <w:shd w:val="clear" w:color="auto" w:fill="E4E4E4"/>
          </w:tcPr>
          <w:p>
            <w:pPr>
              <w:jc w:val="right"/>
              <w:ind w:right="220"/>
              <w:spacing w:after="0"/>
              <w:rPr>
                <w:sz w:val="20"/>
                <w:szCs w:val="20"/>
                <w:color w:val="auto"/>
              </w:rPr>
            </w:pPr>
            <w:r>
              <w:rPr>
                <w:rFonts w:ascii="Arial" w:cs="Arial" w:eastAsia="Arial" w:hAnsi="Arial"/>
                <w:sz w:val="20"/>
                <w:szCs w:val="20"/>
                <w:color w:val="1E1E1E"/>
                <w:w w:val="71"/>
              </w:rPr>
              <w:t>$</w:t>
            </w:r>
          </w:p>
        </w:tc>
        <w:tc>
          <w:tcPr>
            <w:tcW w:w="1700" w:type="dxa"/>
            <w:vAlign w:val="bottom"/>
            <w:gridSpan w:val="3"/>
            <w:shd w:val="clear" w:color="auto" w:fill="E4E4E4"/>
          </w:tcPr>
          <w:p>
            <w:pPr>
              <w:jc w:val="right"/>
              <w:ind w:right="340"/>
              <w:spacing w:after="0"/>
              <w:rPr>
                <w:sz w:val="20"/>
                <w:szCs w:val="20"/>
                <w:color w:val="auto"/>
              </w:rPr>
            </w:pPr>
            <w:r>
              <w:rPr>
                <w:rFonts w:ascii="Arial" w:cs="Arial" w:eastAsia="Arial" w:hAnsi="Arial"/>
                <w:sz w:val="20"/>
                <w:szCs w:val="20"/>
                <w:color w:val="1E1E1E"/>
              </w:rPr>
              <w:t>44,297</w:t>
            </w:r>
          </w:p>
        </w:tc>
        <w:tc>
          <w:tcPr>
            <w:tcW w:w="260" w:type="dxa"/>
            <w:vAlign w:val="bottom"/>
            <w:shd w:val="clear" w:color="auto" w:fill="E4E4E4"/>
          </w:tcPr>
          <w:p>
            <w:pPr>
              <w:jc w:val="right"/>
              <w:ind w:right="60"/>
              <w:spacing w:after="0"/>
              <w:rPr>
                <w:sz w:val="20"/>
                <w:szCs w:val="20"/>
                <w:color w:val="auto"/>
              </w:rPr>
            </w:pPr>
            <w:r>
              <w:rPr>
                <w:rFonts w:ascii="Arial" w:cs="Arial" w:eastAsia="Arial" w:hAnsi="Arial"/>
                <w:sz w:val="20"/>
                <w:szCs w:val="20"/>
                <w:color w:val="1E1E1E"/>
                <w:w w:val="71"/>
              </w:rPr>
              <w:t>$</w:t>
            </w:r>
          </w:p>
        </w:tc>
        <w:tc>
          <w:tcPr>
            <w:tcW w:w="1640" w:type="dxa"/>
            <w:vAlign w:val="bottom"/>
            <w:gridSpan w:val="4"/>
            <w:shd w:val="clear" w:color="auto" w:fill="E4E4E4"/>
          </w:tcPr>
          <w:p>
            <w:pPr>
              <w:ind w:left="980"/>
              <w:spacing w:after="0"/>
              <w:rPr>
                <w:sz w:val="20"/>
                <w:szCs w:val="20"/>
                <w:color w:val="auto"/>
              </w:rPr>
            </w:pPr>
            <w:r>
              <w:rPr>
                <w:rFonts w:ascii="Arial" w:cs="Arial" w:eastAsia="Arial" w:hAnsi="Arial"/>
                <w:sz w:val="20"/>
                <w:szCs w:val="20"/>
                <w:color w:val="1E1E1E"/>
              </w:rPr>
              <w:t>43,921</w:t>
            </w:r>
          </w:p>
        </w:tc>
      </w:tr>
      <w:tr>
        <w:trPr>
          <w:trHeight w:val="229"/>
        </w:trPr>
        <w:tc>
          <w:tcPr>
            <w:tcW w:w="4640" w:type="dxa"/>
            <w:vAlign w:val="bottom"/>
          </w:tcPr>
          <w:p>
            <w:pPr>
              <w:spacing w:after="0"/>
              <w:rPr>
                <w:sz w:val="20"/>
                <w:szCs w:val="20"/>
                <w:color w:val="auto"/>
              </w:rPr>
            </w:pPr>
            <w:r>
              <w:rPr>
                <w:rFonts w:ascii="Arial" w:cs="Arial" w:eastAsia="Arial" w:hAnsi="Arial"/>
                <w:sz w:val="20"/>
                <w:szCs w:val="20"/>
                <w:color w:val="1E1E1E"/>
              </w:rPr>
              <w:t>Variable lease costs</w:t>
            </w:r>
            <w:r>
              <w:rPr>
                <w:rFonts w:ascii="Arial" w:cs="Arial" w:eastAsia="Arial" w:hAnsi="Arial"/>
                <w:sz w:val="12"/>
                <w:szCs w:val="12"/>
                <w:color w:val="1E1E1E"/>
              </w:rPr>
              <w:t>(1)</w:t>
            </w:r>
          </w:p>
        </w:tc>
        <w:tc>
          <w:tcPr>
            <w:tcW w:w="440" w:type="dxa"/>
            <w:vAlign w:val="bottom"/>
          </w:tcPr>
          <w:p>
            <w:pPr>
              <w:spacing w:after="0"/>
              <w:rPr>
                <w:sz w:val="19"/>
                <w:szCs w:val="19"/>
                <w:color w:val="auto"/>
              </w:rPr>
            </w:pPr>
          </w:p>
        </w:tc>
        <w:tc>
          <w:tcPr>
            <w:tcW w:w="1700" w:type="dxa"/>
            <w:vAlign w:val="bottom"/>
            <w:gridSpan w:val="3"/>
          </w:tcPr>
          <w:p>
            <w:pPr>
              <w:jc w:val="right"/>
              <w:ind w:right="340"/>
              <w:spacing w:after="0"/>
              <w:rPr>
                <w:sz w:val="20"/>
                <w:szCs w:val="20"/>
                <w:color w:val="auto"/>
              </w:rPr>
            </w:pPr>
            <w:r>
              <w:rPr>
                <w:rFonts w:ascii="Arial" w:cs="Arial" w:eastAsia="Arial" w:hAnsi="Arial"/>
                <w:sz w:val="20"/>
                <w:szCs w:val="20"/>
                <w:color w:val="1E1E1E"/>
              </w:rPr>
              <w:t>12,849</w:t>
            </w:r>
          </w:p>
        </w:tc>
        <w:tc>
          <w:tcPr>
            <w:tcW w:w="420" w:type="dxa"/>
            <w:vAlign w:val="bottom"/>
          </w:tcPr>
          <w:p>
            <w:pPr>
              <w:spacing w:after="0"/>
              <w:rPr>
                <w:sz w:val="19"/>
                <w:szCs w:val="19"/>
                <w:color w:val="auto"/>
              </w:rPr>
            </w:pPr>
          </w:p>
        </w:tc>
        <w:tc>
          <w:tcPr>
            <w:tcW w:w="1700" w:type="dxa"/>
            <w:vAlign w:val="bottom"/>
            <w:gridSpan w:val="3"/>
          </w:tcPr>
          <w:p>
            <w:pPr>
              <w:jc w:val="right"/>
              <w:ind w:right="340"/>
              <w:spacing w:after="0"/>
              <w:rPr>
                <w:sz w:val="20"/>
                <w:szCs w:val="20"/>
                <w:color w:val="auto"/>
              </w:rPr>
            </w:pPr>
            <w:r>
              <w:rPr>
                <w:rFonts w:ascii="Arial" w:cs="Arial" w:eastAsia="Arial" w:hAnsi="Arial"/>
                <w:sz w:val="20"/>
                <w:szCs w:val="20"/>
                <w:color w:val="1E1E1E"/>
              </w:rPr>
              <w:t>12,885</w:t>
            </w:r>
          </w:p>
        </w:tc>
        <w:tc>
          <w:tcPr>
            <w:tcW w:w="260" w:type="dxa"/>
            <w:vAlign w:val="bottom"/>
          </w:tcPr>
          <w:p>
            <w:pPr>
              <w:spacing w:after="0"/>
              <w:rPr>
                <w:sz w:val="19"/>
                <w:szCs w:val="19"/>
                <w:color w:val="auto"/>
              </w:rPr>
            </w:pPr>
          </w:p>
        </w:tc>
        <w:tc>
          <w:tcPr>
            <w:tcW w:w="1640" w:type="dxa"/>
            <w:vAlign w:val="bottom"/>
            <w:gridSpan w:val="4"/>
          </w:tcPr>
          <w:p>
            <w:pPr>
              <w:ind w:left="980"/>
              <w:spacing w:after="0"/>
              <w:rPr>
                <w:sz w:val="20"/>
                <w:szCs w:val="20"/>
                <w:color w:val="auto"/>
              </w:rPr>
            </w:pPr>
            <w:r>
              <w:rPr>
                <w:rFonts w:ascii="Arial" w:cs="Arial" w:eastAsia="Arial" w:hAnsi="Arial"/>
                <w:sz w:val="20"/>
                <w:szCs w:val="20"/>
                <w:color w:val="1E1E1E"/>
              </w:rPr>
              <w:t>13,290</w:t>
            </w:r>
          </w:p>
        </w:tc>
      </w:tr>
      <w:tr>
        <w:trPr>
          <w:trHeight w:val="224"/>
        </w:trPr>
        <w:tc>
          <w:tcPr>
            <w:tcW w:w="4640" w:type="dxa"/>
            <w:vAlign w:val="bottom"/>
            <w:tcBorders>
              <w:top w:val="single" w:sz="8" w:color="E4E4E4"/>
            </w:tcBorders>
            <w:shd w:val="clear" w:color="auto" w:fill="E4E4E4"/>
          </w:tcPr>
          <w:p>
            <w:pPr>
              <w:spacing w:after="0" w:line="224" w:lineRule="exact"/>
              <w:rPr>
                <w:sz w:val="20"/>
                <w:szCs w:val="20"/>
                <w:color w:val="auto"/>
              </w:rPr>
            </w:pPr>
            <w:r>
              <w:rPr>
                <w:rFonts w:ascii="Arial" w:cs="Arial" w:eastAsia="Arial" w:hAnsi="Arial"/>
                <w:sz w:val="20"/>
                <w:szCs w:val="20"/>
                <w:color w:val="1E1E1E"/>
              </w:rPr>
              <w:t>Total lease costs</w:t>
            </w:r>
          </w:p>
        </w:tc>
        <w:tc>
          <w:tcPr>
            <w:tcW w:w="440" w:type="dxa"/>
            <w:vAlign w:val="bottom"/>
            <w:tcBorders>
              <w:top w:val="single" w:sz="8" w:color="1E1E1E"/>
            </w:tcBorders>
            <w:shd w:val="clear" w:color="auto" w:fill="E4E4E4"/>
          </w:tcPr>
          <w:p>
            <w:pPr>
              <w:jc w:val="right"/>
              <w:ind w:right="240"/>
              <w:spacing w:after="0" w:line="224" w:lineRule="exact"/>
              <w:rPr>
                <w:sz w:val="20"/>
                <w:szCs w:val="20"/>
                <w:color w:val="auto"/>
              </w:rPr>
            </w:pPr>
            <w:r>
              <w:rPr>
                <w:rFonts w:ascii="Arial" w:cs="Arial" w:eastAsia="Arial" w:hAnsi="Arial"/>
                <w:sz w:val="20"/>
                <w:szCs w:val="20"/>
                <w:color w:val="1E1E1E"/>
                <w:w w:val="71"/>
              </w:rPr>
              <w:t>$</w:t>
            </w:r>
          </w:p>
        </w:tc>
        <w:tc>
          <w:tcPr>
            <w:tcW w:w="1360" w:type="dxa"/>
            <w:vAlign w:val="bottom"/>
            <w:tcBorders>
              <w:top w:val="single" w:sz="8" w:color="1E1E1E"/>
            </w:tcBorders>
            <w:gridSpan w:val="2"/>
            <w:shd w:val="clear" w:color="auto" w:fill="E4E4E4"/>
          </w:tcPr>
          <w:p>
            <w:pPr>
              <w:jc w:val="right"/>
              <w:spacing w:after="0" w:line="224" w:lineRule="exact"/>
              <w:rPr>
                <w:sz w:val="20"/>
                <w:szCs w:val="20"/>
                <w:color w:val="auto"/>
              </w:rPr>
            </w:pPr>
            <w:r>
              <w:rPr>
                <w:rFonts w:ascii="Arial" w:cs="Arial" w:eastAsia="Arial" w:hAnsi="Arial"/>
                <w:sz w:val="20"/>
                <w:szCs w:val="20"/>
                <w:color w:val="1E1E1E"/>
              </w:rPr>
              <w:t>57,867</w:t>
            </w:r>
          </w:p>
        </w:tc>
        <w:tc>
          <w:tcPr>
            <w:tcW w:w="340" w:type="dxa"/>
            <w:vAlign w:val="bottom"/>
            <w:tcBorders>
              <w:top w:val="single" w:sz="8" w:color="E4E4E4"/>
            </w:tcBorders>
            <w:shd w:val="clear" w:color="auto" w:fill="E4E4E4"/>
          </w:tcPr>
          <w:p>
            <w:pPr>
              <w:spacing w:after="0"/>
              <w:rPr>
                <w:sz w:val="19"/>
                <w:szCs w:val="19"/>
                <w:color w:val="auto"/>
              </w:rPr>
            </w:pPr>
          </w:p>
        </w:tc>
        <w:tc>
          <w:tcPr>
            <w:tcW w:w="420" w:type="dxa"/>
            <w:vAlign w:val="bottom"/>
            <w:tcBorders>
              <w:top w:val="single" w:sz="8" w:color="1E1E1E"/>
            </w:tcBorders>
            <w:shd w:val="clear" w:color="auto" w:fill="E4E4E4"/>
          </w:tcPr>
          <w:p>
            <w:pPr>
              <w:jc w:val="right"/>
              <w:ind w:right="220"/>
              <w:spacing w:after="0" w:line="224" w:lineRule="exact"/>
              <w:rPr>
                <w:sz w:val="20"/>
                <w:szCs w:val="20"/>
                <w:color w:val="auto"/>
              </w:rPr>
            </w:pPr>
            <w:r>
              <w:rPr>
                <w:rFonts w:ascii="Arial" w:cs="Arial" w:eastAsia="Arial" w:hAnsi="Arial"/>
                <w:sz w:val="20"/>
                <w:szCs w:val="20"/>
                <w:color w:val="1E1E1E"/>
                <w:w w:val="71"/>
              </w:rPr>
              <w:t>$</w:t>
            </w:r>
          </w:p>
        </w:tc>
        <w:tc>
          <w:tcPr>
            <w:tcW w:w="1360" w:type="dxa"/>
            <w:vAlign w:val="bottom"/>
            <w:tcBorders>
              <w:top w:val="single" w:sz="8" w:color="1E1E1E"/>
            </w:tcBorders>
            <w:gridSpan w:val="2"/>
            <w:shd w:val="clear" w:color="auto" w:fill="E4E4E4"/>
          </w:tcPr>
          <w:p>
            <w:pPr>
              <w:jc w:val="right"/>
              <w:spacing w:after="0" w:line="224" w:lineRule="exact"/>
              <w:rPr>
                <w:sz w:val="20"/>
                <w:szCs w:val="20"/>
                <w:color w:val="auto"/>
              </w:rPr>
            </w:pPr>
            <w:r>
              <w:rPr>
                <w:rFonts w:ascii="Arial" w:cs="Arial" w:eastAsia="Arial" w:hAnsi="Arial"/>
                <w:sz w:val="20"/>
                <w:szCs w:val="20"/>
                <w:color w:val="1E1E1E"/>
              </w:rPr>
              <w:t>57,182</w:t>
            </w:r>
          </w:p>
        </w:tc>
        <w:tc>
          <w:tcPr>
            <w:tcW w:w="340" w:type="dxa"/>
            <w:vAlign w:val="bottom"/>
            <w:tcBorders>
              <w:top w:val="single" w:sz="8" w:color="E4E4E4"/>
            </w:tcBorders>
            <w:shd w:val="clear" w:color="auto" w:fill="E4E4E4"/>
          </w:tcPr>
          <w:p>
            <w:pPr>
              <w:spacing w:after="0"/>
              <w:rPr>
                <w:sz w:val="19"/>
                <w:szCs w:val="19"/>
                <w:color w:val="auto"/>
              </w:rPr>
            </w:pPr>
          </w:p>
        </w:tc>
        <w:tc>
          <w:tcPr>
            <w:tcW w:w="260" w:type="dxa"/>
            <w:vAlign w:val="bottom"/>
            <w:tcBorders>
              <w:top w:val="single" w:sz="8" w:color="1E1E1E"/>
            </w:tcBorders>
            <w:shd w:val="clear" w:color="auto" w:fill="E4E4E4"/>
          </w:tcPr>
          <w:p>
            <w:pPr>
              <w:jc w:val="right"/>
              <w:ind w:right="60"/>
              <w:spacing w:after="0" w:line="224" w:lineRule="exact"/>
              <w:rPr>
                <w:sz w:val="20"/>
                <w:szCs w:val="20"/>
                <w:color w:val="auto"/>
              </w:rPr>
            </w:pPr>
            <w:r>
              <w:rPr>
                <w:rFonts w:ascii="Arial" w:cs="Arial" w:eastAsia="Arial" w:hAnsi="Arial"/>
                <w:sz w:val="20"/>
                <w:szCs w:val="20"/>
                <w:color w:val="1E1E1E"/>
                <w:w w:val="71"/>
              </w:rPr>
              <w:t>$</w:t>
            </w:r>
          </w:p>
        </w:tc>
        <w:tc>
          <w:tcPr>
            <w:tcW w:w="1540" w:type="dxa"/>
            <w:vAlign w:val="bottom"/>
            <w:tcBorders>
              <w:top w:val="single" w:sz="8" w:color="1E1E1E"/>
            </w:tcBorders>
            <w:gridSpan w:val="3"/>
            <w:shd w:val="clear" w:color="auto" w:fill="E4E4E4"/>
          </w:tcPr>
          <w:p>
            <w:pPr>
              <w:ind w:left="980"/>
              <w:spacing w:after="0" w:line="224" w:lineRule="exact"/>
              <w:rPr>
                <w:sz w:val="20"/>
                <w:szCs w:val="20"/>
                <w:color w:val="auto"/>
              </w:rPr>
            </w:pPr>
            <w:r>
              <w:rPr>
                <w:rFonts w:ascii="Arial" w:cs="Arial" w:eastAsia="Arial" w:hAnsi="Arial"/>
                <w:sz w:val="20"/>
                <w:szCs w:val="20"/>
                <w:color w:val="1E1E1E"/>
                <w:w w:val="88"/>
              </w:rPr>
              <w:t>57,211</w:t>
            </w:r>
          </w:p>
        </w:tc>
        <w:tc>
          <w:tcPr>
            <w:tcW w:w="100" w:type="dxa"/>
            <w:vAlign w:val="bottom"/>
            <w:tcBorders>
              <w:top w:val="single" w:sz="8" w:color="E4E4E4"/>
            </w:tcBorders>
            <w:shd w:val="clear" w:color="auto" w:fill="E4E4E4"/>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2933700</wp:posOffset>
            </wp:positionH>
            <wp:positionV relativeFrom="paragraph">
              <wp:posOffset>-15875</wp:posOffset>
            </wp:positionV>
            <wp:extent cx="3870960" cy="609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0960" cy="60960"/>
                    </a:xfrm>
                    <a:prstGeom prst="rect">
                      <a:avLst/>
                    </a:prstGeom>
                    <a:noFill/>
                  </pic:spPr>
                </pic:pic>
              </a:graphicData>
            </a:graphic>
          </wp:anchor>
        </w:drawing>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1E1E1E"/>
        </w:rPr>
        <w:t>(1) Variable lease costs include the cost of property taxes, insurance and common area maintenance fees related to its leases.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1E1E1E"/>
        </w:rPr>
        <w:t>Supplemental cash flow and balance sheet information related to leases for fiscal 2023, fiscal 2022 and fiscal 2021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180" w:type="dxa"/>
            <w:vAlign w:val="bottom"/>
          </w:tcPr>
          <w:p>
            <w:pPr>
              <w:spacing w:after="0"/>
              <w:rPr>
                <w:sz w:val="20"/>
                <w:szCs w:val="20"/>
                <w:color w:val="auto"/>
              </w:rPr>
            </w:pPr>
            <w:r>
              <w:rPr>
                <w:rFonts w:ascii="Arial" w:cs="Arial" w:eastAsia="Arial" w:hAnsi="Arial"/>
                <w:sz w:val="20"/>
                <w:szCs w:val="20"/>
                <w:color w:val="1E1E1E"/>
              </w:rPr>
              <w:t>(in thousands)</w:t>
            </w:r>
          </w:p>
        </w:tc>
        <w:tc>
          <w:tcPr>
            <w:tcW w:w="62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20"/>
                <w:szCs w:val="20"/>
                <w:color w:val="1E1E1E"/>
                <w:w w:val="87"/>
              </w:rPr>
              <w:t>Fiscal 2023</w:t>
            </w:r>
          </w:p>
        </w:tc>
        <w:tc>
          <w:tcPr>
            <w:tcW w:w="14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20"/>
                <w:szCs w:val="20"/>
                <w:color w:val="1E1E1E"/>
                <w:w w:val="89"/>
              </w:rPr>
              <w:t>Fiscal 2022</w:t>
            </w:r>
          </w:p>
        </w:tc>
        <w:tc>
          <w:tcPr>
            <w:tcW w:w="1260" w:type="dxa"/>
            <w:vAlign w:val="bottom"/>
            <w:gridSpan w:val="4"/>
          </w:tcPr>
          <w:p>
            <w:pPr>
              <w:jc w:val="right"/>
              <w:ind w:right="220"/>
              <w:spacing w:after="0"/>
              <w:rPr>
                <w:sz w:val="20"/>
                <w:szCs w:val="20"/>
                <w:color w:val="auto"/>
              </w:rPr>
            </w:pPr>
            <w:r>
              <w:rPr>
                <w:rFonts w:ascii="Arial" w:cs="Arial" w:eastAsia="Arial" w:hAnsi="Arial"/>
                <w:sz w:val="20"/>
                <w:szCs w:val="20"/>
                <w:color w:val="1E1E1E"/>
                <w:w w:val="99"/>
              </w:rPr>
              <w:t>Fiscal 2021</w:t>
            </w:r>
          </w:p>
        </w:tc>
      </w:tr>
      <w:tr>
        <w:trPr>
          <w:trHeight w:val="230"/>
        </w:trPr>
        <w:tc>
          <w:tcPr>
            <w:tcW w:w="6180" w:type="dxa"/>
            <w:vAlign w:val="bottom"/>
            <w:shd w:val="clear" w:color="auto" w:fill="E4E4E4"/>
          </w:tcPr>
          <w:p>
            <w:pPr>
              <w:spacing w:after="0"/>
              <w:rPr>
                <w:sz w:val="20"/>
                <w:szCs w:val="20"/>
                <w:color w:val="auto"/>
              </w:rPr>
            </w:pPr>
            <w:r>
              <w:rPr>
                <w:rFonts w:ascii="Arial" w:cs="Arial" w:eastAsia="Arial" w:hAnsi="Arial"/>
                <w:sz w:val="20"/>
                <w:szCs w:val="20"/>
                <w:color w:val="1E1E1E"/>
                <w:w w:val="98"/>
              </w:rPr>
              <w:t>Cash paid for amounts included in the measurement of lease liabilities:</w:t>
            </w:r>
          </w:p>
        </w:tc>
        <w:tc>
          <w:tcPr>
            <w:tcW w:w="620" w:type="dxa"/>
            <w:vAlign w:val="bottom"/>
            <w:shd w:val="clear" w:color="auto" w:fill="E4E4E4"/>
          </w:tcPr>
          <w:p>
            <w:pPr>
              <w:spacing w:after="0"/>
              <w:rPr>
                <w:sz w:val="20"/>
                <w:szCs w:val="20"/>
                <w:color w:val="auto"/>
              </w:rPr>
            </w:pPr>
          </w:p>
        </w:tc>
        <w:tc>
          <w:tcPr>
            <w:tcW w:w="940" w:type="dxa"/>
            <w:vAlign w:val="bottom"/>
            <w:tcBorders>
              <w:top w:val="single" w:sz="8" w:color="1E1E1E"/>
            </w:tcBorders>
            <w:shd w:val="clear" w:color="auto" w:fill="E4E4E4"/>
          </w:tcPr>
          <w:p>
            <w:pPr>
              <w:spacing w:after="0"/>
              <w:rPr>
                <w:sz w:val="20"/>
                <w:szCs w:val="20"/>
                <w:color w:val="auto"/>
              </w:rPr>
            </w:pPr>
          </w:p>
        </w:tc>
        <w:tc>
          <w:tcPr>
            <w:tcW w:w="38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940" w:type="dxa"/>
            <w:vAlign w:val="bottom"/>
            <w:tcBorders>
              <w:top w:val="single" w:sz="8" w:color="1E1E1E"/>
            </w:tcBorders>
            <w:shd w:val="clear" w:color="auto" w:fill="E4E4E4"/>
          </w:tcPr>
          <w:p>
            <w:pPr>
              <w:spacing w:after="0"/>
              <w:rPr>
                <w:sz w:val="20"/>
                <w:szCs w:val="20"/>
                <w:color w:val="auto"/>
              </w:rPr>
            </w:pPr>
          </w:p>
        </w:tc>
        <w:tc>
          <w:tcPr>
            <w:tcW w:w="34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200" w:type="dxa"/>
            <w:vAlign w:val="bottom"/>
            <w:tcBorders>
              <w:top w:val="single" w:sz="8" w:color="1E1E1E"/>
            </w:tcBorders>
            <w:shd w:val="clear" w:color="auto" w:fill="E4E4E4"/>
          </w:tcPr>
          <w:p>
            <w:pPr>
              <w:spacing w:after="0"/>
              <w:rPr>
                <w:sz w:val="20"/>
                <w:szCs w:val="20"/>
                <w:color w:val="auto"/>
              </w:rPr>
            </w:pPr>
          </w:p>
        </w:tc>
        <w:tc>
          <w:tcPr>
            <w:tcW w:w="720" w:type="dxa"/>
            <w:vAlign w:val="bottom"/>
            <w:tcBorders>
              <w:top w:val="single" w:sz="8" w:color="1E1E1E"/>
            </w:tcBorders>
            <w:shd w:val="clear" w:color="auto" w:fill="E4E4E4"/>
          </w:tcPr>
          <w:p>
            <w:pPr>
              <w:spacing w:after="0"/>
              <w:rPr>
                <w:sz w:val="20"/>
                <w:szCs w:val="20"/>
                <w:color w:val="auto"/>
              </w:rPr>
            </w:pPr>
          </w:p>
        </w:tc>
        <w:tc>
          <w:tcPr>
            <w:tcW w:w="220" w:type="dxa"/>
            <w:vAlign w:val="bottom"/>
            <w:shd w:val="clear" w:color="auto" w:fill="E4E4E4"/>
          </w:tcPr>
          <w:p>
            <w:pPr>
              <w:spacing w:after="0"/>
              <w:rPr>
                <w:sz w:val="20"/>
                <w:szCs w:val="20"/>
                <w:color w:val="auto"/>
              </w:rPr>
            </w:pPr>
          </w:p>
        </w:tc>
      </w:tr>
      <w:tr>
        <w:trPr>
          <w:trHeight w:val="228"/>
        </w:trPr>
        <w:tc>
          <w:tcPr>
            <w:tcW w:w="6180" w:type="dxa"/>
            <w:vAlign w:val="bottom"/>
          </w:tcPr>
          <w:p>
            <w:pPr>
              <w:ind w:left="100"/>
              <w:spacing w:after="0" w:line="228" w:lineRule="exact"/>
              <w:rPr>
                <w:sz w:val="20"/>
                <w:szCs w:val="20"/>
                <w:color w:val="auto"/>
              </w:rPr>
            </w:pPr>
            <w:r>
              <w:rPr>
                <w:rFonts w:ascii="Arial" w:cs="Arial" w:eastAsia="Arial" w:hAnsi="Arial"/>
                <w:sz w:val="20"/>
                <w:szCs w:val="20"/>
                <w:color w:val="1E1E1E"/>
              </w:rPr>
              <w:t>Operating cash flows for operating leases</w:t>
            </w:r>
          </w:p>
        </w:tc>
        <w:tc>
          <w:tcPr>
            <w:tcW w:w="620" w:type="dxa"/>
            <w:vAlign w:val="bottom"/>
          </w:tcPr>
          <w:p>
            <w:pPr>
              <w:jc w:val="right"/>
              <w:spacing w:after="0" w:line="228" w:lineRule="exact"/>
              <w:rPr>
                <w:sz w:val="20"/>
                <w:szCs w:val="20"/>
                <w:color w:val="auto"/>
              </w:rPr>
            </w:pPr>
            <w:r>
              <w:rPr>
                <w:rFonts w:ascii="Arial" w:cs="Arial" w:eastAsia="Arial" w:hAnsi="Arial"/>
                <w:sz w:val="20"/>
                <w:szCs w:val="20"/>
                <w:color w:val="1E1E1E"/>
              </w:rPr>
              <w:t>$</w:t>
            </w:r>
          </w:p>
        </w:tc>
        <w:tc>
          <w:tcPr>
            <w:tcW w:w="1320" w:type="dxa"/>
            <w:vAlign w:val="bottom"/>
            <w:gridSpan w:val="2"/>
          </w:tcPr>
          <w:p>
            <w:pPr>
              <w:jc w:val="right"/>
              <w:ind w:right="220"/>
              <w:spacing w:after="0" w:line="228" w:lineRule="exact"/>
              <w:rPr>
                <w:sz w:val="20"/>
                <w:szCs w:val="20"/>
                <w:color w:val="auto"/>
              </w:rPr>
            </w:pPr>
            <w:r>
              <w:rPr>
                <w:rFonts w:ascii="Arial" w:cs="Arial" w:eastAsia="Arial" w:hAnsi="Arial"/>
                <w:sz w:val="20"/>
                <w:szCs w:val="20"/>
                <w:color w:val="1E1E1E"/>
              </w:rPr>
              <w:t>51,411</w:t>
            </w:r>
          </w:p>
        </w:tc>
        <w:tc>
          <w:tcPr>
            <w:tcW w:w="140" w:type="dxa"/>
            <w:vAlign w:val="bottom"/>
          </w:tcPr>
          <w:p>
            <w:pPr>
              <w:jc w:val="right"/>
              <w:spacing w:after="0" w:line="228" w:lineRule="exact"/>
              <w:rPr>
                <w:sz w:val="20"/>
                <w:szCs w:val="20"/>
                <w:color w:val="auto"/>
              </w:rPr>
            </w:pPr>
            <w:r>
              <w:rPr>
                <w:rFonts w:ascii="Arial" w:cs="Arial" w:eastAsia="Arial" w:hAnsi="Arial"/>
                <w:sz w:val="20"/>
                <w:szCs w:val="20"/>
                <w:color w:val="1E1E1E"/>
              </w:rPr>
              <w:t>$</w:t>
            </w:r>
          </w:p>
        </w:tc>
        <w:tc>
          <w:tcPr>
            <w:tcW w:w="1280" w:type="dxa"/>
            <w:vAlign w:val="bottom"/>
            <w:gridSpan w:val="2"/>
          </w:tcPr>
          <w:p>
            <w:pPr>
              <w:jc w:val="right"/>
              <w:ind w:right="240"/>
              <w:spacing w:after="0" w:line="228" w:lineRule="exact"/>
              <w:rPr>
                <w:sz w:val="20"/>
                <w:szCs w:val="20"/>
                <w:color w:val="auto"/>
              </w:rPr>
            </w:pPr>
            <w:r>
              <w:rPr>
                <w:rFonts w:ascii="Arial" w:cs="Arial" w:eastAsia="Arial" w:hAnsi="Arial"/>
                <w:sz w:val="20"/>
                <w:szCs w:val="20"/>
                <w:color w:val="1E1E1E"/>
              </w:rPr>
              <w:t>55,068</w:t>
            </w:r>
          </w:p>
        </w:tc>
        <w:tc>
          <w:tcPr>
            <w:tcW w:w="3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1E1E1E"/>
              </w:rPr>
              <w:t>$</w:t>
            </w:r>
          </w:p>
        </w:tc>
        <w:tc>
          <w:tcPr>
            <w:tcW w:w="940" w:type="dxa"/>
            <w:vAlign w:val="bottom"/>
            <w:gridSpan w:val="2"/>
          </w:tcPr>
          <w:p>
            <w:pPr>
              <w:jc w:val="right"/>
              <w:ind w:right="180"/>
              <w:spacing w:after="0" w:line="228" w:lineRule="exact"/>
              <w:rPr>
                <w:sz w:val="20"/>
                <w:szCs w:val="20"/>
                <w:color w:val="auto"/>
              </w:rPr>
            </w:pPr>
            <w:r>
              <w:rPr>
                <w:rFonts w:ascii="Arial" w:cs="Arial" w:eastAsia="Arial" w:hAnsi="Arial"/>
                <w:sz w:val="20"/>
                <w:szCs w:val="20"/>
                <w:color w:val="1E1E1E"/>
              </w:rPr>
              <w:t>57,816</w:t>
            </w:r>
          </w:p>
        </w:tc>
      </w:tr>
      <w:tr>
        <w:trPr>
          <w:trHeight w:val="230"/>
        </w:trPr>
        <w:tc>
          <w:tcPr>
            <w:tcW w:w="6180" w:type="dxa"/>
            <w:vAlign w:val="bottom"/>
            <w:shd w:val="clear" w:color="auto" w:fill="E4E4E4"/>
          </w:tcPr>
          <w:p>
            <w:pPr>
              <w:spacing w:after="0"/>
              <w:rPr>
                <w:sz w:val="20"/>
                <w:szCs w:val="20"/>
                <w:color w:val="auto"/>
              </w:rPr>
            </w:pPr>
            <w:r>
              <w:rPr>
                <w:rFonts w:ascii="Arial" w:cs="Arial" w:eastAsia="Arial" w:hAnsi="Arial"/>
                <w:sz w:val="20"/>
                <w:szCs w:val="20"/>
                <w:color w:val="1E1E1E"/>
              </w:rPr>
              <w:t>Non-cash operating activities:</w:t>
            </w:r>
          </w:p>
        </w:tc>
        <w:tc>
          <w:tcPr>
            <w:tcW w:w="620" w:type="dxa"/>
            <w:vAlign w:val="bottom"/>
            <w:shd w:val="clear" w:color="auto" w:fill="E4E4E4"/>
          </w:tcPr>
          <w:p>
            <w:pPr>
              <w:spacing w:after="0"/>
              <w:rPr>
                <w:sz w:val="20"/>
                <w:szCs w:val="20"/>
                <w:color w:val="auto"/>
              </w:rPr>
            </w:pPr>
          </w:p>
        </w:tc>
        <w:tc>
          <w:tcPr>
            <w:tcW w:w="940" w:type="dxa"/>
            <w:vAlign w:val="bottom"/>
            <w:shd w:val="clear" w:color="auto" w:fill="E4E4E4"/>
          </w:tcPr>
          <w:p>
            <w:pPr>
              <w:spacing w:after="0"/>
              <w:rPr>
                <w:sz w:val="20"/>
                <w:szCs w:val="20"/>
                <w:color w:val="auto"/>
              </w:rPr>
            </w:pPr>
          </w:p>
        </w:tc>
        <w:tc>
          <w:tcPr>
            <w:tcW w:w="38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940" w:type="dxa"/>
            <w:vAlign w:val="bottom"/>
            <w:shd w:val="clear" w:color="auto" w:fill="E4E4E4"/>
          </w:tcPr>
          <w:p>
            <w:pPr>
              <w:spacing w:after="0"/>
              <w:rPr>
                <w:sz w:val="20"/>
                <w:szCs w:val="20"/>
                <w:color w:val="auto"/>
              </w:rPr>
            </w:pPr>
          </w:p>
        </w:tc>
        <w:tc>
          <w:tcPr>
            <w:tcW w:w="34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200" w:type="dxa"/>
            <w:vAlign w:val="bottom"/>
            <w:shd w:val="clear" w:color="auto" w:fill="E4E4E4"/>
          </w:tcPr>
          <w:p>
            <w:pPr>
              <w:spacing w:after="0"/>
              <w:rPr>
                <w:sz w:val="20"/>
                <w:szCs w:val="20"/>
                <w:color w:val="auto"/>
              </w:rPr>
            </w:pPr>
          </w:p>
        </w:tc>
        <w:tc>
          <w:tcPr>
            <w:tcW w:w="720" w:type="dxa"/>
            <w:vAlign w:val="bottom"/>
            <w:shd w:val="clear" w:color="auto" w:fill="E4E4E4"/>
          </w:tcPr>
          <w:p>
            <w:pPr>
              <w:spacing w:after="0"/>
              <w:rPr>
                <w:sz w:val="20"/>
                <w:szCs w:val="20"/>
                <w:color w:val="auto"/>
              </w:rPr>
            </w:pPr>
          </w:p>
        </w:tc>
        <w:tc>
          <w:tcPr>
            <w:tcW w:w="220" w:type="dxa"/>
            <w:vAlign w:val="bottom"/>
            <w:shd w:val="clear" w:color="auto" w:fill="E4E4E4"/>
          </w:tcPr>
          <w:p>
            <w:pPr>
              <w:spacing w:after="0"/>
              <w:rPr>
                <w:sz w:val="20"/>
                <w:szCs w:val="20"/>
                <w:color w:val="auto"/>
              </w:rPr>
            </w:pPr>
          </w:p>
        </w:tc>
      </w:tr>
      <w:tr>
        <w:trPr>
          <w:trHeight w:val="230"/>
        </w:trPr>
        <w:tc>
          <w:tcPr>
            <w:tcW w:w="6180" w:type="dxa"/>
            <w:vAlign w:val="bottom"/>
          </w:tcPr>
          <w:p>
            <w:pPr>
              <w:ind w:left="100"/>
              <w:spacing w:after="0"/>
              <w:rPr>
                <w:sz w:val="20"/>
                <w:szCs w:val="20"/>
                <w:color w:val="auto"/>
              </w:rPr>
            </w:pPr>
            <w:r>
              <w:rPr>
                <w:rFonts w:ascii="Arial" w:cs="Arial" w:eastAsia="Arial" w:hAnsi="Arial"/>
                <w:sz w:val="20"/>
                <w:szCs w:val="20"/>
                <w:color w:val="1E1E1E"/>
                <w:w w:val="97"/>
              </w:rPr>
              <w:t>Right-of-use assets obtained in exchange for operating lease liabilities</w:t>
            </w:r>
          </w:p>
        </w:tc>
        <w:tc>
          <w:tcPr>
            <w:tcW w:w="620" w:type="dxa"/>
            <w:vAlign w:val="bottom"/>
          </w:tcPr>
          <w:p>
            <w:pPr>
              <w:jc w:val="right"/>
              <w:spacing w:after="0"/>
              <w:rPr>
                <w:sz w:val="20"/>
                <w:szCs w:val="20"/>
                <w:color w:val="auto"/>
              </w:rPr>
            </w:pPr>
            <w:r>
              <w:rPr>
                <w:rFonts w:ascii="Arial" w:cs="Arial" w:eastAsia="Arial" w:hAnsi="Arial"/>
                <w:sz w:val="20"/>
                <w:szCs w:val="20"/>
                <w:color w:val="1E1E1E"/>
              </w:rPr>
              <w:t>$</w:t>
            </w:r>
          </w:p>
        </w:tc>
        <w:tc>
          <w:tcPr>
            <w:tcW w:w="1320" w:type="dxa"/>
            <w:vAlign w:val="bottom"/>
            <w:gridSpan w:val="2"/>
          </w:tcPr>
          <w:p>
            <w:pPr>
              <w:jc w:val="right"/>
              <w:ind w:right="220"/>
              <w:spacing w:after="0"/>
              <w:rPr>
                <w:sz w:val="20"/>
                <w:szCs w:val="20"/>
                <w:color w:val="auto"/>
              </w:rPr>
            </w:pPr>
            <w:r>
              <w:rPr>
                <w:rFonts w:ascii="Arial" w:cs="Arial" w:eastAsia="Arial" w:hAnsi="Arial"/>
                <w:sz w:val="20"/>
                <w:szCs w:val="20"/>
                <w:color w:val="1E1E1E"/>
              </w:rPr>
              <w:t>46,960</w:t>
            </w:r>
          </w:p>
        </w:tc>
        <w:tc>
          <w:tcPr>
            <w:tcW w:w="140" w:type="dxa"/>
            <w:vAlign w:val="bottom"/>
          </w:tcPr>
          <w:p>
            <w:pPr>
              <w:jc w:val="right"/>
              <w:spacing w:after="0"/>
              <w:rPr>
                <w:sz w:val="20"/>
                <w:szCs w:val="20"/>
                <w:color w:val="auto"/>
              </w:rPr>
            </w:pPr>
            <w:r>
              <w:rPr>
                <w:rFonts w:ascii="Arial" w:cs="Arial" w:eastAsia="Arial" w:hAnsi="Arial"/>
                <w:sz w:val="20"/>
                <w:szCs w:val="20"/>
                <w:color w:val="1E1E1E"/>
              </w:rPr>
              <w:t>$</w:t>
            </w:r>
          </w:p>
        </w:tc>
        <w:tc>
          <w:tcPr>
            <w:tcW w:w="1280" w:type="dxa"/>
            <w:vAlign w:val="bottom"/>
            <w:gridSpan w:val="2"/>
          </w:tcPr>
          <w:p>
            <w:pPr>
              <w:jc w:val="right"/>
              <w:ind w:right="240"/>
              <w:spacing w:after="0"/>
              <w:rPr>
                <w:sz w:val="20"/>
                <w:szCs w:val="20"/>
                <w:color w:val="auto"/>
              </w:rPr>
            </w:pPr>
            <w:r>
              <w:rPr>
                <w:rFonts w:ascii="Arial" w:cs="Arial" w:eastAsia="Arial" w:hAnsi="Arial"/>
                <w:sz w:val="20"/>
                <w:szCs w:val="20"/>
                <w:color w:val="1E1E1E"/>
              </w:rPr>
              <w:t>26,239</w:t>
            </w:r>
          </w:p>
        </w:tc>
        <w:tc>
          <w:tcPr>
            <w:tcW w:w="320" w:type="dxa"/>
            <w:vAlign w:val="bottom"/>
            <w:gridSpan w:val="2"/>
          </w:tcPr>
          <w:p>
            <w:pPr>
              <w:jc w:val="right"/>
              <w:ind w:right="140"/>
              <w:spacing w:after="0"/>
              <w:rPr>
                <w:sz w:val="20"/>
                <w:szCs w:val="20"/>
                <w:color w:val="auto"/>
              </w:rPr>
            </w:pPr>
            <w:r>
              <w:rPr>
                <w:rFonts w:ascii="Arial" w:cs="Arial" w:eastAsia="Arial" w:hAnsi="Arial"/>
                <w:sz w:val="20"/>
                <w:szCs w:val="20"/>
                <w:color w:val="1E1E1E"/>
              </w:rPr>
              <w:t>$</w:t>
            </w:r>
          </w:p>
        </w:tc>
        <w:tc>
          <w:tcPr>
            <w:tcW w:w="940" w:type="dxa"/>
            <w:vAlign w:val="bottom"/>
            <w:gridSpan w:val="2"/>
          </w:tcPr>
          <w:p>
            <w:pPr>
              <w:jc w:val="right"/>
              <w:ind w:right="180"/>
              <w:spacing w:after="0"/>
              <w:rPr>
                <w:sz w:val="20"/>
                <w:szCs w:val="20"/>
                <w:color w:val="auto"/>
              </w:rPr>
            </w:pPr>
            <w:r>
              <w:rPr>
                <w:rFonts w:ascii="Arial" w:cs="Arial" w:eastAsia="Arial" w:hAnsi="Arial"/>
                <w:sz w:val="20"/>
                <w:szCs w:val="20"/>
                <w:color w:val="1E1E1E"/>
              </w:rPr>
              <w:t>30,777</w:t>
            </w:r>
          </w:p>
        </w:tc>
      </w:tr>
      <w:tr>
        <w:trPr>
          <w:trHeight w:val="230"/>
        </w:trPr>
        <w:tc>
          <w:tcPr>
            <w:tcW w:w="6180" w:type="dxa"/>
            <w:vAlign w:val="bottom"/>
            <w:shd w:val="clear" w:color="auto" w:fill="E4E4E4"/>
          </w:tcPr>
          <w:p>
            <w:pPr>
              <w:spacing w:after="0"/>
              <w:rPr>
                <w:sz w:val="20"/>
                <w:szCs w:val="20"/>
                <w:color w:val="auto"/>
              </w:rPr>
            </w:pPr>
          </w:p>
        </w:tc>
        <w:tc>
          <w:tcPr>
            <w:tcW w:w="620" w:type="dxa"/>
            <w:vAlign w:val="bottom"/>
            <w:shd w:val="clear" w:color="auto" w:fill="E4E4E4"/>
          </w:tcPr>
          <w:p>
            <w:pPr>
              <w:spacing w:after="0"/>
              <w:rPr>
                <w:sz w:val="20"/>
                <w:szCs w:val="20"/>
                <w:color w:val="auto"/>
              </w:rPr>
            </w:pPr>
          </w:p>
        </w:tc>
        <w:tc>
          <w:tcPr>
            <w:tcW w:w="1320" w:type="dxa"/>
            <w:vAlign w:val="bottom"/>
            <w:gridSpan w:val="2"/>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1280" w:type="dxa"/>
            <w:vAlign w:val="bottom"/>
            <w:gridSpan w:val="2"/>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200" w:type="dxa"/>
            <w:vAlign w:val="bottom"/>
            <w:shd w:val="clear" w:color="auto" w:fill="E4E4E4"/>
          </w:tcPr>
          <w:p>
            <w:pPr>
              <w:spacing w:after="0"/>
              <w:rPr>
                <w:sz w:val="20"/>
                <w:szCs w:val="20"/>
                <w:color w:val="auto"/>
              </w:rPr>
            </w:pPr>
          </w:p>
        </w:tc>
        <w:tc>
          <w:tcPr>
            <w:tcW w:w="940" w:type="dxa"/>
            <w:vAlign w:val="bottom"/>
            <w:gridSpan w:val="2"/>
            <w:shd w:val="clear" w:color="auto" w:fill="E4E4E4"/>
          </w:tcPr>
          <w:p>
            <w:pPr>
              <w:spacing w:after="0"/>
              <w:rPr>
                <w:sz w:val="20"/>
                <w:szCs w:val="20"/>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20"/>
                <w:szCs w:val="20"/>
                <w:color w:val="1E1E1E"/>
              </w:rPr>
              <w:t>Weighted average remaining lease term</w:t>
            </w:r>
          </w:p>
        </w:tc>
        <w:tc>
          <w:tcPr>
            <w:tcW w:w="6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0"/>
                <w:szCs w:val="20"/>
                <w:color w:val="1E1E1E"/>
              </w:rPr>
              <w:t>4.9 yrs.</w:t>
            </w: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20"/>
                <w:szCs w:val="20"/>
                <w:color w:val="1E1E1E"/>
              </w:rPr>
              <w:t>4.3 yrs.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20"/>
                <w:szCs w:val="20"/>
                <w:color w:val="1E1E1E"/>
              </w:rPr>
              <w:t>4.3 yrs.</w:t>
            </w:r>
          </w:p>
        </w:tc>
      </w:tr>
      <w:tr>
        <w:trPr>
          <w:trHeight w:val="233"/>
        </w:trPr>
        <w:tc>
          <w:tcPr>
            <w:tcW w:w="6180" w:type="dxa"/>
            <w:vAlign w:val="bottom"/>
            <w:shd w:val="clear" w:color="auto" w:fill="E4E4E4"/>
          </w:tcPr>
          <w:p>
            <w:pPr>
              <w:spacing w:after="0"/>
              <w:rPr>
                <w:sz w:val="20"/>
                <w:szCs w:val="20"/>
                <w:color w:val="auto"/>
              </w:rPr>
            </w:pPr>
            <w:r>
              <w:rPr>
                <w:rFonts w:ascii="Arial" w:cs="Arial" w:eastAsia="Arial" w:hAnsi="Arial"/>
                <w:sz w:val="20"/>
                <w:szCs w:val="20"/>
                <w:color w:val="1E1E1E"/>
              </w:rPr>
              <w:t>Weighted average discount rate</w:t>
            </w:r>
          </w:p>
        </w:tc>
        <w:tc>
          <w:tcPr>
            <w:tcW w:w="620" w:type="dxa"/>
            <w:vAlign w:val="bottom"/>
            <w:shd w:val="clear" w:color="auto" w:fill="E4E4E4"/>
          </w:tcPr>
          <w:p>
            <w:pPr>
              <w:spacing w:after="0"/>
              <w:rPr>
                <w:sz w:val="20"/>
                <w:szCs w:val="20"/>
                <w:color w:val="auto"/>
              </w:rPr>
            </w:pPr>
          </w:p>
        </w:tc>
        <w:tc>
          <w:tcPr>
            <w:tcW w:w="1320" w:type="dxa"/>
            <w:vAlign w:val="bottom"/>
            <w:gridSpan w:val="2"/>
            <w:shd w:val="clear" w:color="auto" w:fill="E4E4E4"/>
          </w:tcPr>
          <w:p>
            <w:pPr>
              <w:jc w:val="right"/>
              <w:ind w:right="60"/>
              <w:spacing w:after="0"/>
              <w:rPr>
                <w:sz w:val="20"/>
                <w:szCs w:val="20"/>
                <w:color w:val="auto"/>
              </w:rPr>
            </w:pPr>
            <w:r>
              <w:rPr>
                <w:rFonts w:ascii="Arial" w:cs="Arial" w:eastAsia="Arial" w:hAnsi="Arial"/>
                <w:sz w:val="20"/>
                <w:szCs w:val="20"/>
                <w:color w:val="1E1E1E"/>
              </w:rPr>
              <w:t>6.52%</w:t>
            </w:r>
          </w:p>
        </w:tc>
        <w:tc>
          <w:tcPr>
            <w:tcW w:w="140" w:type="dxa"/>
            <w:vAlign w:val="bottom"/>
            <w:shd w:val="clear" w:color="auto" w:fill="E4E4E4"/>
          </w:tcPr>
          <w:p>
            <w:pPr>
              <w:spacing w:after="0"/>
              <w:rPr>
                <w:sz w:val="20"/>
                <w:szCs w:val="20"/>
                <w:color w:val="auto"/>
              </w:rPr>
            </w:pPr>
          </w:p>
        </w:tc>
        <w:tc>
          <w:tcPr>
            <w:tcW w:w="1280" w:type="dxa"/>
            <w:vAlign w:val="bottom"/>
            <w:gridSpan w:val="2"/>
            <w:shd w:val="clear" w:color="auto" w:fill="E4E4E4"/>
          </w:tcPr>
          <w:p>
            <w:pPr>
              <w:jc w:val="right"/>
              <w:ind w:right="80"/>
              <w:spacing w:after="0"/>
              <w:rPr>
                <w:sz w:val="20"/>
                <w:szCs w:val="20"/>
                <w:color w:val="auto"/>
              </w:rPr>
            </w:pPr>
            <w:r>
              <w:rPr>
                <w:rFonts w:ascii="Arial" w:cs="Arial" w:eastAsia="Arial" w:hAnsi="Arial"/>
                <w:sz w:val="20"/>
                <w:szCs w:val="20"/>
                <w:color w:val="1E1E1E"/>
              </w:rPr>
              <w:t>6.39%</w:t>
            </w:r>
          </w:p>
        </w:tc>
        <w:tc>
          <w:tcPr>
            <w:tcW w:w="120" w:type="dxa"/>
            <w:vAlign w:val="bottom"/>
            <w:shd w:val="clear" w:color="auto" w:fill="E4E4E4"/>
          </w:tcPr>
          <w:p>
            <w:pPr>
              <w:spacing w:after="0"/>
              <w:rPr>
                <w:sz w:val="20"/>
                <w:szCs w:val="20"/>
                <w:color w:val="auto"/>
              </w:rPr>
            </w:pPr>
          </w:p>
        </w:tc>
        <w:tc>
          <w:tcPr>
            <w:tcW w:w="200" w:type="dxa"/>
            <w:vAlign w:val="bottom"/>
            <w:shd w:val="clear" w:color="auto" w:fill="E4E4E4"/>
          </w:tcPr>
          <w:p>
            <w:pPr>
              <w:spacing w:after="0"/>
              <w:rPr>
                <w:sz w:val="20"/>
                <w:szCs w:val="20"/>
                <w:color w:val="auto"/>
              </w:rPr>
            </w:pPr>
          </w:p>
        </w:tc>
        <w:tc>
          <w:tcPr>
            <w:tcW w:w="940" w:type="dxa"/>
            <w:vAlign w:val="bottom"/>
            <w:gridSpan w:val="2"/>
            <w:shd w:val="clear" w:color="auto" w:fill="E4E4E4"/>
          </w:tcPr>
          <w:p>
            <w:pPr>
              <w:jc w:val="right"/>
              <w:ind w:right="20"/>
              <w:spacing w:after="0"/>
              <w:rPr>
                <w:sz w:val="20"/>
                <w:szCs w:val="20"/>
                <w:color w:val="auto"/>
              </w:rPr>
            </w:pPr>
            <w:r>
              <w:rPr>
                <w:rFonts w:ascii="Arial" w:cs="Arial" w:eastAsia="Arial" w:hAnsi="Arial"/>
                <w:sz w:val="20"/>
                <w:szCs w:val="20"/>
                <w:color w:val="1E1E1E"/>
              </w:rPr>
              <w:t>6.91%</w:t>
            </w:r>
          </w:p>
        </w:tc>
      </w:tr>
    </w:tbl>
    <w:p>
      <w:pPr>
        <w:spacing w:after="0" w:line="200" w:lineRule="exact"/>
        <w:rPr>
          <w:sz w:val="20"/>
          <w:szCs w:val="20"/>
          <w:color w:val="auto"/>
        </w:rPr>
      </w:pPr>
    </w:p>
    <w:p>
      <w:pPr>
        <w:sectPr>
          <w:pgSz w:w="11880" w:h="15480" w:orient="portrait"/>
          <w:cols w:equalWidth="0" w:num="1">
            <w:col w:w="10800"/>
          </w:cols>
          <w:pgMar w:left="540" w:top="656"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51</w:t>
      </w:r>
    </w:p>
    <w:p>
      <w:pPr>
        <w:sectPr>
          <w:pgSz w:w="11880" w:h="15480" w:orient="portrait"/>
          <w:cols w:equalWidth="0" w:num="1">
            <w:col w:w="10800"/>
          </w:cols>
          <w:pgMar w:left="540" w:top="656" w:right="540" w:bottom="31" w:gutter="0" w:footer="0" w:header="0"/>
          <w:type w:val="continuous"/>
        </w:sectPr>
      </w:pPr>
    </w:p>
    <w:bookmarkStart w:id="53" w:name="page54"/>
    <w:bookmarkEnd w:id="53"/>
    <w:p>
      <w:pPr>
        <w:ind w:right="200"/>
        <w:spacing w:after="0" w:line="309" w:lineRule="auto"/>
        <w:rPr>
          <w:sz w:val="20"/>
          <w:szCs w:val="20"/>
          <w:color w:val="auto"/>
        </w:rPr>
      </w:pPr>
      <w:r>
        <w:rPr>
          <w:rFonts w:ascii="Arial" w:cs="Arial" w:eastAsia="Arial" w:hAnsi="Arial"/>
          <w:sz w:val="20"/>
          <w:szCs w:val="20"/>
          <w:color w:val="1E1E1E"/>
        </w:rPr>
        <w:t>The table below reconciles the undiscounted cash flows for each of the next five years and thereafter to the operating lease liabilities recorded on the Consolidated Balance Sheet as of February 3, 2024: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620" w:type="dxa"/>
            <w:vAlign w:val="bottom"/>
            <w:shd w:val="clear" w:color="auto" w:fill="E4E4E4"/>
          </w:tcPr>
          <w:p>
            <w:pPr>
              <w:spacing w:after="0"/>
              <w:rPr>
                <w:sz w:val="20"/>
                <w:szCs w:val="20"/>
                <w:color w:val="auto"/>
              </w:rPr>
            </w:pPr>
            <w:r>
              <w:rPr>
                <w:rFonts w:ascii="Arial" w:cs="Arial" w:eastAsia="Arial" w:hAnsi="Arial"/>
                <w:sz w:val="20"/>
                <w:szCs w:val="20"/>
                <w:color w:val="1E1E1E"/>
              </w:rPr>
              <w:t>(in thousands)</w:t>
            </w:r>
          </w:p>
        </w:tc>
        <w:tc>
          <w:tcPr>
            <w:tcW w:w="880" w:type="dxa"/>
            <w:vAlign w:val="bottom"/>
            <w:shd w:val="clear" w:color="auto" w:fill="E4E4E4"/>
          </w:tcPr>
          <w:p>
            <w:pPr>
              <w:spacing w:after="0"/>
              <w:rPr>
                <w:sz w:val="21"/>
                <w:szCs w:val="21"/>
                <w:color w:val="auto"/>
              </w:rPr>
            </w:pPr>
          </w:p>
        </w:tc>
        <w:tc>
          <w:tcPr>
            <w:tcW w:w="1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r>
      <w:tr>
        <w:trPr>
          <w:trHeight w:val="230"/>
        </w:trPr>
        <w:tc>
          <w:tcPr>
            <w:tcW w:w="8620" w:type="dxa"/>
            <w:vAlign w:val="bottom"/>
          </w:tcPr>
          <w:p>
            <w:pPr>
              <w:spacing w:after="0"/>
              <w:rPr>
                <w:sz w:val="20"/>
                <w:szCs w:val="20"/>
                <w:color w:val="auto"/>
              </w:rPr>
            </w:pPr>
            <w:r>
              <w:rPr>
                <w:rFonts w:ascii="Arial" w:cs="Arial" w:eastAsia="Arial" w:hAnsi="Arial"/>
                <w:sz w:val="20"/>
                <w:szCs w:val="20"/>
                <w:color w:val="1E1E1E"/>
              </w:rPr>
              <w:t>2024</w:t>
            </w:r>
          </w:p>
        </w:tc>
        <w:tc>
          <w:tcPr>
            <w:tcW w:w="880" w:type="dxa"/>
            <w:vAlign w:val="bottom"/>
          </w:tcPr>
          <w:p>
            <w:pPr>
              <w:jc w:val="right"/>
              <w:ind w:right="440"/>
              <w:spacing w:after="0"/>
              <w:rPr>
                <w:sz w:val="20"/>
                <w:szCs w:val="20"/>
                <w:color w:val="auto"/>
              </w:rPr>
            </w:pPr>
            <w:r>
              <w:rPr>
                <w:rFonts w:ascii="Arial" w:cs="Arial" w:eastAsia="Arial" w:hAnsi="Arial"/>
                <w:sz w:val="20"/>
                <w:szCs w:val="20"/>
                <w:color w:val="1E1E1E"/>
              </w:rPr>
              <w:t>$</w:t>
            </w:r>
          </w:p>
        </w:tc>
        <w:tc>
          <w:tcPr>
            <w:tcW w:w="1300" w:type="dxa"/>
            <w:vAlign w:val="bottom"/>
            <w:gridSpan w:val="3"/>
          </w:tcPr>
          <w:p>
            <w:pPr>
              <w:ind w:left="640"/>
              <w:spacing w:after="0"/>
              <w:rPr>
                <w:sz w:val="20"/>
                <w:szCs w:val="20"/>
                <w:color w:val="auto"/>
              </w:rPr>
            </w:pPr>
            <w:r>
              <w:rPr>
                <w:rFonts w:ascii="Arial" w:cs="Arial" w:eastAsia="Arial" w:hAnsi="Arial"/>
                <w:sz w:val="20"/>
                <w:szCs w:val="20"/>
                <w:color w:val="1E1E1E"/>
              </w:rPr>
              <w:t>45,945</w:t>
            </w:r>
          </w:p>
        </w:tc>
      </w:tr>
      <w:tr>
        <w:trPr>
          <w:trHeight w:val="228"/>
        </w:trPr>
        <w:tc>
          <w:tcPr>
            <w:tcW w:w="8620" w:type="dxa"/>
            <w:vAlign w:val="bottom"/>
            <w:shd w:val="clear" w:color="auto" w:fill="E4E4E4"/>
          </w:tcPr>
          <w:p>
            <w:pPr>
              <w:spacing w:after="0" w:line="228" w:lineRule="exact"/>
              <w:rPr>
                <w:sz w:val="20"/>
                <w:szCs w:val="20"/>
                <w:color w:val="auto"/>
              </w:rPr>
            </w:pPr>
            <w:r>
              <w:rPr>
                <w:rFonts w:ascii="Arial" w:cs="Arial" w:eastAsia="Arial" w:hAnsi="Arial"/>
                <w:sz w:val="20"/>
                <w:szCs w:val="20"/>
                <w:color w:val="1E1E1E"/>
              </w:rPr>
              <w:t>2025</w:t>
            </w:r>
          </w:p>
        </w:tc>
        <w:tc>
          <w:tcPr>
            <w:tcW w:w="880" w:type="dxa"/>
            <w:vAlign w:val="bottom"/>
            <w:shd w:val="clear" w:color="auto" w:fill="E4E4E4"/>
          </w:tcPr>
          <w:p>
            <w:pPr>
              <w:spacing w:after="0"/>
              <w:rPr>
                <w:sz w:val="19"/>
                <w:szCs w:val="19"/>
                <w:color w:val="auto"/>
              </w:rPr>
            </w:pPr>
          </w:p>
        </w:tc>
        <w:tc>
          <w:tcPr>
            <w:tcW w:w="1300" w:type="dxa"/>
            <w:vAlign w:val="bottom"/>
            <w:gridSpan w:val="3"/>
            <w:shd w:val="clear" w:color="auto" w:fill="E4E4E4"/>
          </w:tcPr>
          <w:p>
            <w:pPr>
              <w:ind w:left="640"/>
              <w:spacing w:after="0" w:line="228" w:lineRule="exact"/>
              <w:rPr>
                <w:sz w:val="20"/>
                <w:szCs w:val="20"/>
                <w:color w:val="auto"/>
              </w:rPr>
            </w:pPr>
            <w:r>
              <w:rPr>
                <w:rFonts w:ascii="Arial" w:cs="Arial" w:eastAsia="Arial" w:hAnsi="Arial"/>
                <w:sz w:val="20"/>
                <w:szCs w:val="20"/>
                <w:color w:val="1E1E1E"/>
              </w:rPr>
              <w:t>42,651</w:t>
            </w:r>
          </w:p>
        </w:tc>
      </w:tr>
      <w:tr>
        <w:trPr>
          <w:trHeight w:val="230"/>
        </w:trPr>
        <w:tc>
          <w:tcPr>
            <w:tcW w:w="8620" w:type="dxa"/>
            <w:vAlign w:val="bottom"/>
          </w:tcPr>
          <w:p>
            <w:pPr>
              <w:spacing w:after="0"/>
              <w:rPr>
                <w:sz w:val="20"/>
                <w:szCs w:val="20"/>
                <w:color w:val="auto"/>
              </w:rPr>
            </w:pPr>
            <w:r>
              <w:rPr>
                <w:rFonts w:ascii="Arial" w:cs="Arial" w:eastAsia="Arial" w:hAnsi="Arial"/>
                <w:sz w:val="20"/>
                <w:szCs w:val="20"/>
                <w:color w:val="1E1E1E"/>
              </w:rPr>
              <w:t>2026</w:t>
            </w:r>
          </w:p>
        </w:tc>
        <w:tc>
          <w:tcPr>
            <w:tcW w:w="880" w:type="dxa"/>
            <w:vAlign w:val="bottom"/>
          </w:tcPr>
          <w:p>
            <w:pPr>
              <w:spacing w:after="0"/>
              <w:rPr>
                <w:sz w:val="20"/>
                <w:szCs w:val="20"/>
                <w:color w:val="auto"/>
              </w:rPr>
            </w:pPr>
          </w:p>
        </w:tc>
        <w:tc>
          <w:tcPr>
            <w:tcW w:w="1300" w:type="dxa"/>
            <w:vAlign w:val="bottom"/>
            <w:gridSpan w:val="3"/>
          </w:tcPr>
          <w:p>
            <w:pPr>
              <w:ind w:left="640"/>
              <w:spacing w:after="0"/>
              <w:rPr>
                <w:sz w:val="20"/>
                <w:szCs w:val="20"/>
                <w:color w:val="auto"/>
              </w:rPr>
            </w:pPr>
            <w:r>
              <w:rPr>
                <w:rFonts w:ascii="Arial" w:cs="Arial" w:eastAsia="Arial" w:hAnsi="Arial"/>
                <w:sz w:val="20"/>
                <w:szCs w:val="20"/>
                <w:color w:val="1E1E1E"/>
              </w:rPr>
              <w:t>30,181</w:t>
            </w:r>
          </w:p>
        </w:tc>
      </w:tr>
      <w:tr>
        <w:trPr>
          <w:trHeight w:val="230"/>
        </w:trPr>
        <w:tc>
          <w:tcPr>
            <w:tcW w:w="8620" w:type="dxa"/>
            <w:vAlign w:val="bottom"/>
            <w:shd w:val="clear" w:color="auto" w:fill="E4E4E4"/>
          </w:tcPr>
          <w:p>
            <w:pPr>
              <w:spacing w:after="0"/>
              <w:rPr>
                <w:sz w:val="20"/>
                <w:szCs w:val="20"/>
                <w:color w:val="auto"/>
              </w:rPr>
            </w:pPr>
            <w:r>
              <w:rPr>
                <w:rFonts w:ascii="Arial" w:cs="Arial" w:eastAsia="Arial" w:hAnsi="Arial"/>
                <w:sz w:val="20"/>
                <w:szCs w:val="20"/>
                <w:color w:val="1E1E1E"/>
              </w:rPr>
              <w:t>2027</w:t>
            </w:r>
          </w:p>
        </w:tc>
        <w:tc>
          <w:tcPr>
            <w:tcW w:w="880" w:type="dxa"/>
            <w:vAlign w:val="bottom"/>
            <w:shd w:val="clear" w:color="auto" w:fill="E4E4E4"/>
          </w:tcPr>
          <w:p>
            <w:pPr>
              <w:spacing w:after="0"/>
              <w:rPr>
                <w:sz w:val="20"/>
                <w:szCs w:val="20"/>
                <w:color w:val="auto"/>
              </w:rPr>
            </w:pPr>
          </w:p>
        </w:tc>
        <w:tc>
          <w:tcPr>
            <w:tcW w:w="1300" w:type="dxa"/>
            <w:vAlign w:val="bottom"/>
            <w:gridSpan w:val="3"/>
            <w:shd w:val="clear" w:color="auto" w:fill="E4E4E4"/>
          </w:tcPr>
          <w:p>
            <w:pPr>
              <w:ind w:left="640"/>
              <w:spacing w:after="0"/>
              <w:rPr>
                <w:sz w:val="20"/>
                <w:szCs w:val="20"/>
                <w:color w:val="auto"/>
              </w:rPr>
            </w:pPr>
            <w:r>
              <w:rPr>
                <w:rFonts w:ascii="Arial" w:cs="Arial" w:eastAsia="Arial" w:hAnsi="Arial"/>
                <w:sz w:val="20"/>
                <w:szCs w:val="20"/>
                <w:color w:val="1E1E1E"/>
              </w:rPr>
              <w:t>22,765</w:t>
            </w:r>
          </w:p>
        </w:tc>
      </w:tr>
      <w:tr>
        <w:trPr>
          <w:trHeight w:val="230"/>
        </w:trPr>
        <w:tc>
          <w:tcPr>
            <w:tcW w:w="8620" w:type="dxa"/>
            <w:vAlign w:val="bottom"/>
          </w:tcPr>
          <w:p>
            <w:pPr>
              <w:spacing w:after="0"/>
              <w:rPr>
                <w:sz w:val="20"/>
                <w:szCs w:val="20"/>
                <w:color w:val="auto"/>
              </w:rPr>
            </w:pPr>
            <w:r>
              <w:rPr>
                <w:rFonts w:ascii="Arial" w:cs="Arial" w:eastAsia="Arial" w:hAnsi="Arial"/>
                <w:sz w:val="20"/>
                <w:szCs w:val="20"/>
                <w:color w:val="1E1E1E"/>
              </w:rPr>
              <w:t>2028</w:t>
            </w:r>
          </w:p>
        </w:tc>
        <w:tc>
          <w:tcPr>
            <w:tcW w:w="880" w:type="dxa"/>
            <w:vAlign w:val="bottom"/>
          </w:tcPr>
          <w:p>
            <w:pPr>
              <w:spacing w:after="0"/>
              <w:rPr>
                <w:sz w:val="20"/>
                <w:szCs w:val="20"/>
                <w:color w:val="auto"/>
              </w:rPr>
            </w:pPr>
          </w:p>
        </w:tc>
        <w:tc>
          <w:tcPr>
            <w:tcW w:w="1300" w:type="dxa"/>
            <w:vAlign w:val="bottom"/>
            <w:gridSpan w:val="3"/>
          </w:tcPr>
          <w:p>
            <w:pPr>
              <w:ind w:left="640"/>
              <w:spacing w:after="0"/>
              <w:rPr>
                <w:sz w:val="20"/>
                <w:szCs w:val="20"/>
                <w:color w:val="auto"/>
              </w:rPr>
            </w:pPr>
            <w:r>
              <w:rPr>
                <w:rFonts w:ascii="Arial" w:cs="Arial" w:eastAsia="Arial" w:hAnsi="Arial"/>
                <w:sz w:val="20"/>
                <w:szCs w:val="20"/>
                <w:color w:val="1E1E1E"/>
              </w:rPr>
              <w:t>14,696</w:t>
            </w:r>
          </w:p>
        </w:tc>
      </w:tr>
      <w:tr>
        <w:trPr>
          <w:trHeight w:val="229"/>
        </w:trPr>
        <w:tc>
          <w:tcPr>
            <w:tcW w:w="8620" w:type="dxa"/>
            <w:vAlign w:val="bottom"/>
            <w:shd w:val="clear" w:color="auto" w:fill="E4E4E4"/>
          </w:tcPr>
          <w:p>
            <w:pPr>
              <w:spacing w:after="0"/>
              <w:rPr>
                <w:sz w:val="20"/>
                <w:szCs w:val="20"/>
                <w:color w:val="auto"/>
              </w:rPr>
            </w:pPr>
            <w:r>
              <w:rPr>
                <w:rFonts w:ascii="Arial" w:cs="Arial" w:eastAsia="Arial" w:hAnsi="Arial"/>
                <w:sz w:val="20"/>
                <w:szCs w:val="20"/>
                <w:color w:val="1E1E1E"/>
              </w:rPr>
              <w:t>Thereafter</w:t>
            </w:r>
          </w:p>
        </w:tc>
        <w:tc>
          <w:tcPr>
            <w:tcW w:w="880" w:type="dxa"/>
            <w:vAlign w:val="bottom"/>
            <w:shd w:val="clear" w:color="auto" w:fill="E4E4E4"/>
          </w:tcPr>
          <w:p>
            <w:pPr>
              <w:spacing w:after="0"/>
              <w:rPr>
                <w:sz w:val="19"/>
                <w:szCs w:val="19"/>
                <w:color w:val="auto"/>
              </w:rPr>
            </w:pPr>
          </w:p>
        </w:tc>
        <w:tc>
          <w:tcPr>
            <w:tcW w:w="1300" w:type="dxa"/>
            <w:vAlign w:val="bottom"/>
            <w:gridSpan w:val="3"/>
            <w:shd w:val="clear" w:color="auto" w:fill="E4E4E4"/>
          </w:tcPr>
          <w:p>
            <w:pPr>
              <w:ind w:left="640"/>
              <w:spacing w:after="0"/>
              <w:rPr>
                <w:sz w:val="20"/>
                <w:szCs w:val="20"/>
                <w:color w:val="auto"/>
              </w:rPr>
            </w:pPr>
            <w:r>
              <w:rPr>
                <w:rFonts w:ascii="Arial" w:cs="Arial" w:eastAsia="Arial" w:hAnsi="Arial"/>
                <w:sz w:val="20"/>
                <w:szCs w:val="20"/>
                <w:color w:val="1E1E1E"/>
              </w:rPr>
              <w:t>25,049</w:t>
            </w:r>
          </w:p>
        </w:tc>
      </w:tr>
      <w:tr>
        <w:trPr>
          <w:trHeight w:val="221"/>
        </w:trPr>
        <w:tc>
          <w:tcPr>
            <w:tcW w:w="8620" w:type="dxa"/>
            <w:vAlign w:val="bottom"/>
            <w:tcBorders>
              <w:top w:val="single" w:sz="8" w:color="1E1E1E"/>
            </w:tcBorders>
          </w:tcPr>
          <w:p>
            <w:pPr>
              <w:spacing w:after="0" w:line="221" w:lineRule="exact"/>
              <w:rPr>
                <w:sz w:val="20"/>
                <w:szCs w:val="20"/>
                <w:color w:val="auto"/>
              </w:rPr>
            </w:pPr>
            <w:r>
              <w:rPr>
                <w:rFonts w:ascii="Arial" w:cs="Arial" w:eastAsia="Arial" w:hAnsi="Arial"/>
                <w:sz w:val="20"/>
                <w:szCs w:val="20"/>
                <w:color w:val="1E1E1E"/>
              </w:rPr>
              <w:t>Total minimum lease payments</w:t>
            </w:r>
          </w:p>
        </w:tc>
        <w:tc>
          <w:tcPr>
            <w:tcW w:w="880" w:type="dxa"/>
            <w:vAlign w:val="bottom"/>
            <w:tcBorders>
              <w:top w:val="single" w:sz="8" w:color="1E1E1E"/>
            </w:tcBorders>
          </w:tcPr>
          <w:p>
            <w:pPr>
              <w:jc w:val="right"/>
              <w:ind w:right="440"/>
              <w:spacing w:after="0" w:line="221" w:lineRule="exact"/>
              <w:rPr>
                <w:sz w:val="20"/>
                <w:szCs w:val="20"/>
                <w:color w:val="auto"/>
              </w:rPr>
            </w:pPr>
            <w:r>
              <w:rPr>
                <w:rFonts w:ascii="Arial" w:cs="Arial" w:eastAsia="Arial" w:hAnsi="Arial"/>
                <w:sz w:val="20"/>
                <w:szCs w:val="20"/>
                <w:color w:val="1E1E1E"/>
              </w:rPr>
              <w:t>$</w:t>
            </w:r>
          </w:p>
        </w:tc>
        <w:tc>
          <w:tcPr>
            <w:tcW w:w="1180" w:type="dxa"/>
            <w:vAlign w:val="bottom"/>
            <w:tcBorders>
              <w:top w:val="single" w:sz="8" w:color="1E1E1E"/>
            </w:tcBorders>
          </w:tcPr>
          <w:p>
            <w:pPr>
              <w:ind w:left="540"/>
              <w:spacing w:after="0" w:line="221" w:lineRule="exact"/>
              <w:rPr>
                <w:sz w:val="20"/>
                <w:szCs w:val="20"/>
                <w:color w:val="auto"/>
              </w:rPr>
            </w:pPr>
            <w:r>
              <w:rPr>
                <w:rFonts w:ascii="Arial" w:cs="Arial" w:eastAsia="Arial" w:hAnsi="Arial"/>
                <w:sz w:val="20"/>
                <w:szCs w:val="20"/>
                <w:color w:val="1E1E1E"/>
                <w:w w:val="85"/>
              </w:rPr>
              <w:t>181,287</w:t>
            </w:r>
          </w:p>
        </w:tc>
        <w:tc>
          <w:tcPr>
            <w:tcW w:w="20" w:type="dxa"/>
            <w:vAlign w:val="bottom"/>
            <w:tcBorders>
              <w:top w:val="single" w:sz="8" w:color="1E1E1E"/>
            </w:tcBorders>
          </w:tcPr>
          <w:p>
            <w:pPr>
              <w:spacing w:after="0"/>
              <w:rPr>
                <w:sz w:val="19"/>
                <w:szCs w:val="19"/>
                <w:color w:val="auto"/>
              </w:rPr>
            </w:pPr>
          </w:p>
        </w:tc>
        <w:tc>
          <w:tcPr>
            <w:tcW w:w="100" w:type="dxa"/>
            <w:vAlign w:val="bottom"/>
            <w:tcBorders>
              <w:top w:val="single" w:sz="8" w:color="E4E4E4"/>
            </w:tcBorders>
          </w:tcPr>
          <w:p>
            <w:pPr>
              <w:spacing w:after="0"/>
              <w:rPr>
                <w:sz w:val="19"/>
                <w:szCs w:val="19"/>
                <w:color w:val="auto"/>
              </w:rPr>
            </w:pPr>
          </w:p>
        </w:tc>
      </w:tr>
      <w:tr>
        <w:trPr>
          <w:trHeight w:val="229"/>
        </w:trPr>
        <w:tc>
          <w:tcPr>
            <w:tcW w:w="8620" w:type="dxa"/>
            <w:vAlign w:val="bottom"/>
            <w:tcBorders>
              <w:bottom w:val="single" w:sz="8" w:color="1E1E1E"/>
            </w:tcBorders>
            <w:shd w:val="clear" w:color="auto" w:fill="E4E4E4"/>
          </w:tcPr>
          <w:p>
            <w:pPr>
              <w:spacing w:after="0"/>
              <w:rPr>
                <w:sz w:val="20"/>
                <w:szCs w:val="20"/>
                <w:color w:val="auto"/>
              </w:rPr>
            </w:pPr>
            <w:r>
              <w:rPr>
                <w:rFonts w:ascii="Arial" w:cs="Arial" w:eastAsia="Arial" w:hAnsi="Arial"/>
                <w:sz w:val="20"/>
                <w:szCs w:val="20"/>
                <w:color w:val="1E1E1E"/>
              </w:rPr>
              <w:t>Less: amount of lease payments representing interest</w:t>
            </w:r>
          </w:p>
        </w:tc>
        <w:tc>
          <w:tcPr>
            <w:tcW w:w="880" w:type="dxa"/>
            <w:vAlign w:val="bottom"/>
            <w:tcBorders>
              <w:bottom w:val="single" w:sz="8" w:color="1E1E1E"/>
            </w:tcBorders>
            <w:shd w:val="clear" w:color="auto" w:fill="E4E4E4"/>
          </w:tcPr>
          <w:p>
            <w:pPr>
              <w:spacing w:after="0"/>
              <w:rPr>
                <w:sz w:val="19"/>
                <w:szCs w:val="19"/>
                <w:color w:val="auto"/>
              </w:rPr>
            </w:pPr>
          </w:p>
        </w:tc>
        <w:tc>
          <w:tcPr>
            <w:tcW w:w="1180" w:type="dxa"/>
            <w:vAlign w:val="bottom"/>
            <w:tcBorders>
              <w:bottom w:val="single" w:sz="8" w:color="1E1E1E"/>
            </w:tcBorders>
            <w:shd w:val="clear" w:color="auto" w:fill="E4E4E4"/>
          </w:tcPr>
          <w:p>
            <w:pPr>
              <w:ind w:left="640"/>
              <w:spacing w:after="0"/>
              <w:rPr>
                <w:sz w:val="20"/>
                <w:szCs w:val="20"/>
                <w:color w:val="auto"/>
              </w:rPr>
            </w:pPr>
            <w:r>
              <w:rPr>
                <w:rFonts w:ascii="Arial" w:cs="Arial" w:eastAsia="Arial" w:hAnsi="Arial"/>
                <w:sz w:val="20"/>
                <w:szCs w:val="20"/>
                <w:color w:val="1E1E1E"/>
                <w:w w:val="84"/>
              </w:rPr>
              <w:t>26,750</w:t>
            </w:r>
          </w:p>
        </w:tc>
        <w:tc>
          <w:tcPr>
            <w:tcW w:w="20" w:type="dxa"/>
            <w:vAlign w:val="bottom"/>
            <w:tcBorders>
              <w:bottom w:val="single" w:sz="8" w:color="1E1E1E"/>
            </w:tcBorders>
            <w:shd w:val="clear" w:color="auto" w:fill="E4E4E4"/>
          </w:tcPr>
          <w:p>
            <w:pPr>
              <w:spacing w:after="0"/>
              <w:rPr>
                <w:sz w:val="19"/>
                <w:szCs w:val="19"/>
                <w:color w:val="auto"/>
              </w:rPr>
            </w:pPr>
          </w:p>
        </w:tc>
        <w:tc>
          <w:tcPr>
            <w:tcW w:w="100" w:type="dxa"/>
            <w:vAlign w:val="bottom"/>
            <w:tcBorders>
              <w:bottom w:val="single" w:sz="8" w:color="E4E4E4"/>
            </w:tcBorders>
            <w:shd w:val="clear" w:color="auto" w:fill="E4E4E4"/>
          </w:tcPr>
          <w:p>
            <w:pPr>
              <w:spacing w:after="0"/>
              <w:rPr>
                <w:sz w:val="19"/>
                <w:szCs w:val="19"/>
                <w:color w:val="auto"/>
              </w:rPr>
            </w:pPr>
          </w:p>
        </w:tc>
      </w:tr>
      <w:tr>
        <w:trPr>
          <w:trHeight w:val="221"/>
        </w:trPr>
        <w:tc>
          <w:tcPr>
            <w:tcW w:w="8620" w:type="dxa"/>
            <w:vAlign w:val="bottom"/>
          </w:tcPr>
          <w:p>
            <w:pPr>
              <w:spacing w:after="0" w:line="221" w:lineRule="exact"/>
              <w:rPr>
                <w:sz w:val="20"/>
                <w:szCs w:val="20"/>
                <w:color w:val="auto"/>
              </w:rPr>
            </w:pPr>
            <w:r>
              <w:rPr>
                <w:rFonts w:ascii="Arial" w:cs="Arial" w:eastAsia="Arial" w:hAnsi="Arial"/>
                <w:sz w:val="20"/>
                <w:szCs w:val="20"/>
                <w:color w:val="1E1E1E"/>
              </w:rPr>
              <w:t>Present value of future minimum lease payments</w:t>
            </w:r>
          </w:p>
        </w:tc>
        <w:tc>
          <w:tcPr>
            <w:tcW w:w="880" w:type="dxa"/>
            <w:vAlign w:val="bottom"/>
          </w:tcPr>
          <w:p>
            <w:pPr>
              <w:jc w:val="right"/>
              <w:ind w:right="440"/>
              <w:spacing w:after="0" w:line="221" w:lineRule="exact"/>
              <w:rPr>
                <w:sz w:val="20"/>
                <w:szCs w:val="20"/>
                <w:color w:val="auto"/>
              </w:rPr>
            </w:pPr>
            <w:r>
              <w:rPr>
                <w:rFonts w:ascii="Arial" w:cs="Arial" w:eastAsia="Arial" w:hAnsi="Arial"/>
                <w:sz w:val="20"/>
                <w:szCs w:val="20"/>
                <w:color w:val="1E1E1E"/>
              </w:rPr>
              <w:t>$</w:t>
            </w:r>
          </w:p>
        </w:tc>
        <w:tc>
          <w:tcPr>
            <w:tcW w:w="1180" w:type="dxa"/>
            <w:vAlign w:val="bottom"/>
          </w:tcPr>
          <w:p>
            <w:pPr>
              <w:ind w:left="540"/>
              <w:spacing w:after="0" w:line="221" w:lineRule="exact"/>
              <w:rPr>
                <w:sz w:val="20"/>
                <w:szCs w:val="20"/>
                <w:color w:val="auto"/>
              </w:rPr>
            </w:pPr>
            <w:r>
              <w:rPr>
                <w:rFonts w:ascii="Arial" w:cs="Arial" w:eastAsia="Arial" w:hAnsi="Arial"/>
                <w:sz w:val="20"/>
                <w:szCs w:val="20"/>
                <w:color w:val="1E1E1E"/>
                <w:w w:val="85"/>
              </w:rPr>
              <w:t>154,537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20" w:type="dxa"/>
            <w:vAlign w:val="bottom"/>
            <w:tcBorders>
              <w:bottom w:val="single" w:sz="8" w:color="1E1E1E"/>
            </w:tcBorders>
            <w:shd w:val="clear" w:color="auto" w:fill="E4E4E4"/>
          </w:tcPr>
          <w:p>
            <w:pPr>
              <w:spacing w:after="0" w:line="228" w:lineRule="exact"/>
              <w:rPr>
                <w:sz w:val="20"/>
                <w:szCs w:val="20"/>
                <w:color w:val="auto"/>
              </w:rPr>
            </w:pPr>
            <w:r>
              <w:rPr>
                <w:rFonts w:ascii="Arial" w:cs="Arial" w:eastAsia="Arial" w:hAnsi="Arial"/>
                <w:sz w:val="20"/>
                <w:szCs w:val="20"/>
                <w:color w:val="1E1E1E"/>
              </w:rPr>
              <w:t>Less: current obligations under leases</w:t>
            </w:r>
          </w:p>
        </w:tc>
        <w:tc>
          <w:tcPr>
            <w:tcW w:w="880" w:type="dxa"/>
            <w:vAlign w:val="bottom"/>
            <w:tcBorders>
              <w:bottom w:val="single" w:sz="8" w:color="1E1E1E"/>
            </w:tcBorders>
            <w:shd w:val="clear" w:color="auto" w:fill="E4E4E4"/>
          </w:tcPr>
          <w:p>
            <w:pPr>
              <w:spacing w:after="0"/>
              <w:rPr>
                <w:sz w:val="19"/>
                <w:szCs w:val="19"/>
                <w:color w:val="auto"/>
              </w:rPr>
            </w:pPr>
          </w:p>
        </w:tc>
        <w:tc>
          <w:tcPr>
            <w:tcW w:w="1180" w:type="dxa"/>
            <w:vAlign w:val="bottom"/>
            <w:tcBorders>
              <w:bottom w:val="single" w:sz="8" w:color="1E1E1E"/>
            </w:tcBorders>
            <w:shd w:val="clear" w:color="auto" w:fill="E4E4E4"/>
          </w:tcPr>
          <w:p>
            <w:pPr>
              <w:ind w:left="640"/>
              <w:spacing w:after="0" w:line="228" w:lineRule="exact"/>
              <w:rPr>
                <w:sz w:val="20"/>
                <w:szCs w:val="20"/>
                <w:color w:val="auto"/>
              </w:rPr>
            </w:pPr>
            <w:r>
              <w:rPr>
                <w:rFonts w:ascii="Arial" w:cs="Arial" w:eastAsia="Arial" w:hAnsi="Arial"/>
                <w:sz w:val="20"/>
                <w:szCs w:val="20"/>
                <w:color w:val="1E1E1E"/>
                <w:w w:val="84"/>
              </w:rPr>
              <w:t>37,221</w:t>
            </w:r>
          </w:p>
        </w:tc>
        <w:tc>
          <w:tcPr>
            <w:tcW w:w="20" w:type="dxa"/>
            <w:vAlign w:val="bottom"/>
            <w:tcBorders>
              <w:bottom w:val="single" w:sz="8" w:color="1E1E1E"/>
            </w:tcBorders>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22"/>
        </w:trPr>
        <w:tc>
          <w:tcPr>
            <w:tcW w:w="8620" w:type="dxa"/>
            <w:vAlign w:val="bottom"/>
          </w:tcPr>
          <w:p>
            <w:pPr>
              <w:spacing w:after="0" w:line="222" w:lineRule="exact"/>
              <w:rPr>
                <w:sz w:val="20"/>
                <w:szCs w:val="20"/>
                <w:color w:val="auto"/>
              </w:rPr>
            </w:pPr>
            <w:r>
              <w:rPr>
                <w:rFonts w:ascii="Arial" w:cs="Arial" w:eastAsia="Arial" w:hAnsi="Arial"/>
                <w:sz w:val="20"/>
                <w:szCs w:val="20"/>
                <w:color w:val="1E1E1E"/>
              </w:rPr>
              <w:t>Noncurrent lease obligations</w:t>
            </w:r>
          </w:p>
        </w:tc>
        <w:tc>
          <w:tcPr>
            <w:tcW w:w="880" w:type="dxa"/>
            <w:vAlign w:val="bottom"/>
          </w:tcPr>
          <w:p>
            <w:pPr>
              <w:jc w:val="right"/>
              <w:ind w:right="440"/>
              <w:spacing w:after="0" w:line="222" w:lineRule="exact"/>
              <w:rPr>
                <w:sz w:val="20"/>
                <w:szCs w:val="20"/>
                <w:color w:val="auto"/>
              </w:rPr>
            </w:pPr>
            <w:r>
              <w:rPr>
                <w:rFonts w:ascii="Arial" w:cs="Arial" w:eastAsia="Arial" w:hAnsi="Arial"/>
                <w:sz w:val="20"/>
                <w:szCs w:val="20"/>
                <w:color w:val="1E1E1E"/>
              </w:rPr>
              <w:t>$</w:t>
            </w:r>
          </w:p>
        </w:tc>
        <w:tc>
          <w:tcPr>
            <w:tcW w:w="1180" w:type="dxa"/>
            <w:vAlign w:val="bottom"/>
          </w:tcPr>
          <w:p>
            <w:pPr>
              <w:ind w:left="540"/>
              <w:spacing w:after="0" w:line="222" w:lineRule="exact"/>
              <w:rPr>
                <w:sz w:val="20"/>
                <w:szCs w:val="20"/>
                <w:color w:val="auto"/>
              </w:rPr>
            </w:pPr>
            <w:r>
              <w:rPr>
                <w:rFonts w:ascii="Arial" w:cs="Arial" w:eastAsia="Arial" w:hAnsi="Arial"/>
                <w:sz w:val="20"/>
                <w:szCs w:val="20"/>
                <w:color w:val="1E1E1E"/>
                <w:w w:val="85"/>
              </w:rPr>
              <w:t>117,316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39"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color w:val="1E1E1E"/>
        </w:rPr>
        <w:t>As of February 3, 2024, the Company had entered into a ten -year store lease that has not yet commenced with aggregated estimated future lease payments of approximately $1.2 million, which are not included in the above table. The lease is expected to commence in the first quarter of fiscal 2024.</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1E1E1E"/>
        </w:rPr>
        <w:t>F. INCOME TAXES</w:t>
      </w:r>
    </w:p>
    <w:p>
      <w:pPr>
        <w:spacing w:after="0" w:line="11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1E1E1E"/>
        </w:rPr>
        <w:t>The Company accounts for income taxes in accordance with ASC Topic 740, Income Taxes. Under ASC Topic 740, deferred tax assets and liabilities are recognized based on temporary differences between the financial statement and tax basis of assets and liabilities using enacted tax rates in effect in the years in which the differences are expected to reverse. The accounting standards require current recognition of net deferred tax assets to the extent it is more likely than not such net assets will be realized. To the extent that the Company believes its net deferred tax assets will not be realized, a valuation allowance must be recorded against those assets.</w:t>
      </w:r>
    </w:p>
    <w:p>
      <w:pPr>
        <w:spacing w:after="0" w:line="57"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1E1E1E"/>
        </w:rPr>
        <w:t>Until the second quarter of fiscal 2022, the Company had maintained a full valuation allowance against its deferred tax assets since fiscal 2013. During the second quarter of fiscal 2022, the Company determined that it was more likely than not that it would be able to realize the benefit of substantially all of its deferred tax assets in the United States. In reaching this determination, the Company considered the cumulative three years of profitability, its six consecutive quarters of sales growth and profitability at the time of the assessment, its expectations regarding the generation of future taxable income and the ability to utilize the Company’s net operating loss (“NOLs”) carryforwards as well as the overall improvement in the Company's business, brand repositioning and current market position. As a result, for fiscal 2022, the valuation allowance against the Company's deferred tax assets decreased by $47.6 million, of which $31.6 million was recorded as a non-recurring tax benefit in fiscal 2022 related to the release of the valuation allowance on deferred tax assets expected to be realized in future periods. As a result of releasing substantially all of the valuation allowance against its deferred tax assets during fiscal 2022, the Company returned to a normal tax provision for fiscal 2023. At February 3, 2024 and January 28, 2023, the Company continued to provide a valuation allowance of $2.2 million and $2.4 million, respectively, primarily against certain state and foreign NOLs.</w:t>
      </w:r>
    </w:p>
    <w:p>
      <w:pPr>
        <w:spacing w:after="0" w:line="72"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1E1E1E"/>
        </w:rPr>
        <w:t>As of February 3, 2024, for federal income tax purposes, the Company had net operating loss carryforwards of $3.6 million, which will expire in fiscal 2037 and net operating loss carryforwards of $39.9 million that are not subject to expiration. For state income tax purposes, the Company had $51.8 million of net operating losses that are available to offset future taxable income, the majority of which will expire from fiscal 2024 through fiscal 2045. Additionally, the Company has $5.3 million of net operating loss carryforwards related to the Company’s operations in Canada, which will expire from fiscal 2025 through fiscal 2041.</w:t>
      </w:r>
    </w:p>
    <w:p>
      <w:pPr>
        <w:spacing w:after="0" w:line="4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1E1E1E"/>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 As of February 3, 2024, there has been no such ownership change.</w:t>
      </w:r>
    </w:p>
    <w:p>
      <w:pPr>
        <w:sectPr>
          <w:pgSz w:w="11880" w:h="15480" w:orient="portrait"/>
          <w:cols w:equalWidth="0" w:num="1">
            <w:col w:w="10800"/>
          </w:cols>
          <w:pgMar w:left="540" w:top="678"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52</w:t>
      </w:r>
    </w:p>
    <w:p>
      <w:pPr>
        <w:sectPr>
          <w:pgSz w:w="11880" w:h="15480" w:orient="portrait"/>
          <w:cols w:equalWidth="0" w:num="1">
            <w:col w:w="10800"/>
          </w:cols>
          <w:pgMar w:left="540" w:top="678" w:right="540" w:bottom="31" w:gutter="0" w:footer="0" w:header="0"/>
          <w:type w:val="continuous"/>
        </w:sectPr>
      </w:pPr>
    </w:p>
    <w:bookmarkStart w:id="54" w:name="page55"/>
    <w:bookmarkEnd w:id="54"/>
    <w:p>
      <w:pPr>
        <w:spacing w:after="0"/>
        <w:rPr>
          <w:sz w:val="20"/>
          <w:szCs w:val="20"/>
          <w:color w:val="auto"/>
        </w:rPr>
      </w:pPr>
      <w:r>
        <w:rPr>
          <w:rFonts w:ascii="Arial" w:cs="Arial" w:eastAsia="Arial" w:hAnsi="Arial"/>
          <w:sz w:val="19"/>
          <w:szCs w:val="19"/>
          <w:color w:val="1E1E1E"/>
        </w:rPr>
        <w:t>The components of the net deferred tax assets as of February 3, 2024 and January 28, 2023 were as follows (in thousands):</w:t>
      </w:r>
    </w:p>
    <w:p>
      <w:pPr>
        <w:spacing w:after="0" w:line="232" w:lineRule="exact"/>
        <w:rPr>
          <w:sz w:val="20"/>
          <w:szCs w:val="20"/>
          <w:color w:val="auto"/>
        </w:rPr>
      </w:pPr>
    </w:p>
    <w:tbl>
      <w:tblPr>
        <w:tblLayout w:type="fixed"/>
        <w:tblInd w:w="162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1E1E1E"/>
                <w:w w:val="92"/>
              </w:rPr>
              <w:t>February 3,</w:t>
            </w:r>
          </w:p>
        </w:tc>
        <w:tc>
          <w:tcPr>
            <w:tcW w:w="1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1E1E1E"/>
                <w:w w:val="90"/>
              </w:rPr>
              <w:t>January 28,</w:t>
            </w:r>
          </w:p>
        </w:tc>
      </w:tr>
      <w:tr>
        <w:trPr>
          <w:trHeight w:val="201"/>
        </w:trPr>
        <w:tc>
          <w:tcPr>
            <w:tcW w:w="5160" w:type="dxa"/>
            <w:vAlign w:val="bottom"/>
            <w:tcBorders>
              <w:bottom w:val="single" w:sz="8" w:color="E4E4E4"/>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940" w:type="dxa"/>
            <w:vAlign w:val="bottom"/>
            <w:tcBorders>
              <w:bottom w:val="single" w:sz="8" w:color="1E1E1E"/>
            </w:tcBorders>
          </w:tcPr>
          <w:p>
            <w:pPr>
              <w:jc w:val="right"/>
              <w:ind w:right="283"/>
              <w:spacing w:after="0"/>
              <w:rPr>
                <w:sz w:val="20"/>
                <w:szCs w:val="20"/>
                <w:color w:val="auto"/>
              </w:rPr>
            </w:pPr>
            <w:r>
              <w:rPr>
                <w:rFonts w:ascii="Arial" w:cs="Arial" w:eastAsia="Arial" w:hAnsi="Arial"/>
                <w:sz w:val="16"/>
                <w:szCs w:val="16"/>
                <w:color w:val="1E1E1E"/>
              </w:rPr>
              <w:t>2024</w:t>
            </w:r>
          </w:p>
        </w:tc>
        <w:tc>
          <w:tcPr>
            <w:tcW w:w="180" w:type="dxa"/>
            <w:vAlign w:val="bottom"/>
            <w:tcBorders>
              <w:bottom w:val="single" w:sz="8" w:color="E4E4E4"/>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940" w:type="dxa"/>
            <w:vAlign w:val="bottom"/>
            <w:tcBorders>
              <w:bottom w:val="single" w:sz="8" w:color="1E1E1E"/>
            </w:tcBorders>
          </w:tcPr>
          <w:p>
            <w:pPr>
              <w:jc w:val="right"/>
              <w:ind w:right="283"/>
              <w:spacing w:after="0"/>
              <w:rPr>
                <w:sz w:val="20"/>
                <w:szCs w:val="20"/>
                <w:color w:val="auto"/>
              </w:rPr>
            </w:pPr>
            <w:r>
              <w:rPr>
                <w:rFonts w:ascii="Arial" w:cs="Arial" w:eastAsia="Arial" w:hAnsi="Arial"/>
                <w:sz w:val="16"/>
                <w:szCs w:val="16"/>
                <w:color w:val="1E1E1E"/>
              </w:rPr>
              <w:t>2023</w:t>
            </w:r>
          </w:p>
        </w:tc>
        <w:tc>
          <w:tcPr>
            <w:tcW w:w="80" w:type="dxa"/>
            <w:vAlign w:val="bottom"/>
            <w:tcBorders>
              <w:bottom w:val="single" w:sz="8" w:color="E4E4E4"/>
            </w:tcBorders>
          </w:tcPr>
          <w:p>
            <w:pPr>
              <w:spacing w:after="0"/>
              <w:rPr>
                <w:sz w:val="17"/>
                <w:szCs w:val="17"/>
                <w:color w:val="auto"/>
              </w:rPr>
            </w:pPr>
          </w:p>
        </w:tc>
      </w:tr>
      <w:tr>
        <w:trPr>
          <w:trHeight w:val="220"/>
        </w:trPr>
        <w:tc>
          <w:tcPr>
            <w:tcW w:w="5160" w:type="dxa"/>
            <w:vAlign w:val="bottom"/>
            <w:shd w:val="clear" w:color="auto" w:fill="E4E4E4"/>
          </w:tcPr>
          <w:p>
            <w:pPr>
              <w:spacing w:after="0" w:line="220" w:lineRule="exact"/>
              <w:rPr>
                <w:sz w:val="20"/>
                <w:szCs w:val="20"/>
                <w:color w:val="auto"/>
              </w:rPr>
            </w:pPr>
            <w:r>
              <w:rPr>
                <w:rFonts w:ascii="Arial" w:cs="Arial" w:eastAsia="Arial" w:hAnsi="Arial"/>
                <w:sz w:val="20"/>
                <w:szCs w:val="20"/>
                <w:color w:val="1E1E1E"/>
              </w:rPr>
              <w:t>Deferred tax assets, net:</w:t>
            </w:r>
          </w:p>
        </w:tc>
        <w:tc>
          <w:tcPr>
            <w:tcW w:w="12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20"/>
                <w:szCs w:val="20"/>
                <w:color w:val="1E1E1E"/>
              </w:rPr>
              <w:t>Net operating loss carryforward</w:t>
            </w:r>
          </w:p>
        </w:tc>
        <w:tc>
          <w:tcPr>
            <w:tcW w:w="120" w:type="dxa"/>
            <w:vAlign w:val="bottom"/>
          </w:tcPr>
          <w:p>
            <w:pPr>
              <w:jc w:val="right"/>
              <w:spacing w:after="0"/>
              <w:rPr>
                <w:sz w:val="20"/>
                <w:szCs w:val="20"/>
                <w:color w:val="auto"/>
              </w:rPr>
            </w:pPr>
            <w:r>
              <w:rPr>
                <w:rFonts w:ascii="Arial" w:cs="Arial" w:eastAsia="Arial" w:hAnsi="Arial"/>
                <w:sz w:val="20"/>
                <w:szCs w:val="20"/>
                <w:color w:val="1E1E1E"/>
                <w:w w:val="71"/>
              </w:rPr>
              <w:t>$</w:t>
            </w:r>
          </w:p>
        </w:tc>
        <w:tc>
          <w:tcPr>
            <w:tcW w:w="940" w:type="dxa"/>
            <w:vAlign w:val="bottom"/>
          </w:tcPr>
          <w:p>
            <w:pPr>
              <w:jc w:val="right"/>
              <w:spacing w:after="0"/>
              <w:rPr>
                <w:sz w:val="20"/>
                <w:szCs w:val="20"/>
                <w:color w:val="auto"/>
              </w:rPr>
            </w:pPr>
            <w:r>
              <w:rPr>
                <w:rFonts w:ascii="Arial" w:cs="Arial" w:eastAsia="Arial" w:hAnsi="Arial"/>
                <w:sz w:val="20"/>
                <w:szCs w:val="20"/>
                <w:color w:val="1E1E1E"/>
              </w:rPr>
              <w:t>13,522</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1E1E1E"/>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20"/>
                <w:szCs w:val="20"/>
                <w:color w:val="1E1E1E"/>
              </w:rPr>
              <w:t>21,736</w:t>
            </w:r>
          </w:p>
        </w:tc>
      </w:tr>
      <w:tr>
        <w:trPr>
          <w:trHeight w:val="230"/>
        </w:trPr>
        <w:tc>
          <w:tcPr>
            <w:tcW w:w="5160" w:type="dxa"/>
            <w:vAlign w:val="bottom"/>
            <w:shd w:val="clear" w:color="auto" w:fill="E4E4E4"/>
          </w:tcPr>
          <w:p>
            <w:pPr>
              <w:ind w:left="200"/>
              <w:spacing w:after="0"/>
              <w:rPr>
                <w:sz w:val="20"/>
                <w:szCs w:val="20"/>
                <w:color w:val="auto"/>
              </w:rPr>
            </w:pPr>
            <w:r>
              <w:rPr>
                <w:rFonts w:ascii="Arial" w:cs="Arial" w:eastAsia="Arial" w:hAnsi="Arial"/>
                <w:sz w:val="20"/>
                <w:szCs w:val="20"/>
                <w:color w:val="1E1E1E"/>
              </w:rPr>
              <w:t>Accrued expenses and other</w:t>
            </w:r>
          </w:p>
        </w:tc>
        <w:tc>
          <w:tcPr>
            <w:tcW w:w="120" w:type="dxa"/>
            <w:vAlign w:val="bottom"/>
            <w:shd w:val="clear" w:color="auto" w:fill="E4E4E4"/>
          </w:tcPr>
          <w:p>
            <w:pPr>
              <w:spacing w:after="0"/>
              <w:rPr>
                <w:sz w:val="20"/>
                <w:szCs w:val="20"/>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4,776</w:t>
            </w:r>
          </w:p>
        </w:tc>
        <w:tc>
          <w:tcPr>
            <w:tcW w:w="18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5,597</w:t>
            </w:r>
          </w:p>
        </w:tc>
        <w:tc>
          <w:tcPr>
            <w:tcW w:w="80" w:type="dxa"/>
            <w:vAlign w:val="bottom"/>
            <w:shd w:val="clear" w:color="auto" w:fill="E4E4E4"/>
          </w:tcPr>
          <w:p>
            <w:pPr>
              <w:spacing w:after="0"/>
              <w:rPr>
                <w:sz w:val="20"/>
                <w:szCs w:val="20"/>
                <w:color w:val="auto"/>
              </w:rPr>
            </w:pPr>
          </w:p>
        </w:tc>
      </w:tr>
      <w:tr>
        <w:trPr>
          <w:trHeight w:val="228"/>
        </w:trPr>
        <w:tc>
          <w:tcPr>
            <w:tcW w:w="5160" w:type="dxa"/>
            <w:vAlign w:val="bottom"/>
          </w:tcPr>
          <w:p>
            <w:pPr>
              <w:ind w:left="200"/>
              <w:spacing w:after="0" w:line="228" w:lineRule="exact"/>
              <w:rPr>
                <w:sz w:val="20"/>
                <w:szCs w:val="20"/>
                <w:color w:val="auto"/>
              </w:rPr>
            </w:pPr>
            <w:r>
              <w:rPr>
                <w:rFonts w:ascii="Arial" w:cs="Arial" w:eastAsia="Arial" w:hAnsi="Arial"/>
                <w:sz w:val="20"/>
                <w:szCs w:val="20"/>
                <w:color w:val="1E1E1E"/>
              </w:rPr>
              <w:t>Operating lease liabilities</w:t>
            </w:r>
          </w:p>
        </w:tc>
        <w:tc>
          <w:tcPr>
            <w:tcW w:w="120" w:type="dxa"/>
            <w:vAlign w:val="bottom"/>
          </w:tcPr>
          <w:p>
            <w:pPr>
              <w:spacing w:after="0"/>
              <w:rPr>
                <w:sz w:val="19"/>
                <w:szCs w:val="19"/>
                <w:color w:val="auto"/>
              </w:rPr>
            </w:pPr>
          </w:p>
        </w:tc>
        <w:tc>
          <w:tcPr>
            <w:tcW w:w="940" w:type="dxa"/>
            <w:vAlign w:val="bottom"/>
          </w:tcPr>
          <w:p>
            <w:pPr>
              <w:jc w:val="right"/>
              <w:spacing w:after="0" w:line="228" w:lineRule="exact"/>
              <w:rPr>
                <w:sz w:val="20"/>
                <w:szCs w:val="20"/>
                <w:color w:val="auto"/>
              </w:rPr>
            </w:pPr>
            <w:r>
              <w:rPr>
                <w:rFonts w:ascii="Arial" w:cs="Arial" w:eastAsia="Arial" w:hAnsi="Arial"/>
                <w:sz w:val="20"/>
                <w:szCs w:val="20"/>
                <w:color w:val="1E1E1E"/>
              </w:rPr>
              <w:t>40,182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80"/>
              <w:spacing w:after="0" w:line="228" w:lineRule="exact"/>
              <w:rPr>
                <w:sz w:val="20"/>
                <w:szCs w:val="20"/>
                <w:color w:val="auto"/>
              </w:rPr>
            </w:pPr>
            <w:r>
              <w:rPr>
                <w:rFonts w:ascii="Arial" w:cs="Arial" w:eastAsia="Arial" w:hAnsi="Arial"/>
                <w:sz w:val="20"/>
                <w:szCs w:val="20"/>
                <w:color w:val="1E1E1E"/>
              </w:rPr>
              <w:t>37,793</w:t>
            </w:r>
          </w:p>
        </w:tc>
      </w:tr>
      <w:tr>
        <w:trPr>
          <w:trHeight w:val="230"/>
        </w:trPr>
        <w:tc>
          <w:tcPr>
            <w:tcW w:w="5160" w:type="dxa"/>
            <w:vAlign w:val="bottom"/>
            <w:shd w:val="clear" w:color="auto" w:fill="E4E4E4"/>
          </w:tcPr>
          <w:p>
            <w:pPr>
              <w:ind w:left="200"/>
              <w:spacing w:after="0"/>
              <w:rPr>
                <w:sz w:val="20"/>
                <w:szCs w:val="20"/>
                <w:color w:val="auto"/>
              </w:rPr>
            </w:pPr>
            <w:r>
              <w:rPr>
                <w:rFonts w:ascii="Arial" w:cs="Arial" w:eastAsia="Arial" w:hAnsi="Arial"/>
                <w:sz w:val="20"/>
                <w:szCs w:val="20"/>
                <w:color w:val="1E1E1E"/>
              </w:rPr>
              <w:t>Goodwill and intangibles</w:t>
            </w:r>
          </w:p>
        </w:tc>
        <w:tc>
          <w:tcPr>
            <w:tcW w:w="120" w:type="dxa"/>
            <w:vAlign w:val="bottom"/>
            <w:shd w:val="clear" w:color="auto" w:fill="E4E4E4"/>
          </w:tcPr>
          <w:p>
            <w:pPr>
              <w:spacing w:after="0"/>
              <w:rPr>
                <w:sz w:val="20"/>
                <w:szCs w:val="20"/>
                <w:color w:val="auto"/>
              </w:rPr>
            </w:pPr>
          </w:p>
        </w:tc>
        <w:tc>
          <w:tcPr>
            <w:tcW w:w="1120" w:type="dxa"/>
            <w:vAlign w:val="bottom"/>
            <w:gridSpan w:val="2"/>
            <w:shd w:val="clear" w:color="auto" w:fill="E4E4E4"/>
          </w:tcPr>
          <w:p>
            <w:pPr>
              <w:jc w:val="right"/>
              <w:ind w:right="120"/>
              <w:spacing w:after="0"/>
              <w:rPr>
                <w:sz w:val="20"/>
                <w:szCs w:val="20"/>
                <w:color w:val="auto"/>
              </w:rPr>
            </w:pPr>
            <w:r>
              <w:rPr>
                <w:rFonts w:ascii="Arial" w:cs="Arial" w:eastAsia="Arial" w:hAnsi="Arial"/>
                <w:sz w:val="20"/>
                <w:szCs w:val="20"/>
                <w:color w:val="1E1E1E"/>
              </w:rPr>
              <w:t>(103)</w:t>
            </w:r>
          </w:p>
        </w:tc>
        <w:tc>
          <w:tcPr>
            <w:tcW w:w="140" w:type="dxa"/>
            <w:vAlign w:val="bottom"/>
            <w:shd w:val="clear" w:color="auto" w:fill="E4E4E4"/>
          </w:tcPr>
          <w:p>
            <w:pPr>
              <w:spacing w:after="0"/>
              <w:rPr>
                <w:sz w:val="20"/>
                <w:szCs w:val="20"/>
                <w:color w:val="auto"/>
              </w:rPr>
            </w:pPr>
          </w:p>
        </w:tc>
        <w:tc>
          <w:tcPr>
            <w:tcW w:w="1020" w:type="dxa"/>
            <w:vAlign w:val="bottom"/>
            <w:gridSpan w:val="2"/>
            <w:shd w:val="clear" w:color="auto" w:fill="E4E4E4"/>
          </w:tcPr>
          <w:p>
            <w:pPr>
              <w:jc w:val="right"/>
              <w:ind w:right="20"/>
              <w:spacing w:after="0"/>
              <w:rPr>
                <w:sz w:val="20"/>
                <w:szCs w:val="20"/>
                <w:color w:val="auto"/>
              </w:rPr>
            </w:pPr>
            <w:r>
              <w:rPr>
                <w:rFonts w:ascii="Arial" w:cs="Arial" w:eastAsia="Arial" w:hAnsi="Arial"/>
                <w:sz w:val="20"/>
                <w:szCs w:val="20"/>
                <w:color w:val="1E1E1E"/>
              </w:rPr>
              <w:t>(62)</w:t>
            </w:r>
          </w:p>
        </w:tc>
      </w:tr>
      <w:tr>
        <w:trPr>
          <w:trHeight w:val="230"/>
        </w:trPr>
        <w:tc>
          <w:tcPr>
            <w:tcW w:w="5160" w:type="dxa"/>
            <w:vAlign w:val="bottom"/>
          </w:tcPr>
          <w:p>
            <w:pPr>
              <w:ind w:left="200"/>
              <w:spacing w:after="0"/>
              <w:rPr>
                <w:sz w:val="20"/>
                <w:szCs w:val="20"/>
                <w:color w:val="auto"/>
              </w:rPr>
            </w:pPr>
            <w:r>
              <w:rPr>
                <w:rFonts w:ascii="Arial" w:cs="Arial" w:eastAsia="Arial" w:hAnsi="Arial"/>
                <w:sz w:val="20"/>
                <w:szCs w:val="20"/>
                <w:color w:val="1E1E1E"/>
              </w:rPr>
              <w:t>Unrecognized loss on pension and pension expense</w:t>
            </w:r>
          </w:p>
        </w:tc>
        <w:tc>
          <w:tcPr>
            <w:tcW w:w="1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20"/>
                <w:szCs w:val="20"/>
                <w:color w:val="1E1E1E"/>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1E1E1E"/>
              </w:rPr>
              <w:t>1,714</w:t>
            </w:r>
          </w:p>
        </w:tc>
        <w:tc>
          <w:tcPr>
            <w:tcW w:w="80" w:type="dxa"/>
            <w:vAlign w:val="bottom"/>
          </w:tcPr>
          <w:p>
            <w:pPr>
              <w:spacing w:after="0"/>
              <w:rPr>
                <w:sz w:val="20"/>
                <w:szCs w:val="20"/>
                <w:color w:val="auto"/>
              </w:rPr>
            </w:pPr>
          </w:p>
        </w:tc>
      </w:tr>
      <w:tr>
        <w:trPr>
          <w:trHeight w:val="230"/>
        </w:trPr>
        <w:tc>
          <w:tcPr>
            <w:tcW w:w="5160" w:type="dxa"/>
            <w:vAlign w:val="bottom"/>
            <w:shd w:val="clear" w:color="auto" w:fill="E4E4E4"/>
          </w:tcPr>
          <w:p>
            <w:pPr>
              <w:ind w:left="200"/>
              <w:spacing w:after="0"/>
              <w:rPr>
                <w:sz w:val="20"/>
                <w:szCs w:val="20"/>
                <w:color w:val="auto"/>
              </w:rPr>
            </w:pPr>
            <w:r>
              <w:rPr>
                <w:rFonts w:ascii="Arial" w:cs="Arial" w:eastAsia="Arial" w:hAnsi="Arial"/>
                <w:sz w:val="20"/>
                <w:szCs w:val="20"/>
                <w:color w:val="1E1E1E"/>
              </w:rPr>
              <w:t>Inventory reserves</w:t>
            </w:r>
          </w:p>
        </w:tc>
        <w:tc>
          <w:tcPr>
            <w:tcW w:w="120" w:type="dxa"/>
            <w:vAlign w:val="bottom"/>
            <w:shd w:val="clear" w:color="auto" w:fill="E4E4E4"/>
          </w:tcPr>
          <w:p>
            <w:pPr>
              <w:spacing w:after="0"/>
              <w:rPr>
                <w:sz w:val="20"/>
                <w:szCs w:val="20"/>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866</w:t>
            </w:r>
          </w:p>
        </w:tc>
        <w:tc>
          <w:tcPr>
            <w:tcW w:w="18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900</w:t>
            </w:r>
          </w:p>
        </w:tc>
        <w:tc>
          <w:tcPr>
            <w:tcW w:w="80" w:type="dxa"/>
            <w:vAlign w:val="bottom"/>
            <w:shd w:val="clear" w:color="auto" w:fill="E4E4E4"/>
          </w:tcPr>
          <w:p>
            <w:pPr>
              <w:spacing w:after="0"/>
              <w:rPr>
                <w:sz w:val="20"/>
                <w:szCs w:val="20"/>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20"/>
                <w:szCs w:val="20"/>
                <w:color w:val="1E1E1E"/>
              </w:rPr>
              <w:t>Foreign tax credit carryforward</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1E1E1E"/>
              </w:rPr>
              <w:t>486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1E1E1E"/>
              </w:rPr>
              <w:t>486</w:t>
            </w:r>
          </w:p>
        </w:tc>
        <w:tc>
          <w:tcPr>
            <w:tcW w:w="80" w:type="dxa"/>
            <w:vAlign w:val="bottom"/>
          </w:tcPr>
          <w:p>
            <w:pPr>
              <w:spacing w:after="0"/>
              <w:rPr>
                <w:sz w:val="20"/>
                <w:szCs w:val="20"/>
                <w:color w:val="auto"/>
              </w:rPr>
            </w:pPr>
          </w:p>
        </w:tc>
      </w:tr>
      <w:tr>
        <w:trPr>
          <w:trHeight w:val="230"/>
        </w:trPr>
        <w:tc>
          <w:tcPr>
            <w:tcW w:w="5160" w:type="dxa"/>
            <w:vAlign w:val="bottom"/>
            <w:shd w:val="clear" w:color="auto" w:fill="E4E4E4"/>
          </w:tcPr>
          <w:p>
            <w:pPr>
              <w:ind w:left="200"/>
              <w:spacing w:after="0"/>
              <w:rPr>
                <w:sz w:val="20"/>
                <w:szCs w:val="20"/>
                <w:color w:val="auto"/>
              </w:rPr>
            </w:pPr>
            <w:r>
              <w:rPr>
                <w:rFonts w:ascii="Arial" w:cs="Arial" w:eastAsia="Arial" w:hAnsi="Arial"/>
                <w:sz w:val="20"/>
                <w:szCs w:val="20"/>
                <w:color w:val="1E1E1E"/>
              </w:rPr>
              <w:t>Federal wage tax credit carryforward</w:t>
            </w:r>
          </w:p>
        </w:tc>
        <w:tc>
          <w:tcPr>
            <w:tcW w:w="120" w:type="dxa"/>
            <w:vAlign w:val="bottom"/>
            <w:shd w:val="clear" w:color="auto" w:fill="E4E4E4"/>
          </w:tcPr>
          <w:p>
            <w:pPr>
              <w:spacing w:after="0"/>
              <w:rPr>
                <w:sz w:val="20"/>
                <w:szCs w:val="20"/>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824</w:t>
            </w:r>
          </w:p>
        </w:tc>
        <w:tc>
          <w:tcPr>
            <w:tcW w:w="18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824</w:t>
            </w:r>
          </w:p>
        </w:tc>
        <w:tc>
          <w:tcPr>
            <w:tcW w:w="80" w:type="dxa"/>
            <w:vAlign w:val="bottom"/>
            <w:shd w:val="clear" w:color="auto" w:fill="E4E4E4"/>
          </w:tcPr>
          <w:p>
            <w:pPr>
              <w:spacing w:after="0"/>
              <w:rPr>
                <w:sz w:val="20"/>
                <w:szCs w:val="20"/>
                <w:color w:val="auto"/>
              </w:rPr>
            </w:pPr>
          </w:p>
        </w:tc>
      </w:tr>
      <w:tr>
        <w:trPr>
          <w:trHeight w:val="228"/>
        </w:trPr>
        <w:tc>
          <w:tcPr>
            <w:tcW w:w="5160" w:type="dxa"/>
            <w:vAlign w:val="bottom"/>
          </w:tcPr>
          <w:p>
            <w:pPr>
              <w:ind w:left="200"/>
              <w:spacing w:after="0" w:line="228" w:lineRule="exact"/>
              <w:rPr>
                <w:sz w:val="20"/>
                <w:szCs w:val="20"/>
                <w:color w:val="auto"/>
              </w:rPr>
            </w:pPr>
            <w:r>
              <w:rPr>
                <w:rFonts w:ascii="Arial" w:cs="Arial" w:eastAsia="Arial" w:hAnsi="Arial"/>
                <w:sz w:val="20"/>
                <w:szCs w:val="20"/>
                <w:color w:val="1E1E1E"/>
              </w:rPr>
              <w:t>State tax credits</w:t>
            </w:r>
          </w:p>
        </w:tc>
        <w:tc>
          <w:tcPr>
            <w:tcW w:w="120" w:type="dxa"/>
            <w:vAlign w:val="bottom"/>
          </w:tcPr>
          <w:p>
            <w:pPr>
              <w:spacing w:after="0"/>
              <w:rPr>
                <w:sz w:val="19"/>
                <w:szCs w:val="19"/>
                <w:color w:val="auto"/>
              </w:rPr>
            </w:pPr>
          </w:p>
        </w:tc>
        <w:tc>
          <w:tcPr>
            <w:tcW w:w="940" w:type="dxa"/>
            <w:vAlign w:val="bottom"/>
          </w:tcPr>
          <w:p>
            <w:pPr>
              <w:jc w:val="right"/>
              <w:spacing w:after="0" w:line="228" w:lineRule="exact"/>
              <w:rPr>
                <w:sz w:val="20"/>
                <w:szCs w:val="20"/>
                <w:color w:val="auto"/>
              </w:rPr>
            </w:pPr>
            <w:r>
              <w:rPr>
                <w:rFonts w:ascii="Arial" w:cs="Arial" w:eastAsia="Arial" w:hAnsi="Arial"/>
                <w:sz w:val="20"/>
                <w:szCs w:val="20"/>
                <w:color w:val="1E1E1E"/>
              </w:rPr>
              <w:t>147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line="228" w:lineRule="exact"/>
              <w:rPr>
                <w:sz w:val="20"/>
                <w:szCs w:val="20"/>
                <w:color w:val="auto"/>
              </w:rPr>
            </w:pPr>
            <w:r>
              <w:rPr>
                <w:rFonts w:ascii="Arial" w:cs="Arial" w:eastAsia="Arial" w:hAnsi="Arial"/>
                <w:sz w:val="20"/>
                <w:szCs w:val="20"/>
                <w:color w:val="1E1E1E"/>
              </w:rPr>
              <w:t>147</w:t>
            </w:r>
          </w:p>
        </w:tc>
        <w:tc>
          <w:tcPr>
            <w:tcW w:w="80" w:type="dxa"/>
            <w:vAlign w:val="bottom"/>
          </w:tcPr>
          <w:p>
            <w:pPr>
              <w:spacing w:after="0"/>
              <w:rPr>
                <w:sz w:val="19"/>
                <w:szCs w:val="19"/>
                <w:color w:val="auto"/>
              </w:rPr>
            </w:pPr>
          </w:p>
        </w:tc>
      </w:tr>
      <w:tr>
        <w:trPr>
          <w:trHeight w:val="230"/>
        </w:trPr>
        <w:tc>
          <w:tcPr>
            <w:tcW w:w="5160" w:type="dxa"/>
            <w:vAlign w:val="bottom"/>
            <w:shd w:val="clear" w:color="auto" w:fill="E4E4E4"/>
          </w:tcPr>
          <w:p>
            <w:pPr>
              <w:ind w:left="200"/>
              <w:spacing w:after="0"/>
              <w:rPr>
                <w:sz w:val="20"/>
                <w:szCs w:val="20"/>
                <w:color w:val="auto"/>
              </w:rPr>
            </w:pPr>
            <w:r>
              <w:rPr>
                <w:rFonts w:ascii="Arial" w:cs="Arial" w:eastAsia="Arial" w:hAnsi="Arial"/>
                <w:sz w:val="20"/>
                <w:szCs w:val="20"/>
                <w:color w:val="1E1E1E"/>
              </w:rPr>
              <w:t>Operating lease right-of-use assets</w:t>
            </w:r>
          </w:p>
        </w:tc>
        <w:tc>
          <w:tcPr>
            <w:tcW w:w="120" w:type="dxa"/>
            <w:vAlign w:val="bottom"/>
            <w:shd w:val="clear" w:color="auto" w:fill="E4E4E4"/>
          </w:tcPr>
          <w:p>
            <w:pPr>
              <w:spacing w:after="0"/>
              <w:rPr>
                <w:sz w:val="20"/>
                <w:szCs w:val="20"/>
                <w:color w:val="auto"/>
              </w:rPr>
            </w:pPr>
          </w:p>
        </w:tc>
        <w:tc>
          <w:tcPr>
            <w:tcW w:w="1120" w:type="dxa"/>
            <w:vAlign w:val="bottom"/>
            <w:gridSpan w:val="2"/>
            <w:shd w:val="clear" w:color="auto" w:fill="E4E4E4"/>
          </w:tcPr>
          <w:p>
            <w:pPr>
              <w:jc w:val="right"/>
              <w:ind w:right="120"/>
              <w:spacing w:after="0"/>
              <w:rPr>
                <w:sz w:val="20"/>
                <w:szCs w:val="20"/>
                <w:color w:val="auto"/>
              </w:rPr>
            </w:pPr>
            <w:r>
              <w:rPr>
                <w:rFonts w:ascii="Arial" w:cs="Arial" w:eastAsia="Arial" w:hAnsi="Arial"/>
                <w:sz w:val="20"/>
                <w:szCs w:val="20"/>
                <w:color w:val="1E1E1E"/>
              </w:rPr>
              <w:t>(35,937)</w:t>
            </w:r>
          </w:p>
        </w:tc>
        <w:tc>
          <w:tcPr>
            <w:tcW w:w="140" w:type="dxa"/>
            <w:vAlign w:val="bottom"/>
            <w:shd w:val="clear" w:color="auto" w:fill="E4E4E4"/>
          </w:tcPr>
          <w:p>
            <w:pPr>
              <w:spacing w:after="0"/>
              <w:rPr>
                <w:sz w:val="20"/>
                <w:szCs w:val="20"/>
                <w:color w:val="auto"/>
              </w:rPr>
            </w:pPr>
          </w:p>
        </w:tc>
        <w:tc>
          <w:tcPr>
            <w:tcW w:w="1020" w:type="dxa"/>
            <w:vAlign w:val="bottom"/>
            <w:gridSpan w:val="2"/>
            <w:shd w:val="clear" w:color="auto" w:fill="E4E4E4"/>
          </w:tcPr>
          <w:p>
            <w:pPr>
              <w:jc w:val="right"/>
              <w:ind w:right="20"/>
              <w:spacing w:after="0"/>
              <w:rPr>
                <w:sz w:val="20"/>
                <w:szCs w:val="20"/>
                <w:color w:val="auto"/>
              </w:rPr>
            </w:pPr>
            <w:r>
              <w:rPr>
                <w:rFonts w:ascii="Arial" w:cs="Arial" w:eastAsia="Arial" w:hAnsi="Arial"/>
                <w:sz w:val="20"/>
                <w:szCs w:val="20"/>
                <w:color w:val="1E1E1E"/>
              </w:rPr>
              <w:t>(32,583)</w:t>
            </w:r>
          </w:p>
        </w:tc>
      </w:tr>
      <w:tr>
        <w:trPr>
          <w:trHeight w:val="230"/>
        </w:trPr>
        <w:tc>
          <w:tcPr>
            <w:tcW w:w="5160" w:type="dxa"/>
            <w:vAlign w:val="bottom"/>
          </w:tcPr>
          <w:p>
            <w:pPr>
              <w:ind w:left="200"/>
              <w:spacing w:after="0"/>
              <w:rPr>
                <w:sz w:val="20"/>
                <w:szCs w:val="20"/>
                <w:color w:val="auto"/>
              </w:rPr>
            </w:pPr>
            <w:r>
              <w:rPr>
                <w:rFonts w:ascii="Arial" w:cs="Arial" w:eastAsia="Arial" w:hAnsi="Arial"/>
                <w:sz w:val="20"/>
                <w:szCs w:val="20"/>
                <w:color w:val="1E1E1E"/>
              </w:rPr>
              <w:t>Property and equipment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1E1E1E"/>
              </w:rPr>
              <w:t>(985)</w:t>
            </w: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20"/>
                <w:szCs w:val="20"/>
                <w:color w:val="1E1E1E"/>
              </w:rPr>
              <w:t>(2,672)</w:t>
            </w:r>
          </w:p>
        </w:tc>
      </w:tr>
      <w:tr>
        <w:trPr>
          <w:trHeight w:val="220"/>
        </w:trPr>
        <w:tc>
          <w:tcPr>
            <w:tcW w:w="5160" w:type="dxa"/>
            <w:vAlign w:val="bottom"/>
            <w:tcBorders>
              <w:top w:val="single" w:sz="8" w:color="E4E4E4"/>
            </w:tcBorders>
            <w:shd w:val="clear" w:color="auto" w:fill="E4E4E4"/>
          </w:tcPr>
          <w:p>
            <w:pPr>
              <w:ind w:left="340"/>
              <w:spacing w:after="0" w:line="220" w:lineRule="exact"/>
              <w:rPr>
                <w:sz w:val="20"/>
                <w:szCs w:val="20"/>
                <w:color w:val="auto"/>
              </w:rPr>
            </w:pPr>
            <w:r>
              <w:rPr>
                <w:rFonts w:ascii="Arial" w:cs="Arial" w:eastAsia="Arial" w:hAnsi="Arial"/>
                <w:sz w:val="20"/>
                <w:szCs w:val="20"/>
                <w:color w:val="1E1E1E"/>
              </w:rPr>
              <w:t>Subtotal</w:t>
            </w:r>
          </w:p>
        </w:tc>
        <w:tc>
          <w:tcPr>
            <w:tcW w:w="120" w:type="dxa"/>
            <w:vAlign w:val="bottom"/>
            <w:tcBorders>
              <w:top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w w:val="71"/>
              </w:rPr>
              <w:t>$</w:t>
            </w:r>
          </w:p>
        </w:tc>
        <w:tc>
          <w:tcPr>
            <w:tcW w:w="940" w:type="dxa"/>
            <w:vAlign w:val="bottom"/>
            <w:tcBorders>
              <w:top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23,778</w:t>
            </w:r>
          </w:p>
        </w:tc>
        <w:tc>
          <w:tcPr>
            <w:tcW w:w="180" w:type="dxa"/>
            <w:vAlign w:val="bottom"/>
            <w:tcBorders>
              <w:top w:val="single" w:sz="8" w:color="E4E4E4"/>
            </w:tcBorders>
            <w:shd w:val="clear" w:color="auto" w:fill="E4E4E4"/>
          </w:tcPr>
          <w:p>
            <w:pPr>
              <w:spacing w:after="0"/>
              <w:rPr>
                <w:sz w:val="19"/>
                <w:szCs w:val="19"/>
                <w:color w:val="auto"/>
              </w:rPr>
            </w:pPr>
          </w:p>
        </w:tc>
        <w:tc>
          <w:tcPr>
            <w:tcW w:w="140" w:type="dxa"/>
            <w:vAlign w:val="bottom"/>
            <w:tcBorders>
              <w:top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w w:val="71"/>
              </w:rPr>
              <w:t>$</w:t>
            </w:r>
          </w:p>
        </w:tc>
        <w:tc>
          <w:tcPr>
            <w:tcW w:w="940" w:type="dxa"/>
            <w:vAlign w:val="bottom"/>
            <w:tcBorders>
              <w:top w:val="single" w:sz="8" w:color="1E1E1E"/>
            </w:tcBorders>
            <w:shd w:val="clear" w:color="auto" w:fill="E4E4E4"/>
          </w:tcPr>
          <w:p>
            <w:pPr>
              <w:jc w:val="right"/>
              <w:spacing w:after="0" w:line="220" w:lineRule="exact"/>
              <w:rPr>
                <w:sz w:val="20"/>
                <w:szCs w:val="20"/>
                <w:color w:val="auto"/>
              </w:rPr>
            </w:pPr>
            <w:r>
              <w:rPr>
                <w:rFonts w:ascii="Arial" w:cs="Arial" w:eastAsia="Arial" w:hAnsi="Arial"/>
                <w:sz w:val="20"/>
                <w:szCs w:val="20"/>
                <w:color w:val="1E1E1E"/>
              </w:rPr>
              <w:t>33,880</w:t>
            </w:r>
          </w:p>
        </w:tc>
        <w:tc>
          <w:tcPr>
            <w:tcW w:w="80" w:type="dxa"/>
            <w:vAlign w:val="bottom"/>
            <w:tcBorders>
              <w:top w:val="single" w:sz="8" w:color="E4E4E4"/>
            </w:tcBorders>
            <w:shd w:val="clear" w:color="auto" w:fill="E4E4E4"/>
          </w:tcPr>
          <w:p>
            <w:pPr>
              <w:spacing w:after="0"/>
              <w:rPr>
                <w:sz w:val="19"/>
                <w:szCs w:val="19"/>
                <w:color w:val="auto"/>
              </w:rPr>
            </w:pPr>
          </w:p>
        </w:tc>
      </w:tr>
      <w:tr>
        <w:trPr>
          <w:trHeight w:val="229"/>
        </w:trPr>
        <w:tc>
          <w:tcPr>
            <w:tcW w:w="5160" w:type="dxa"/>
            <w:vAlign w:val="bottom"/>
            <w:tcBorders>
              <w:bottom w:val="single" w:sz="8" w:color="E4E4E4"/>
            </w:tcBorders>
          </w:tcPr>
          <w:p>
            <w:pPr>
              <w:spacing w:after="0"/>
              <w:rPr>
                <w:sz w:val="20"/>
                <w:szCs w:val="20"/>
                <w:color w:val="auto"/>
              </w:rPr>
            </w:pPr>
            <w:r>
              <w:rPr>
                <w:rFonts w:ascii="Arial" w:cs="Arial" w:eastAsia="Arial" w:hAnsi="Arial"/>
                <w:sz w:val="20"/>
                <w:szCs w:val="20"/>
                <w:color w:val="1E1E1E"/>
              </w:rPr>
              <w:t>Valuation allowance</w:t>
            </w:r>
          </w:p>
        </w:tc>
        <w:tc>
          <w:tcPr>
            <w:tcW w:w="120" w:type="dxa"/>
            <w:vAlign w:val="bottom"/>
            <w:tcBorders>
              <w:bottom w:val="single" w:sz="8" w:color="1E1E1E"/>
            </w:tcBorders>
          </w:tcPr>
          <w:p>
            <w:pPr>
              <w:spacing w:after="0"/>
              <w:rPr>
                <w:sz w:val="19"/>
                <w:szCs w:val="19"/>
                <w:color w:val="auto"/>
              </w:rPr>
            </w:pPr>
          </w:p>
        </w:tc>
        <w:tc>
          <w:tcPr>
            <w:tcW w:w="940" w:type="dxa"/>
            <w:vAlign w:val="bottom"/>
            <w:tcBorders>
              <w:bottom w:val="single" w:sz="8" w:color="1E1E1E"/>
            </w:tcBorders>
          </w:tcPr>
          <w:p>
            <w:pPr>
              <w:jc w:val="right"/>
              <w:spacing w:after="0"/>
              <w:rPr>
                <w:sz w:val="20"/>
                <w:szCs w:val="20"/>
                <w:color w:val="auto"/>
              </w:rPr>
            </w:pPr>
            <w:r>
              <w:rPr>
                <w:rFonts w:ascii="Arial" w:cs="Arial" w:eastAsia="Arial" w:hAnsi="Arial"/>
                <w:sz w:val="20"/>
                <w:szCs w:val="20"/>
                <w:color w:val="1E1E1E"/>
              </w:rPr>
              <w:t>(2,245)</w:t>
            </w:r>
          </w:p>
        </w:tc>
        <w:tc>
          <w:tcPr>
            <w:tcW w:w="180" w:type="dxa"/>
            <w:vAlign w:val="bottom"/>
            <w:tcBorders>
              <w:bottom w:val="single" w:sz="8" w:color="E4E4E4"/>
            </w:tcBorders>
          </w:tcPr>
          <w:p>
            <w:pPr>
              <w:spacing w:after="0"/>
              <w:rPr>
                <w:sz w:val="19"/>
                <w:szCs w:val="19"/>
                <w:color w:val="auto"/>
              </w:rPr>
            </w:pPr>
          </w:p>
        </w:tc>
        <w:tc>
          <w:tcPr>
            <w:tcW w:w="140" w:type="dxa"/>
            <w:vAlign w:val="bottom"/>
            <w:tcBorders>
              <w:bottom w:val="single" w:sz="8" w:color="1E1E1E"/>
            </w:tcBorders>
          </w:tcPr>
          <w:p>
            <w:pPr>
              <w:spacing w:after="0"/>
              <w:rPr>
                <w:sz w:val="19"/>
                <w:szCs w:val="19"/>
                <w:color w:val="auto"/>
              </w:rPr>
            </w:pPr>
          </w:p>
        </w:tc>
        <w:tc>
          <w:tcPr>
            <w:tcW w:w="940" w:type="dxa"/>
            <w:vAlign w:val="bottom"/>
            <w:tcBorders>
              <w:bottom w:val="single" w:sz="8" w:color="1E1E1E"/>
            </w:tcBorders>
          </w:tcPr>
          <w:p>
            <w:pPr>
              <w:jc w:val="right"/>
              <w:spacing w:after="0"/>
              <w:rPr>
                <w:sz w:val="20"/>
                <w:szCs w:val="20"/>
                <w:color w:val="auto"/>
              </w:rPr>
            </w:pPr>
            <w:r>
              <w:rPr>
                <w:rFonts w:ascii="Arial" w:cs="Arial" w:eastAsia="Arial" w:hAnsi="Arial"/>
                <w:sz w:val="20"/>
                <w:szCs w:val="20"/>
                <w:color w:val="1E1E1E"/>
              </w:rPr>
              <w:t>(2,425)</w:t>
            </w:r>
          </w:p>
        </w:tc>
        <w:tc>
          <w:tcPr>
            <w:tcW w:w="80" w:type="dxa"/>
            <w:vAlign w:val="bottom"/>
            <w:tcBorders>
              <w:bottom w:val="single" w:sz="8" w:color="E4E4E4"/>
            </w:tcBorders>
          </w:tcPr>
          <w:p>
            <w:pPr>
              <w:spacing w:after="0"/>
              <w:rPr>
                <w:sz w:val="19"/>
                <w:szCs w:val="19"/>
                <w:color w:val="auto"/>
              </w:rPr>
            </w:pPr>
          </w:p>
        </w:tc>
      </w:tr>
      <w:tr>
        <w:trPr>
          <w:trHeight w:val="224"/>
        </w:trPr>
        <w:tc>
          <w:tcPr>
            <w:tcW w:w="5160" w:type="dxa"/>
            <w:vAlign w:val="bottom"/>
            <w:shd w:val="clear" w:color="auto" w:fill="E4E4E4"/>
          </w:tcPr>
          <w:p>
            <w:pPr>
              <w:spacing w:after="0" w:line="224" w:lineRule="exact"/>
              <w:rPr>
                <w:sz w:val="20"/>
                <w:szCs w:val="20"/>
                <w:color w:val="auto"/>
              </w:rPr>
            </w:pPr>
            <w:r>
              <w:rPr>
                <w:rFonts w:ascii="Arial" w:cs="Arial" w:eastAsia="Arial" w:hAnsi="Arial"/>
                <w:sz w:val="20"/>
                <w:szCs w:val="20"/>
                <w:color w:val="1E1E1E"/>
              </w:rPr>
              <w:t>Net deferred tax assets</w:t>
            </w:r>
          </w:p>
        </w:tc>
        <w:tc>
          <w:tcPr>
            <w:tcW w:w="120" w:type="dxa"/>
            <w:vAlign w:val="bottom"/>
            <w:shd w:val="clear" w:color="auto" w:fill="E4E4E4"/>
          </w:tcPr>
          <w:p>
            <w:pPr>
              <w:jc w:val="right"/>
              <w:spacing w:after="0" w:line="224" w:lineRule="exact"/>
              <w:rPr>
                <w:sz w:val="20"/>
                <w:szCs w:val="20"/>
                <w:color w:val="auto"/>
              </w:rPr>
            </w:pPr>
            <w:r>
              <w:rPr>
                <w:rFonts w:ascii="Arial" w:cs="Arial" w:eastAsia="Arial" w:hAnsi="Arial"/>
                <w:sz w:val="20"/>
                <w:szCs w:val="20"/>
                <w:color w:val="1E1E1E"/>
                <w:w w:val="71"/>
              </w:rPr>
              <w:t>$</w:t>
            </w:r>
          </w:p>
        </w:tc>
        <w:tc>
          <w:tcPr>
            <w:tcW w:w="940" w:type="dxa"/>
            <w:vAlign w:val="bottom"/>
            <w:shd w:val="clear" w:color="auto" w:fill="E4E4E4"/>
          </w:tcPr>
          <w:p>
            <w:pPr>
              <w:jc w:val="right"/>
              <w:spacing w:after="0" w:line="224" w:lineRule="exact"/>
              <w:rPr>
                <w:sz w:val="20"/>
                <w:szCs w:val="20"/>
                <w:color w:val="auto"/>
              </w:rPr>
            </w:pPr>
            <w:r>
              <w:rPr>
                <w:rFonts w:ascii="Arial" w:cs="Arial" w:eastAsia="Arial" w:hAnsi="Arial"/>
                <w:sz w:val="20"/>
                <w:szCs w:val="20"/>
                <w:color w:val="1E1E1E"/>
              </w:rPr>
              <w:t>21,533</w:t>
            </w:r>
          </w:p>
        </w:tc>
        <w:tc>
          <w:tcPr>
            <w:tcW w:w="180" w:type="dxa"/>
            <w:vAlign w:val="bottom"/>
            <w:shd w:val="clear" w:color="auto" w:fill="E4E4E4"/>
          </w:tcPr>
          <w:p>
            <w:pPr>
              <w:spacing w:after="0"/>
              <w:rPr>
                <w:sz w:val="19"/>
                <w:szCs w:val="19"/>
                <w:color w:val="auto"/>
              </w:rPr>
            </w:pPr>
          </w:p>
        </w:tc>
        <w:tc>
          <w:tcPr>
            <w:tcW w:w="140" w:type="dxa"/>
            <w:vAlign w:val="bottom"/>
            <w:shd w:val="clear" w:color="auto" w:fill="E4E4E4"/>
          </w:tcPr>
          <w:p>
            <w:pPr>
              <w:jc w:val="right"/>
              <w:spacing w:after="0" w:line="224" w:lineRule="exact"/>
              <w:rPr>
                <w:sz w:val="20"/>
                <w:szCs w:val="20"/>
                <w:color w:val="auto"/>
              </w:rPr>
            </w:pPr>
            <w:r>
              <w:rPr>
                <w:rFonts w:ascii="Arial" w:cs="Arial" w:eastAsia="Arial" w:hAnsi="Arial"/>
                <w:sz w:val="20"/>
                <w:szCs w:val="20"/>
                <w:color w:val="1E1E1E"/>
                <w:w w:val="71"/>
              </w:rPr>
              <w:t>$</w:t>
            </w:r>
          </w:p>
        </w:tc>
        <w:tc>
          <w:tcPr>
            <w:tcW w:w="940" w:type="dxa"/>
            <w:vAlign w:val="bottom"/>
            <w:shd w:val="clear" w:color="auto" w:fill="E4E4E4"/>
          </w:tcPr>
          <w:p>
            <w:pPr>
              <w:jc w:val="right"/>
              <w:spacing w:after="0" w:line="224" w:lineRule="exact"/>
              <w:rPr>
                <w:sz w:val="20"/>
                <w:szCs w:val="20"/>
                <w:color w:val="auto"/>
              </w:rPr>
            </w:pPr>
            <w:r>
              <w:rPr>
                <w:rFonts w:ascii="Arial" w:cs="Arial" w:eastAsia="Arial" w:hAnsi="Arial"/>
                <w:sz w:val="20"/>
                <w:szCs w:val="20"/>
                <w:color w:val="1E1E1E"/>
              </w:rPr>
              <w:t>31,455</w:t>
            </w:r>
          </w:p>
        </w:tc>
        <w:tc>
          <w:tcPr>
            <w:tcW w:w="80" w:type="dxa"/>
            <w:vAlign w:val="bottom"/>
            <w:shd w:val="clear" w:color="auto" w:fill="E4E4E4"/>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-15875</wp:posOffset>
            </wp:positionV>
            <wp:extent cx="1510030" cy="609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10030" cy="60960"/>
                    </a:xfrm>
                    <a:prstGeom prst="rect">
                      <a:avLst/>
                    </a:prstGeom>
                    <a:noFill/>
                  </pic:spPr>
                </pic:pic>
              </a:graphicData>
            </a:graphic>
          </wp:anchor>
        </w:drawing>
      </w:r>
    </w:p>
    <w:p>
      <w:pPr>
        <w:spacing w:after="0" w:line="236" w:lineRule="exact"/>
        <w:rPr>
          <w:sz w:val="20"/>
          <w:szCs w:val="20"/>
          <w:color w:val="auto"/>
        </w:rPr>
      </w:pPr>
    </w:p>
    <w:p>
      <w:pPr>
        <w:ind w:right="720"/>
        <w:spacing w:after="0" w:line="266" w:lineRule="auto"/>
        <w:rPr>
          <w:sz w:val="20"/>
          <w:szCs w:val="20"/>
          <w:color w:val="auto"/>
        </w:rPr>
      </w:pPr>
      <w:r>
        <w:rPr>
          <w:rFonts w:ascii="Arial" w:cs="Arial" w:eastAsia="Arial" w:hAnsi="Arial"/>
          <w:sz w:val="20"/>
          <w:szCs w:val="20"/>
          <w:color w:val="1E1E1E"/>
        </w:rPr>
        <w:t>For fiscal 2023, the Company had total deferred tax assets of $60.8 million, total deferred tax liabilities of $37.0 million and a valuation allowance of $2.2 million.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1E1E1E"/>
        </w:rPr>
        <w:t>The provision (benefit) for income taxes consisted of the following:</w:t>
      </w: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gridSpan w:val="4"/>
          </w:tcPr>
          <w:p>
            <w:pPr>
              <w:jc w:val="right"/>
              <w:ind w:right="40"/>
              <w:spacing w:after="0"/>
              <w:rPr>
                <w:sz w:val="20"/>
                <w:szCs w:val="20"/>
                <w:color w:val="auto"/>
              </w:rPr>
            </w:pPr>
            <w:r>
              <w:rPr>
                <w:rFonts w:ascii="Arial" w:cs="Arial" w:eastAsia="Arial" w:hAnsi="Arial"/>
                <w:sz w:val="16"/>
                <w:szCs w:val="16"/>
                <w:color w:val="1E1E1E"/>
                <w:w w:val="97"/>
              </w:rPr>
              <w:t>FISCAL YEARS ENDED</w:t>
            </w: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220" w:type="dxa"/>
            <w:vAlign w:val="bottom"/>
            <w:vMerge w:val="restart"/>
          </w:tcPr>
          <w:p>
            <w:pPr>
              <w:spacing w:after="0"/>
              <w:rPr>
                <w:sz w:val="20"/>
                <w:szCs w:val="20"/>
                <w:color w:val="auto"/>
              </w:rPr>
            </w:pPr>
            <w:r>
              <w:rPr>
                <w:rFonts w:ascii="Arial" w:cs="Arial" w:eastAsia="Arial" w:hAnsi="Arial"/>
                <w:sz w:val="20"/>
                <w:szCs w:val="20"/>
                <w:color w:val="1E1E1E"/>
              </w:rPr>
              <w:t>(in thousands)</w:t>
            </w:r>
          </w:p>
        </w:tc>
        <w:tc>
          <w:tcPr>
            <w:tcW w:w="140" w:type="dxa"/>
            <w:vAlign w:val="bottom"/>
          </w:tcPr>
          <w:p>
            <w:pPr>
              <w:spacing w:after="0"/>
              <w:rPr>
                <w:sz w:val="17"/>
                <w:szCs w:val="17"/>
                <w:color w:val="auto"/>
              </w:rPr>
            </w:pPr>
          </w:p>
        </w:tc>
        <w:tc>
          <w:tcPr>
            <w:tcW w:w="1300" w:type="dxa"/>
            <w:vAlign w:val="bottom"/>
            <w:gridSpan w:val="3"/>
          </w:tcPr>
          <w:p>
            <w:pPr>
              <w:ind w:left="80"/>
              <w:spacing w:after="0"/>
              <w:rPr>
                <w:sz w:val="20"/>
                <w:szCs w:val="20"/>
                <w:color w:val="auto"/>
              </w:rPr>
            </w:pPr>
            <w:r>
              <w:rPr>
                <w:rFonts w:ascii="Arial" w:cs="Arial" w:eastAsia="Arial" w:hAnsi="Arial"/>
                <w:sz w:val="16"/>
                <w:szCs w:val="16"/>
                <w:color w:val="1E1E1E"/>
                <w:w w:val="98"/>
              </w:rPr>
              <w:t>February 3, 2024</w:t>
            </w:r>
          </w:p>
        </w:tc>
        <w:tc>
          <w:tcPr>
            <w:tcW w:w="240" w:type="dxa"/>
            <w:vAlign w:val="bottom"/>
          </w:tcPr>
          <w:p>
            <w:pPr>
              <w:spacing w:after="0"/>
              <w:rPr>
                <w:sz w:val="17"/>
                <w:szCs w:val="17"/>
                <w:color w:val="auto"/>
              </w:rPr>
            </w:pPr>
          </w:p>
        </w:tc>
        <w:tc>
          <w:tcPr>
            <w:tcW w:w="1520" w:type="dxa"/>
            <w:vAlign w:val="bottom"/>
            <w:gridSpan w:val="3"/>
          </w:tcPr>
          <w:p>
            <w:pPr>
              <w:jc w:val="right"/>
              <w:ind w:right="340"/>
              <w:spacing w:after="0"/>
              <w:rPr>
                <w:sz w:val="20"/>
                <w:szCs w:val="20"/>
                <w:color w:val="auto"/>
              </w:rPr>
            </w:pPr>
            <w:r>
              <w:rPr>
                <w:rFonts w:ascii="Arial" w:cs="Arial" w:eastAsia="Arial" w:hAnsi="Arial"/>
                <w:sz w:val="16"/>
                <w:szCs w:val="16"/>
                <w:color w:val="1E1E1E"/>
                <w:w w:val="93"/>
              </w:rPr>
              <w:t>January 28, 2023</w:t>
            </w:r>
          </w:p>
        </w:tc>
        <w:tc>
          <w:tcPr>
            <w:tcW w:w="1380" w:type="dxa"/>
            <w:vAlign w:val="bottom"/>
            <w:gridSpan w:val="3"/>
          </w:tcPr>
          <w:p>
            <w:pPr>
              <w:ind w:left="100"/>
              <w:spacing w:after="0"/>
              <w:rPr>
                <w:sz w:val="20"/>
                <w:szCs w:val="20"/>
                <w:color w:val="auto"/>
              </w:rPr>
            </w:pPr>
            <w:r>
              <w:rPr>
                <w:rFonts w:ascii="Arial" w:cs="Arial" w:eastAsia="Arial" w:hAnsi="Arial"/>
                <w:sz w:val="16"/>
                <w:szCs w:val="16"/>
                <w:color w:val="1E1E1E"/>
              </w:rPr>
              <w:t>January 29, 2022</w:t>
            </w:r>
          </w:p>
        </w:tc>
        <w:tc>
          <w:tcPr>
            <w:tcW w:w="0" w:type="dxa"/>
            <w:vAlign w:val="bottom"/>
          </w:tcPr>
          <w:p>
            <w:pPr>
              <w:spacing w:after="0"/>
              <w:rPr>
                <w:sz w:val="1"/>
                <w:szCs w:val="1"/>
                <w:color w:val="auto"/>
              </w:rPr>
            </w:pPr>
          </w:p>
        </w:tc>
      </w:tr>
      <w:tr>
        <w:trPr>
          <w:trHeight w:val="219"/>
        </w:trPr>
        <w:tc>
          <w:tcPr>
            <w:tcW w:w="62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1E1E1E"/>
            </w:tcBorders>
          </w:tcPr>
          <w:p>
            <w:pPr>
              <w:spacing w:after="0"/>
              <w:rPr>
                <w:sz w:val="19"/>
                <w:szCs w:val="19"/>
                <w:color w:val="auto"/>
              </w:rPr>
            </w:pPr>
          </w:p>
        </w:tc>
        <w:tc>
          <w:tcPr>
            <w:tcW w:w="860" w:type="dxa"/>
            <w:vAlign w:val="bottom"/>
            <w:tcBorders>
              <w:top w:val="single" w:sz="8" w:color="1E1E1E"/>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1E1E1E"/>
            </w:tcBorders>
          </w:tcPr>
          <w:p>
            <w:pPr>
              <w:spacing w:after="0"/>
              <w:rPr>
                <w:sz w:val="19"/>
                <w:szCs w:val="19"/>
                <w:color w:val="auto"/>
              </w:rPr>
            </w:pPr>
          </w:p>
        </w:tc>
        <w:tc>
          <w:tcPr>
            <w:tcW w:w="880" w:type="dxa"/>
            <w:vAlign w:val="bottom"/>
            <w:tcBorders>
              <w:top w:val="single" w:sz="8" w:color="1E1E1E"/>
            </w:tcBorders>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top w:val="single" w:sz="8" w:color="1E1E1E"/>
            </w:tcBorders>
          </w:tcPr>
          <w:p>
            <w:pPr>
              <w:spacing w:after="0"/>
              <w:rPr>
                <w:sz w:val="19"/>
                <w:szCs w:val="19"/>
                <w:color w:val="auto"/>
              </w:rPr>
            </w:pPr>
          </w:p>
        </w:tc>
        <w:tc>
          <w:tcPr>
            <w:tcW w:w="740" w:type="dxa"/>
            <w:vAlign w:val="bottom"/>
            <w:tcBorders>
              <w:top w:val="single" w:sz="8" w:color="1E1E1E"/>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E4E4E4"/>
          </w:tcPr>
          <w:p>
            <w:pPr>
              <w:spacing w:after="0"/>
              <w:rPr>
                <w:sz w:val="20"/>
                <w:szCs w:val="20"/>
                <w:color w:val="auto"/>
              </w:rPr>
            </w:pPr>
            <w:r>
              <w:rPr>
                <w:rFonts w:ascii="Arial" w:cs="Arial" w:eastAsia="Arial" w:hAnsi="Arial"/>
                <w:sz w:val="20"/>
                <w:szCs w:val="20"/>
                <w:color w:val="1E1E1E"/>
              </w:rPr>
              <w:t>Current:</w:t>
            </w:r>
          </w:p>
        </w:tc>
        <w:tc>
          <w:tcPr>
            <w:tcW w:w="140" w:type="dxa"/>
            <w:vAlign w:val="bottom"/>
            <w:shd w:val="clear" w:color="auto" w:fill="E4E4E4"/>
          </w:tcPr>
          <w:p>
            <w:pPr>
              <w:spacing w:after="0"/>
              <w:rPr>
                <w:sz w:val="20"/>
                <w:szCs w:val="20"/>
                <w:color w:val="auto"/>
              </w:rPr>
            </w:pPr>
          </w:p>
        </w:tc>
        <w:tc>
          <w:tcPr>
            <w:tcW w:w="420" w:type="dxa"/>
            <w:vAlign w:val="bottom"/>
            <w:shd w:val="clear" w:color="auto" w:fill="E4E4E4"/>
          </w:tcPr>
          <w:p>
            <w:pPr>
              <w:spacing w:after="0"/>
              <w:rPr>
                <w:sz w:val="20"/>
                <w:szCs w:val="20"/>
                <w:color w:val="auto"/>
              </w:rPr>
            </w:pPr>
          </w:p>
        </w:tc>
        <w:tc>
          <w:tcPr>
            <w:tcW w:w="8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240" w:type="dxa"/>
            <w:vAlign w:val="bottom"/>
            <w:shd w:val="clear" w:color="auto" w:fill="E4E4E4"/>
          </w:tcPr>
          <w:p>
            <w:pPr>
              <w:spacing w:after="0"/>
              <w:rPr>
                <w:sz w:val="20"/>
                <w:szCs w:val="20"/>
                <w:color w:val="auto"/>
              </w:rPr>
            </w:pPr>
          </w:p>
        </w:tc>
        <w:tc>
          <w:tcPr>
            <w:tcW w:w="380" w:type="dxa"/>
            <w:vAlign w:val="bottom"/>
            <w:shd w:val="clear" w:color="auto" w:fill="E4E4E4"/>
          </w:tcPr>
          <w:p>
            <w:pPr>
              <w:spacing w:after="0"/>
              <w:rPr>
                <w:sz w:val="20"/>
                <w:szCs w:val="20"/>
                <w:color w:val="auto"/>
              </w:rPr>
            </w:pPr>
          </w:p>
        </w:tc>
        <w:tc>
          <w:tcPr>
            <w:tcW w:w="880" w:type="dxa"/>
            <w:vAlign w:val="bottom"/>
            <w:shd w:val="clear" w:color="auto" w:fill="E4E4E4"/>
          </w:tcPr>
          <w:p>
            <w:pPr>
              <w:spacing w:after="0"/>
              <w:rPr>
                <w:sz w:val="20"/>
                <w:szCs w:val="20"/>
                <w:color w:val="auto"/>
              </w:rPr>
            </w:pPr>
          </w:p>
        </w:tc>
        <w:tc>
          <w:tcPr>
            <w:tcW w:w="260" w:type="dxa"/>
            <w:vAlign w:val="bottom"/>
            <w:shd w:val="clear" w:color="auto" w:fill="E4E4E4"/>
          </w:tcPr>
          <w:p>
            <w:pPr>
              <w:spacing w:after="0"/>
              <w:rPr>
                <w:sz w:val="20"/>
                <w:szCs w:val="20"/>
                <w:color w:val="auto"/>
              </w:rPr>
            </w:pPr>
          </w:p>
        </w:tc>
        <w:tc>
          <w:tcPr>
            <w:tcW w:w="540" w:type="dxa"/>
            <w:vAlign w:val="bottom"/>
            <w:shd w:val="clear" w:color="auto" w:fill="E4E4E4"/>
          </w:tcPr>
          <w:p>
            <w:pPr>
              <w:spacing w:after="0"/>
              <w:rPr>
                <w:sz w:val="20"/>
                <w:szCs w:val="20"/>
                <w:color w:val="auto"/>
              </w:rPr>
            </w:pPr>
          </w:p>
        </w:tc>
        <w:tc>
          <w:tcPr>
            <w:tcW w:w="74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100"/>
              <w:spacing w:after="0"/>
              <w:rPr>
                <w:sz w:val="20"/>
                <w:szCs w:val="20"/>
                <w:color w:val="auto"/>
              </w:rPr>
            </w:pPr>
            <w:r>
              <w:rPr>
                <w:rFonts w:ascii="Arial" w:cs="Arial" w:eastAsia="Arial" w:hAnsi="Arial"/>
                <w:sz w:val="20"/>
                <w:szCs w:val="20"/>
                <w:color w:val="1E1E1E"/>
              </w:rPr>
              <w:t>Federal</w:t>
            </w:r>
          </w:p>
        </w:tc>
        <w:tc>
          <w:tcPr>
            <w:tcW w:w="560" w:type="dxa"/>
            <w:vAlign w:val="bottom"/>
            <w:gridSpan w:val="2"/>
          </w:tcPr>
          <w:p>
            <w:pPr>
              <w:jc w:val="right"/>
              <w:ind w:right="230"/>
              <w:spacing w:after="0"/>
              <w:rPr>
                <w:sz w:val="20"/>
                <w:szCs w:val="20"/>
                <w:color w:val="auto"/>
              </w:rPr>
            </w:pPr>
            <w:r>
              <w:rPr>
                <w:rFonts w:ascii="Arial" w:cs="Arial" w:eastAsia="Arial" w:hAnsi="Arial"/>
                <w:sz w:val="20"/>
                <w:szCs w:val="20"/>
                <w:color w:val="1E1E1E"/>
              </w:rPr>
              <w:t>$</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1E1E1E"/>
              </w:rPr>
              <w:t>—</w:t>
            </w:r>
          </w:p>
        </w:tc>
        <w:tc>
          <w:tcPr>
            <w:tcW w:w="620" w:type="dxa"/>
            <w:vAlign w:val="bottom"/>
            <w:gridSpan w:val="2"/>
          </w:tcPr>
          <w:p>
            <w:pPr>
              <w:jc w:val="right"/>
              <w:ind w:right="190"/>
              <w:spacing w:after="0"/>
              <w:rPr>
                <w:sz w:val="20"/>
                <w:szCs w:val="20"/>
                <w:color w:val="auto"/>
              </w:rPr>
            </w:pPr>
            <w:r>
              <w:rPr>
                <w:rFonts w:ascii="Arial" w:cs="Arial" w:eastAsia="Arial" w:hAnsi="Arial"/>
                <w:sz w:val="20"/>
                <w:szCs w:val="20"/>
                <w:color w:val="1E1E1E"/>
              </w:rPr>
              <w:t>$</w:t>
            </w:r>
          </w:p>
        </w:tc>
        <w:tc>
          <w:tcPr>
            <w:tcW w:w="1140" w:type="dxa"/>
            <w:vAlign w:val="bottom"/>
            <w:gridSpan w:val="2"/>
          </w:tcPr>
          <w:p>
            <w:pPr>
              <w:jc w:val="right"/>
              <w:ind w:right="260"/>
              <w:spacing w:after="0"/>
              <w:rPr>
                <w:sz w:val="20"/>
                <w:szCs w:val="20"/>
                <w:color w:val="auto"/>
              </w:rPr>
            </w:pPr>
            <w:r>
              <w:rPr>
                <w:rFonts w:ascii="Arial" w:cs="Arial" w:eastAsia="Arial" w:hAnsi="Arial"/>
                <w:sz w:val="20"/>
                <w:szCs w:val="20"/>
                <w:color w:val="1E1E1E"/>
              </w:rPr>
              <w:t>—</w:t>
            </w:r>
          </w:p>
        </w:tc>
        <w:tc>
          <w:tcPr>
            <w:tcW w:w="540" w:type="dxa"/>
            <w:vAlign w:val="bottom"/>
          </w:tcPr>
          <w:p>
            <w:pPr>
              <w:jc w:val="right"/>
              <w:ind w:right="347"/>
              <w:spacing w:after="0"/>
              <w:rPr>
                <w:sz w:val="20"/>
                <w:szCs w:val="20"/>
                <w:color w:val="auto"/>
              </w:rPr>
            </w:pPr>
            <w:r>
              <w:rPr>
                <w:rFonts w:ascii="Arial" w:cs="Arial" w:eastAsia="Arial" w:hAnsi="Arial"/>
                <w:sz w:val="20"/>
                <w:szCs w:val="20"/>
                <w:color w:val="1E1E1E"/>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20"/>
                <w:szCs w:val="20"/>
                <w:color w:val="1E1E1E"/>
              </w:rPr>
              <w:t>—</w:t>
            </w:r>
          </w:p>
        </w:tc>
        <w:tc>
          <w:tcPr>
            <w:tcW w:w="0" w:type="dxa"/>
            <w:vAlign w:val="bottom"/>
          </w:tcPr>
          <w:p>
            <w:pPr>
              <w:spacing w:after="0"/>
              <w:rPr>
                <w:sz w:val="1"/>
                <w:szCs w:val="1"/>
                <w:color w:val="auto"/>
              </w:rPr>
            </w:pPr>
          </w:p>
        </w:tc>
      </w:tr>
      <w:tr>
        <w:trPr>
          <w:trHeight w:val="230"/>
        </w:trPr>
        <w:tc>
          <w:tcPr>
            <w:tcW w:w="6220" w:type="dxa"/>
            <w:vAlign w:val="bottom"/>
            <w:shd w:val="clear" w:color="auto" w:fill="E4E4E4"/>
          </w:tcPr>
          <w:p>
            <w:pPr>
              <w:ind w:left="100"/>
              <w:spacing w:after="0"/>
              <w:rPr>
                <w:sz w:val="20"/>
                <w:szCs w:val="20"/>
                <w:color w:val="auto"/>
              </w:rPr>
            </w:pPr>
            <w:r>
              <w:rPr>
                <w:rFonts w:ascii="Arial" w:cs="Arial" w:eastAsia="Arial" w:hAnsi="Arial"/>
                <w:sz w:val="20"/>
                <w:szCs w:val="20"/>
                <w:color w:val="1E1E1E"/>
              </w:rPr>
              <w:t>State</w:t>
            </w:r>
          </w:p>
        </w:tc>
        <w:tc>
          <w:tcPr>
            <w:tcW w:w="140" w:type="dxa"/>
            <w:vAlign w:val="bottom"/>
            <w:shd w:val="clear" w:color="auto" w:fill="E4E4E4"/>
          </w:tcPr>
          <w:p>
            <w:pPr>
              <w:spacing w:after="0"/>
              <w:rPr>
                <w:sz w:val="20"/>
                <w:szCs w:val="20"/>
                <w:color w:val="auto"/>
              </w:rPr>
            </w:pPr>
          </w:p>
        </w:tc>
        <w:tc>
          <w:tcPr>
            <w:tcW w:w="420" w:type="dxa"/>
            <w:vAlign w:val="bottom"/>
            <w:shd w:val="clear" w:color="auto" w:fill="E4E4E4"/>
          </w:tcPr>
          <w:p>
            <w:pPr>
              <w:spacing w:after="0"/>
              <w:rPr>
                <w:sz w:val="20"/>
                <w:szCs w:val="20"/>
                <w:color w:val="auto"/>
              </w:rPr>
            </w:pPr>
          </w:p>
        </w:tc>
        <w:tc>
          <w:tcPr>
            <w:tcW w:w="86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1,200</w:t>
            </w:r>
          </w:p>
        </w:tc>
        <w:tc>
          <w:tcPr>
            <w:tcW w:w="20" w:type="dxa"/>
            <w:vAlign w:val="bottom"/>
            <w:shd w:val="clear" w:color="auto" w:fill="E4E4E4"/>
          </w:tcPr>
          <w:p>
            <w:pPr>
              <w:spacing w:after="0"/>
              <w:rPr>
                <w:sz w:val="20"/>
                <w:szCs w:val="20"/>
                <w:color w:val="auto"/>
              </w:rPr>
            </w:pPr>
          </w:p>
        </w:tc>
        <w:tc>
          <w:tcPr>
            <w:tcW w:w="240" w:type="dxa"/>
            <w:vAlign w:val="bottom"/>
            <w:shd w:val="clear" w:color="auto" w:fill="E4E4E4"/>
          </w:tcPr>
          <w:p>
            <w:pPr>
              <w:spacing w:after="0"/>
              <w:rPr>
                <w:sz w:val="20"/>
                <w:szCs w:val="20"/>
                <w:color w:val="auto"/>
              </w:rPr>
            </w:pPr>
          </w:p>
        </w:tc>
        <w:tc>
          <w:tcPr>
            <w:tcW w:w="380" w:type="dxa"/>
            <w:vAlign w:val="bottom"/>
            <w:shd w:val="clear" w:color="auto" w:fill="E4E4E4"/>
          </w:tcPr>
          <w:p>
            <w:pPr>
              <w:spacing w:after="0"/>
              <w:rPr>
                <w:sz w:val="20"/>
                <w:szCs w:val="20"/>
                <w:color w:val="auto"/>
              </w:rPr>
            </w:pPr>
          </w:p>
        </w:tc>
        <w:tc>
          <w:tcPr>
            <w:tcW w:w="88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830</w:t>
            </w:r>
          </w:p>
        </w:tc>
        <w:tc>
          <w:tcPr>
            <w:tcW w:w="260" w:type="dxa"/>
            <w:vAlign w:val="bottom"/>
            <w:shd w:val="clear" w:color="auto" w:fill="E4E4E4"/>
          </w:tcPr>
          <w:p>
            <w:pPr>
              <w:spacing w:after="0"/>
              <w:rPr>
                <w:sz w:val="20"/>
                <w:szCs w:val="20"/>
                <w:color w:val="auto"/>
              </w:rPr>
            </w:pPr>
          </w:p>
        </w:tc>
        <w:tc>
          <w:tcPr>
            <w:tcW w:w="540" w:type="dxa"/>
            <w:vAlign w:val="bottom"/>
            <w:shd w:val="clear" w:color="auto" w:fill="E4E4E4"/>
          </w:tcPr>
          <w:p>
            <w:pPr>
              <w:spacing w:after="0"/>
              <w:rPr>
                <w:sz w:val="20"/>
                <w:szCs w:val="20"/>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912</w:t>
            </w: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20" w:type="dxa"/>
            <w:vAlign w:val="bottom"/>
            <w:tcBorders>
              <w:bottom w:val="single" w:sz="8" w:color="E4E4E4"/>
            </w:tcBorders>
          </w:tcPr>
          <w:p>
            <w:pPr>
              <w:ind w:left="100"/>
              <w:spacing w:after="0"/>
              <w:rPr>
                <w:sz w:val="20"/>
                <w:szCs w:val="20"/>
                <w:color w:val="auto"/>
              </w:rPr>
            </w:pPr>
            <w:r>
              <w:rPr>
                <w:rFonts w:ascii="Arial" w:cs="Arial" w:eastAsia="Arial" w:hAnsi="Arial"/>
                <w:sz w:val="20"/>
                <w:szCs w:val="20"/>
                <w:color w:val="1E1E1E"/>
              </w:rPr>
              <w:t>Foreign</w:t>
            </w:r>
          </w:p>
        </w:tc>
        <w:tc>
          <w:tcPr>
            <w:tcW w:w="140" w:type="dxa"/>
            <w:vAlign w:val="bottom"/>
            <w:tcBorders>
              <w:bottom w:val="single" w:sz="8" w:color="E4E4E4"/>
            </w:tcBorders>
          </w:tcPr>
          <w:p>
            <w:pPr>
              <w:spacing w:after="0"/>
              <w:rPr>
                <w:sz w:val="19"/>
                <w:szCs w:val="19"/>
                <w:color w:val="auto"/>
              </w:rPr>
            </w:pPr>
          </w:p>
        </w:tc>
        <w:tc>
          <w:tcPr>
            <w:tcW w:w="420" w:type="dxa"/>
            <w:vAlign w:val="bottom"/>
            <w:tcBorders>
              <w:bottom w:val="single" w:sz="8" w:color="1E1E1E"/>
            </w:tcBorders>
          </w:tcPr>
          <w:p>
            <w:pPr>
              <w:spacing w:after="0"/>
              <w:rPr>
                <w:sz w:val="19"/>
                <w:szCs w:val="19"/>
                <w:color w:val="auto"/>
              </w:rPr>
            </w:pPr>
          </w:p>
        </w:tc>
        <w:tc>
          <w:tcPr>
            <w:tcW w:w="860" w:type="dxa"/>
            <w:vAlign w:val="bottom"/>
            <w:tcBorders>
              <w:bottom w:val="single" w:sz="8" w:color="1E1E1E"/>
            </w:tcBorders>
          </w:tcPr>
          <w:p>
            <w:pPr>
              <w:jc w:val="right"/>
              <w:spacing w:after="0"/>
              <w:rPr>
                <w:sz w:val="20"/>
                <w:szCs w:val="20"/>
                <w:color w:val="auto"/>
              </w:rPr>
            </w:pPr>
            <w:r>
              <w:rPr>
                <w:rFonts w:ascii="Arial" w:cs="Arial" w:eastAsia="Arial" w:hAnsi="Arial"/>
                <w:sz w:val="20"/>
                <w:szCs w:val="20"/>
                <w:color w:val="1E1E1E"/>
              </w:rPr>
              <w:t>8</w:t>
            </w:r>
          </w:p>
        </w:tc>
        <w:tc>
          <w:tcPr>
            <w:tcW w:w="20" w:type="dxa"/>
            <w:vAlign w:val="bottom"/>
            <w:tcBorders>
              <w:bottom w:val="single" w:sz="8" w:color="E4E4E4"/>
            </w:tcBorders>
          </w:tcPr>
          <w:p>
            <w:pPr>
              <w:spacing w:after="0"/>
              <w:rPr>
                <w:sz w:val="19"/>
                <w:szCs w:val="19"/>
                <w:color w:val="auto"/>
              </w:rPr>
            </w:pPr>
          </w:p>
        </w:tc>
        <w:tc>
          <w:tcPr>
            <w:tcW w:w="240" w:type="dxa"/>
            <w:vAlign w:val="bottom"/>
            <w:tcBorders>
              <w:bottom w:val="single" w:sz="8" w:color="E4E4E4"/>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880" w:type="dxa"/>
            <w:vAlign w:val="bottom"/>
            <w:tcBorders>
              <w:bottom w:val="single" w:sz="8" w:color="1E1E1E"/>
            </w:tcBorders>
          </w:tcPr>
          <w:p>
            <w:pPr>
              <w:jc w:val="right"/>
              <w:spacing w:after="0"/>
              <w:rPr>
                <w:sz w:val="20"/>
                <w:szCs w:val="20"/>
                <w:color w:val="auto"/>
              </w:rPr>
            </w:pPr>
            <w:r>
              <w:rPr>
                <w:rFonts w:ascii="Arial" w:cs="Arial" w:eastAsia="Arial" w:hAnsi="Arial"/>
                <w:sz w:val="20"/>
                <w:szCs w:val="20"/>
                <w:color w:val="1E1E1E"/>
              </w:rPr>
              <w:t>6</w:t>
            </w:r>
          </w:p>
        </w:tc>
        <w:tc>
          <w:tcPr>
            <w:tcW w:w="260" w:type="dxa"/>
            <w:vAlign w:val="bottom"/>
            <w:tcBorders>
              <w:bottom w:val="single" w:sz="8" w:color="E4E4E4"/>
            </w:tcBorders>
          </w:tcPr>
          <w:p>
            <w:pPr>
              <w:spacing w:after="0"/>
              <w:rPr>
                <w:sz w:val="19"/>
                <w:szCs w:val="19"/>
                <w:color w:val="auto"/>
              </w:rPr>
            </w:pPr>
          </w:p>
        </w:tc>
        <w:tc>
          <w:tcPr>
            <w:tcW w:w="540" w:type="dxa"/>
            <w:vAlign w:val="bottom"/>
            <w:tcBorders>
              <w:bottom w:val="single" w:sz="8" w:color="1E1E1E"/>
            </w:tcBorders>
          </w:tcPr>
          <w:p>
            <w:pPr>
              <w:spacing w:after="0"/>
              <w:rPr>
                <w:sz w:val="19"/>
                <w:szCs w:val="19"/>
                <w:color w:val="auto"/>
              </w:rPr>
            </w:pPr>
          </w:p>
        </w:tc>
        <w:tc>
          <w:tcPr>
            <w:tcW w:w="740" w:type="dxa"/>
            <w:vAlign w:val="bottom"/>
            <w:tcBorders>
              <w:bottom w:val="single" w:sz="8" w:color="1E1E1E"/>
            </w:tcBorders>
          </w:tcPr>
          <w:p>
            <w:pPr>
              <w:jc w:val="right"/>
              <w:spacing w:after="0"/>
              <w:rPr>
                <w:sz w:val="20"/>
                <w:szCs w:val="20"/>
                <w:color w:val="auto"/>
              </w:rPr>
            </w:pPr>
            <w:r>
              <w:rPr>
                <w:rFonts w:ascii="Arial" w:cs="Arial" w:eastAsia="Arial" w:hAnsi="Arial"/>
                <w:sz w:val="20"/>
                <w:szCs w:val="20"/>
                <w:color w:val="1E1E1E"/>
              </w:rPr>
              <w:t>5</w:t>
            </w:r>
          </w:p>
        </w:tc>
        <w:tc>
          <w:tcPr>
            <w:tcW w:w="10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420" w:type="dxa"/>
            <w:vAlign w:val="bottom"/>
            <w:shd w:val="clear" w:color="auto" w:fill="E4E4E4"/>
          </w:tcPr>
          <w:p>
            <w:pPr>
              <w:spacing w:after="0"/>
              <w:rPr>
                <w:sz w:val="19"/>
                <w:szCs w:val="19"/>
                <w:color w:val="auto"/>
              </w:rPr>
            </w:pPr>
          </w:p>
        </w:tc>
        <w:tc>
          <w:tcPr>
            <w:tcW w:w="860" w:type="dxa"/>
            <w:vAlign w:val="bottom"/>
            <w:shd w:val="clear" w:color="auto" w:fill="E4E4E4"/>
          </w:tcPr>
          <w:p>
            <w:pPr>
              <w:jc w:val="right"/>
              <w:spacing w:after="0" w:line="221" w:lineRule="exact"/>
              <w:rPr>
                <w:sz w:val="20"/>
                <w:szCs w:val="20"/>
                <w:color w:val="auto"/>
              </w:rPr>
            </w:pPr>
            <w:r>
              <w:rPr>
                <w:rFonts w:ascii="Arial" w:cs="Arial" w:eastAsia="Arial" w:hAnsi="Arial"/>
                <w:sz w:val="20"/>
                <w:szCs w:val="20"/>
                <w:color w:val="1E1E1E"/>
              </w:rPr>
              <w:t>1,208</w:t>
            </w:r>
          </w:p>
        </w:tc>
        <w:tc>
          <w:tcPr>
            <w:tcW w:w="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380" w:type="dxa"/>
            <w:vAlign w:val="bottom"/>
            <w:shd w:val="clear" w:color="auto" w:fill="E4E4E4"/>
          </w:tcPr>
          <w:p>
            <w:pPr>
              <w:spacing w:after="0"/>
              <w:rPr>
                <w:sz w:val="19"/>
                <w:szCs w:val="19"/>
                <w:color w:val="auto"/>
              </w:rPr>
            </w:pPr>
          </w:p>
        </w:tc>
        <w:tc>
          <w:tcPr>
            <w:tcW w:w="880" w:type="dxa"/>
            <w:vAlign w:val="bottom"/>
            <w:shd w:val="clear" w:color="auto" w:fill="E4E4E4"/>
          </w:tcPr>
          <w:p>
            <w:pPr>
              <w:jc w:val="right"/>
              <w:spacing w:after="0" w:line="221" w:lineRule="exact"/>
              <w:rPr>
                <w:sz w:val="20"/>
                <w:szCs w:val="20"/>
                <w:color w:val="auto"/>
              </w:rPr>
            </w:pPr>
            <w:r>
              <w:rPr>
                <w:rFonts w:ascii="Arial" w:cs="Arial" w:eastAsia="Arial" w:hAnsi="Arial"/>
                <w:sz w:val="20"/>
                <w:szCs w:val="20"/>
                <w:color w:val="1E1E1E"/>
              </w:rPr>
              <w:t>836</w:t>
            </w:r>
          </w:p>
        </w:tc>
        <w:tc>
          <w:tcPr>
            <w:tcW w:w="260" w:type="dxa"/>
            <w:vAlign w:val="bottom"/>
            <w:shd w:val="clear" w:color="auto" w:fill="E4E4E4"/>
          </w:tcPr>
          <w:p>
            <w:pPr>
              <w:spacing w:after="0"/>
              <w:rPr>
                <w:sz w:val="19"/>
                <w:szCs w:val="19"/>
                <w:color w:val="auto"/>
              </w:rPr>
            </w:pPr>
          </w:p>
        </w:tc>
        <w:tc>
          <w:tcPr>
            <w:tcW w:w="540" w:type="dxa"/>
            <w:vAlign w:val="bottom"/>
            <w:shd w:val="clear" w:color="auto" w:fill="E4E4E4"/>
          </w:tcPr>
          <w:p>
            <w:pPr>
              <w:spacing w:after="0"/>
              <w:rPr>
                <w:sz w:val="19"/>
                <w:szCs w:val="19"/>
                <w:color w:val="auto"/>
              </w:rPr>
            </w:pPr>
          </w:p>
        </w:tc>
        <w:tc>
          <w:tcPr>
            <w:tcW w:w="740" w:type="dxa"/>
            <w:vAlign w:val="bottom"/>
            <w:shd w:val="clear" w:color="auto" w:fill="E4E4E4"/>
          </w:tcPr>
          <w:p>
            <w:pPr>
              <w:jc w:val="right"/>
              <w:spacing w:after="0" w:line="221" w:lineRule="exact"/>
              <w:rPr>
                <w:sz w:val="20"/>
                <w:szCs w:val="20"/>
                <w:color w:val="auto"/>
              </w:rPr>
            </w:pPr>
            <w:r>
              <w:rPr>
                <w:rFonts w:ascii="Arial" w:cs="Arial" w:eastAsia="Arial" w:hAnsi="Arial"/>
                <w:sz w:val="20"/>
                <w:szCs w:val="20"/>
                <w:color w:val="1E1E1E"/>
              </w:rPr>
              <w:t>917</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20"/>
                <w:szCs w:val="20"/>
                <w:color w:val="1E1E1E"/>
              </w:rPr>
              <w:t>Deferred:</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220" w:type="dxa"/>
            <w:vAlign w:val="bottom"/>
            <w:shd w:val="clear" w:color="auto" w:fill="E4E4E4"/>
          </w:tcPr>
          <w:p>
            <w:pPr>
              <w:ind w:left="100"/>
              <w:spacing w:after="0" w:line="228" w:lineRule="exact"/>
              <w:rPr>
                <w:sz w:val="20"/>
                <w:szCs w:val="20"/>
                <w:color w:val="auto"/>
              </w:rPr>
            </w:pPr>
            <w:r>
              <w:rPr>
                <w:rFonts w:ascii="Arial" w:cs="Arial" w:eastAsia="Arial" w:hAnsi="Arial"/>
                <w:sz w:val="20"/>
                <w:szCs w:val="20"/>
                <w:color w:val="1E1E1E"/>
              </w:rPr>
              <w:t>Federal</w:t>
            </w:r>
          </w:p>
        </w:tc>
        <w:tc>
          <w:tcPr>
            <w:tcW w:w="140" w:type="dxa"/>
            <w:vAlign w:val="bottom"/>
            <w:shd w:val="clear" w:color="auto" w:fill="E4E4E4"/>
          </w:tcPr>
          <w:p>
            <w:pPr>
              <w:spacing w:after="0"/>
              <w:rPr>
                <w:sz w:val="19"/>
                <w:szCs w:val="19"/>
                <w:color w:val="auto"/>
              </w:rPr>
            </w:pPr>
          </w:p>
        </w:tc>
        <w:tc>
          <w:tcPr>
            <w:tcW w:w="420" w:type="dxa"/>
            <w:vAlign w:val="bottom"/>
            <w:shd w:val="clear" w:color="auto" w:fill="E4E4E4"/>
          </w:tcPr>
          <w:p>
            <w:pPr>
              <w:spacing w:after="0"/>
              <w:rPr>
                <w:sz w:val="19"/>
                <w:szCs w:val="19"/>
                <w:color w:val="auto"/>
              </w:rPr>
            </w:pPr>
          </w:p>
        </w:tc>
        <w:tc>
          <w:tcPr>
            <w:tcW w:w="860" w:type="dxa"/>
            <w:vAlign w:val="bottom"/>
            <w:shd w:val="clear" w:color="auto" w:fill="E4E4E4"/>
          </w:tcPr>
          <w:p>
            <w:pPr>
              <w:jc w:val="right"/>
              <w:spacing w:after="0" w:line="228" w:lineRule="exact"/>
              <w:rPr>
                <w:sz w:val="20"/>
                <w:szCs w:val="20"/>
                <w:color w:val="auto"/>
              </w:rPr>
            </w:pPr>
            <w:r>
              <w:rPr>
                <w:rFonts w:ascii="Arial" w:cs="Arial" w:eastAsia="Arial" w:hAnsi="Arial"/>
                <w:sz w:val="20"/>
                <w:szCs w:val="20"/>
                <w:color w:val="1E1E1E"/>
              </w:rPr>
              <w:t>7,911</w:t>
            </w:r>
          </w:p>
        </w:tc>
        <w:tc>
          <w:tcPr>
            <w:tcW w:w="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380" w:type="dxa"/>
            <w:vAlign w:val="bottom"/>
            <w:shd w:val="clear" w:color="auto" w:fill="E4E4E4"/>
          </w:tcPr>
          <w:p>
            <w:pPr>
              <w:spacing w:after="0"/>
              <w:rPr>
                <w:sz w:val="19"/>
                <w:szCs w:val="19"/>
                <w:color w:val="auto"/>
              </w:rPr>
            </w:pPr>
          </w:p>
        </w:tc>
        <w:tc>
          <w:tcPr>
            <w:tcW w:w="1140" w:type="dxa"/>
            <w:vAlign w:val="bottom"/>
            <w:gridSpan w:val="2"/>
            <w:shd w:val="clear" w:color="auto" w:fill="E4E4E4"/>
          </w:tcPr>
          <w:p>
            <w:pPr>
              <w:jc w:val="right"/>
              <w:ind w:right="180"/>
              <w:spacing w:after="0" w:line="228" w:lineRule="exact"/>
              <w:rPr>
                <w:sz w:val="20"/>
                <w:szCs w:val="20"/>
                <w:color w:val="auto"/>
              </w:rPr>
            </w:pPr>
            <w:r>
              <w:rPr>
                <w:rFonts w:ascii="Arial" w:cs="Arial" w:eastAsia="Arial" w:hAnsi="Arial"/>
                <w:sz w:val="20"/>
                <w:szCs w:val="20"/>
                <w:color w:val="1E1E1E"/>
              </w:rPr>
              <w:t>(24,794)</w:t>
            </w:r>
          </w:p>
        </w:tc>
        <w:tc>
          <w:tcPr>
            <w:tcW w:w="540" w:type="dxa"/>
            <w:vAlign w:val="bottom"/>
            <w:shd w:val="clear" w:color="auto" w:fill="E4E4E4"/>
          </w:tcPr>
          <w:p>
            <w:pPr>
              <w:spacing w:after="0"/>
              <w:rPr>
                <w:sz w:val="19"/>
                <w:szCs w:val="19"/>
                <w:color w:val="auto"/>
              </w:rPr>
            </w:pPr>
          </w:p>
        </w:tc>
        <w:tc>
          <w:tcPr>
            <w:tcW w:w="840" w:type="dxa"/>
            <w:vAlign w:val="bottom"/>
            <w:gridSpan w:val="2"/>
            <w:shd w:val="clear" w:color="auto" w:fill="E4E4E4"/>
          </w:tcPr>
          <w:p>
            <w:pPr>
              <w:jc w:val="right"/>
              <w:ind w:right="100"/>
              <w:spacing w:after="0" w:line="228" w:lineRule="exact"/>
              <w:rPr>
                <w:sz w:val="20"/>
                <w:szCs w:val="20"/>
                <w:color w:val="auto"/>
              </w:rPr>
            </w:pPr>
            <w:r>
              <w:rPr>
                <w:rFonts w:ascii="Arial" w:cs="Arial" w:eastAsia="Arial" w:hAnsi="Arial"/>
                <w:sz w:val="20"/>
                <w:szCs w:val="20"/>
                <w:color w:val="1E1E1E"/>
              </w:rPr>
              <w:t>—</w:t>
            </w:r>
          </w:p>
        </w:tc>
        <w:tc>
          <w:tcPr>
            <w:tcW w:w="0" w:type="dxa"/>
            <w:vAlign w:val="bottom"/>
          </w:tcPr>
          <w:p>
            <w:pPr>
              <w:spacing w:after="0"/>
              <w:rPr>
                <w:sz w:val="1"/>
                <w:szCs w:val="1"/>
                <w:color w:val="auto"/>
              </w:rPr>
            </w:pPr>
          </w:p>
        </w:tc>
      </w:tr>
      <w:tr>
        <w:trPr>
          <w:trHeight w:val="230"/>
        </w:trPr>
        <w:tc>
          <w:tcPr>
            <w:tcW w:w="6220" w:type="dxa"/>
            <w:vAlign w:val="bottom"/>
          </w:tcPr>
          <w:p>
            <w:pPr>
              <w:ind w:left="100"/>
              <w:spacing w:after="0"/>
              <w:rPr>
                <w:sz w:val="20"/>
                <w:szCs w:val="20"/>
                <w:color w:val="auto"/>
              </w:rPr>
            </w:pPr>
            <w:r>
              <w:rPr>
                <w:rFonts w:ascii="Arial" w:cs="Arial" w:eastAsia="Arial" w:hAnsi="Arial"/>
                <w:sz w:val="20"/>
                <w:szCs w:val="20"/>
                <w:color w:val="1E1E1E"/>
              </w:rPr>
              <w:t>State</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1E1E1E"/>
              </w:rPr>
              <w:t>1,418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20"/>
                <w:szCs w:val="20"/>
                <w:color w:val="1E1E1E"/>
              </w:rPr>
              <w:t>(6,830)</w:t>
            </w:r>
          </w:p>
        </w:tc>
        <w:tc>
          <w:tcPr>
            <w:tcW w:w="5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20"/>
                <w:szCs w:val="20"/>
                <w:color w:val="1E1E1E"/>
              </w:rPr>
              <w:t>—</w:t>
            </w:r>
          </w:p>
        </w:tc>
        <w:tc>
          <w:tcPr>
            <w:tcW w:w="0" w:type="dxa"/>
            <w:vAlign w:val="bottom"/>
          </w:tcPr>
          <w:p>
            <w:pPr>
              <w:spacing w:after="0"/>
              <w:rPr>
                <w:sz w:val="1"/>
                <w:szCs w:val="1"/>
                <w:color w:val="auto"/>
              </w:rPr>
            </w:pPr>
          </w:p>
        </w:tc>
      </w:tr>
      <w:tr>
        <w:trPr>
          <w:trHeight w:val="231"/>
        </w:trPr>
        <w:tc>
          <w:tcPr>
            <w:tcW w:w="6220" w:type="dxa"/>
            <w:vAlign w:val="bottom"/>
            <w:shd w:val="clear" w:color="auto" w:fill="E4E4E4"/>
          </w:tcPr>
          <w:p>
            <w:pPr>
              <w:ind w:left="100"/>
              <w:spacing w:after="0"/>
              <w:rPr>
                <w:sz w:val="20"/>
                <w:szCs w:val="20"/>
                <w:color w:val="auto"/>
              </w:rPr>
            </w:pPr>
            <w:r>
              <w:rPr>
                <w:rFonts w:ascii="Arial" w:cs="Arial" w:eastAsia="Arial" w:hAnsi="Arial"/>
                <w:sz w:val="20"/>
                <w:szCs w:val="20"/>
                <w:color w:val="1E1E1E"/>
              </w:rPr>
              <w:t>Foreign</w:t>
            </w:r>
          </w:p>
        </w:tc>
        <w:tc>
          <w:tcPr>
            <w:tcW w:w="140" w:type="dxa"/>
            <w:vAlign w:val="bottom"/>
            <w:shd w:val="clear" w:color="auto" w:fill="E4E4E4"/>
          </w:tcPr>
          <w:p>
            <w:pPr>
              <w:spacing w:after="0"/>
              <w:rPr>
                <w:sz w:val="20"/>
                <w:szCs w:val="20"/>
                <w:color w:val="auto"/>
              </w:rPr>
            </w:pPr>
          </w:p>
        </w:tc>
        <w:tc>
          <w:tcPr>
            <w:tcW w:w="420" w:type="dxa"/>
            <w:vAlign w:val="bottom"/>
            <w:shd w:val="clear" w:color="auto" w:fill="E4E4E4"/>
          </w:tcPr>
          <w:p>
            <w:pPr>
              <w:spacing w:after="0"/>
              <w:rPr>
                <w:sz w:val="20"/>
                <w:szCs w:val="20"/>
                <w:color w:val="auto"/>
              </w:rPr>
            </w:pPr>
          </w:p>
        </w:tc>
        <w:tc>
          <w:tcPr>
            <w:tcW w:w="880" w:type="dxa"/>
            <w:vAlign w:val="bottom"/>
            <w:gridSpan w:val="2"/>
            <w:shd w:val="clear" w:color="auto" w:fill="E4E4E4"/>
          </w:tcPr>
          <w:p>
            <w:pPr>
              <w:jc w:val="right"/>
              <w:ind w:right="20"/>
              <w:spacing w:after="0"/>
              <w:rPr>
                <w:sz w:val="20"/>
                <w:szCs w:val="20"/>
                <w:color w:val="auto"/>
              </w:rPr>
            </w:pPr>
            <w:r>
              <w:rPr>
                <w:rFonts w:ascii="Arial" w:cs="Arial" w:eastAsia="Arial" w:hAnsi="Arial"/>
                <w:sz w:val="20"/>
                <w:szCs w:val="20"/>
                <w:color w:val="1E1E1E"/>
              </w:rPr>
              <w:t>—</w:t>
            </w:r>
          </w:p>
        </w:tc>
        <w:tc>
          <w:tcPr>
            <w:tcW w:w="240" w:type="dxa"/>
            <w:vAlign w:val="bottom"/>
            <w:shd w:val="clear" w:color="auto" w:fill="E4E4E4"/>
          </w:tcPr>
          <w:p>
            <w:pPr>
              <w:spacing w:after="0"/>
              <w:rPr>
                <w:sz w:val="20"/>
                <w:szCs w:val="20"/>
                <w:color w:val="auto"/>
              </w:rPr>
            </w:pPr>
          </w:p>
        </w:tc>
        <w:tc>
          <w:tcPr>
            <w:tcW w:w="380" w:type="dxa"/>
            <w:vAlign w:val="bottom"/>
            <w:shd w:val="clear" w:color="auto" w:fill="E4E4E4"/>
          </w:tcPr>
          <w:p>
            <w:pPr>
              <w:spacing w:after="0"/>
              <w:rPr>
                <w:sz w:val="20"/>
                <w:szCs w:val="20"/>
                <w:color w:val="auto"/>
              </w:rPr>
            </w:pPr>
          </w:p>
        </w:tc>
        <w:tc>
          <w:tcPr>
            <w:tcW w:w="1140" w:type="dxa"/>
            <w:vAlign w:val="bottom"/>
            <w:gridSpan w:val="2"/>
            <w:shd w:val="clear" w:color="auto" w:fill="E4E4E4"/>
          </w:tcPr>
          <w:p>
            <w:pPr>
              <w:jc w:val="right"/>
              <w:ind w:right="260"/>
              <w:spacing w:after="0"/>
              <w:rPr>
                <w:sz w:val="20"/>
                <w:szCs w:val="20"/>
                <w:color w:val="auto"/>
              </w:rPr>
            </w:pPr>
            <w:r>
              <w:rPr>
                <w:rFonts w:ascii="Arial" w:cs="Arial" w:eastAsia="Arial" w:hAnsi="Arial"/>
                <w:sz w:val="20"/>
                <w:szCs w:val="20"/>
                <w:color w:val="1E1E1E"/>
              </w:rPr>
              <w:t>—</w:t>
            </w:r>
          </w:p>
        </w:tc>
        <w:tc>
          <w:tcPr>
            <w:tcW w:w="540" w:type="dxa"/>
            <w:vAlign w:val="bottom"/>
            <w:shd w:val="clear" w:color="auto" w:fill="E4E4E4"/>
          </w:tcPr>
          <w:p>
            <w:pPr>
              <w:spacing w:after="0"/>
              <w:rPr>
                <w:sz w:val="20"/>
                <w:szCs w:val="20"/>
                <w:color w:val="auto"/>
              </w:rPr>
            </w:pPr>
          </w:p>
        </w:tc>
        <w:tc>
          <w:tcPr>
            <w:tcW w:w="840" w:type="dxa"/>
            <w:vAlign w:val="bottom"/>
            <w:gridSpan w:val="2"/>
            <w:shd w:val="clear" w:color="auto" w:fill="E4E4E4"/>
          </w:tcPr>
          <w:p>
            <w:pPr>
              <w:jc w:val="right"/>
              <w:ind w:right="100"/>
              <w:spacing w:after="0"/>
              <w:rPr>
                <w:sz w:val="20"/>
                <w:szCs w:val="20"/>
                <w:color w:val="auto"/>
              </w:rPr>
            </w:pPr>
            <w:r>
              <w:rPr>
                <w:rFonts w:ascii="Arial" w:cs="Arial" w:eastAsia="Arial" w:hAnsi="Arial"/>
                <w:sz w:val="20"/>
                <w:szCs w:val="20"/>
                <w:color w:val="1E1E1E"/>
              </w:rPr>
              <w:t>—</w:t>
            </w:r>
          </w:p>
        </w:tc>
        <w:tc>
          <w:tcPr>
            <w:tcW w:w="0" w:type="dxa"/>
            <w:vAlign w:val="bottom"/>
          </w:tcPr>
          <w:p>
            <w:pPr>
              <w:spacing w:after="0"/>
              <w:rPr>
                <w:sz w:val="1"/>
                <w:szCs w:val="1"/>
                <w:color w:val="auto"/>
              </w:rPr>
            </w:pPr>
          </w:p>
        </w:tc>
      </w:tr>
      <w:tr>
        <w:trPr>
          <w:trHeight w:val="219"/>
        </w:trPr>
        <w:tc>
          <w:tcPr>
            <w:tcW w:w="6220" w:type="dxa"/>
            <w:vAlign w:val="bottom"/>
            <w:tcBorders>
              <w:bottom w:val="single" w:sz="8" w:color="E4E4E4"/>
            </w:tcBorders>
          </w:tcPr>
          <w:p>
            <w:pPr>
              <w:spacing w:after="0"/>
              <w:rPr>
                <w:sz w:val="19"/>
                <w:szCs w:val="19"/>
                <w:color w:val="auto"/>
              </w:rPr>
            </w:pPr>
          </w:p>
        </w:tc>
        <w:tc>
          <w:tcPr>
            <w:tcW w:w="140" w:type="dxa"/>
            <w:vAlign w:val="bottom"/>
            <w:tcBorders>
              <w:bottom w:val="single" w:sz="8" w:color="E4E4E4"/>
            </w:tcBorders>
          </w:tcPr>
          <w:p>
            <w:pPr>
              <w:spacing w:after="0"/>
              <w:rPr>
                <w:sz w:val="19"/>
                <w:szCs w:val="19"/>
                <w:color w:val="auto"/>
              </w:rPr>
            </w:pPr>
          </w:p>
        </w:tc>
        <w:tc>
          <w:tcPr>
            <w:tcW w:w="420" w:type="dxa"/>
            <w:vAlign w:val="bottom"/>
            <w:tcBorders>
              <w:top w:val="single" w:sz="8" w:color="1E1E1E"/>
              <w:bottom w:val="single" w:sz="8" w:color="1E1E1E"/>
            </w:tcBorders>
          </w:tcPr>
          <w:p>
            <w:pPr>
              <w:spacing w:after="0"/>
              <w:rPr>
                <w:sz w:val="19"/>
                <w:szCs w:val="19"/>
                <w:color w:val="auto"/>
              </w:rPr>
            </w:pPr>
          </w:p>
        </w:tc>
        <w:tc>
          <w:tcPr>
            <w:tcW w:w="860" w:type="dxa"/>
            <w:vAlign w:val="bottom"/>
            <w:tcBorders>
              <w:top w:val="single" w:sz="8" w:color="1E1E1E"/>
              <w:bottom w:val="single" w:sz="8" w:color="1E1E1E"/>
            </w:tcBorders>
          </w:tcPr>
          <w:p>
            <w:pPr>
              <w:jc w:val="right"/>
              <w:spacing w:after="0" w:line="219" w:lineRule="exact"/>
              <w:rPr>
                <w:sz w:val="20"/>
                <w:szCs w:val="20"/>
                <w:color w:val="auto"/>
              </w:rPr>
            </w:pPr>
            <w:r>
              <w:rPr>
                <w:rFonts w:ascii="Arial" w:cs="Arial" w:eastAsia="Arial" w:hAnsi="Arial"/>
                <w:sz w:val="20"/>
                <w:szCs w:val="20"/>
                <w:color w:val="1E1E1E"/>
              </w:rPr>
              <w:t>9,329</w:t>
            </w:r>
          </w:p>
        </w:tc>
        <w:tc>
          <w:tcPr>
            <w:tcW w:w="20" w:type="dxa"/>
            <w:vAlign w:val="bottom"/>
            <w:tcBorders>
              <w:bottom w:val="single" w:sz="8" w:color="E4E4E4"/>
            </w:tcBorders>
          </w:tcPr>
          <w:p>
            <w:pPr>
              <w:spacing w:after="0"/>
              <w:rPr>
                <w:sz w:val="19"/>
                <w:szCs w:val="19"/>
                <w:color w:val="auto"/>
              </w:rPr>
            </w:pPr>
          </w:p>
        </w:tc>
        <w:tc>
          <w:tcPr>
            <w:tcW w:w="240" w:type="dxa"/>
            <w:vAlign w:val="bottom"/>
            <w:tcBorders>
              <w:bottom w:val="single" w:sz="8" w:color="E4E4E4"/>
            </w:tcBorders>
          </w:tcPr>
          <w:p>
            <w:pPr>
              <w:spacing w:after="0"/>
              <w:rPr>
                <w:sz w:val="19"/>
                <w:szCs w:val="19"/>
                <w:color w:val="auto"/>
              </w:rPr>
            </w:pPr>
          </w:p>
        </w:tc>
        <w:tc>
          <w:tcPr>
            <w:tcW w:w="380" w:type="dxa"/>
            <w:vAlign w:val="bottom"/>
            <w:tcBorders>
              <w:top w:val="single" w:sz="8" w:color="1E1E1E"/>
              <w:bottom w:val="single" w:sz="8" w:color="1E1E1E"/>
            </w:tcBorders>
          </w:tcPr>
          <w:p>
            <w:pPr>
              <w:spacing w:after="0"/>
              <w:rPr>
                <w:sz w:val="19"/>
                <w:szCs w:val="19"/>
                <w:color w:val="auto"/>
              </w:rPr>
            </w:pPr>
          </w:p>
        </w:tc>
        <w:tc>
          <w:tcPr>
            <w:tcW w:w="880" w:type="dxa"/>
            <w:vAlign w:val="bottom"/>
            <w:tcBorders>
              <w:top w:val="single" w:sz="8" w:color="1E1E1E"/>
              <w:bottom w:val="single" w:sz="8" w:color="1E1E1E"/>
            </w:tcBorders>
          </w:tcPr>
          <w:p>
            <w:pPr>
              <w:jc w:val="right"/>
              <w:spacing w:after="0" w:line="219" w:lineRule="exact"/>
              <w:rPr>
                <w:sz w:val="20"/>
                <w:szCs w:val="20"/>
                <w:color w:val="auto"/>
              </w:rPr>
            </w:pPr>
            <w:r>
              <w:rPr>
                <w:rFonts w:ascii="Arial" w:cs="Arial" w:eastAsia="Arial" w:hAnsi="Arial"/>
                <w:sz w:val="20"/>
                <w:szCs w:val="20"/>
                <w:color w:val="1E1E1E"/>
              </w:rPr>
              <w:t>(31,624)</w:t>
            </w:r>
          </w:p>
        </w:tc>
        <w:tc>
          <w:tcPr>
            <w:tcW w:w="260" w:type="dxa"/>
            <w:vAlign w:val="bottom"/>
            <w:tcBorders>
              <w:bottom w:val="single" w:sz="8" w:color="E4E4E4"/>
            </w:tcBorders>
          </w:tcPr>
          <w:p>
            <w:pPr>
              <w:spacing w:after="0"/>
              <w:rPr>
                <w:sz w:val="19"/>
                <w:szCs w:val="19"/>
                <w:color w:val="auto"/>
              </w:rPr>
            </w:pPr>
          </w:p>
        </w:tc>
        <w:tc>
          <w:tcPr>
            <w:tcW w:w="540" w:type="dxa"/>
            <w:vAlign w:val="bottom"/>
            <w:tcBorders>
              <w:top w:val="single" w:sz="8" w:color="1E1E1E"/>
              <w:bottom w:val="single" w:sz="8" w:color="1E1E1E"/>
            </w:tcBorders>
          </w:tcPr>
          <w:p>
            <w:pPr>
              <w:spacing w:after="0"/>
              <w:rPr>
                <w:sz w:val="19"/>
                <w:szCs w:val="19"/>
                <w:color w:val="auto"/>
              </w:rPr>
            </w:pPr>
          </w:p>
        </w:tc>
        <w:tc>
          <w:tcPr>
            <w:tcW w:w="740" w:type="dxa"/>
            <w:vAlign w:val="bottom"/>
            <w:tcBorders>
              <w:top w:val="single" w:sz="8" w:color="1E1E1E"/>
              <w:bottom w:val="single" w:sz="8" w:color="1E1E1E"/>
            </w:tcBorders>
          </w:tcPr>
          <w:p>
            <w:pPr>
              <w:jc w:val="right"/>
              <w:spacing w:after="0" w:line="219" w:lineRule="exact"/>
              <w:rPr>
                <w:sz w:val="20"/>
                <w:szCs w:val="20"/>
                <w:color w:val="auto"/>
              </w:rPr>
            </w:pPr>
            <w:r>
              <w:rPr>
                <w:rFonts w:ascii="Arial" w:cs="Arial" w:eastAsia="Arial" w:hAnsi="Arial"/>
                <w:sz w:val="20"/>
                <w:szCs w:val="20"/>
                <w:color w:val="1E1E1E"/>
              </w:rPr>
              <w:t>—</w:t>
            </w:r>
          </w:p>
        </w:tc>
        <w:tc>
          <w:tcPr>
            <w:tcW w:w="10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220" w:type="dxa"/>
            <w:vAlign w:val="bottom"/>
            <w:shd w:val="clear" w:color="auto" w:fill="E4E4E4"/>
          </w:tcPr>
          <w:p>
            <w:pPr>
              <w:spacing w:after="0" w:line="223" w:lineRule="exact"/>
              <w:rPr>
                <w:sz w:val="20"/>
                <w:szCs w:val="20"/>
                <w:color w:val="auto"/>
              </w:rPr>
            </w:pPr>
            <w:r>
              <w:rPr>
                <w:rFonts w:ascii="Arial" w:cs="Arial" w:eastAsia="Arial" w:hAnsi="Arial"/>
                <w:sz w:val="20"/>
                <w:szCs w:val="20"/>
                <w:color w:val="1E1E1E"/>
              </w:rPr>
              <w:t>Total provision (benefit)</w:t>
            </w:r>
          </w:p>
        </w:tc>
        <w:tc>
          <w:tcPr>
            <w:tcW w:w="140" w:type="dxa"/>
            <w:vAlign w:val="bottom"/>
            <w:shd w:val="clear" w:color="auto" w:fill="E4E4E4"/>
          </w:tcPr>
          <w:p>
            <w:pPr>
              <w:spacing w:after="0"/>
              <w:rPr>
                <w:sz w:val="19"/>
                <w:szCs w:val="19"/>
                <w:color w:val="auto"/>
              </w:rPr>
            </w:pPr>
          </w:p>
        </w:tc>
        <w:tc>
          <w:tcPr>
            <w:tcW w:w="420" w:type="dxa"/>
            <w:vAlign w:val="bottom"/>
            <w:shd w:val="clear" w:color="auto" w:fill="E4E4E4"/>
          </w:tcPr>
          <w:p>
            <w:pPr>
              <w:jc w:val="right"/>
              <w:ind w:right="230"/>
              <w:spacing w:after="0" w:line="223" w:lineRule="exact"/>
              <w:rPr>
                <w:sz w:val="20"/>
                <w:szCs w:val="20"/>
                <w:color w:val="auto"/>
              </w:rPr>
            </w:pPr>
            <w:r>
              <w:rPr>
                <w:rFonts w:ascii="Arial" w:cs="Arial" w:eastAsia="Arial" w:hAnsi="Arial"/>
                <w:sz w:val="20"/>
                <w:szCs w:val="20"/>
                <w:color w:val="1E1E1E"/>
                <w:w w:val="71"/>
              </w:rPr>
              <w:t>$</w:t>
            </w:r>
          </w:p>
        </w:tc>
        <w:tc>
          <w:tcPr>
            <w:tcW w:w="860" w:type="dxa"/>
            <w:vAlign w:val="bottom"/>
            <w:shd w:val="clear" w:color="auto" w:fill="E4E4E4"/>
          </w:tcPr>
          <w:p>
            <w:pPr>
              <w:jc w:val="right"/>
              <w:spacing w:after="0" w:line="223" w:lineRule="exact"/>
              <w:rPr>
                <w:sz w:val="20"/>
                <w:szCs w:val="20"/>
                <w:color w:val="auto"/>
              </w:rPr>
            </w:pPr>
            <w:r>
              <w:rPr>
                <w:rFonts w:ascii="Arial" w:cs="Arial" w:eastAsia="Arial" w:hAnsi="Arial"/>
                <w:sz w:val="20"/>
                <w:szCs w:val="20"/>
                <w:color w:val="1E1E1E"/>
              </w:rPr>
              <w:t>10,537</w:t>
            </w:r>
          </w:p>
        </w:tc>
        <w:tc>
          <w:tcPr>
            <w:tcW w:w="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380" w:type="dxa"/>
            <w:vAlign w:val="bottom"/>
            <w:shd w:val="clear" w:color="auto" w:fill="E4E4E4"/>
          </w:tcPr>
          <w:p>
            <w:pPr>
              <w:jc w:val="right"/>
              <w:ind w:right="190"/>
              <w:spacing w:after="0" w:line="223" w:lineRule="exact"/>
              <w:rPr>
                <w:sz w:val="20"/>
                <w:szCs w:val="20"/>
                <w:color w:val="auto"/>
              </w:rPr>
            </w:pPr>
            <w:r>
              <w:rPr>
                <w:rFonts w:ascii="Arial" w:cs="Arial" w:eastAsia="Arial" w:hAnsi="Arial"/>
                <w:sz w:val="20"/>
                <w:szCs w:val="20"/>
                <w:color w:val="1E1E1E"/>
                <w:w w:val="71"/>
              </w:rPr>
              <w:t>$</w:t>
            </w:r>
          </w:p>
        </w:tc>
        <w:tc>
          <w:tcPr>
            <w:tcW w:w="880" w:type="dxa"/>
            <w:vAlign w:val="bottom"/>
            <w:shd w:val="clear" w:color="auto" w:fill="E4E4E4"/>
          </w:tcPr>
          <w:p>
            <w:pPr>
              <w:jc w:val="right"/>
              <w:spacing w:after="0" w:line="223" w:lineRule="exact"/>
              <w:rPr>
                <w:sz w:val="20"/>
                <w:szCs w:val="20"/>
                <w:color w:val="auto"/>
              </w:rPr>
            </w:pPr>
            <w:r>
              <w:rPr>
                <w:rFonts w:ascii="Arial" w:cs="Arial" w:eastAsia="Arial" w:hAnsi="Arial"/>
                <w:sz w:val="20"/>
                <w:szCs w:val="20"/>
                <w:color w:val="1E1E1E"/>
              </w:rPr>
              <w:t>(30,788)</w:t>
            </w:r>
          </w:p>
        </w:tc>
        <w:tc>
          <w:tcPr>
            <w:tcW w:w="260" w:type="dxa"/>
            <w:vAlign w:val="bottom"/>
            <w:shd w:val="clear" w:color="auto" w:fill="E4E4E4"/>
          </w:tcPr>
          <w:p>
            <w:pPr>
              <w:spacing w:after="0"/>
              <w:rPr>
                <w:sz w:val="19"/>
                <w:szCs w:val="19"/>
                <w:color w:val="auto"/>
              </w:rPr>
            </w:pPr>
          </w:p>
        </w:tc>
        <w:tc>
          <w:tcPr>
            <w:tcW w:w="540" w:type="dxa"/>
            <w:vAlign w:val="bottom"/>
            <w:shd w:val="clear" w:color="auto" w:fill="E4E4E4"/>
          </w:tcPr>
          <w:p>
            <w:pPr>
              <w:jc w:val="right"/>
              <w:ind w:right="347"/>
              <w:spacing w:after="0" w:line="223" w:lineRule="exact"/>
              <w:rPr>
                <w:sz w:val="20"/>
                <w:szCs w:val="20"/>
                <w:color w:val="auto"/>
              </w:rPr>
            </w:pPr>
            <w:r>
              <w:rPr>
                <w:rFonts w:ascii="Arial" w:cs="Arial" w:eastAsia="Arial" w:hAnsi="Arial"/>
                <w:sz w:val="20"/>
                <w:szCs w:val="20"/>
                <w:color w:val="1E1E1E"/>
                <w:w w:val="71"/>
              </w:rPr>
              <w:t>$</w:t>
            </w:r>
          </w:p>
        </w:tc>
        <w:tc>
          <w:tcPr>
            <w:tcW w:w="740" w:type="dxa"/>
            <w:vAlign w:val="bottom"/>
            <w:shd w:val="clear" w:color="auto" w:fill="E4E4E4"/>
          </w:tcPr>
          <w:p>
            <w:pPr>
              <w:jc w:val="right"/>
              <w:spacing w:after="0" w:line="223" w:lineRule="exact"/>
              <w:rPr>
                <w:sz w:val="20"/>
                <w:szCs w:val="20"/>
                <w:color w:val="auto"/>
              </w:rPr>
            </w:pPr>
            <w:r>
              <w:rPr>
                <w:rFonts w:ascii="Arial" w:cs="Arial" w:eastAsia="Arial" w:hAnsi="Arial"/>
                <w:sz w:val="20"/>
                <w:szCs w:val="20"/>
                <w:color w:val="1E1E1E"/>
              </w:rPr>
              <w:t>917</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4023360</wp:posOffset>
            </wp:positionH>
            <wp:positionV relativeFrom="paragraph">
              <wp:posOffset>-15875</wp:posOffset>
            </wp:positionV>
            <wp:extent cx="2784475" cy="609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84475" cy="60960"/>
                    </a:xfrm>
                    <a:prstGeom prst="rect">
                      <a:avLst/>
                    </a:prstGeom>
                    <a:noFill/>
                  </pic:spPr>
                </pic:pic>
              </a:graphicData>
            </a:graphic>
          </wp:anchor>
        </w:drawing>
      </w:r>
    </w:p>
    <w:p>
      <w:pPr>
        <w:spacing w:after="0" w:line="243" w:lineRule="exact"/>
        <w:rPr>
          <w:sz w:val="20"/>
          <w:szCs w:val="20"/>
          <w:color w:val="auto"/>
        </w:rPr>
      </w:pPr>
    </w:p>
    <w:p>
      <w:pPr>
        <w:ind w:right="140"/>
        <w:spacing w:after="0" w:line="279" w:lineRule="auto"/>
        <w:rPr>
          <w:sz w:val="20"/>
          <w:szCs w:val="20"/>
          <w:color w:val="auto"/>
        </w:rPr>
      </w:pPr>
      <w:r>
        <w:rPr>
          <w:rFonts w:ascii="Arial" w:cs="Arial" w:eastAsia="Arial" w:hAnsi="Arial"/>
          <w:sz w:val="20"/>
          <w:szCs w:val="20"/>
          <w:color w:val="1E1E1E"/>
        </w:rPr>
        <w:t>The following is a reconciliation between the statutory and effective income tax rates in dollars for the provision (benefit) for income tax:</w:t>
      </w:r>
    </w:p>
    <w:p>
      <w:pPr>
        <w:spacing w:after="0" w:line="48" w:lineRule="exact"/>
        <w:rPr>
          <w:sz w:val="20"/>
          <w:szCs w:val="20"/>
          <w:color w:val="auto"/>
        </w:rPr>
      </w:pPr>
    </w:p>
    <w:tbl>
      <w:tblPr>
        <w:tblLayout w:type="fixed"/>
        <w:tblInd w:w="108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6"/>
          </w:tcPr>
          <w:p>
            <w:pPr>
              <w:jc w:val="center"/>
              <w:ind w:left="665"/>
              <w:spacing w:after="0"/>
              <w:rPr>
                <w:sz w:val="20"/>
                <w:szCs w:val="20"/>
                <w:color w:val="auto"/>
              </w:rPr>
            </w:pPr>
            <w:r>
              <w:rPr>
                <w:rFonts w:ascii="Arial" w:cs="Arial" w:eastAsia="Arial" w:hAnsi="Arial"/>
                <w:sz w:val="16"/>
                <w:szCs w:val="16"/>
                <w:color w:val="1E1E1E"/>
                <w:w w:val="95"/>
              </w:rPr>
              <w:t>FISCAL YEARS ENDED</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2"/>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340"/>
              <w:spacing w:after="0" w:line="182" w:lineRule="exact"/>
              <w:rPr>
                <w:sz w:val="20"/>
                <w:szCs w:val="20"/>
                <w:color w:val="auto"/>
              </w:rPr>
            </w:pPr>
            <w:r>
              <w:rPr>
                <w:rFonts w:ascii="Arial" w:cs="Arial" w:eastAsia="Arial" w:hAnsi="Arial"/>
                <w:sz w:val="16"/>
                <w:szCs w:val="16"/>
                <w:color w:val="1E1E1E"/>
                <w:w w:val="90"/>
              </w:rPr>
              <w:t>February 3,</w:t>
            </w:r>
          </w:p>
        </w:tc>
        <w:tc>
          <w:tcPr>
            <w:tcW w:w="120" w:type="dxa"/>
            <w:vAlign w:val="bottom"/>
          </w:tcPr>
          <w:p>
            <w:pPr>
              <w:spacing w:after="0"/>
              <w:rPr>
                <w:sz w:val="15"/>
                <w:szCs w:val="15"/>
                <w:color w:val="auto"/>
              </w:rPr>
            </w:pPr>
          </w:p>
        </w:tc>
        <w:tc>
          <w:tcPr>
            <w:tcW w:w="1120" w:type="dxa"/>
            <w:vAlign w:val="bottom"/>
            <w:gridSpan w:val="2"/>
          </w:tcPr>
          <w:p>
            <w:pPr>
              <w:jc w:val="center"/>
              <w:ind w:right="243"/>
              <w:spacing w:after="0" w:line="182" w:lineRule="exact"/>
              <w:rPr>
                <w:sz w:val="20"/>
                <w:szCs w:val="20"/>
                <w:color w:val="auto"/>
              </w:rPr>
            </w:pPr>
            <w:r>
              <w:rPr>
                <w:rFonts w:ascii="Arial" w:cs="Arial" w:eastAsia="Arial" w:hAnsi="Arial"/>
                <w:sz w:val="16"/>
                <w:szCs w:val="16"/>
                <w:color w:val="1E1E1E"/>
                <w:w w:val="86"/>
              </w:rPr>
              <w:t>January 28,</w:t>
            </w:r>
          </w:p>
        </w:tc>
        <w:tc>
          <w:tcPr>
            <w:tcW w:w="140" w:type="dxa"/>
            <w:vAlign w:val="bottom"/>
          </w:tcPr>
          <w:p>
            <w:pPr>
              <w:spacing w:after="0"/>
              <w:rPr>
                <w:sz w:val="15"/>
                <w:szCs w:val="15"/>
                <w:color w:val="auto"/>
              </w:rPr>
            </w:pPr>
          </w:p>
        </w:tc>
        <w:tc>
          <w:tcPr>
            <w:tcW w:w="960" w:type="dxa"/>
            <w:vAlign w:val="bottom"/>
            <w:gridSpan w:val="2"/>
          </w:tcPr>
          <w:p>
            <w:pPr>
              <w:jc w:val="right"/>
              <w:ind w:right="220"/>
              <w:spacing w:after="0" w:line="182" w:lineRule="exact"/>
              <w:rPr>
                <w:sz w:val="20"/>
                <w:szCs w:val="20"/>
                <w:color w:val="auto"/>
              </w:rPr>
            </w:pPr>
            <w:r>
              <w:rPr>
                <w:rFonts w:ascii="Arial" w:cs="Arial" w:eastAsia="Arial" w:hAnsi="Arial"/>
                <w:sz w:val="16"/>
                <w:szCs w:val="16"/>
                <w:color w:val="1E1E1E"/>
                <w:w w:val="86"/>
              </w:rPr>
              <w:t>January 29,</w:t>
            </w:r>
          </w:p>
        </w:tc>
      </w:tr>
      <w:tr>
        <w:trPr>
          <w:trHeight w:val="202"/>
        </w:trPr>
        <w:tc>
          <w:tcPr>
            <w:tcW w:w="5080" w:type="dxa"/>
            <w:vAlign w:val="bottom"/>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900" w:type="dxa"/>
            <w:vAlign w:val="bottom"/>
            <w:tcBorders>
              <w:bottom w:val="single" w:sz="8" w:color="1E1E1E"/>
            </w:tcBorders>
          </w:tcPr>
          <w:p>
            <w:pPr>
              <w:jc w:val="right"/>
              <w:ind w:right="245"/>
              <w:spacing w:after="0"/>
              <w:rPr>
                <w:sz w:val="20"/>
                <w:szCs w:val="20"/>
                <w:color w:val="auto"/>
              </w:rPr>
            </w:pPr>
            <w:r>
              <w:rPr>
                <w:rFonts w:ascii="Arial" w:cs="Arial" w:eastAsia="Arial" w:hAnsi="Arial"/>
                <w:sz w:val="16"/>
                <w:szCs w:val="16"/>
                <w:color w:val="1E1E1E"/>
              </w:rPr>
              <w:t>2024</w:t>
            </w:r>
          </w:p>
        </w:tc>
        <w:tc>
          <w:tcPr>
            <w:tcW w:w="200" w:type="dxa"/>
            <w:vAlign w:val="bottom"/>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920" w:type="dxa"/>
            <w:vAlign w:val="bottom"/>
            <w:tcBorders>
              <w:bottom w:val="single" w:sz="8" w:color="1E1E1E"/>
            </w:tcBorders>
          </w:tcPr>
          <w:p>
            <w:pPr>
              <w:jc w:val="center"/>
              <w:ind w:right="24"/>
              <w:spacing w:after="0"/>
              <w:rPr>
                <w:sz w:val="20"/>
                <w:szCs w:val="20"/>
                <w:color w:val="auto"/>
              </w:rPr>
            </w:pPr>
            <w:r>
              <w:rPr>
                <w:rFonts w:ascii="Arial" w:cs="Arial" w:eastAsia="Arial" w:hAnsi="Arial"/>
                <w:sz w:val="16"/>
                <w:szCs w:val="16"/>
                <w:color w:val="1E1E1E"/>
                <w:w w:val="89"/>
              </w:rPr>
              <w:t>2023</w:t>
            </w:r>
          </w:p>
        </w:tc>
        <w:tc>
          <w:tcPr>
            <w:tcW w:w="200" w:type="dxa"/>
            <w:vAlign w:val="bottom"/>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880" w:type="dxa"/>
            <w:vAlign w:val="bottom"/>
            <w:tcBorders>
              <w:bottom w:val="single" w:sz="8" w:color="1E1E1E"/>
            </w:tcBorders>
          </w:tcPr>
          <w:p>
            <w:pPr>
              <w:jc w:val="right"/>
              <w:ind w:right="264"/>
              <w:spacing w:after="0"/>
              <w:rPr>
                <w:sz w:val="20"/>
                <w:szCs w:val="20"/>
                <w:color w:val="auto"/>
              </w:rPr>
            </w:pPr>
            <w:r>
              <w:rPr>
                <w:rFonts w:ascii="Arial" w:cs="Arial" w:eastAsia="Arial" w:hAnsi="Arial"/>
                <w:sz w:val="16"/>
                <w:szCs w:val="16"/>
                <w:color w:val="1E1E1E"/>
              </w:rPr>
              <w:t>2022</w:t>
            </w:r>
          </w:p>
        </w:tc>
        <w:tc>
          <w:tcPr>
            <w:tcW w:w="80" w:type="dxa"/>
            <w:vAlign w:val="bottom"/>
          </w:tcPr>
          <w:p>
            <w:pPr>
              <w:spacing w:after="0"/>
              <w:rPr>
                <w:sz w:val="17"/>
                <w:szCs w:val="17"/>
                <w:color w:val="auto"/>
              </w:rPr>
            </w:pPr>
          </w:p>
        </w:tc>
      </w:tr>
      <w:tr>
        <w:trPr>
          <w:trHeight w:val="384"/>
        </w:trPr>
        <w:tc>
          <w:tcPr>
            <w:tcW w:w="5080" w:type="dxa"/>
            <w:vAlign w:val="bottom"/>
          </w:tcPr>
          <w:p>
            <w:pPr>
              <w:spacing w:after="0"/>
              <w:rPr>
                <w:sz w:val="20"/>
                <w:szCs w:val="20"/>
                <w:color w:val="auto"/>
              </w:rPr>
            </w:pPr>
            <w:r>
              <w:rPr>
                <w:rFonts w:ascii="Arial" w:cs="Arial" w:eastAsia="Arial" w:hAnsi="Arial"/>
                <w:sz w:val="20"/>
                <w:szCs w:val="20"/>
                <w:color w:val="1E1E1E"/>
              </w:rPr>
              <w:t>(in thousands)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5080" w:type="dxa"/>
            <w:vAlign w:val="bottom"/>
          </w:tcPr>
          <w:p>
            <w:pPr>
              <w:spacing w:after="0"/>
              <w:rPr>
                <w:sz w:val="20"/>
                <w:szCs w:val="20"/>
                <w:color w:val="auto"/>
              </w:rPr>
            </w:pPr>
            <w:r>
              <w:rPr>
                <w:rFonts w:ascii="Arial" w:cs="Arial" w:eastAsia="Arial" w:hAnsi="Arial"/>
                <w:sz w:val="20"/>
                <w:szCs w:val="20"/>
                <w:color w:val="1E1E1E"/>
              </w:rPr>
              <w:t>Federal income tax at the statutory rate</w:t>
            </w:r>
          </w:p>
        </w:tc>
        <w:tc>
          <w:tcPr>
            <w:tcW w:w="120" w:type="dxa"/>
            <w:vAlign w:val="bottom"/>
          </w:tcPr>
          <w:p>
            <w:pPr>
              <w:jc w:val="right"/>
              <w:spacing w:after="0"/>
              <w:rPr>
                <w:sz w:val="20"/>
                <w:szCs w:val="20"/>
                <w:color w:val="auto"/>
              </w:rPr>
            </w:pPr>
            <w:r>
              <w:rPr>
                <w:rFonts w:ascii="Arial" w:cs="Arial" w:eastAsia="Arial" w:hAnsi="Arial"/>
                <w:sz w:val="20"/>
                <w:szCs w:val="20"/>
                <w:color w:val="1E1E1E"/>
                <w:w w:val="71"/>
              </w:rPr>
              <w:t>$</w:t>
            </w:r>
          </w:p>
        </w:tc>
        <w:tc>
          <w:tcPr>
            <w:tcW w:w="900" w:type="dxa"/>
            <w:vAlign w:val="bottom"/>
          </w:tcPr>
          <w:p>
            <w:pPr>
              <w:jc w:val="right"/>
              <w:spacing w:after="0"/>
              <w:rPr>
                <w:sz w:val="20"/>
                <w:szCs w:val="20"/>
                <w:color w:val="auto"/>
              </w:rPr>
            </w:pPr>
            <w:r>
              <w:rPr>
                <w:rFonts w:ascii="Arial" w:cs="Arial" w:eastAsia="Arial" w:hAnsi="Arial"/>
                <w:sz w:val="20"/>
                <w:szCs w:val="20"/>
                <w:color w:val="1E1E1E"/>
              </w:rPr>
              <w:t>8,086</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1E1E1E"/>
                <w:w w:val="71"/>
              </w:rPr>
              <w:t>$</w:t>
            </w:r>
          </w:p>
        </w:tc>
        <w:tc>
          <w:tcPr>
            <w:tcW w:w="1120" w:type="dxa"/>
            <w:vAlign w:val="bottom"/>
            <w:gridSpan w:val="2"/>
          </w:tcPr>
          <w:p>
            <w:pPr>
              <w:jc w:val="right"/>
              <w:ind w:right="123"/>
              <w:spacing w:after="0"/>
              <w:rPr>
                <w:sz w:val="20"/>
                <w:szCs w:val="20"/>
                <w:color w:val="auto"/>
              </w:rPr>
            </w:pPr>
            <w:r>
              <w:rPr>
                <w:rFonts w:ascii="Arial" w:cs="Arial" w:eastAsia="Arial" w:hAnsi="Arial"/>
                <w:sz w:val="20"/>
                <w:szCs w:val="20"/>
                <w:color w:val="1E1E1E"/>
              </w:rPr>
              <w:t>12,250</w:t>
            </w:r>
          </w:p>
        </w:tc>
        <w:tc>
          <w:tcPr>
            <w:tcW w:w="140" w:type="dxa"/>
            <w:vAlign w:val="bottom"/>
          </w:tcPr>
          <w:p>
            <w:pPr>
              <w:jc w:val="right"/>
              <w:spacing w:after="0"/>
              <w:rPr>
                <w:sz w:val="20"/>
                <w:szCs w:val="20"/>
                <w:color w:val="auto"/>
              </w:rPr>
            </w:pPr>
            <w:r>
              <w:rPr>
                <w:rFonts w:ascii="Arial" w:cs="Arial" w:eastAsia="Arial" w:hAnsi="Arial"/>
                <w:sz w:val="20"/>
                <w:szCs w:val="20"/>
                <w:color w:val="1E1E1E"/>
                <w:w w:val="71"/>
              </w:rPr>
              <w:t>$</w:t>
            </w:r>
          </w:p>
        </w:tc>
        <w:tc>
          <w:tcPr>
            <w:tcW w:w="880" w:type="dxa"/>
            <w:vAlign w:val="bottom"/>
          </w:tcPr>
          <w:p>
            <w:pPr>
              <w:jc w:val="right"/>
              <w:spacing w:after="0"/>
              <w:rPr>
                <w:sz w:val="20"/>
                <w:szCs w:val="20"/>
                <w:color w:val="auto"/>
              </w:rPr>
            </w:pPr>
            <w:r>
              <w:rPr>
                <w:rFonts w:ascii="Arial" w:cs="Arial" w:eastAsia="Arial" w:hAnsi="Arial"/>
                <w:sz w:val="20"/>
                <w:szCs w:val="20"/>
                <w:color w:val="1E1E1E"/>
              </w:rPr>
              <w:t>12,102</w:t>
            </w:r>
          </w:p>
        </w:tc>
        <w:tc>
          <w:tcPr>
            <w:tcW w:w="80" w:type="dxa"/>
            <w:vAlign w:val="bottom"/>
          </w:tcPr>
          <w:p>
            <w:pPr>
              <w:spacing w:after="0"/>
              <w:rPr>
                <w:sz w:val="21"/>
                <w:szCs w:val="21"/>
                <w:color w:val="auto"/>
              </w:rPr>
            </w:pPr>
          </w:p>
        </w:tc>
      </w:tr>
      <w:tr>
        <w:trPr>
          <w:trHeight w:val="230"/>
        </w:trPr>
        <w:tc>
          <w:tcPr>
            <w:tcW w:w="5080" w:type="dxa"/>
            <w:vAlign w:val="bottom"/>
            <w:shd w:val="clear" w:color="auto" w:fill="E4E4E4"/>
          </w:tcPr>
          <w:p>
            <w:pPr>
              <w:spacing w:after="0"/>
              <w:rPr>
                <w:sz w:val="20"/>
                <w:szCs w:val="20"/>
                <w:color w:val="auto"/>
              </w:rPr>
            </w:pPr>
            <w:r>
              <w:rPr>
                <w:rFonts w:ascii="Arial" w:cs="Arial" w:eastAsia="Arial" w:hAnsi="Arial"/>
                <w:sz w:val="20"/>
                <w:szCs w:val="20"/>
                <w:color w:val="1E1E1E"/>
              </w:rPr>
              <w:t>State taxes, net of federal tax benefit</w:t>
            </w:r>
          </w:p>
        </w:tc>
        <w:tc>
          <w:tcPr>
            <w:tcW w:w="120" w:type="dxa"/>
            <w:vAlign w:val="bottom"/>
            <w:shd w:val="clear" w:color="auto" w:fill="E4E4E4"/>
          </w:tcPr>
          <w:p>
            <w:pPr>
              <w:spacing w:after="0"/>
              <w:rPr>
                <w:sz w:val="20"/>
                <w:szCs w:val="20"/>
                <w:color w:val="auto"/>
              </w:rPr>
            </w:pPr>
          </w:p>
        </w:tc>
        <w:tc>
          <w:tcPr>
            <w:tcW w:w="90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1,000</w:t>
            </w:r>
          </w:p>
        </w:tc>
        <w:tc>
          <w:tcPr>
            <w:tcW w:w="20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92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656</w:t>
            </w:r>
          </w:p>
        </w:tc>
        <w:tc>
          <w:tcPr>
            <w:tcW w:w="20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88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721</w:t>
            </w:r>
          </w:p>
        </w:tc>
        <w:tc>
          <w:tcPr>
            <w:tcW w:w="80" w:type="dxa"/>
            <w:vAlign w:val="bottom"/>
            <w:shd w:val="clear" w:color="auto" w:fill="E4E4E4"/>
          </w:tcPr>
          <w:p>
            <w:pPr>
              <w:spacing w:after="0"/>
              <w:rPr>
                <w:sz w:val="20"/>
                <w:szCs w:val="20"/>
                <w:color w:val="auto"/>
              </w:rPr>
            </w:pPr>
          </w:p>
        </w:tc>
      </w:tr>
      <w:tr>
        <w:trPr>
          <w:trHeight w:val="228"/>
        </w:trPr>
        <w:tc>
          <w:tcPr>
            <w:tcW w:w="5080" w:type="dxa"/>
            <w:vAlign w:val="bottom"/>
          </w:tcPr>
          <w:p>
            <w:pPr>
              <w:spacing w:after="0" w:line="228" w:lineRule="exact"/>
              <w:rPr>
                <w:sz w:val="20"/>
                <w:szCs w:val="20"/>
                <w:color w:val="auto"/>
              </w:rPr>
            </w:pPr>
            <w:r>
              <w:rPr>
                <w:rFonts w:ascii="Arial" w:cs="Arial" w:eastAsia="Arial" w:hAnsi="Arial"/>
                <w:sz w:val="20"/>
                <w:szCs w:val="20"/>
                <w:color w:val="1E1E1E"/>
              </w:rPr>
              <w:t>State deferred taxes, net of federal benefit</w:t>
            </w:r>
          </w:p>
        </w:tc>
        <w:tc>
          <w:tcPr>
            <w:tcW w:w="12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Arial" w:cs="Arial" w:eastAsia="Arial" w:hAnsi="Arial"/>
                <w:sz w:val="20"/>
                <w:szCs w:val="20"/>
                <w:color w:val="1E1E1E"/>
              </w:rPr>
              <w:t>1,418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line="228" w:lineRule="exact"/>
              <w:rPr>
                <w:sz w:val="20"/>
                <w:szCs w:val="20"/>
                <w:color w:val="auto"/>
              </w:rPr>
            </w:pPr>
            <w:r>
              <w:rPr>
                <w:rFonts w:ascii="Arial" w:cs="Arial" w:eastAsia="Arial" w:hAnsi="Arial"/>
                <w:sz w:val="20"/>
                <w:szCs w:val="20"/>
                <w:color w:val="1E1E1E"/>
              </w:rPr>
              <w:t>1,558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80"/>
              <w:spacing w:after="0" w:line="228" w:lineRule="exact"/>
              <w:rPr>
                <w:sz w:val="20"/>
                <w:szCs w:val="20"/>
                <w:color w:val="auto"/>
              </w:rPr>
            </w:pPr>
            <w:r>
              <w:rPr>
                <w:rFonts w:ascii="Arial" w:cs="Arial" w:eastAsia="Arial" w:hAnsi="Arial"/>
                <w:sz w:val="20"/>
                <w:szCs w:val="20"/>
                <w:color w:val="1E1E1E"/>
              </w:rPr>
              <w:t>—</w:t>
            </w:r>
          </w:p>
        </w:tc>
      </w:tr>
      <w:tr>
        <w:trPr>
          <w:trHeight w:val="230"/>
        </w:trPr>
        <w:tc>
          <w:tcPr>
            <w:tcW w:w="5080" w:type="dxa"/>
            <w:vAlign w:val="bottom"/>
            <w:shd w:val="clear" w:color="auto" w:fill="E4E4E4"/>
          </w:tcPr>
          <w:p>
            <w:pPr>
              <w:spacing w:after="0"/>
              <w:rPr>
                <w:sz w:val="20"/>
                <w:szCs w:val="20"/>
                <w:color w:val="auto"/>
              </w:rPr>
            </w:pPr>
            <w:r>
              <w:rPr>
                <w:rFonts w:ascii="Arial" w:cs="Arial" w:eastAsia="Arial" w:hAnsi="Arial"/>
                <w:sz w:val="20"/>
                <w:szCs w:val="20"/>
                <w:color w:val="1E1E1E"/>
              </w:rPr>
              <w:t>Section 162(m) limitation</w:t>
            </w:r>
          </w:p>
        </w:tc>
        <w:tc>
          <w:tcPr>
            <w:tcW w:w="120" w:type="dxa"/>
            <w:vAlign w:val="bottom"/>
            <w:shd w:val="clear" w:color="auto" w:fill="E4E4E4"/>
          </w:tcPr>
          <w:p>
            <w:pPr>
              <w:spacing w:after="0"/>
              <w:rPr>
                <w:sz w:val="20"/>
                <w:szCs w:val="20"/>
                <w:color w:val="auto"/>
              </w:rPr>
            </w:pPr>
          </w:p>
        </w:tc>
        <w:tc>
          <w:tcPr>
            <w:tcW w:w="90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746</w:t>
            </w:r>
          </w:p>
        </w:tc>
        <w:tc>
          <w:tcPr>
            <w:tcW w:w="20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92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1,451</w:t>
            </w:r>
          </w:p>
        </w:tc>
        <w:tc>
          <w:tcPr>
            <w:tcW w:w="20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88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1,375</w:t>
            </w:r>
          </w:p>
        </w:tc>
        <w:tc>
          <w:tcPr>
            <w:tcW w:w="80" w:type="dxa"/>
            <w:vAlign w:val="bottom"/>
            <w:shd w:val="clear" w:color="auto" w:fill="E4E4E4"/>
          </w:tcPr>
          <w:p>
            <w:pPr>
              <w:spacing w:after="0"/>
              <w:rPr>
                <w:sz w:val="20"/>
                <w:szCs w:val="20"/>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20"/>
                <w:szCs w:val="20"/>
                <w:color w:val="1E1E1E"/>
              </w:rPr>
              <w:t>Permanent items</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20"/>
                <w:szCs w:val="20"/>
                <w:color w:val="1E1E1E"/>
              </w:rPr>
              <w:t>(199)</w:t>
            </w:r>
          </w:p>
        </w:tc>
        <w:tc>
          <w:tcPr>
            <w:tcW w:w="120" w:type="dxa"/>
            <w:vAlign w:val="bottom"/>
          </w:tcPr>
          <w:p>
            <w:pPr>
              <w:spacing w:after="0"/>
              <w:rPr>
                <w:sz w:val="20"/>
                <w:szCs w:val="20"/>
                <w:color w:val="auto"/>
              </w:rPr>
            </w:pPr>
          </w:p>
        </w:tc>
        <w:tc>
          <w:tcPr>
            <w:tcW w:w="1120" w:type="dxa"/>
            <w:vAlign w:val="bottom"/>
            <w:gridSpan w:val="2"/>
          </w:tcPr>
          <w:p>
            <w:pPr>
              <w:jc w:val="right"/>
              <w:ind w:right="63"/>
              <w:spacing w:after="0"/>
              <w:rPr>
                <w:sz w:val="20"/>
                <w:szCs w:val="20"/>
                <w:color w:val="auto"/>
              </w:rPr>
            </w:pPr>
            <w:r>
              <w:rPr>
                <w:rFonts w:ascii="Arial" w:cs="Arial" w:eastAsia="Arial" w:hAnsi="Arial"/>
                <w:sz w:val="20"/>
                <w:szCs w:val="20"/>
                <w:color w:val="1E1E1E"/>
              </w:rPr>
              <w:t>(1,002)</w:t>
            </w:r>
          </w:p>
        </w:tc>
        <w:tc>
          <w:tcPr>
            <w:tcW w:w="1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20"/>
                <w:szCs w:val="20"/>
                <w:color w:val="1E1E1E"/>
              </w:rPr>
              <w:t>(893)</w:t>
            </w:r>
          </w:p>
        </w:tc>
      </w:tr>
      <w:tr>
        <w:trPr>
          <w:trHeight w:val="210"/>
        </w:trPr>
        <w:tc>
          <w:tcPr>
            <w:tcW w:w="5080" w:type="dxa"/>
            <w:vAlign w:val="bottom"/>
            <w:shd w:val="clear" w:color="auto" w:fill="E4E4E4"/>
          </w:tcPr>
          <w:p>
            <w:pPr>
              <w:spacing w:after="0" w:line="210" w:lineRule="exact"/>
              <w:rPr>
                <w:sz w:val="20"/>
                <w:szCs w:val="20"/>
                <w:color w:val="auto"/>
              </w:rPr>
            </w:pPr>
            <w:r>
              <w:rPr>
                <w:rFonts w:ascii="Arial" w:cs="Arial" w:eastAsia="Arial" w:hAnsi="Arial"/>
                <w:sz w:val="20"/>
                <w:szCs w:val="20"/>
                <w:color w:val="1E1E1E"/>
              </w:rPr>
              <w:t>Taxes stranded in OCI released with termination of</w:t>
            </w:r>
          </w:p>
        </w:tc>
        <w:tc>
          <w:tcPr>
            <w:tcW w:w="120" w:type="dxa"/>
            <w:vAlign w:val="bottom"/>
            <w:shd w:val="clear" w:color="auto" w:fill="E4E4E4"/>
          </w:tcPr>
          <w:p>
            <w:pPr>
              <w:spacing w:after="0"/>
              <w:rPr>
                <w:sz w:val="18"/>
                <w:szCs w:val="18"/>
                <w:color w:val="auto"/>
              </w:rPr>
            </w:pPr>
          </w:p>
        </w:tc>
        <w:tc>
          <w:tcPr>
            <w:tcW w:w="90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92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88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r>
      <w:tr>
        <w:trPr>
          <w:trHeight w:val="251"/>
        </w:trPr>
        <w:tc>
          <w:tcPr>
            <w:tcW w:w="5080" w:type="dxa"/>
            <w:vAlign w:val="bottom"/>
            <w:shd w:val="clear" w:color="auto" w:fill="E4E4E4"/>
          </w:tcPr>
          <w:p>
            <w:pPr>
              <w:spacing w:after="0"/>
              <w:rPr>
                <w:sz w:val="20"/>
                <w:szCs w:val="20"/>
                <w:color w:val="auto"/>
              </w:rPr>
            </w:pPr>
            <w:r>
              <w:rPr>
                <w:rFonts w:ascii="Arial" w:cs="Arial" w:eastAsia="Arial" w:hAnsi="Arial"/>
                <w:sz w:val="20"/>
                <w:szCs w:val="20"/>
                <w:color w:val="1E1E1E"/>
              </w:rPr>
              <w:t>retirement plans</w:t>
            </w:r>
          </w:p>
        </w:tc>
        <w:tc>
          <w:tcPr>
            <w:tcW w:w="120" w:type="dxa"/>
            <w:vAlign w:val="bottom"/>
            <w:shd w:val="clear" w:color="auto" w:fill="E4E4E4"/>
          </w:tcPr>
          <w:p>
            <w:pPr>
              <w:spacing w:after="0"/>
              <w:rPr>
                <w:sz w:val="21"/>
                <w:szCs w:val="21"/>
                <w:color w:val="auto"/>
              </w:rPr>
            </w:pPr>
          </w:p>
        </w:tc>
        <w:tc>
          <w:tcPr>
            <w:tcW w:w="90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890</w:t>
            </w:r>
          </w:p>
        </w:tc>
        <w:tc>
          <w:tcPr>
            <w:tcW w:w="20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1120" w:type="dxa"/>
            <w:vAlign w:val="bottom"/>
            <w:gridSpan w:val="2"/>
            <w:shd w:val="clear" w:color="auto" w:fill="E4E4E4"/>
          </w:tcPr>
          <w:p>
            <w:pPr>
              <w:jc w:val="right"/>
              <w:ind w:right="123"/>
              <w:spacing w:after="0"/>
              <w:rPr>
                <w:sz w:val="20"/>
                <w:szCs w:val="20"/>
                <w:color w:val="auto"/>
              </w:rPr>
            </w:pPr>
            <w:r>
              <w:rPr>
                <w:rFonts w:ascii="Arial" w:cs="Arial" w:eastAsia="Arial" w:hAnsi="Arial"/>
                <w:sz w:val="20"/>
                <w:szCs w:val="20"/>
                <w:color w:val="1E1E1E"/>
              </w:rPr>
              <w:t>—</w:t>
            </w:r>
          </w:p>
        </w:tc>
        <w:tc>
          <w:tcPr>
            <w:tcW w:w="140" w:type="dxa"/>
            <w:vAlign w:val="bottom"/>
            <w:shd w:val="clear" w:color="auto" w:fill="E4E4E4"/>
          </w:tcPr>
          <w:p>
            <w:pPr>
              <w:spacing w:after="0"/>
              <w:rPr>
                <w:sz w:val="21"/>
                <w:szCs w:val="21"/>
                <w:color w:val="auto"/>
              </w:rPr>
            </w:pPr>
          </w:p>
        </w:tc>
        <w:tc>
          <w:tcPr>
            <w:tcW w:w="960" w:type="dxa"/>
            <w:vAlign w:val="bottom"/>
            <w:gridSpan w:val="2"/>
            <w:shd w:val="clear" w:color="auto" w:fill="E4E4E4"/>
          </w:tcPr>
          <w:p>
            <w:pPr>
              <w:jc w:val="right"/>
              <w:ind w:right="80"/>
              <w:spacing w:after="0"/>
              <w:rPr>
                <w:sz w:val="20"/>
                <w:szCs w:val="20"/>
                <w:color w:val="auto"/>
              </w:rPr>
            </w:pPr>
            <w:r>
              <w:rPr>
                <w:rFonts w:ascii="Arial" w:cs="Arial" w:eastAsia="Arial" w:hAnsi="Arial"/>
                <w:sz w:val="20"/>
                <w:szCs w:val="20"/>
                <w:color w:val="1E1E1E"/>
              </w:rPr>
              <w:t>—</w:t>
            </w:r>
          </w:p>
        </w:tc>
      </w:tr>
      <w:tr>
        <w:trPr>
          <w:trHeight w:val="230"/>
        </w:trPr>
        <w:tc>
          <w:tcPr>
            <w:tcW w:w="5080" w:type="dxa"/>
            <w:vAlign w:val="bottom"/>
          </w:tcPr>
          <w:p>
            <w:pPr>
              <w:spacing w:after="0"/>
              <w:rPr>
                <w:sz w:val="20"/>
                <w:szCs w:val="20"/>
                <w:color w:val="auto"/>
              </w:rPr>
            </w:pPr>
            <w:r>
              <w:rPr>
                <w:rFonts w:ascii="Arial" w:cs="Arial" w:eastAsia="Arial" w:hAnsi="Arial"/>
                <w:sz w:val="20"/>
                <w:szCs w:val="20"/>
                <w:color w:val="1E1E1E"/>
              </w:rPr>
              <w:t xml:space="preserve">Change in valuation allowance </w:t>
            </w:r>
            <w:r>
              <w:rPr>
                <w:rFonts w:ascii="Arial" w:cs="Arial" w:eastAsia="Arial" w:hAnsi="Arial"/>
                <w:sz w:val="12"/>
                <w:szCs w:val="12"/>
                <w:color w:val="1E1E1E"/>
              </w:rPr>
              <w:t>(1)</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20"/>
                <w:szCs w:val="20"/>
                <w:color w:val="1E1E1E"/>
              </w:rPr>
              <w:t>(179)</w:t>
            </w:r>
          </w:p>
        </w:tc>
        <w:tc>
          <w:tcPr>
            <w:tcW w:w="120" w:type="dxa"/>
            <w:vAlign w:val="bottom"/>
          </w:tcPr>
          <w:p>
            <w:pPr>
              <w:spacing w:after="0"/>
              <w:rPr>
                <w:sz w:val="20"/>
                <w:szCs w:val="20"/>
                <w:color w:val="auto"/>
              </w:rPr>
            </w:pPr>
          </w:p>
        </w:tc>
        <w:tc>
          <w:tcPr>
            <w:tcW w:w="1120" w:type="dxa"/>
            <w:vAlign w:val="bottom"/>
            <w:gridSpan w:val="2"/>
          </w:tcPr>
          <w:p>
            <w:pPr>
              <w:jc w:val="right"/>
              <w:ind w:right="63"/>
              <w:spacing w:after="0"/>
              <w:rPr>
                <w:sz w:val="20"/>
                <w:szCs w:val="20"/>
                <w:color w:val="auto"/>
              </w:rPr>
            </w:pPr>
            <w:r>
              <w:rPr>
                <w:rFonts w:ascii="Arial" w:cs="Arial" w:eastAsia="Arial" w:hAnsi="Arial"/>
                <w:sz w:val="20"/>
                <w:szCs w:val="20"/>
                <w:color w:val="1E1E1E"/>
              </w:rPr>
              <w:t>(47,594)</w:t>
            </w:r>
          </w:p>
        </w:tc>
        <w:tc>
          <w:tcPr>
            <w:tcW w:w="1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20"/>
                <w:szCs w:val="20"/>
                <w:color w:val="1E1E1E"/>
              </w:rPr>
              <w:t>(12,421)</w:t>
            </w:r>
          </w:p>
        </w:tc>
      </w:tr>
      <w:tr>
        <w:trPr>
          <w:trHeight w:val="228"/>
        </w:trPr>
        <w:tc>
          <w:tcPr>
            <w:tcW w:w="5080" w:type="dxa"/>
            <w:vAlign w:val="bottom"/>
            <w:shd w:val="clear" w:color="auto" w:fill="E4E4E4"/>
          </w:tcPr>
          <w:p>
            <w:pPr>
              <w:spacing w:after="0" w:line="228" w:lineRule="exact"/>
              <w:rPr>
                <w:sz w:val="20"/>
                <w:szCs w:val="20"/>
                <w:color w:val="auto"/>
              </w:rPr>
            </w:pPr>
            <w:r>
              <w:rPr>
                <w:rFonts w:ascii="Arial" w:cs="Arial" w:eastAsia="Arial" w:hAnsi="Arial"/>
                <w:sz w:val="20"/>
                <w:szCs w:val="20"/>
                <w:color w:val="1E1E1E"/>
              </w:rPr>
              <w:t>Adjustment to §382 NOLs</w:t>
            </w:r>
          </w:p>
        </w:tc>
        <w:tc>
          <w:tcPr>
            <w:tcW w:w="120" w:type="dxa"/>
            <w:vAlign w:val="bottom"/>
            <w:shd w:val="clear" w:color="auto" w:fill="E4E4E4"/>
          </w:tcPr>
          <w:p>
            <w:pPr>
              <w:spacing w:after="0"/>
              <w:rPr>
                <w:sz w:val="19"/>
                <w:szCs w:val="19"/>
                <w:color w:val="auto"/>
              </w:rPr>
            </w:pPr>
          </w:p>
        </w:tc>
        <w:tc>
          <w:tcPr>
            <w:tcW w:w="1100" w:type="dxa"/>
            <w:vAlign w:val="bottom"/>
            <w:gridSpan w:val="2"/>
            <w:shd w:val="clear" w:color="auto" w:fill="E4E4E4"/>
          </w:tcPr>
          <w:p>
            <w:pPr>
              <w:jc w:val="right"/>
              <w:ind w:right="120"/>
              <w:spacing w:after="0" w:line="228" w:lineRule="exact"/>
              <w:rPr>
                <w:sz w:val="20"/>
                <w:szCs w:val="20"/>
                <w:color w:val="auto"/>
              </w:rPr>
            </w:pPr>
            <w:r>
              <w:rPr>
                <w:rFonts w:ascii="Arial" w:cs="Arial" w:eastAsia="Arial" w:hAnsi="Arial"/>
                <w:sz w:val="20"/>
                <w:szCs w:val="20"/>
                <w:color w:val="1E1E1E"/>
              </w:rPr>
              <w:t>(1,159)</w:t>
            </w:r>
          </w:p>
        </w:tc>
        <w:tc>
          <w:tcPr>
            <w:tcW w:w="120" w:type="dxa"/>
            <w:vAlign w:val="bottom"/>
            <w:shd w:val="clear" w:color="auto" w:fill="E4E4E4"/>
          </w:tcPr>
          <w:p>
            <w:pPr>
              <w:spacing w:after="0"/>
              <w:rPr>
                <w:sz w:val="19"/>
                <w:szCs w:val="19"/>
                <w:color w:val="auto"/>
              </w:rPr>
            </w:pPr>
          </w:p>
        </w:tc>
        <w:tc>
          <w:tcPr>
            <w:tcW w:w="920" w:type="dxa"/>
            <w:vAlign w:val="bottom"/>
            <w:shd w:val="clear" w:color="auto" w:fill="E4E4E4"/>
          </w:tcPr>
          <w:p>
            <w:pPr>
              <w:jc w:val="right"/>
              <w:spacing w:after="0" w:line="228" w:lineRule="exact"/>
              <w:rPr>
                <w:sz w:val="20"/>
                <w:szCs w:val="20"/>
                <w:color w:val="auto"/>
              </w:rPr>
            </w:pPr>
            <w:r>
              <w:rPr>
                <w:rFonts w:ascii="Arial" w:cs="Arial" w:eastAsia="Arial" w:hAnsi="Arial"/>
                <w:sz w:val="20"/>
                <w:szCs w:val="20"/>
                <w:color w:val="1E1E1E"/>
              </w:rPr>
              <w:t>1,159</w:t>
            </w:r>
          </w:p>
        </w:tc>
        <w:tc>
          <w:tcPr>
            <w:tcW w:w="20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960" w:type="dxa"/>
            <w:vAlign w:val="bottom"/>
            <w:gridSpan w:val="2"/>
            <w:shd w:val="clear" w:color="auto" w:fill="E4E4E4"/>
          </w:tcPr>
          <w:p>
            <w:pPr>
              <w:jc w:val="right"/>
              <w:ind w:right="80"/>
              <w:spacing w:after="0" w:line="228" w:lineRule="exact"/>
              <w:rPr>
                <w:sz w:val="20"/>
                <w:szCs w:val="20"/>
                <w:color w:val="auto"/>
              </w:rPr>
            </w:pPr>
            <w:r>
              <w:rPr>
                <w:rFonts w:ascii="Arial" w:cs="Arial" w:eastAsia="Arial" w:hAnsi="Arial"/>
                <w:sz w:val="20"/>
                <w:szCs w:val="20"/>
                <w:color w:val="1E1E1E"/>
              </w:rPr>
              <w:t>—</w:t>
            </w:r>
          </w:p>
        </w:tc>
      </w:tr>
      <w:tr>
        <w:trPr>
          <w:trHeight w:val="230"/>
        </w:trPr>
        <w:tc>
          <w:tcPr>
            <w:tcW w:w="5080" w:type="dxa"/>
            <w:vAlign w:val="bottom"/>
          </w:tcPr>
          <w:p>
            <w:pPr>
              <w:spacing w:after="0"/>
              <w:rPr>
                <w:sz w:val="20"/>
                <w:szCs w:val="20"/>
                <w:color w:val="auto"/>
              </w:rPr>
            </w:pPr>
            <w:r>
              <w:rPr>
                <w:rFonts w:ascii="Arial" w:cs="Arial" w:eastAsia="Arial" w:hAnsi="Arial"/>
                <w:sz w:val="20"/>
                <w:szCs w:val="20"/>
                <w:color w:val="1E1E1E"/>
              </w:rPr>
              <w:t>Other, net</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20"/>
                <w:szCs w:val="20"/>
                <w:color w:val="1E1E1E"/>
              </w:rPr>
              <w:t>(66)</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1E1E1E"/>
              </w:rPr>
              <w:t>734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1E1E1E"/>
              </w:rPr>
              <w:t>33</w:t>
            </w:r>
          </w:p>
        </w:tc>
        <w:tc>
          <w:tcPr>
            <w:tcW w:w="80" w:type="dxa"/>
            <w:vAlign w:val="bottom"/>
          </w:tcPr>
          <w:p>
            <w:pPr>
              <w:spacing w:after="0"/>
              <w:rPr>
                <w:sz w:val="20"/>
                <w:szCs w:val="20"/>
                <w:color w:val="auto"/>
              </w:rPr>
            </w:pPr>
          </w:p>
        </w:tc>
      </w:tr>
      <w:tr>
        <w:trPr>
          <w:trHeight w:val="222"/>
        </w:trPr>
        <w:tc>
          <w:tcPr>
            <w:tcW w:w="5080" w:type="dxa"/>
            <w:vAlign w:val="bottom"/>
            <w:tcBorders>
              <w:top w:val="single" w:sz="8" w:color="E4E4E4"/>
            </w:tcBorders>
            <w:shd w:val="clear" w:color="auto" w:fill="E4E4E4"/>
          </w:tcPr>
          <w:p>
            <w:pPr>
              <w:spacing w:after="0" w:line="223" w:lineRule="exact"/>
              <w:rPr>
                <w:sz w:val="20"/>
                <w:szCs w:val="20"/>
                <w:color w:val="auto"/>
              </w:rPr>
            </w:pPr>
            <w:r>
              <w:rPr>
                <w:rFonts w:ascii="Arial" w:cs="Arial" w:eastAsia="Arial" w:hAnsi="Arial"/>
                <w:sz w:val="20"/>
                <w:szCs w:val="20"/>
                <w:color w:val="1E1E1E"/>
              </w:rPr>
              <w:t>Total provision (benefit)</w:t>
            </w:r>
          </w:p>
        </w:tc>
        <w:tc>
          <w:tcPr>
            <w:tcW w:w="120" w:type="dxa"/>
            <w:vAlign w:val="bottom"/>
            <w:tcBorders>
              <w:top w:val="single" w:sz="8" w:color="1E1E1E"/>
            </w:tcBorders>
            <w:shd w:val="clear" w:color="auto" w:fill="E4E4E4"/>
          </w:tcPr>
          <w:p>
            <w:pPr>
              <w:jc w:val="right"/>
              <w:spacing w:after="0" w:line="223" w:lineRule="exact"/>
              <w:rPr>
                <w:sz w:val="20"/>
                <w:szCs w:val="20"/>
                <w:color w:val="auto"/>
              </w:rPr>
            </w:pPr>
            <w:r>
              <w:rPr>
                <w:rFonts w:ascii="Arial" w:cs="Arial" w:eastAsia="Arial" w:hAnsi="Arial"/>
                <w:sz w:val="20"/>
                <w:szCs w:val="20"/>
                <w:color w:val="1E1E1E"/>
                <w:w w:val="71"/>
              </w:rPr>
              <w:t>$</w:t>
            </w:r>
          </w:p>
        </w:tc>
        <w:tc>
          <w:tcPr>
            <w:tcW w:w="900" w:type="dxa"/>
            <w:vAlign w:val="bottom"/>
            <w:tcBorders>
              <w:top w:val="single" w:sz="8" w:color="1E1E1E"/>
            </w:tcBorders>
            <w:shd w:val="clear" w:color="auto" w:fill="E4E4E4"/>
          </w:tcPr>
          <w:p>
            <w:pPr>
              <w:jc w:val="right"/>
              <w:spacing w:after="0" w:line="223" w:lineRule="exact"/>
              <w:rPr>
                <w:sz w:val="20"/>
                <w:szCs w:val="20"/>
                <w:color w:val="auto"/>
              </w:rPr>
            </w:pPr>
            <w:r>
              <w:rPr>
                <w:rFonts w:ascii="Arial" w:cs="Arial" w:eastAsia="Arial" w:hAnsi="Arial"/>
                <w:sz w:val="20"/>
                <w:szCs w:val="20"/>
                <w:color w:val="1E1E1E"/>
              </w:rPr>
              <w:t>10,537</w:t>
            </w:r>
          </w:p>
        </w:tc>
        <w:tc>
          <w:tcPr>
            <w:tcW w:w="200" w:type="dxa"/>
            <w:vAlign w:val="bottom"/>
            <w:tcBorders>
              <w:top w:val="single" w:sz="8" w:color="E4E4E4"/>
            </w:tcBorders>
            <w:shd w:val="clear" w:color="auto" w:fill="E4E4E4"/>
          </w:tcPr>
          <w:p>
            <w:pPr>
              <w:spacing w:after="0"/>
              <w:rPr>
                <w:sz w:val="19"/>
                <w:szCs w:val="19"/>
                <w:color w:val="auto"/>
              </w:rPr>
            </w:pPr>
          </w:p>
        </w:tc>
        <w:tc>
          <w:tcPr>
            <w:tcW w:w="120" w:type="dxa"/>
            <w:vAlign w:val="bottom"/>
            <w:tcBorders>
              <w:top w:val="single" w:sz="8" w:color="1E1E1E"/>
            </w:tcBorders>
            <w:shd w:val="clear" w:color="auto" w:fill="E4E4E4"/>
          </w:tcPr>
          <w:p>
            <w:pPr>
              <w:jc w:val="right"/>
              <w:spacing w:after="0" w:line="223" w:lineRule="exact"/>
              <w:rPr>
                <w:sz w:val="20"/>
                <w:szCs w:val="20"/>
                <w:color w:val="auto"/>
              </w:rPr>
            </w:pPr>
            <w:r>
              <w:rPr>
                <w:rFonts w:ascii="Arial" w:cs="Arial" w:eastAsia="Arial" w:hAnsi="Arial"/>
                <w:sz w:val="20"/>
                <w:szCs w:val="20"/>
                <w:color w:val="1E1E1E"/>
                <w:w w:val="71"/>
                <w:shd w:val="clear" w:color="auto" w:fill="E4E4E4"/>
              </w:rPr>
              <w:t>$</w:t>
            </w:r>
          </w:p>
        </w:tc>
        <w:tc>
          <w:tcPr>
            <w:tcW w:w="920" w:type="dxa"/>
            <w:vAlign w:val="bottom"/>
            <w:tcBorders>
              <w:top w:val="single" w:sz="8" w:color="1E1E1E"/>
            </w:tcBorders>
            <w:shd w:val="clear" w:color="auto" w:fill="E4E4E4"/>
          </w:tcPr>
          <w:p>
            <w:pPr>
              <w:jc w:val="right"/>
              <w:spacing w:after="0" w:line="223" w:lineRule="exact"/>
              <w:rPr>
                <w:sz w:val="20"/>
                <w:szCs w:val="20"/>
                <w:color w:val="auto"/>
              </w:rPr>
            </w:pPr>
            <w:r>
              <w:rPr>
                <w:rFonts w:ascii="Arial" w:cs="Arial" w:eastAsia="Arial" w:hAnsi="Arial"/>
                <w:sz w:val="20"/>
                <w:szCs w:val="20"/>
                <w:color w:val="1E1E1E"/>
                <w:shd w:val="clear" w:color="auto" w:fill="E4E4E4"/>
              </w:rPr>
              <w:t>(30,788</w:t>
            </w:r>
          </w:p>
        </w:tc>
        <w:tc>
          <w:tcPr>
            <w:tcW w:w="200" w:type="dxa"/>
            <w:vAlign w:val="bottom"/>
            <w:tcBorders>
              <w:top w:val="single" w:sz="8" w:color="E4E4E4"/>
            </w:tcBorders>
            <w:shd w:val="clear" w:color="auto" w:fill="E4E4E4"/>
          </w:tcPr>
          <w:p>
            <w:pPr>
              <w:jc w:val="right"/>
              <w:ind w:right="63"/>
              <w:spacing w:after="0"/>
              <w:rPr>
                <w:sz w:val="20"/>
                <w:szCs w:val="20"/>
                <w:color w:val="auto"/>
              </w:rPr>
            </w:pPr>
            <w:r>
              <w:rPr>
                <w:rFonts w:ascii="Arial" w:cs="Arial" w:eastAsia="Arial" w:hAnsi="Arial"/>
                <w:sz w:val="15"/>
                <w:szCs w:val="15"/>
                <w:color w:val="1E1E1E"/>
                <w:w w:val="79"/>
              </w:rPr>
              <w:t>)</w:t>
            </w:r>
          </w:p>
        </w:tc>
        <w:tc>
          <w:tcPr>
            <w:tcW w:w="140" w:type="dxa"/>
            <w:vAlign w:val="bottom"/>
            <w:tcBorders>
              <w:top w:val="single" w:sz="8" w:color="1E1E1E"/>
            </w:tcBorders>
            <w:shd w:val="clear" w:color="auto" w:fill="E4E4E4"/>
          </w:tcPr>
          <w:p>
            <w:pPr>
              <w:jc w:val="right"/>
              <w:spacing w:after="0" w:line="223" w:lineRule="exact"/>
              <w:rPr>
                <w:sz w:val="20"/>
                <w:szCs w:val="20"/>
                <w:color w:val="auto"/>
              </w:rPr>
            </w:pPr>
            <w:r>
              <w:rPr>
                <w:rFonts w:ascii="Arial" w:cs="Arial" w:eastAsia="Arial" w:hAnsi="Arial"/>
                <w:sz w:val="20"/>
                <w:szCs w:val="20"/>
                <w:color w:val="1E1E1E"/>
                <w:w w:val="71"/>
              </w:rPr>
              <w:t>$</w:t>
            </w:r>
          </w:p>
        </w:tc>
        <w:tc>
          <w:tcPr>
            <w:tcW w:w="880" w:type="dxa"/>
            <w:vAlign w:val="bottom"/>
            <w:tcBorders>
              <w:top w:val="single" w:sz="8" w:color="1E1E1E"/>
            </w:tcBorders>
            <w:shd w:val="clear" w:color="auto" w:fill="E4E4E4"/>
          </w:tcPr>
          <w:p>
            <w:pPr>
              <w:jc w:val="right"/>
              <w:spacing w:after="0" w:line="223" w:lineRule="exact"/>
              <w:rPr>
                <w:sz w:val="20"/>
                <w:szCs w:val="20"/>
                <w:color w:val="auto"/>
              </w:rPr>
            </w:pPr>
            <w:r>
              <w:rPr>
                <w:rFonts w:ascii="Arial" w:cs="Arial" w:eastAsia="Arial" w:hAnsi="Arial"/>
                <w:sz w:val="20"/>
                <w:szCs w:val="20"/>
                <w:color w:val="1E1E1E"/>
              </w:rPr>
              <w:t>917</w:t>
            </w:r>
          </w:p>
        </w:tc>
        <w:tc>
          <w:tcPr>
            <w:tcW w:w="80" w:type="dxa"/>
            <w:vAlign w:val="bottom"/>
            <w:tcBorders>
              <w:top w:val="single" w:sz="8" w:color="E4E4E4"/>
            </w:tcBorders>
            <w:shd w:val="clear" w:color="auto" w:fill="E4E4E4"/>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-15875</wp:posOffset>
            </wp:positionV>
            <wp:extent cx="2240280" cy="609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40280" cy="60960"/>
                    </a:xfrm>
                    <a:prstGeom prst="rect">
                      <a:avLst/>
                    </a:prstGeom>
                    <a:noFill/>
                  </pic:spPr>
                </pic:pic>
              </a:graphicData>
            </a:graphic>
          </wp:anchor>
        </w:drawing>
      </w:r>
    </w:p>
    <w:p>
      <w:pPr>
        <w:sectPr>
          <w:pgSz w:w="11880" w:h="15480" w:orient="portrait"/>
          <w:cols w:equalWidth="0" w:num="1">
            <w:col w:w="10800"/>
          </w:cols>
          <w:pgMar w:left="540" w:top="649"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53</w:t>
      </w:r>
    </w:p>
    <w:p>
      <w:pPr>
        <w:sectPr>
          <w:pgSz w:w="11880" w:h="15480" w:orient="portrait"/>
          <w:cols w:equalWidth="0" w:num="1">
            <w:col w:w="10800"/>
          </w:cols>
          <w:pgMar w:left="540" w:top="649" w:right="540" w:bottom="31" w:gutter="0" w:footer="0" w:header="0"/>
          <w:type w:val="continuous"/>
        </w:sectPr>
      </w:pPr>
    </w:p>
    <w:bookmarkStart w:id="55" w:name="page56"/>
    <w:bookmarkEnd w:id="55"/>
    <w:p>
      <w:pPr>
        <w:ind w:left="480" w:right="320" w:hanging="480"/>
        <w:spacing w:after="0" w:line="259" w:lineRule="auto"/>
        <w:tabs>
          <w:tab w:leader="none" w:pos="480" w:val="left"/>
        </w:tabs>
        <w:numPr>
          <w:ilvl w:val="0"/>
          <w:numId w:val="4"/>
        </w:numPr>
        <w:rPr>
          <w:rFonts w:ascii="Arial" w:cs="Arial" w:eastAsia="Arial" w:hAnsi="Arial"/>
          <w:sz w:val="20"/>
          <w:szCs w:val="20"/>
          <w:color w:val="1E1E1E"/>
        </w:rPr>
      </w:pPr>
      <w:r>
        <w:rPr>
          <w:rFonts w:ascii="Arial" w:cs="Arial" w:eastAsia="Arial" w:hAnsi="Arial"/>
          <w:sz w:val="20"/>
          <w:szCs w:val="20"/>
          <w:color w:val="1E1E1E"/>
        </w:rPr>
        <w:t>The change in the valuation allowance at January 28, 2023 included a non-recurring income tax benefit of $31.6 million in connection with the Company’s substantial release of the valuation allowance in fiscal 2022 related to the deferred tax assets expected to be realized in future periods.</w:t>
      </w:r>
    </w:p>
    <w:p>
      <w:pPr>
        <w:spacing w:after="0" w:line="67"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1E1E1E"/>
        </w:rPr>
        <w:t>As discussed in Note A, the Company’s financial statements reflect the expected future tax consequences of uncertain tax positions that the Company has taken or expects to take on a tax return, based solely on the technical merits of the tax position.</w:t>
      </w:r>
    </w:p>
    <w:p>
      <w:pPr>
        <w:spacing w:after="0" w:line="21"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1E1E1E"/>
        </w:rPr>
        <w:t>The following table shows the liability for unrecognized tax benefits that were associated with a prior tax position related to exiting the Company’s direct business in Europe during fiscal 2013. The amount of unrecognized tax benefits was presented as a reduction in the reported amounts of the Company’s federal and state net operating losses carryforwards. No penalties or interest were accrued on this liability. In fiscal 2023, the Company changed this position in its tax return and determined that the liability was no longer necessary.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80" w:type="dxa"/>
            <w:vAlign w:val="bottom"/>
            <w:gridSpan w:val="4"/>
          </w:tcPr>
          <w:p>
            <w:pPr>
              <w:jc w:val="right"/>
              <w:ind w:right="40"/>
              <w:spacing w:after="0"/>
              <w:rPr>
                <w:sz w:val="20"/>
                <w:szCs w:val="20"/>
                <w:color w:val="auto"/>
              </w:rPr>
            </w:pPr>
            <w:r>
              <w:rPr>
                <w:rFonts w:ascii="Arial" w:cs="Arial" w:eastAsia="Arial" w:hAnsi="Arial"/>
                <w:sz w:val="16"/>
                <w:szCs w:val="16"/>
                <w:color w:val="1E1E1E"/>
                <w:w w:val="98"/>
              </w:rPr>
              <w:t>FISCAL YEARS ENDED</w:t>
            </w: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360" w:type="dxa"/>
            <w:vAlign w:val="bottom"/>
            <w:vMerge w:val="restart"/>
          </w:tcPr>
          <w:p>
            <w:pPr>
              <w:spacing w:after="0"/>
              <w:rPr>
                <w:sz w:val="20"/>
                <w:szCs w:val="20"/>
                <w:color w:val="auto"/>
              </w:rPr>
            </w:pPr>
            <w:r>
              <w:rPr>
                <w:rFonts w:ascii="Arial" w:cs="Arial" w:eastAsia="Arial" w:hAnsi="Arial"/>
                <w:sz w:val="20"/>
                <w:szCs w:val="20"/>
                <w:color w:val="1E1E1E"/>
              </w:rPr>
              <w:t>(in thousands)</w:t>
            </w:r>
          </w:p>
        </w:tc>
        <w:tc>
          <w:tcPr>
            <w:tcW w:w="1540" w:type="dxa"/>
            <w:vAlign w:val="bottom"/>
            <w:gridSpan w:val="3"/>
          </w:tcPr>
          <w:p>
            <w:pPr>
              <w:jc w:val="right"/>
              <w:ind w:right="280"/>
              <w:spacing w:after="0"/>
              <w:rPr>
                <w:sz w:val="20"/>
                <w:szCs w:val="20"/>
                <w:color w:val="auto"/>
              </w:rPr>
            </w:pPr>
            <w:r>
              <w:rPr>
                <w:rFonts w:ascii="Arial" w:cs="Arial" w:eastAsia="Arial" w:hAnsi="Arial"/>
                <w:sz w:val="16"/>
                <w:szCs w:val="16"/>
                <w:color w:val="1E1E1E"/>
                <w:w w:val="95"/>
              </w:rPr>
              <w:t>February 3, 2024</w:t>
            </w:r>
          </w:p>
        </w:tc>
        <w:tc>
          <w:tcPr>
            <w:tcW w:w="1520" w:type="dxa"/>
            <w:vAlign w:val="bottom"/>
            <w:gridSpan w:val="3"/>
          </w:tcPr>
          <w:p>
            <w:pPr>
              <w:jc w:val="right"/>
              <w:ind w:right="340"/>
              <w:spacing w:after="0"/>
              <w:rPr>
                <w:sz w:val="20"/>
                <w:szCs w:val="20"/>
                <w:color w:val="auto"/>
              </w:rPr>
            </w:pPr>
            <w:r>
              <w:rPr>
                <w:rFonts w:ascii="Arial" w:cs="Arial" w:eastAsia="Arial" w:hAnsi="Arial"/>
                <w:sz w:val="16"/>
                <w:szCs w:val="16"/>
                <w:color w:val="1E1E1E"/>
                <w:w w:val="93"/>
              </w:rPr>
              <w:t>January 28, 2023</w:t>
            </w:r>
          </w:p>
        </w:tc>
        <w:tc>
          <w:tcPr>
            <w:tcW w:w="1380" w:type="dxa"/>
            <w:vAlign w:val="bottom"/>
            <w:gridSpan w:val="3"/>
          </w:tcPr>
          <w:p>
            <w:pPr>
              <w:ind w:left="100"/>
              <w:spacing w:after="0"/>
              <w:rPr>
                <w:sz w:val="20"/>
                <w:szCs w:val="20"/>
                <w:color w:val="auto"/>
              </w:rPr>
            </w:pPr>
            <w:r>
              <w:rPr>
                <w:rFonts w:ascii="Arial" w:cs="Arial" w:eastAsia="Arial" w:hAnsi="Arial"/>
                <w:sz w:val="16"/>
                <w:szCs w:val="16"/>
                <w:color w:val="1E1E1E"/>
              </w:rPr>
              <w:t>January 29, 2022</w:t>
            </w:r>
          </w:p>
        </w:tc>
        <w:tc>
          <w:tcPr>
            <w:tcW w:w="0" w:type="dxa"/>
            <w:vAlign w:val="bottom"/>
          </w:tcPr>
          <w:p>
            <w:pPr>
              <w:spacing w:after="0"/>
              <w:rPr>
                <w:sz w:val="1"/>
                <w:szCs w:val="1"/>
                <w:color w:val="auto"/>
              </w:rPr>
            </w:pPr>
          </w:p>
        </w:tc>
      </w:tr>
      <w:tr>
        <w:trPr>
          <w:trHeight w:val="201"/>
        </w:trPr>
        <w:tc>
          <w:tcPr>
            <w:tcW w:w="6360" w:type="dxa"/>
            <w:vAlign w:val="bottom"/>
            <w:vMerge w:val="continue"/>
          </w:tcPr>
          <w:p>
            <w:pPr>
              <w:spacing w:after="0"/>
              <w:rPr>
                <w:sz w:val="17"/>
                <w:szCs w:val="17"/>
                <w:color w:val="auto"/>
              </w:rPr>
            </w:pPr>
          </w:p>
        </w:tc>
        <w:tc>
          <w:tcPr>
            <w:tcW w:w="440" w:type="dxa"/>
            <w:vAlign w:val="bottom"/>
            <w:tcBorders>
              <w:top w:val="single" w:sz="8" w:color="1E1E1E"/>
            </w:tcBorders>
          </w:tcPr>
          <w:p>
            <w:pPr>
              <w:spacing w:after="0"/>
              <w:rPr>
                <w:sz w:val="17"/>
                <w:szCs w:val="17"/>
                <w:color w:val="auto"/>
              </w:rPr>
            </w:pPr>
          </w:p>
        </w:tc>
        <w:tc>
          <w:tcPr>
            <w:tcW w:w="840" w:type="dxa"/>
            <w:vAlign w:val="bottom"/>
            <w:tcBorders>
              <w:top w:val="single" w:sz="8" w:color="1E1E1E"/>
            </w:tcBorders>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Borders>
              <w:top w:val="single" w:sz="8" w:color="1E1E1E"/>
            </w:tcBorders>
          </w:tcPr>
          <w:p>
            <w:pPr>
              <w:spacing w:after="0"/>
              <w:rPr>
                <w:sz w:val="17"/>
                <w:szCs w:val="17"/>
                <w:color w:val="auto"/>
              </w:rPr>
            </w:pPr>
          </w:p>
        </w:tc>
        <w:tc>
          <w:tcPr>
            <w:tcW w:w="800" w:type="dxa"/>
            <w:vAlign w:val="bottom"/>
            <w:tcBorders>
              <w:top w:val="single" w:sz="8" w:color="1E1E1E"/>
            </w:tcBorders>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Borders>
              <w:top w:val="single" w:sz="8" w:color="1E1E1E"/>
            </w:tcBorders>
          </w:tcPr>
          <w:p>
            <w:pPr>
              <w:spacing w:after="0"/>
              <w:rPr>
                <w:sz w:val="17"/>
                <w:szCs w:val="17"/>
                <w:color w:val="auto"/>
              </w:rPr>
            </w:pPr>
          </w:p>
        </w:tc>
        <w:tc>
          <w:tcPr>
            <w:tcW w:w="820" w:type="dxa"/>
            <w:vAlign w:val="bottom"/>
            <w:tcBorders>
              <w:top w:val="single" w:sz="8" w:color="1E1E1E"/>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360" w:type="dxa"/>
            <w:vAlign w:val="bottom"/>
          </w:tcPr>
          <w:p>
            <w:pPr>
              <w:spacing w:after="0"/>
              <w:rPr>
                <w:sz w:val="20"/>
                <w:szCs w:val="20"/>
                <w:color w:val="auto"/>
              </w:rPr>
            </w:pPr>
            <w:r>
              <w:rPr>
                <w:rFonts w:ascii="Arial" w:cs="Arial" w:eastAsia="Arial" w:hAnsi="Arial"/>
                <w:sz w:val="20"/>
                <w:szCs w:val="20"/>
                <w:color w:val="1E1E1E"/>
              </w:rPr>
              <w:t>Balance at the beginning of the fiscal year</w:t>
            </w:r>
          </w:p>
        </w:tc>
        <w:tc>
          <w:tcPr>
            <w:tcW w:w="440" w:type="dxa"/>
            <w:vAlign w:val="bottom"/>
          </w:tcPr>
          <w:p>
            <w:pPr>
              <w:jc w:val="right"/>
              <w:ind w:right="247"/>
              <w:spacing w:after="0"/>
              <w:rPr>
                <w:sz w:val="20"/>
                <w:szCs w:val="20"/>
                <w:color w:val="auto"/>
              </w:rPr>
            </w:pPr>
            <w:r>
              <w:rPr>
                <w:rFonts w:ascii="Arial" w:cs="Arial" w:eastAsia="Arial" w:hAnsi="Arial"/>
                <w:sz w:val="20"/>
                <w:szCs w:val="20"/>
                <w:color w:val="1E1E1E"/>
                <w:w w:val="71"/>
              </w:rPr>
              <w:t>$</w:t>
            </w:r>
          </w:p>
        </w:tc>
        <w:tc>
          <w:tcPr>
            <w:tcW w:w="840" w:type="dxa"/>
            <w:vAlign w:val="bottom"/>
          </w:tcPr>
          <w:p>
            <w:pPr>
              <w:jc w:val="right"/>
              <w:spacing w:after="0"/>
              <w:rPr>
                <w:sz w:val="20"/>
                <w:szCs w:val="20"/>
                <w:color w:val="auto"/>
              </w:rPr>
            </w:pPr>
            <w:r>
              <w:rPr>
                <w:rFonts w:ascii="Arial" w:cs="Arial" w:eastAsia="Arial" w:hAnsi="Arial"/>
                <w:sz w:val="20"/>
                <w:szCs w:val="20"/>
                <w:color w:val="1E1E1E"/>
              </w:rPr>
              <w:t>2,000</w:t>
            </w:r>
          </w:p>
        </w:tc>
        <w:tc>
          <w:tcPr>
            <w:tcW w:w="260" w:type="dxa"/>
            <w:vAlign w:val="bottom"/>
          </w:tcPr>
          <w:p>
            <w:pPr>
              <w:spacing w:after="0"/>
              <w:rPr>
                <w:sz w:val="21"/>
                <w:szCs w:val="21"/>
                <w:color w:val="auto"/>
              </w:rPr>
            </w:pPr>
          </w:p>
        </w:tc>
        <w:tc>
          <w:tcPr>
            <w:tcW w:w="460" w:type="dxa"/>
            <w:vAlign w:val="bottom"/>
          </w:tcPr>
          <w:p>
            <w:pPr>
              <w:jc w:val="right"/>
              <w:ind w:right="267"/>
              <w:spacing w:after="0"/>
              <w:rPr>
                <w:sz w:val="20"/>
                <w:szCs w:val="20"/>
                <w:color w:val="auto"/>
              </w:rPr>
            </w:pPr>
            <w:r>
              <w:rPr>
                <w:rFonts w:ascii="Arial" w:cs="Arial" w:eastAsia="Arial" w:hAnsi="Arial"/>
                <w:sz w:val="20"/>
                <w:szCs w:val="20"/>
                <w:color w:val="1E1E1E"/>
                <w:w w:val="71"/>
              </w:rPr>
              <w:t>$</w:t>
            </w:r>
          </w:p>
        </w:tc>
        <w:tc>
          <w:tcPr>
            <w:tcW w:w="800" w:type="dxa"/>
            <w:vAlign w:val="bottom"/>
          </w:tcPr>
          <w:p>
            <w:pPr>
              <w:jc w:val="right"/>
              <w:spacing w:after="0"/>
              <w:rPr>
                <w:sz w:val="20"/>
                <w:szCs w:val="20"/>
                <w:color w:val="auto"/>
              </w:rPr>
            </w:pPr>
            <w:r>
              <w:rPr>
                <w:rFonts w:ascii="Arial" w:cs="Arial" w:eastAsia="Arial" w:hAnsi="Arial"/>
                <w:sz w:val="20"/>
                <w:szCs w:val="20"/>
                <w:color w:val="1E1E1E"/>
              </w:rPr>
              <w:t>2,000</w:t>
            </w:r>
          </w:p>
        </w:tc>
        <w:tc>
          <w:tcPr>
            <w:tcW w:w="260" w:type="dxa"/>
            <w:vAlign w:val="bottom"/>
          </w:tcPr>
          <w:p>
            <w:pPr>
              <w:spacing w:after="0"/>
              <w:rPr>
                <w:sz w:val="21"/>
                <w:szCs w:val="21"/>
                <w:color w:val="auto"/>
              </w:rPr>
            </w:pPr>
          </w:p>
        </w:tc>
        <w:tc>
          <w:tcPr>
            <w:tcW w:w="460" w:type="dxa"/>
            <w:vAlign w:val="bottom"/>
          </w:tcPr>
          <w:p>
            <w:pPr>
              <w:jc w:val="right"/>
              <w:ind w:right="267"/>
              <w:spacing w:after="0"/>
              <w:rPr>
                <w:sz w:val="20"/>
                <w:szCs w:val="20"/>
                <w:color w:val="auto"/>
              </w:rPr>
            </w:pPr>
            <w:r>
              <w:rPr>
                <w:rFonts w:ascii="Arial" w:cs="Arial" w:eastAsia="Arial" w:hAnsi="Arial"/>
                <w:sz w:val="20"/>
                <w:szCs w:val="20"/>
                <w:color w:val="1E1E1E"/>
                <w:w w:val="71"/>
              </w:rPr>
              <w:t>$</w:t>
            </w:r>
          </w:p>
        </w:tc>
        <w:tc>
          <w:tcPr>
            <w:tcW w:w="820" w:type="dxa"/>
            <w:vAlign w:val="bottom"/>
          </w:tcPr>
          <w:p>
            <w:pPr>
              <w:jc w:val="right"/>
              <w:spacing w:after="0"/>
              <w:rPr>
                <w:sz w:val="20"/>
                <w:szCs w:val="20"/>
                <w:color w:val="auto"/>
              </w:rPr>
            </w:pPr>
            <w:r>
              <w:rPr>
                <w:rFonts w:ascii="Arial" w:cs="Arial" w:eastAsia="Arial" w:hAnsi="Arial"/>
                <w:sz w:val="20"/>
                <w:szCs w:val="20"/>
                <w:color w:val="1E1E1E"/>
              </w:rPr>
              <w:t>2,000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E4E4E4"/>
          </w:tcPr>
          <w:p>
            <w:pPr>
              <w:ind w:left="100"/>
              <w:spacing w:after="0"/>
              <w:rPr>
                <w:sz w:val="20"/>
                <w:szCs w:val="20"/>
                <w:color w:val="auto"/>
              </w:rPr>
            </w:pPr>
            <w:r>
              <w:rPr>
                <w:rFonts w:ascii="Arial" w:cs="Arial" w:eastAsia="Arial" w:hAnsi="Arial"/>
                <w:sz w:val="20"/>
                <w:szCs w:val="20"/>
                <w:color w:val="1E1E1E"/>
              </w:rPr>
              <w:t>Changes due to tax positions from current year</w:t>
            </w:r>
          </w:p>
        </w:tc>
        <w:tc>
          <w:tcPr>
            <w:tcW w:w="440" w:type="dxa"/>
            <w:vAlign w:val="bottom"/>
            <w:shd w:val="clear" w:color="auto" w:fill="E4E4E4"/>
          </w:tcPr>
          <w:p>
            <w:pPr>
              <w:spacing w:after="0"/>
              <w:rPr>
                <w:sz w:val="20"/>
                <w:szCs w:val="20"/>
                <w:color w:val="auto"/>
              </w:rPr>
            </w:pPr>
          </w:p>
        </w:tc>
        <w:tc>
          <w:tcPr>
            <w:tcW w:w="1100" w:type="dxa"/>
            <w:vAlign w:val="bottom"/>
            <w:gridSpan w:val="2"/>
            <w:shd w:val="clear" w:color="auto" w:fill="E4E4E4"/>
          </w:tcPr>
          <w:p>
            <w:pPr>
              <w:jc w:val="right"/>
              <w:ind w:right="180"/>
              <w:spacing w:after="0"/>
              <w:rPr>
                <w:sz w:val="20"/>
                <w:szCs w:val="20"/>
                <w:color w:val="auto"/>
              </w:rPr>
            </w:pPr>
            <w:r>
              <w:rPr>
                <w:rFonts w:ascii="Arial" w:cs="Arial" w:eastAsia="Arial" w:hAnsi="Arial"/>
                <w:sz w:val="20"/>
                <w:szCs w:val="20"/>
                <w:color w:val="1E1E1E"/>
              </w:rPr>
              <w:t>—</w:t>
            </w:r>
          </w:p>
        </w:tc>
        <w:tc>
          <w:tcPr>
            <w:tcW w:w="460" w:type="dxa"/>
            <w:vAlign w:val="bottom"/>
            <w:shd w:val="clear" w:color="auto" w:fill="E4E4E4"/>
          </w:tcPr>
          <w:p>
            <w:pPr>
              <w:spacing w:after="0"/>
              <w:rPr>
                <w:sz w:val="20"/>
                <w:szCs w:val="20"/>
                <w:color w:val="auto"/>
              </w:rPr>
            </w:pPr>
          </w:p>
        </w:tc>
        <w:tc>
          <w:tcPr>
            <w:tcW w:w="1060" w:type="dxa"/>
            <w:vAlign w:val="bottom"/>
            <w:gridSpan w:val="2"/>
            <w:shd w:val="clear" w:color="auto" w:fill="E4E4E4"/>
          </w:tcPr>
          <w:p>
            <w:pPr>
              <w:jc w:val="right"/>
              <w:ind w:right="260"/>
              <w:spacing w:after="0"/>
              <w:rPr>
                <w:sz w:val="20"/>
                <w:szCs w:val="20"/>
                <w:color w:val="auto"/>
              </w:rPr>
            </w:pPr>
            <w:r>
              <w:rPr>
                <w:rFonts w:ascii="Arial" w:cs="Arial" w:eastAsia="Arial" w:hAnsi="Arial"/>
                <w:sz w:val="20"/>
                <w:szCs w:val="20"/>
                <w:color w:val="1E1E1E"/>
              </w:rPr>
              <w:t>—</w:t>
            </w:r>
          </w:p>
        </w:tc>
        <w:tc>
          <w:tcPr>
            <w:tcW w:w="460" w:type="dxa"/>
            <w:vAlign w:val="bottom"/>
            <w:shd w:val="clear" w:color="auto" w:fill="E4E4E4"/>
          </w:tcPr>
          <w:p>
            <w:pPr>
              <w:spacing w:after="0"/>
              <w:rPr>
                <w:sz w:val="20"/>
                <w:szCs w:val="20"/>
                <w:color w:val="auto"/>
              </w:rPr>
            </w:pPr>
          </w:p>
        </w:tc>
        <w:tc>
          <w:tcPr>
            <w:tcW w:w="920" w:type="dxa"/>
            <w:vAlign w:val="bottom"/>
            <w:gridSpan w:val="2"/>
            <w:shd w:val="clear" w:color="auto" w:fill="E4E4E4"/>
          </w:tcPr>
          <w:p>
            <w:pPr>
              <w:jc w:val="right"/>
              <w:ind w:right="100"/>
              <w:spacing w:after="0"/>
              <w:rPr>
                <w:sz w:val="20"/>
                <w:szCs w:val="20"/>
                <w:color w:val="auto"/>
              </w:rPr>
            </w:pPr>
            <w:r>
              <w:rPr>
                <w:rFonts w:ascii="Arial" w:cs="Arial" w:eastAsia="Arial" w:hAnsi="Arial"/>
                <w:sz w:val="20"/>
                <w:szCs w:val="20"/>
                <w:color w:val="1E1E1E"/>
              </w:rPr>
              <w:t>—</w:t>
            </w:r>
          </w:p>
        </w:tc>
        <w:tc>
          <w:tcPr>
            <w:tcW w:w="0" w:type="dxa"/>
            <w:vAlign w:val="bottom"/>
          </w:tcPr>
          <w:p>
            <w:pPr>
              <w:spacing w:after="0"/>
              <w:rPr>
                <w:sz w:val="1"/>
                <w:szCs w:val="1"/>
                <w:color w:val="auto"/>
              </w:rPr>
            </w:pPr>
          </w:p>
        </w:tc>
      </w:tr>
      <w:tr>
        <w:trPr>
          <w:trHeight w:val="230"/>
        </w:trPr>
        <w:tc>
          <w:tcPr>
            <w:tcW w:w="6360" w:type="dxa"/>
            <w:vAlign w:val="bottom"/>
          </w:tcPr>
          <w:p>
            <w:pPr>
              <w:ind w:left="100"/>
              <w:spacing w:after="0"/>
              <w:rPr>
                <w:sz w:val="20"/>
                <w:szCs w:val="20"/>
                <w:color w:val="auto"/>
              </w:rPr>
            </w:pPr>
            <w:r>
              <w:rPr>
                <w:rFonts w:ascii="Arial" w:cs="Arial" w:eastAsia="Arial" w:hAnsi="Arial"/>
                <w:sz w:val="20"/>
                <w:szCs w:val="20"/>
                <w:color w:val="1E1E1E"/>
              </w:rPr>
              <w:t>Changes due to tax positions from prior years</w:t>
            </w:r>
          </w:p>
        </w:tc>
        <w:tc>
          <w:tcPr>
            <w:tcW w:w="4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20"/>
                <w:szCs w:val="20"/>
                <w:color w:val="1E1E1E"/>
              </w:rPr>
              <w:t>(2,000)</w:t>
            </w:r>
          </w:p>
        </w:tc>
        <w:tc>
          <w:tcPr>
            <w:tcW w:w="4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20"/>
                <w:szCs w:val="20"/>
                <w:color w:val="1E1E1E"/>
              </w:rPr>
              <w:t>—</w:t>
            </w:r>
          </w:p>
        </w:tc>
        <w:tc>
          <w:tcPr>
            <w:tcW w:w="4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20"/>
                <w:szCs w:val="20"/>
                <w:color w:val="1E1E1E"/>
              </w:rPr>
              <w:t>—</w:t>
            </w:r>
          </w:p>
        </w:tc>
        <w:tc>
          <w:tcPr>
            <w:tcW w:w="0" w:type="dxa"/>
            <w:vAlign w:val="bottom"/>
          </w:tcPr>
          <w:p>
            <w:pPr>
              <w:spacing w:after="0"/>
              <w:rPr>
                <w:sz w:val="1"/>
                <w:szCs w:val="1"/>
                <w:color w:val="auto"/>
              </w:rPr>
            </w:pPr>
          </w:p>
        </w:tc>
      </w:tr>
      <w:tr>
        <w:trPr>
          <w:trHeight w:val="249"/>
        </w:trPr>
        <w:tc>
          <w:tcPr>
            <w:tcW w:w="6360" w:type="dxa"/>
            <w:vAlign w:val="bottom"/>
            <w:shd w:val="clear" w:color="auto" w:fill="E4E4E4"/>
          </w:tcPr>
          <w:p>
            <w:pPr>
              <w:ind w:left="100"/>
              <w:spacing w:after="0"/>
              <w:rPr>
                <w:sz w:val="20"/>
                <w:szCs w:val="20"/>
                <w:color w:val="auto"/>
              </w:rPr>
            </w:pPr>
            <w:r>
              <w:rPr>
                <w:rFonts w:ascii="Arial" w:cs="Arial" w:eastAsia="Arial" w:hAnsi="Arial"/>
                <w:sz w:val="20"/>
                <w:szCs w:val="20"/>
                <w:color w:val="1E1E1E"/>
              </w:rPr>
              <w:t>Changes due to lapsing of statute of limitations</w:t>
            </w:r>
          </w:p>
        </w:tc>
        <w:tc>
          <w:tcPr>
            <w:tcW w:w="440" w:type="dxa"/>
            <w:vAlign w:val="bottom"/>
            <w:shd w:val="clear" w:color="auto" w:fill="E4E4E4"/>
          </w:tcPr>
          <w:p>
            <w:pPr>
              <w:spacing w:after="0"/>
              <w:rPr>
                <w:sz w:val="21"/>
                <w:szCs w:val="21"/>
                <w:color w:val="auto"/>
              </w:rPr>
            </w:pPr>
          </w:p>
        </w:tc>
        <w:tc>
          <w:tcPr>
            <w:tcW w:w="1100" w:type="dxa"/>
            <w:vAlign w:val="bottom"/>
            <w:gridSpan w:val="2"/>
            <w:shd w:val="clear" w:color="auto" w:fill="E4E4E4"/>
          </w:tcPr>
          <w:p>
            <w:pPr>
              <w:jc w:val="right"/>
              <w:ind w:right="180"/>
              <w:spacing w:after="0"/>
              <w:rPr>
                <w:sz w:val="20"/>
                <w:szCs w:val="20"/>
                <w:color w:val="auto"/>
              </w:rPr>
            </w:pPr>
            <w:r>
              <w:rPr>
                <w:rFonts w:ascii="Arial" w:cs="Arial" w:eastAsia="Arial" w:hAnsi="Arial"/>
                <w:sz w:val="20"/>
                <w:szCs w:val="20"/>
                <w:color w:val="1E1E1E"/>
              </w:rPr>
              <w:t>—</w:t>
            </w:r>
          </w:p>
        </w:tc>
        <w:tc>
          <w:tcPr>
            <w:tcW w:w="460" w:type="dxa"/>
            <w:vAlign w:val="bottom"/>
            <w:shd w:val="clear" w:color="auto" w:fill="E4E4E4"/>
          </w:tcPr>
          <w:p>
            <w:pPr>
              <w:spacing w:after="0"/>
              <w:rPr>
                <w:sz w:val="21"/>
                <w:szCs w:val="21"/>
                <w:color w:val="auto"/>
              </w:rPr>
            </w:pPr>
          </w:p>
        </w:tc>
        <w:tc>
          <w:tcPr>
            <w:tcW w:w="1060" w:type="dxa"/>
            <w:vAlign w:val="bottom"/>
            <w:gridSpan w:val="2"/>
            <w:shd w:val="clear" w:color="auto" w:fill="E4E4E4"/>
          </w:tcPr>
          <w:p>
            <w:pPr>
              <w:jc w:val="right"/>
              <w:ind w:right="260"/>
              <w:spacing w:after="0"/>
              <w:rPr>
                <w:sz w:val="20"/>
                <w:szCs w:val="20"/>
                <w:color w:val="auto"/>
              </w:rPr>
            </w:pPr>
            <w:r>
              <w:rPr>
                <w:rFonts w:ascii="Arial" w:cs="Arial" w:eastAsia="Arial" w:hAnsi="Arial"/>
                <w:sz w:val="20"/>
                <w:szCs w:val="20"/>
                <w:color w:val="1E1E1E"/>
              </w:rPr>
              <w:t>—</w:t>
            </w:r>
          </w:p>
        </w:tc>
        <w:tc>
          <w:tcPr>
            <w:tcW w:w="460" w:type="dxa"/>
            <w:vAlign w:val="bottom"/>
            <w:shd w:val="clear" w:color="auto" w:fill="E4E4E4"/>
          </w:tcPr>
          <w:p>
            <w:pPr>
              <w:spacing w:after="0"/>
              <w:rPr>
                <w:sz w:val="21"/>
                <w:szCs w:val="21"/>
                <w:color w:val="auto"/>
              </w:rPr>
            </w:pPr>
          </w:p>
        </w:tc>
        <w:tc>
          <w:tcPr>
            <w:tcW w:w="920" w:type="dxa"/>
            <w:vAlign w:val="bottom"/>
            <w:gridSpan w:val="2"/>
            <w:shd w:val="clear" w:color="auto" w:fill="E4E4E4"/>
          </w:tcPr>
          <w:p>
            <w:pPr>
              <w:jc w:val="right"/>
              <w:ind w:right="100"/>
              <w:spacing w:after="0"/>
              <w:rPr>
                <w:sz w:val="20"/>
                <w:szCs w:val="20"/>
                <w:color w:val="auto"/>
              </w:rPr>
            </w:pPr>
            <w:r>
              <w:rPr>
                <w:rFonts w:ascii="Arial" w:cs="Arial" w:eastAsia="Arial" w:hAnsi="Arial"/>
                <w:sz w:val="20"/>
                <w:szCs w:val="20"/>
                <w:color w:val="1E1E1E"/>
              </w:rPr>
              <w:t>—</w:t>
            </w:r>
          </w:p>
        </w:tc>
        <w:tc>
          <w:tcPr>
            <w:tcW w:w="0" w:type="dxa"/>
            <w:vAlign w:val="bottom"/>
          </w:tcPr>
          <w:p>
            <w:pPr>
              <w:spacing w:after="0"/>
              <w:rPr>
                <w:sz w:val="1"/>
                <w:szCs w:val="1"/>
                <w:color w:val="auto"/>
              </w:rPr>
            </w:pPr>
          </w:p>
        </w:tc>
      </w:tr>
      <w:tr>
        <w:trPr>
          <w:trHeight w:val="204"/>
        </w:trPr>
        <w:tc>
          <w:tcPr>
            <w:tcW w:w="6360" w:type="dxa"/>
            <w:vAlign w:val="bottom"/>
            <w:tcBorders>
              <w:top w:val="single" w:sz="8" w:color="E4E4E4"/>
            </w:tcBorders>
          </w:tcPr>
          <w:p>
            <w:pPr>
              <w:spacing w:after="0" w:line="204" w:lineRule="exact"/>
              <w:rPr>
                <w:sz w:val="20"/>
                <w:szCs w:val="20"/>
                <w:color w:val="auto"/>
              </w:rPr>
            </w:pPr>
            <w:r>
              <w:rPr>
                <w:rFonts w:ascii="Arial" w:cs="Arial" w:eastAsia="Arial" w:hAnsi="Arial"/>
                <w:sz w:val="20"/>
                <w:szCs w:val="20"/>
                <w:color w:val="1E1E1E"/>
              </w:rPr>
              <w:t>Balance at the end of the fiscal year</w:t>
            </w:r>
          </w:p>
        </w:tc>
        <w:tc>
          <w:tcPr>
            <w:tcW w:w="440" w:type="dxa"/>
            <w:vAlign w:val="bottom"/>
            <w:tcBorders>
              <w:top w:val="single" w:sz="8" w:color="1E1E1E"/>
            </w:tcBorders>
          </w:tcPr>
          <w:p>
            <w:pPr>
              <w:jc w:val="right"/>
              <w:ind w:right="247"/>
              <w:spacing w:after="0" w:line="204" w:lineRule="exact"/>
              <w:rPr>
                <w:sz w:val="20"/>
                <w:szCs w:val="20"/>
                <w:color w:val="auto"/>
              </w:rPr>
            </w:pPr>
            <w:r>
              <w:rPr>
                <w:rFonts w:ascii="Arial" w:cs="Arial" w:eastAsia="Arial" w:hAnsi="Arial"/>
                <w:sz w:val="20"/>
                <w:szCs w:val="20"/>
                <w:color w:val="1E1E1E"/>
                <w:w w:val="71"/>
              </w:rPr>
              <w:t>$</w:t>
            </w:r>
          </w:p>
        </w:tc>
        <w:tc>
          <w:tcPr>
            <w:tcW w:w="840" w:type="dxa"/>
            <w:vAlign w:val="bottom"/>
            <w:tcBorders>
              <w:top w:val="single" w:sz="8" w:color="1E1E1E"/>
            </w:tcBorders>
          </w:tcPr>
          <w:p>
            <w:pPr>
              <w:jc w:val="right"/>
              <w:spacing w:after="0" w:line="204" w:lineRule="exact"/>
              <w:rPr>
                <w:sz w:val="20"/>
                <w:szCs w:val="20"/>
                <w:color w:val="auto"/>
              </w:rPr>
            </w:pPr>
            <w:r>
              <w:rPr>
                <w:rFonts w:ascii="Arial" w:cs="Arial" w:eastAsia="Arial" w:hAnsi="Arial"/>
                <w:sz w:val="20"/>
                <w:szCs w:val="20"/>
                <w:color w:val="1E1E1E"/>
              </w:rPr>
              <w:t>—</w:t>
            </w:r>
          </w:p>
        </w:tc>
        <w:tc>
          <w:tcPr>
            <w:tcW w:w="260" w:type="dxa"/>
            <w:vAlign w:val="bottom"/>
            <w:tcBorders>
              <w:top w:val="single" w:sz="8" w:color="E4E4E4"/>
            </w:tcBorders>
          </w:tcPr>
          <w:p>
            <w:pPr>
              <w:spacing w:after="0"/>
              <w:rPr>
                <w:sz w:val="17"/>
                <w:szCs w:val="17"/>
                <w:color w:val="auto"/>
              </w:rPr>
            </w:pPr>
          </w:p>
        </w:tc>
        <w:tc>
          <w:tcPr>
            <w:tcW w:w="460" w:type="dxa"/>
            <w:vAlign w:val="bottom"/>
            <w:tcBorders>
              <w:top w:val="single" w:sz="8" w:color="1E1E1E"/>
            </w:tcBorders>
          </w:tcPr>
          <w:p>
            <w:pPr>
              <w:jc w:val="right"/>
              <w:ind w:right="267"/>
              <w:spacing w:after="0" w:line="204" w:lineRule="exact"/>
              <w:rPr>
                <w:sz w:val="20"/>
                <w:szCs w:val="20"/>
                <w:color w:val="auto"/>
              </w:rPr>
            </w:pPr>
            <w:r>
              <w:rPr>
                <w:rFonts w:ascii="Arial" w:cs="Arial" w:eastAsia="Arial" w:hAnsi="Arial"/>
                <w:sz w:val="20"/>
                <w:szCs w:val="20"/>
                <w:color w:val="1E1E1E"/>
                <w:w w:val="71"/>
              </w:rPr>
              <w:t>$</w:t>
            </w:r>
          </w:p>
        </w:tc>
        <w:tc>
          <w:tcPr>
            <w:tcW w:w="800" w:type="dxa"/>
            <w:vAlign w:val="bottom"/>
            <w:tcBorders>
              <w:top w:val="single" w:sz="8" w:color="1E1E1E"/>
            </w:tcBorders>
          </w:tcPr>
          <w:p>
            <w:pPr>
              <w:jc w:val="right"/>
              <w:spacing w:after="0" w:line="204" w:lineRule="exact"/>
              <w:rPr>
                <w:sz w:val="20"/>
                <w:szCs w:val="20"/>
                <w:color w:val="auto"/>
              </w:rPr>
            </w:pPr>
            <w:r>
              <w:rPr>
                <w:rFonts w:ascii="Arial" w:cs="Arial" w:eastAsia="Arial" w:hAnsi="Arial"/>
                <w:sz w:val="20"/>
                <w:szCs w:val="20"/>
                <w:color w:val="1E1E1E"/>
              </w:rPr>
              <w:t>2,000</w:t>
            </w:r>
          </w:p>
        </w:tc>
        <w:tc>
          <w:tcPr>
            <w:tcW w:w="260" w:type="dxa"/>
            <w:vAlign w:val="bottom"/>
            <w:tcBorders>
              <w:top w:val="single" w:sz="8" w:color="E4E4E4"/>
            </w:tcBorders>
          </w:tcPr>
          <w:p>
            <w:pPr>
              <w:spacing w:after="0"/>
              <w:rPr>
                <w:sz w:val="17"/>
                <w:szCs w:val="17"/>
                <w:color w:val="auto"/>
              </w:rPr>
            </w:pPr>
          </w:p>
        </w:tc>
        <w:tc>
          <w:tcPr>
            <w:tcW w:w="460" w:type="dxa"/>
            <w:vAlign w:val="bottom"/>
            <w:tcBorders>
              <w:top w:val="single" w:sz="8" w:color="1E1E1E"/>
            </w:tcBorders>
          </w:tcPr>
          <w:p>
            <w:pPr>
              <w:jc w:val="right"/>
              <w:ind w:right="267"/>
              <w:spacing w:after="0" w:line="204" w:lineRule="exact"/>
              <w:rPr>
                <w:sz w:val="20"/>
                <w:szCs w:val="20"/>
                <w:color w:val="auto"/>
              </w:rPr>
            </w:pPr>
            <w:r>
              <w:rPr>
                <w:rFonts w:ascii="Arial" w:cs="Arial" w:eastAsia="Arial" w:hAnsi="Arial"/>
                <w:sz w:val="20"/>
                <w:szCs w:val="20"/>
                <w:color w:val="1E1E1E"/>
                <w:w w:val="71"/>
              </w:rPr>
              <w:t>$</w:t>
            </w:r>
          </w:p>
        </w:tc>
        <w:tc>
          <w:tcPr>
            <w:tcW w:w="820" w:type="dxa"/>
            <w:vAlign w:val="bottom"/>
            <w:tcBorders>
              <w:top w:val="single" w:sz="8" w:color="1E1E1E"/>
            </w:tcBorders>
          </w:tcPr>
          <w:p>
            <w:pPr>
              <w:jc w:val="right"/>
              <w:spacing w:after="0" w:line="204" w:lineRule="exact"/>
              <w:rPr>
                <w:sz w:val="20"/>
                <w:szCs w:val="20"/>
                <w:color w:val="auto"/>
              </w:rPr>
            </w:pPr>
            <w:r>
              <w:rPr>
                <w:rFonts w:ascii="Arial" w:cs="Arial" w:eastAsia="Arial" w:hAnsi="Arial"/>
                <w:sz w:val="20"/>
                <w:szCs w:val="20"/>
                <w:color w:val="1E1E1E"/>
              </w:rPr>
              <w:t>2,000</w:t>
            </w:r>
          </w:p>
        </w:tc>
        <w:tc>
          <w:tcPr>
            <w:tcW w:w="100" w:type="dxa"/>
            <w:vAlign w:val="bottom"/>
            <w:tcBorders>
              <w:top w:val="single" w:sz="8" w:color="E4E4E4"/>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4023360</wp:posOffset>
            </wp:positionH>
            <wp:positionV relativeFrom="paragraph">
              <wp:posOffset>-15875</wp:posOffset>
            </wp:positionV>
            <wp:extent cx="2784475" cy="609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84475" cy="60960"/>
                    </a:xfrm>
                    <a:prstGeom prst="rect">
                      <a:avLst/>
                    </a:prstGeom>
                    <a:noFill/>
                  </pic:spPr>
                </pic:pic>
              </a:graphicData>
            </a:graphic>
          </wp:anchor>
        </w:drawing>
      </w:r>
    </w:p>
    <w:p>
      <w:pPr>
        <w:spacing w:after="0" w:line="243" w:lineRule="exact"/>
        <w:rPr>
          <w:sz w:val="20"/>
          <w:szCs w:val="20"/>
          <w:color w:val="auto"/>
        </w:rPr>
      </w:pPr>
    </w:p>
    <w:p>
      <w:pPr>
        <w:ind w:right="760"/>
        <w:spacing w:after="0" w:line="279" w:lineRule="auto"/>
        <w:rPr>
          <w:sz w:val="20"/>
          <w:szCs w:val="20"/>
          <w:color w:val="auto"/>
        </w:rPr>
      </w:pPr>
      <w:r>
        <w:rPr>
          <w:rFonts w:ascii="Arial" w:cs="Arial" w:eastAsia="Arial" w:hAnsi="Arial"/>
          <w:sz w:val="20"/>
          <w:szCs w:val="20"/>
          <w:color w:val="1E1E1E"/>
        </w:rPr>
        <w:t>The Company made tax payments of $1.6 million, $0.5 million, and $0.6 million for fiscal 2023, fiscal 2022, and fiscal 2021, respectively.</w:t>
      </w:r>
    </w:p>
    <w:p>
      <w:pPr>
        <w:spacing w:after="0" w:line="166" w:lineRule="exact"/>
        <w:rPr>
          <w:sz w:val="20"/>
          <w:szCs w:val="20"/>
          <w:color w:val="auto"/>
        </w:rPr>
      </w:pPr>
    </w:p>
    <w:p>
      <w:pPr>
        <w:ind w:right="80"/>
        <w:spacing w:after="0" w:line="334" w:lineRule="auto"/>
        <w:rPr>
          <w:sz w:val="20"/>
          <w:szCs w:val="20"/>
          <w:color w:val="auto"/>
        </w:rPr>
      </w:pPr>
      <w:r>
        <w:rPr>
          <w:rFonts w:ascii="Arial" w:cs="Arial" w:eastAsia="Arial" w:hAnsi="Arial"/>
          <w:sz w:val="18"/>
          <w:szCs w:val="18"/>
          <w:color w:val="1E1E1E"/>
        </w:rPr>
        <w:t>The Inflation Reduction Act of 2022, which was signed into law in 2022, contains a provision that includes a 1% excise tax on certain stock buybacks after December 31, 2022. At February 3, 2024, the Company has accrued $0.2 million for excise taxes payable.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1E1E1E"/>
        </w:rPr>
        <w:t>G. COMMITMENTS AND CONTINGENCIES</w:t>
      </w:r>
    </w:p>
    <w:p>
      <w:pPr>
        <w:spacing w:after="0" w:line="244"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1E1E1E"/>
        </w:rPr>
        <w:t>At February 3, 2024 the Company was obligated under operating leases covering store and office space, and certain equipment for future minimum rentals. See Note E, “Leases” for the schedule of future remaining lease obligations. In addition to its lease obligations, the Company is also contractually committed pursuant to a merchandise purchase obligation to meet minimum purchases of $10.0 million annually through fiscal 2028.</w:t>
      </w:r>
    </w:p>
    <w:p>
      <w:pPr>
        <w:spacing w:after="0" w:line="193"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1E1E1E"/>
        </w:rPr>
        <w:t>The Company is subject to various legal proceedings and claims that arise in the ordinary course of business. When a loss is considered probable, the Company records an accrual based on the reasonably estimable loss or range of loss. Costs related to such legal proceedings are expensed and reported in selling, general and administrative expenses in the Consolidated Statements of Operations. The Company believes its accruals at February 3, 2024 are adequate in light of the probable and estimable liabilities. The Company does not believe that any identified claims or litigation will be material to its results of operations, cash flows, or financial condition.</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1E1E1E"/>
        </w:rPr>
        <w:t>H. LONG-TERM INCENTIVE PLANS</w:t>
      </w:r>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1E1E1E"/>
        </w:rPr>
        <w:t>The following is a summary of the Company’s Long-Term Incentive Plan (“LTIP”). All equity awards granted under these long-term incentive plans were issued from the Company’s stockholder-approved 2016 Incentive Compensation Plan. See Note I, “Stock Compensation Plans.”</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1E1E1E"/>
        </w:rPr>
        <w:t>At February 3, 2024, the Company has three active LTIPs: 2021-2023 LTIP, 2022-2024 LTIP and 2023-2025 LTIP. Each participant in the plan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The time- based awards under the 2021-2023 LTIP were granted in a combination of 25% stock options and 75% cash, and the time-based awards under the 2022-2024 LTIP and the 2023-2025 LTIP were granted in a combination of 50% RSUs and 50% cash.</w:t>
      </w:r>
    </w:p>
    <w:p>
      <w:pPr>
        <w:spacing w:after="0" w:line="6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1E1E1E"/>
        </w:rPr>
        <w:t>Performance targets for the 2021-2023 LTIP, 2022- 2024 LTIP and the 2023-2025 LITP were established and approved by the Compensation Committee on March 8, 2021, April 9, 2022 and May 1, 2023, respectively. The performance period for each LTIP is three years. Awards for any achievement of performance targets will not be granted until the performance targets are achieved and then will be subject to additional vesting through August 31, 2024, August 31, 2025 and August, 31, 2026, respectively. The time-based awards under the 2021-2023 LTIP, 2022-2024 LTIP and 2023-2025 LTIP vest in four equal installments through April 1, 2025, April 1, 2026, and April 1, 2027, respectively.</w:t>
      </w:r>
    </w:p>
    <w:p>
      <w:pPr>
        <w:sectPr>
          <w:pgSz w:w="11880" w:h="15480" w:orient="portrait"/>
          <w:cols w:equalWidth="0" w:num="1">
            <w:col w:w="10800"/>
          </w:cols>
          <w:pgMar w:left="540" w:top="656"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54</w:t>
      </w:r>
    </w:p>
    <w:p>
      <w:pPr>
        <w:sectPr>
          <w:pgSz w:w="11880" w:h="15480" w:orient="portrait"/>
          <w:cols w:equalWidth="0" w:num="1">
            <w:col w:w="10800"/>
          </w:cols>
          <w:pgMar w:left="540" w:top="656" w:right="540" w:bottom="31" w:gutter="0" w:footer="0" w:header="0"/>
          <w:type w:val="continuous"/>
        </w:sectPr>
      </w:pPr>
    </w:p>
    <w:bookmarkStart w:id="56" w:name="page57"/>
    <w:bookmarkEnd w:id="56"/>
    <w:p>
      <w:pPr>
        <w:jc w:val="both"/>
        <w:spacing w:after="0" w:line="290" w:lineRule="auto"/>
        <w:rPr>
          <w:sz w:val="20"/>
          <w:szCs w:val="20"/>
          <w:color w:val="auto"/>
        </w:rPr>
      </w:pPr>
      <w:r>
        <w:rPr>
          <w:rFonts w:ascii="Arial" w:cs="Arial" w:eastAsia="Arial" w:hAnsi="Arial"/>
          <w:sz w:val="18"/>
          <w:szCs w:val="18"/>
          <w:color w:val="1E1E1E"/>
        </w:rPr>
        <w:t>Assuming that the Company achieves the performance targets at target levels and all time-based awards vest, the compensation expense associated with the 2021-2023 LTIP, 2022-2024 LTIP and 2023-2025 LTIP is estimated to be approximately $4.1 million, $4.8 million and $5.1 million, respectively. Approximately half of the compensation expense for each LTIP relates to the time-based awards, which are being expensed straight-line over 49 months, 48 months and 47 months, respectively.</w:t>
      </w:r>
    </w:p>
    <w:p>
      <w:pPr>
        <w:spacing w:after="0" w:line="4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1E1E1E"/>
        </w:rPr>
        <w:t>The performance targets under the 2021-2023 LTIP were achieved at the end of fiscal 2023. Awards granted pursuant to this achievement will be subject to further vesting through August 31, 2024. Accordingly, at February 3, 2024, $2.5 million of the expected $3.0 million for the performance award has been accrued.</w:t>
      </w:r>
    </w:p>
    <w:p>
      <w:pPr>
        <w:spacing w:after="0" w:line="67"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1E1E1E"/>
        </w:rPr>
        <w:t>At February 3, 2024, the Company accrued $1.6 million for the performance awards under the 2022-2024 LTIP and no accrual for the performance-based awards under the 2023-2025 LTIP.</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1E1E1E"/>
        </w:rPr>
        <w:t>I. STOCK COMPENSATION PLANS</w:t>
      </w:r>
    </w:p>
    <w:p>
      <w:pPr>
        <w:spacing w:after="0" w:line="124"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1E1E1E"/>
        </w:rPr>
        <w:t>The Company has one active stock-based compensation plan: the 2016 Incentive Compensation Plan (as amended, the “2016 Plan”). A grant of a stock option award or stock appreciation right will reduce the outstanding reserve on a one-for-one basis, meaning one share for every share granted. A grant of a full- value award, including, but not limited to, restricted stock, restricted stock units and deferred stock, will reduce the outstanding reserve by a fixed ratio of 1.9 shares for every share granted. At February 3, 2024, 15,120,538 shares were authorized under the 2016 Plan, of which 2,177,876 shares remain available for grant.</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1E1E1E"/>
        </w:rPr>
        <w:t>In accordance with the terms of the 2016 Plan, any shares outstanding under the previous 2006 Incentive Compensation Plan (the “2006 Plan”) at August 4, 2016 that subsequently terminate, expire or are cancelled for any reason without having been exercised or paid are added back and become available for issuance under the 2016 Plan, with stock options being added back on a one-for-one basis and full-value awards being added back on a 1 to 1.9 basis. At February 3, 2024, there were 75,487 stock options that remain outstanding under the 2006 Plan.</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1E1E1E"/>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or otherwise forfeitable unless such award has been outstanding for a minimum period of one year from its date of grant.</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1E1E1E"/>
        </w:rPr>
        <w:t>Stock Option Activity</w:t>
      </w:r>
    </w:p>
    <w:p>
      <w:pPr>
        <w:spacing w:after="0" w:line="117" w:lineRule="exact"/>
        <w:rPr>
          <w:sz w:val="20"/>
          <w:szCs w:val="20"/>
          <w:color w:val="auto"/>
        </w:rPr>
      </w:pPr>
    </w:p>
    <w:p>
      <w:pPr>
        <w:ind w:right="260"/>
        <w:spacing w:after="0" w:line="241" w:lineRule="auto"/>
        <w:rPr>
          <w:sz w:val="20"/>
          <w:szCs w:val="20"/>
          <w:color w:val="auto"/>
        </w:rPr>
      </w:pPr>
      <w:r>
        <w:rPr>
          <w:rFonts w:ascii="Arial" w:cs="Arial" w:eastAsia="Arial" w:hAnsi="Arial"/>
          <w:sz w:val="20"/>
          <w:szCs w:val="20"/>
          <w:color w:val="1E1E1E"/>
        </w:rPr>
        <w:t>The following tables summarize the stock option activity under the Company’s 2006 Plan and 2016 Plan, on an aggregate basis, for fiscal 2023:</w:t>
      </w:r>
    </w:p>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46"/>
              <w:spacing w:after="0"/>
              <w:rPr>
                <w:sz w:val="20"/>
                <w:szCs w:val="20"/>
                <w:color w:val="auto"/>
              </w:rPr>
            </w:pPr>
            <w:r>
              <w:rPr>
                <w:rFonts w:ascii="Arial" w:cs="Arial" w:eastAsia="Arial" w:hAnsi="Arial"/>
                <w:sz w:val="16"/>
                <w:szCs w:val="16"/>
                <w:color w:val="1E1E1E"/>
                <w:w w:val="93"/>
              </w:rPr>
              <w:t>Weighted-</w:t>
            </w:r>
          </w:p>
        </w:tc>
        <w:tc>
          <w:tcPr>
            <w:tcW w:w="2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1E1E1E"/>
                <w:w w:val="93"/>
              </w:rPr>
              <w:t>Weighted-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26"/>
              <w:spacing w:after="0" w:line="183" w:lineRule="exact"/>
              <w:rPr>
                <w:sz w:val="20"/>
                <w:szCs w:val="20"/>
                <w:color w:val="auto"/>
              </w:rPr>
            </w:pPr>
            <w:r>
              <w:rPr>
                <w:rFonts w:ascii="Arial" w:cs="Arial" w:eastAsia="Arial" w:hAnsi="Arial"/>
                <w:sz w:val="16"/>
                <w:szCs w:val="16"/>
                <w:color w:val="1E1E1E"/>
                <w:w w:val="86"/>
              </w:rPr>
              <w:t>average</w:t>
            </w:r>
          </w:p>
        </w:tc>
        <w:tc>
          <w:tcPr>
            <w:tcW w:w="220" w:type="dxa"/>
            <w:vAlign w:val="bottom"/>
          </w:tcPr>
          <w:p>
            <w:pPr>
              <w:spacing w:after="0"/>
              <w:rPr>
                <w:sz w:val="15"/>
                <w:szCs w:val="15"/>
                <w:color w:val="auto"/>
              </w:rPr>
            </w:pPr>
          </w:p>
        </w:tc>
        <w:tc>
          <w:tcPr>
            <w:tcW w:w="1080" w:type="dxa"/>
            <w:vAlign w:val="bottom"/>
          </w:tcPr>
          <w:p>
            <w:pPr>
              <w:jc w:val="center"/>
              <w:spacing w:after="0" w:line="183" w:lineRule="exact"/>
              <w:rPr>
                <w:sz w:val="20"/>
                <w:szCs w:val="20"/>
                <w:color w:val="auto"/>
              </w:rPr>
            </w:pPr>
            <w:r>
              <w:rPr>
                <w:rFonts w:ascii="Arial" w:cs="Arial" w:eastAsia="Arial" w:hAnsi="Arial"/>
                <w:sz w:val="16"/>
                <w:szCs w:val="16"/>
                <w:color w:val="1E1E1E"/>
                <w:w w:val="86"/>
              </w:rPr>
              <w:t>average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45"/>
              <w:spacing w:after="0" w:line="183" w:lineRule="exact"/>
              <w:rPr>
                <w:sz w:val="20"/>
                <w:szCs w:val="20"/>
                <w:color w:val="auto"/>
              </w:rPr>
            </w:pPr>
            <w:r>
              <w:rPr>
                <w:rFonts w:ascii="Arial" w:cs="Arial" w:eastAsia="Arial" w:hAnsi="Arial"/>
                <w:sz w:val="16"/>
                <w:szCs w:val="16"/>
                <w:color w:val="1E1E1E"/>
                <w:w w:val="89"/>
              </w:rPr>
              <w:t>Aggregate</w:t>
            </w:r>
          </w:p>
        </w:tc>
        <w:tc>
          <w:tcPr>
            <w:tcW w:w="100" w:type="dxa"/>
            <w:vAlign w:val="bottom"/>
          </w:tcPr>
          <w:p>
            <w:pPr>
              <w:spacing w:after="0"/>
              <w:rPr>
                <w:sz w:val="15"/>
                <w:szCs w:val="15"/>
                <w:color w:val="auto"/>
              </w:rPr>
            </w:pPr>
          </w:p>
        </w:tc>
      </w:tr>
      <w:tr>
        <w:trPr>
          <w:trHeight w:val="185"/>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1E1E1E"/>
              </w:rPr>
              <w:t>Number of</w:t>
            </w:r>
          </w:p>
        </w:tc>
        <w:tc>
          <w:tcPr>
            <w:tcW w:w="1000" w:type="dxa"/>
            <w:vAlign w:val="bottom"/>
            <w:gridSpan w:val="2"/>
          </w:tcPr>
          <w:p>
            <w:pPr>
              <w:jc w:val="center"/>
              <w:spacing w:after="0"/>
              <w:rPr>
                <w:sz w:val="20"/>
                <w:szCs w:val="20"/>
                <w:color w:val="auto"/>
              </w:rPr>
            </w:pPr>
            <w:r>
              <w:rPr>
                <w:rFonts w:ascii="Arial" w:cs="Arial" w:eastAsia="Arial" w:hAnsi="Arial"/>
                <w:sz w:val="16"/>
                <w:szCs w:val="16"/>
                <w:color w:val="1E1E1E"/>
                <w:w w:val="89"/>
              </w:rPr>
              <w:t>exercise price</w:t>
            </w:r>
          </w:p>
        </w:tc>
        <w:tc>
          <w:tcPr>
            <w:tcW w:w="2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1E1E1E"/>
                <w:w w:val="91"/>
              </w:rPr>
              <w:t>remaining</w:t>
            </w:r>
          </w:p>
        </w:tc>
        <w:tc>
          <w:tcPr>
            <w:tcW w:w="10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color w:val="1E1E1E"/>
                <w:w w:val="92"/>
              </w:rPr>
              <w:t>intrinsic value</w:t>
            </w:r>
          </w:p>
        </w:tc>
        <w:tc>
          <w:tcPr>
            <w:tcW w:w="100" w:type="dxa"/>
            <w:vAlign w:val="bottom"/>
          </w:tcPr>
          <w:p>
            <w:pPr>
              <w:spacing w:after="0"/>
              <w:rPr>
                <w:sz w:val="16"/>
                <w:szCs w:val="16"/>
                <w:color w:val="auto"/>
              </w:rPr>
            </w:pPr>
          </w:p>
        </w:tc>
      </w:tr>
      <w:tr>
        <w:trPr>
          <w:trHeight w:val="200"/>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6"/>
                <w:szCs w:val="16"/>
                <w:color w:val="1E1E1E"/>
              </w:rPr>
              <w:t>Shares</w:t>
            </w:r>
          </w:p>
        </w:tc>
        <w:tc>
          <w:tcPr>
            <w:tcW w:w="140" w:type="dxa"/>
            <w:vAlign w:val="bottom"/>
          </w:tcPr>
          <w:p>
            <w:pPr>
              <w:spacing w:after="0"/>
              <w:rPr>
                <w:sz w:val="17"/>
                <w:szCs w:val="17"/>
                <w:color w:val="auto"/>
              </w:rPr>
            </w:pPr>
          </w:p>
        </w:tc>
        <w:tc>
          <w:tcPr>
            <w:tcW w:w="860" w:type="dxa"/>
            <w:vAlign w:val="bottom"/>
          </w:tcPr>
          <w:p>
            <w:pPr>
              <w:jc w:val="center"/>
              <w:ind w:right="26"/>
              <w:spacing w:after="0"/>
              <w:rPr>
                <w:sz w:val="20"/>
                <w:szCs w:val="20"/>
                <w:color w:val="auto"/>
              </w:rPr>
            </w:pPr>
            <w:r>
              <w:rPr>
                <w:rFonts w:ascii="Arial" w:cs="Arial" w:eastAsia="Arial" w:hAnsi="Arial"/>
                <w:sz w:val="16"/>
                <w:szCs w:val="16"/>
                <w:color w:val="1E1E1E"/>
                <w:w w:val="92"/>
              </w:rPr>
              <w:t>per option</w:t>
            </w:r>
          </w:p>
        </w:tc>
        <w:tc>
          <w:tcPr>
            <w:tcW w:w="2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1E1E1E"/>
                <w:w w:val="90"/>
              </w:rPr>
              <w:t>contractual term</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right="65"/>
              <w:spacing w:after="0"/>
              <w:rPr>
                <w:sz w:val="20"/>
                <w:szCs w:val="20"/>
                <w:color w:val="auto"/>
              </w:rPr>
            </w:pPr>
            <w:r>
              <w:rPr>
                <w:rFonts w:ascii="Arial" w:cs="Arial" w:eastAsia="Arial" w:hAnsi="Arial"/>
                <w:sz w:val="16"/>
                <w:szCs w:val="16"/>
                <w:color w:val="1E1E1E"/>
                <w:w w:val="90"/>
              </w:rPr>
              <w:t>(000's)</w:t>
            </w:r>
          </w:p>
        </w:tc>
        <w:tc>
          <w:tcPr>
            <w:tcW w:w="100" w:type="dxa"/>
            <w:vAlign w:val="bottom"/>
          </w:tcPr>
          <w:p>
            <w:pPr>
              <w:spacing w:after="0"/>
              <w:rPr>
                <w:sz w:val="17"/>
                <w:szCs w:val="17"/>
                <w:color w:val="auto"/>
              </w:rPr>
            </w:pPr>
          </w:p>
        </w:tc>
      </w:tr>
      <w:tr>
        <w:trPr>
          <w:trHeight w:val="221"/>
        </w:trPr>
        <w:tc>
          <w:tcPr>
            <w:tcW w:w="4840" w:type="dxa"/>
            <w:vAlign w:val="bottom"/>
            <w:tcBorders>
              <w:top w:val="single" w:sz="8" w:color="E4E4E4"/>
            </w:tcBorders>
            <w:shd w:val="clear" w:color="auto" w:fill="E4E4E4"/>
          </w:tcPr>
          <w:p>
            <w:pPr>
              <w:spacing w:after="0" w:line="221" w:lineRule="exact"/>
              <w:rPr>
                <w:sz w:val="20"/>
                <w:szCs w:val="20"/>
                <w:color w:val="auto"/>
              </w:rPr>
            </w:pPr>
            <w:r>
              <w:rPr>
                <w:rFonts w:ascii="Arial" w:cs="Arial" w:eastAsia="Arial" w:hAnsi="Arial"/>
                <w:sz w:val="20"/>
                <w:szCs w:val="20"/>
                <w:color w:val="1E1E1E"/>
              </w:rPr>
              <w:t>Stock Options</w:t>
            </w:r>
          </w:p>
        </w:tc>
        <w:tc>
          <w:tcPr>
            <w:tcW w:w="100" w:type="dxa"/>
            <w:vAlign w:val="bottom"/>
            <w:tcBorders>
              <w:top w:val="single" w:sz="8" w:color="E4E4E4"/>
            </w:tcBorders>
            <w:shd w:val="clear" w:color="auto" w:fill="E4E4E4"/>
          </w:tcPr>
          <w:p>
            <w:pPr>
              <w:spacing w:after="0"/>
              <w:rPr>
                <w:sz w:val="19"/>
                <w:szCs w:val="19"/>
                <w:color w:val="auto"/>
              </w:rPr>
            </w:pPr>
          </w:p>
        </w:tc>
        <w:tc>
          <w:tcPr>
            <w:tcW w:w="1040" w:type="dxa"/>
            <w:vAlign w:val="bottom"/>
            <w:tcBorders>
              <w:top w:val="single" w:sz="8" w:color="1E1E1E"/>
            </w:tcBorders>
            <w:shd w:val="clear" w:color="auto" w:fill="E4E4E4"/>
          </w:tcPr>
          <w:p>
            <w:pPr>
              <w:spacing w:after="0"/>
              <w:rPr>
                <w:sz w:val="19"/>
                <w:szCs w:val="19"/>
                <w:color w:val="auto"/>
              </w:rPr>
            </w:pPr>
          </w:p>
        </w:tc>
        <w:tc>
          <w:tcPr>
            <w:tcW w:w="220" w:type="dxa"/>
            <w:vAlign w:val="bottom"/>
            <w:tcBorders>
              <w:top w:val="single" w:sz="8" w:color="E4E4E4"/>
            </w:tcBorders>
            <w:shd w:val="clear" w:color="auto" w:fill="E4E4E4"/>
          </w:tcPr>
          <w:p>
            <w:pPr>
              <w:spacing w:after="0"/>
              <w:rPr>
                <w:sz w:val="19"/>
                <w:szCs w:val="19"/>
                <w:color w:val="auto"/>
              </w:rPr>
            </w:pPr>
          </w:p>
        </w:tc>
        <w:tc>
          <w:tcPr>
            <w:tcW w:w="140" w:type="dxa"/>
            <w:vAlign w:val="bottom"/>
            <w:tcBorders>
              <w:top w:val="single" w:sz="8" w:color="1E1E1E"/>
            </w:tcBorders>
            <w:shd w:val="clear" w:color="auto" w:fill="E4E4E4"/>
          </w:tcPr>
          <w:p>
            <w:pPr>
              <w:spacing w:after="0"/>
              <w:rPr>
                <w:sz w:val="19"/>
                <w:szCs w:val="19"/>
                <w:color w:val="auto"/>
              </w:rPr>
            </w:pPr>
          </w:p>
        </w:tc>
        <w:tc>
          <w:tcPr>
            <w:tcW w:w="860" w:type="dxa"/>
            <w:vAlign w:val="bottom"/>
            <w:tcBorders>
              <w:top w:val="single" w:sz="8" w:color="1E1E1E"/>
            </w:tcBorders>
            <w:shd w:val="clear" w:color="auto" w:fill="E4E4E4"/>
          </w:tcPr>
          <w:p>
            <w:pPr>
              <w:spacing w:after="0"/>
              <w:rPr>
                <w:sz w:val="19"/>
                <w:szCs w:val="19"/>
                <w:color w:val="auto"/>
              </w:rPr>
            </w:pPr>
          </w:p>
        </w:tc>
        <w:tc>
          <w:tcPr>
            <w:tcW w:w="220" w:type="dxa"/>
            <w:vAlign w:val="bottom"/>
            <w:tcBorders>
              <w:top w:val="single" w:sz="8" w:color="E4E4E4"/>
            </w:tcBorders>
            <w:shd w:val="clear" w:color="auto" w:fill="E4E4E4"/>
          </w:tcPr>
          <w:p>
            <w:pPr>
              <w:spacing w:after="0"/>
              <w:rPr>
                <w:sz w:val="19"/>
                <w:szCs w:val="19"/>
                <w:color w:val="auto"/>
              </w:rPr>
            </w:pPr>
          </w:p>
        </w:tc>
        <w:tc>
          <w:tcPr>
            <w:tcW w:w="1080" w:type="dxa"/>
            <w:vAlign w:val="bottom"/>
            <w:tcBorders>
              <w:top w:val="single" w:sz="8" w:color="1E1E1E"/>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c>
          <w:tcPr>
            <w:tcW w:w="140" w:type="dxa"/>
            <w:vAlign w:val="bottom"/>
            <w:tcBorders>
              <w:top w:val="single" w:sz="8" w:color="1E1E1E"/>
            </w:tcBorders>
            <w:shd w:val="clear" w:color="auto" w:fill="E4E4E4"/>
          </w:tcPr>
          <w:p>
            <w:pPr>
              <w:spacing w:after="0"/>
              <w:rPr>
                <w:sz w:val="19"/>
                <w:szCs w:val="19"/>
                <w:color w:val="auto"/>
              </w:rPr>
            </w:pPr>
          </w:p>
        </w:tc>
        <w:tc>
          <w:tcPr>
            <w:tcW w:w="880" w:type="dxa"/>
            <w:vAlign w:val="bottom"/>
            <w:tcBorders>
              <w:top w:val="single" w:sz="8" w:color="1E1E1E"/>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r>
      <w:tr>
        <w:trPr>
          <w:trHeight w:val="230"/>
        </w:trPr>
        <w:tc>
          <w:tcPr>
            <w:tcW w:w="4840" w:type="dxa"/>
            <w:vAlign w:val="bottom"/>
          </w:tcPr>
          <w:p>
            <w:pPr>
              <w:ind w:left="200"/>
              <w:spacing w:after="0"/>
              <w:rPr>
                <w:sz w:val="20"/>
                <w:szCs w:val="20"/>
                <w:color w:val="auto"/>
              </w:rPr>
            </w:pPr>
            <w:r>
              <w:rPr>
                <w:rFonts w:ascii="Arial" w:cs="Arial" w:eastAsia="Arial" w:hAnsi="Arial"/>
                <w:sz w:val="20"/>
                <w:szCs w:val="20"/>
                <w:color w:val="1E1E1E"/>
              </w:rPr>
              <w:t>Outstanding options at beginning of year</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1E1E1E"/>
              </w:rPr>
              <w:t>3,556,434</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1E1E1E"/>
                <w:w w:val="71"/>
              </w:rPr>
              <w:t>$</w:t>
            </w:r>
          </w:p>
        </w:tc>
        <w:tc>
          <w:tcPr>
            <w:tcW w:w="860" w:type="dxa"/>
            <w:vAlign w:val="bottom"/>
          </w:tcPr>
          <w:p>
            <w:pPr>
              <w:jc w:val="right"/>
              <w:spacing w:after="0"/>
              <w:rPr>
                <w:sz w:val="20"/>
                <w:szCs w:val="20"/>
                <w:color w:val="auto"/>
              </w:rPr>
            </w:pPr>
            <w:r>
              <w:rPr>
                <w:rFonts w:ascii="Arial" w:cs="Arial" w:eastAsia="Arial" w:hAnsi="Arial"/>
                <w:sz w:val="20"/>
                <w:szCs w:val="20"/>
                <w:color w:val="1E1E1E"/>
              </w:rPr>
              <w:t>0.83</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1E1E1E"/>
                <w:w w:val="71"/>
              </w:rPr>
              <w:t>$</w:t>
            </w:r>
          </w:p>
        </w:tc>
        <w:tc>
          <w:tcPr>
            <w:tcW w:w="880" w:type="dxa"/>
            <w:vAlign w:val="bottom"/>
          </w:tcPr>
          <w:p>
            <w:pPr>
              <w:jc w:val="right"/>
              <w:spacing w:after="0"/>
              <w:rPr>
                <w:sz w:val="20"/>
                <w:szCs w:val="20"/>
                <w:color w:val="auto"/>
              </w:rPr>
            </w:pPr>
            <w:r>
              <w:rPr>
                <w:rFonts w:ascii="Arial" w:cs="Arial" w:eastAsia="Arial" w:hAnsi="Arial"/>
                <w:sz w:val="20"/>
                <w:szCs w:val="20"/>
                <w:color w:val="1E1E1E"/>
              </w:rPr>
              <w:t>23,239</w:t>
            </w:r>
          </w:p>
        </w:tc>
        <w:tc>
          <w:tcPr>
            <w:tcW w:w="100" w:type="dxa"/>
            <w:vAlign w:val="bottom"/>
          </w:tcPr>
          <w:p>
            <w:pPr>
              <w:spacing w:after="0"/>
              <w:rPr>
                <w:sz w:val="20"/>
                <w:szCs w:val="20"/>
                <w:color w:val="auto"/>
              </w:rPr>
            </w:pPr>
          </w:p>
        </w:tc>
      </w:tr>
      <w:tr>
        <w:trPr>
          <w:trHeight w:val="230"/>
        </w:trPr>
        <w:tc>
          <w:tcPr>
            <w:tcW w:w="4840" w:type="dxa"/>
            <w:vAlign w:val="bottom"/>
            <w:shd w:val="clear" w:color="auto" w:fill="E4E4E4"/>
          </w:tcPr>
          <w:p>
            <w:pPr>
              <w:ind w:left="200"/>
              <w:spacing w:after="0"/>
              <w:rPr>
                <w:sz w:val="20"/>
                <w:szCs w:val="20"/>
                <w:color w:val="auto"/>
              </w:rPr>
            </w:pPr>
            <w:r>
              <w:rPr>
                <w:rFonts w:ascii="Arial" w:cs="Arial" w:eastAsia="Arial" w:hAnsi="Arial"/>
                <w:sz w:val="20"/>
                <w:szCs w:val="20"/>
                <w:color w:val="1E1E1E"/>
              </w:rPr>
              <w:t>Options granted</w:t>
            </w:r>
          </w:p>
        </w:tc>
        <w:tc>
          <w:tcPr>
            <w:tcW w:w="114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1,317</w:t>
            </w:r>
          </w:p>
        </w:tc>
        <w:tc>
          <w:tcPr>
            <w:tcW w:w="22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86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5.91</w:t>
            </w:r>
          </w:p>
        </w:tc>
        <w:tc>
          <w:tcPr>
            <w:tcW w:w="220" w:type="dxa"/>
            <w:vAlign w:val="bottom"/>
            <w:shd w:val="clear" w:color="auto" w:fill="E4E4E4"/>
          </w:tcPr>
          <w:p>
            <w:pPr>
              <w:spacing w:after="0"/>
              <w:rPr>
                <w:sz w:val="20"/>
                <w:szCs w:val="20"/>
                <w:color w:val="auto"/>
              </w:rPr>
            </w:pPr>
          </w:p>
        </w:tc>
        <w:tc>
          <w:tcPr>
            <w:tcW w:w="108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88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w:t>
            </w:r>
          </w:p>
        </w:tc>
        <w:tc>
          <w:tcPr>
            <w:tcW w:w="100" w:type="dxa"/>
            <w:vAlign w:val="bottom"/>
            <w:shd w:val="clear" w:color="auto" w:fill="E4E4E4"/>
          </w:tcPr>
          <w:p>
            <w:pPr>
              <w:spacing w:after="0"/>
              <w:rPr>
                <w:sz w:val="20"/>
                <w:szCs w:val="20"/>
                <w:color w:val="auto"/>
              </w:rPr>
            </w:pPr>
          </w:p>
        </w:tc>
      </w:tr>
      <w:tr>
        <w:trPr>
          <w:trHeight w:val="228"/>
        </w:trPr>
        <w:tc>
          <w:tcPr>
            <w:tcW w:w="4840" w:type="dxa"/>
            <w:vAlign w:val="bottom"/>
          </w:tcPr>
          <w:p>
            <w:pPr>
              <w:ind w:left="200"/>
              <w:spacing w:after="0" w:line="228" w:lineRule="exact"/>
              <w:rPr>
                <w:sz w:val="20"/>
                <w:szCs w:val="20"/>
                <w:color w:val="auto"/>
              </w:rPr>
            </w:pPr>
            <w:r>
              <w:rPr>
                <w:rFonts w:ascii="Arial" w:cs="Arial" w:eastAsia="Arial" w:hAnsi="Arial"/>
                <w:sz w:val="20"/>
                <w:szCs w:val="20"/>
                <w:color w:val="1E1E1E"/>
              </w:rPr>
              <w:t>Options canceled or expired</w:t>
            </w:r>
          </w:p>
        </w:tc>
        <w:tc>
          <w:tcPr>
            <w:tcW w:w="1360" w:type="dxa"/>
            <w:vAlign w:val="bottom"/>
            <w:gridSpan w:val="3"/>
          </w:tcPr>
          <w:p>
            <w:pPr>
              <w:jc w:val="right"/>
              <w:ind w:right="160"/>
              <w:spacing w:after="0" w:line="228" w:lineRule="exact"/>
              <w:rPr>
                <w:sz w:val="20"/>
                <w:szCs w:val="20"/>
                <w:color w:val="auto"/>
              </w:rPr>
            </w:pPr>
            <w:r>
              <w:rPr>
                <w:rFonts w:ascii="Arial" w:cs="Arial" w:eastAsia="Arial" w:hAnsi="Arial"/>
                <w:sz w:val="20"/>
                <w:szCs w:val="20"/>
                <w:color w:val="1E1E1E"/>
              </w:rPr>
              <w:t>(47,749)</w:t>
            </w:r>
          </w:p>
        </w:tc>
        <w:tc>
          <w:tcPr>
            <w:tcW w:w="140" w:type="dxa"/>
            <w:vAlign w:val="bottom"/>
          </w:tcPr>
          <w:p>
            <w:pPr>
              <w:spacing w:after="0"/>
              <w:rPr>
                <w:sz w:val="19"/>
                <w:szCs w:val="19"/>
                <w:color w:val="auto"/>
              </w:rPr>
            </w:pPr>
          </w:p>
        </w:tc>
        <w:tc>
          <w:tcPr>
            <w:tcW w:w="860" w:type="dxa"/>
            <w:vAlign w:val="bottom"/>
          </w:tcPr>
          <w:p>
            <w:pPr>
              <w:jc w:val="right"/>
              <w:spacing w:after="0" w:line="228" w:lineRule="exact"/>
              <w:rPr>
                <w:sz w:val="20"/>
                <w:szCs w:val="20"/>
                <w:color w:val="auto"/>
              </w:rPr>
            </w:pPr>
            <w:r>
              <w:rPr>
                <w:rFonts w:ascii="Arial" w:cs="Arial" w:eastAsia="Arial" w:hAnsi="Arial"/>
                <w:sz w:val="20"/>
                <w:szCs w:val="20"/>
                <w:color w:val="1E1E1E"/>
              </w:rPr>
              <w:t>4.32</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line="228" w:lineRule="exact"/>
              <w:rPr>
                <w:sz w:val="20"/>
                <w:szCs w:val="20"/>
                <w:color w:val="auto"/>
              </w:rPr>
            </w:pPr>
            <w:r>
              <w:rPr>
                <w:rFonts w:ascii="Arial" w:cs="Arial" w:eastAsia="Arial" w:hAnsi="Arial"/>
                <w:sz w:val="20"/>
                <w:szCs w:val="20"/>
                <w:color w:val="1E1E1E"/>
              </w:rPr>
              <w:t>55</w:t>
            </w:r>
          </w:p>
        </w:tc>
        <w:tc>
          <w:tcPr>
            <w:tcW w:w="100" w:type="dxa"/>
            <w:vAlign w:val="bottom"/>
          </w:tcPr>
          <w:p>
            <w:pPr>
              <w:spacing w:after="0"/>
              <w:rPr>
                <w:sz w:val="19"/>
                <w:szCs w:val="19"/>
                <w:color w:val="auto"/>
              </w:rPr>
            </w:pPr>
          </w:p>
        </w:tc>
      </w:tr>
      <w:tr>
        <w:trPr>
          <w:trHeight w:val="230"/>
        </w:trPr>
        <w:tc>
          <w:tcPr>
            <w:tcW w:w="4840" w:type="dxa"/>
            <w:vAlign w:val="bottom"/>
            <w:shd w:val="clear" w:color="auto" w:fill="E4E4E4"/>
          </w:tcPr>
          <w:p>
            <w:pPr>
              <w:ind w:left="200"/>
              <w:spacing w:after="0"/>
              <w:rPr>
                <w:sz w:val="20"/>
                <w:szCs w:val="20"/>
                <w:color w:val="auto"/>
              </w:rPr>
            </w:pPr>
            <w:r>
              <w:rPr>
                <w:rFonts w:ascii="Arial" w:cs="Arial" w:eastAsia="Arial" w:hAnsi="Arial"/>
                <w:sz w:val="20"/>
                <w:szCs w:val="20"/>
                <w:color w:val="1E1E1E"/>
              </w:rPr>
              <w:t>Options exercised</w:t>
            </w:r>
          </w:p>
        </w:tc>
        <w:tc>
          <w:tcPr>
            <w:tcW w:w="1360" w:type="dxa"/>
            <w:vAlign w:val="bottom"/>
            <w:gridSpan w:val="3"/>
            <w:shd w:val="clear" w:color="auto" w:fill="E4E4E4"/>
          </w:tcPr>
          <w:p>
            <w:pPr>
              <w:jc w:val="right"/>
              <w:ind w:right="160"/>
              <w:spacing w:after="0"/>
              <w:rPr>
                <w:sz w:val="20"/>
                <w:szCs w:val="20"/>
                <w:color w:val="auto"/>
              </w:rPr>
            </w:pPr>
            <w:r>
              <w:rPr>
                <w:rFonts w:ascii="Arial" w:cs="Arial" w:eastAsia="Arial" w:hAnsi="Arial"/>
                <w:sz w:val="20"/>
                <w:szCs w:val="20"/>
                <w:color w:val="1E1E1E"/>
              </w:rPr>
              <w:t>(329,263)</w:t>
            </w:r>
          </w:p>
        </w:tc>
        <w:tc>
          <w:tcPr>
            <w:tcW w:w="140" w:type="dxa"/>
            <w:vAlign w:val="bottom"/>
            <w:shd w:val="clear" w:color="auto" w:fill="E4E4E4"/>
          </w:tcPr>
          <w:p>
            <w:pPr>
              <w:spacing w:after="0"/>
              <w:rPr>
                <w:sz w:val="20"/>
                <w:szCs w:val="20"/>
                <w:color w:val="auto"/>
              </w:rPr>
            </w:pPr>
          </w:p>
        </w:tc>
        <w:tc>
          <w:tcPr>
            <w:tcW w:w="86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1.12</w:t>
            </w:r>
          </w:p>
        </w:tc>
        <w:tc>
          <w:tcPr>
            <w:tcW w:w="220" w:type="dxa"/>
            <w:vAlign w:val="bottom"/>
            <w:shd w:val="clear" w:color="auto" w:fill="E4E4E4"/>
          </w:tcPr>
          <w:p>
            <w:pPr>
              <w:spacing w:after="0"/>
              <w:rPr>
                <w:sz w:val="20"/>
                <w:szCs w:val="20"/>
                <w:color w:val="auto"/>
              </w:rPr>
            </w:pPr>
          </w:p>
        </w:tc>
        <w:tc>
          <w:tcPr>
            <w:tcW w:w="108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88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1,147</w:t>
            </w:r>
          </w:p>
        </w:tc>
        <w:tc>
          <w:tcPr>
            <w:tcW w:w="100" w:type="dxa"/>
            <w:vAlign w:val="bottom"/>
            <w:shd w:val="clear" w:color="auto" w:fill="E4E4E4"/>
          </w:tcPr>
          <w:p>
            <w:pPr>
              <w:spacing w:after="0"/>
              <w:rPr>
                <w:sz w:val="20"/>
                <w:szCs w:val="20"/>
                <w:color w:val="auto"/>
              </w:rPr>
            </w:pPr>
          </w:p>
        </w:tc>
      </w:tr>
      <w:tr>
        <w:trPr>
          <w:trHeight w:val="220"/>
        </w:trPr>
        <w:tc>
          <w:tcPr>
            <w:tcW w:w="4840" w:type="dxa"/>
            <w:vAlign w:val="bottom"/>
          </w:tcPr>
          <w:p>
            <w:pPr>
              <w:ind w:left="200"/>
              <w:spacing w:after="0" w:line="220" w:lineRule="exact"/>
              <w:rPr>
                <w:sz w:val="20"/>
                <w:szCs w:val="20"/>
                <w:color w:val="auto"/>
              </w:rPr>
            </w:pPr>
            <w:r>
              <w:rPr>
                <w:rFonts w:ascii="Arial" w:cs="Arial" w:eastAsia="Arial" w:hAnsi="Arial"/>
                <w:sz w:val="20"/>
                <w:szCs w:val="20"/>
                <w:color w:val="1E1E1E"/>
              </w:rPr>
              <w:t>Outstanding options at end of year</w:t>
            </w:r>
          </w:p>
        </w:tc>
        <w:tc>
          <w:tcPr>
            <w:tcW w:w="100" w:type="dxa"/>
            <w:vAlign w:val="bottom"/>
          </w:tcPr>
          <w:p>
            <w:pPr>
              <w:spacing w:after="0"/>
              <w:rPr>
                <w:sz w:val="19"/>
                <w:szCs w:val="19"/>
                <w:color w:val="auto"/>
              </w:rPr>
            </w:pPr>
          </w:p>
        </w:tc>
        <w:tc>
          <w:tcPr>
            <w:tcW w:w="104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rPr>
              <w:t>3,180,739</w:t>
            </w:r>
          </w:p>
        </w:tc>
        <w:tc>
          <w:tcPr>
            <w:tcW w:w="220" w:type="dxa"/>
            <w:vAlign w:val="bottom"/>
          </w:tcPr>
          <w:p>
            <w:pPr>
              <w:spacing w:after="0"/>
              <w:rPr>
                <w:sz w:val="19"/>
                <w:szCs w:val="19"/>
                <w:color w:val="auto"/>
              </w:rPr>
            </w:pPr>
          </w:p>
        </w:tc>
        <w:tc>
          <w:tcPr>
            <w:tcW w:w="14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w w:val="71"/>
              </w:rPr>
              <w:t>$</w:t>
            </w:r>
          </w:p>
        </w:tc>
        <w:tc>
          <w:tcPr>
            <w:tcW w:w="86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rPr>
              <w:t>0.75</w:t>
            </w:r>
          </w:p>
        </w:tc>
        <w:tc>
          <w:tcPr>
            <w:tcW w:w="220" w:type="dxa"/>
            <w:vAlign w:val="bottom"/>
          </w:tcPr>
          <w:p>
            <w:pPr>
              <w:spacing w:after="0"/>
              <w:rPr>
                <w:sz w:val="19"/>
                <w:szCs w:val="19"/>
                <w:color w:val="auto"/>
              </w:rPr>
            </w:pPr>
          </w:p>
        </w:tc>
        <w:tc>
          <w:tcPr>
            <w:tcW w:w="1080" w:type="dxa"/>
            <w:vAlign w:val="bottom"/>
            <w:tcBorders>
              <w:top w:val="single" w:sz="8" w:color="1E1E1E"/>
            </w:tcBorders>
          </w:tcPr>
          <w:p>
            <w:pPr>
              <w:ind w:left="480"/>
              <w:spacing w:after="0" w:line="220" w:lineRule="exact"/>
              <w:rPr>
                <w:sz w:val="20"/>
                <w:szCs w:val="20"/>
                <w:color w:val="auto"/>
              </w:rPr>
            </w:pPr>
            <w:r>
              <w:rPr>
                <w:rFonts w:ascii="Arial" w:cs="Arial" w:eastAsia="Arial" w:hAnsi="Arial"/>
                <w:sz w:val="20"/>
                <w:szCs w:val="20"/>
                <w:color w:val="1E1E1E"/>
                <w:w w:val="88"/>
              </w:rPr>
              <w:t>6.4 yrs.</w:t>
            </w:r>
          </w:p>
        </w:tc>
        <w:tc>
          <w:tcPr>
            <w:tcW w:w="100" w:type="dxa"/>
            <w:vAlign w:val="bottom"/>
          </w:tcPr>
          <w:p>
            <w:pPr>
              <w:spacing w:after="0"/>
              <w:rPr>
                <w:sz w:val="19"/>
                <w:szCs w:val="19"/>
                <w:color w:val="auto"/>
              </w:rPr>
            </w:pPr>
          </w:p>
        </w:tc>
        <w:tc>
          <w:tcPr>
            <w:tcW w:w="14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highlight w:val="white"/>
                <w:w w:val="71"/>
              </w:rPr>
              <w:t>$</w:t>
            </w:r>
          </w:p>
        </w:tc>
        <w:tc>
          <w:tcPr>
            <w:tcW w:w="88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highlight w:val="white"/>
              </w:rPr>
              <w:t>10,962</w:t>
            </w:r>
          </w:p>
        </w:tc>
        <w:tc>
          <w:tcPr>
            <w:tcW w:w="100" w:type="dxa"/>
            <w:vAlign w:val="bottom"/>
          </w:tcPr>
          <w:p>
            <w:pPr>
              <w:spacing w:after="0"/>
              <w:rPr>
                <w:sz w:val="19"/>
                <w:szCs w:val="19"/>
                <w:color w:val="auto"/>
              </w:rPr>
            </w:pPr>
          </w:p>
        </w:tc>
      </w:tr>
      <w:tr>
        <w:trPr>
          <w:trHeight w:val="230"/>
        </w:trPr>
        <w:tc>
          <w:tcPr>
            <w:tcW w:w="4840" w:type="dxa"/>
            <w:vAlign w:val="bottom"/>
            <w:shd w:val="clear" w:color="auto" w:fill="E4E4E4"/>
          </w:tcPr>
          <w:p>
            <w:pPr>
              <w:ind w:left="200"/>
              <w:spacing w:after="0"/>
              <w:rPr>
                <w:sz w:val="20"/>
                <w:szCs w:val="20"/>
                <w:color w:val="auto"/>
              </w:rPr>
            </w:pPr>
            <w:r>
              <w:rPr>
                <w:rFonts w:ascii="Arial" w:cs="Arial" w:eastAsia="Arial" w:hAnsi="Arial"/>
                <w:sz w:val="20"/>
                <w:szCs w:val="20"/>
                <w:color w:val="1E1E1E"/>
              </w:rPr>
              <w:t>Options exercisable at end of year</w:t>
            </w:r>
          </w:p>
        </w:tc>
        <w:tc>
          <w:tcPr>
            <w:tcW w:w="100" w:type="dxa"/>
            <w:vAlign w:val="bottom"/>
            <w:shd w:val="clear" w:color="auto" w:fill="E4E4E4"/>
          </w:tcPr>
          <w:p>
            <w:pPr>
              <w:spacing w:after="0"/>
              <w:rPr>
                <w:sz w:val="20"/>
                <w:szCs w:val="20"/>
                <w:color w:val="auto"/>
              </w:rPr>
            </w:pPr>
          </w:p>
        </w:tc>
        <w:tc>
          <w:tcPr>
            <w:tcW w:w="104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1,941,707</w:t>
            </w:r>
          </w:p>
        </w:tc>
        <w:tc>
          <w:tcPr>
            <w:tcW w:w="220" w:type="dxa"/>
            <w:vAlign w:val="bottom"/>
            <w:shd w:val="clear" w:color="auto" w:fill="E4E4E4"/>
          </w:tcPr>
          <w:p>
            <w:pPr>
              <w:spacing w:after="0"/>
              <w:rPr>
                <w:sz w:val="20"/>
                <w:szCs w:val="20"/>
                <w:color w:val="auto"/>
              </w:rPr>
            </w:pP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1E1E1E"/>
                <w:w w:val="71"/>
              </w:rPr>
              <w:t>$</w:t>
            </w:r>
          </w:p>
        </w:tc>
        <w:tc>
          <w:tcPr>
            <w:tcW w:w="86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0.80</w:t>
            </w:r>
          </w:p>
        </w:tc>
        <w:tc>
          <w:tcPr>
            <w:tcW w:w="220" w:type="dxa"/>
            <w:vAlign w:val="bottom"/>
            <w:shd w:val="clear" w:color="auto" w:fill="E4E4E4"/>
          </w:tcPr>
          <w:p>
            <w:pPr>
              <w:spacing w:after="0"/>
              <w:rPr>
                <w:sz w:val="20"/>
                <w:szCs w:val="20"/>
                <w:color w:val="auto"/>
              </w:rPr>
            </w:pPr>
          </w:p>
        </w:tc>
        <w:tc>
          <w:tcPr>
            <w:tcW w:w="1080" w:type="dxa"/>
            <w:vAlign w:val="bottom"/>
            <w:shd w:val="clear" w:color="auto" w:fill="E4E4E4"/>
          </w:tcPr>
          <w:p>
            <w:pPr>
              <w:ind w:left="480"/>
              <w:spacing w:after="0"/>
              <w:rPr>
                <w:sz w:val="20"/>
                <w:szCs w:val="20"/>
                <w:color w:val="auto"/>
              </w:rPr>
            </w:pPr>
            <w:r>
              <w:rPr>
                <w:rFonts w:ascii="Arial" w:cs="Arial" w:eastAsia="Arial" w:hAnsi="Arial"/>
                <w:sz w:val="20"/>
                <w:szCs w:val="20"/>
                <w:color w:val="1E1E1E"/>
                <w:w w:val="88"/>
              </w:rPr>
              <w:t>6.2 yrs.</w:t>
            </w:r>
          </w:p>
        </w:tc>
        <w:tc>
          <w:tcPr>
            <w:tcW w:w="100" w:type="dxa"/>
            <w:vAlign w:val="bottom"/>
            <w:shd w:val="clear" w:color="auto" w:fill="E4E4E4"/>
          </w:tcPr>
          <w:p>
            <w:pPr>
              <w:spacing w:after="0"/>
              <w:rPr>
                <w:sz w:val="20"/>
                <w:szCs w:val="20"/>
                <w:color w:val="auto"/>
              </w:rPr>
            </w:pPr>
          </w:p>
        </w:tc>
        <w:tc>
          <w:tcPr>
            <w:tcW w:w="140" w:type="dxa"/>
            <w:vAlign w:val="bottom"/>
            <w:shd w:val="clear" w:color="auto" w:fill="E4E4E4"/>
          </w:tcPr>
          <w:p>
            <w:pPr>
              <w:jc w:val="right"/>
              <w:spacing w:after="0"/>
              <w:rPr>
                <w:sz w:val="20"/>
                <w:szCs w:val="20"/>
                <w:color w:val="auto"/>
              </w:rPr>
            </w:pPr>
            <w:r>
              <w:rPr>
                <w:rFonts w:ascii="Arial" w:cs="Arial" w:eastAsia="Arial" w:hAnsi="Arial"/>
                <w:sz w:val="20"/>
                <w:szCs w:val="20"/>
                <w:color w:val="1E1E1E"/>
                <w:w w:val="71"/>
              </w:rPr>
              <w:t>$</w:t>
            </w:r>
          </w:p>
        </w:tc>
        <w:tc>
          <w:tcPr>
            <w:tcW w:w="88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6,609</w:t>
            </w:r>
          </w:p>
        </w:tc>
        <w:tc>
          <w:tcPr>
            <w:tcW w:w="100" w:type="dxa"/>
            <w:vAlign w:val="bottom"/>
            <w:shd w:val="clear" w:color="auto" w:fill="E4E4E4"/>
          </w:tcPr>
          <w:p>
            <w:pPr>
              <w:spacing w:after="0"/>
              <w:rPr>
                <w:sz w:val="20"/>
                <w:szCs w:val="20"/>
                <w:color w:val="auto"/>
              </w:rPr>
            </w:pPr>
          </w:p>
        </w:tc>
      </w:tr>
      <w:tr>
        <w:trPr>
          <w:trHeight w:val="233"/>
        </w:trPr>
        <w:tc>
          <w:tcPr>
            <w:tcW w:w="4840" w:type="dxa"/>
            <w:vAlign w:val="bottom"/>
          </w:tcPr>
          <w:p>
            <w:pPr>
              <w:ind w:left="200"/>
              <w:spacing w:after="0"/>
              <w:rPr>
                <w:sz w:val="20"/>
                <w:szCs w:val="20"/>
                <w:color w:val="auto"/>
              </w:rPr>
            </w:pPr>
            <w:r>
              <w:rPr>
                <w:rFonts w:ascii="Arial" w:cs="Arial" w:eastAsia="Arial" w:hAnsi="Arial"/>
                <w:sz w:val="20"/>
                <w:szCs w:val="20"/>
                <w:color w:val="1E1E1E"/>
              </w:rPr>
              <w:t>Vested and expected to vest at end of year</w:t>
            </w:r>
          </w:p>
        </w:tc>
        <w:tc>
          <w:tcPr>
            <w:tcW w:w="1140" w:type="dxa"/>
            <w:vAlign w:val="bottom"/>
            <w:gridSpan w:val="2"/>
          </w:tcPr>
          <w:p>
            <w:pPr>
              <w:jc w:val="right"/>
              <w:spacing w:after="0"/>
              <w:rPr>
                <w:sz w:val="20"/>
                <w:szCs w:val="20"/>
                <w:color w:val="auto"/>
              </w:rPr>
            </w:pPr>
            <w:r>
              <w:rPr>
                <w:rFonts w:ascii="Arial" w:cs="Arial" w:eastAsia="Arial" w:hAnsi="Arial"/>
                <w:sz w:val="20"/>
                <w:szCs w:val="20"/>
                <w:color w:val="1E1E1E"/>
              </w:rPr>
              <w:t>3,180,739</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1E1E1E"/>
                <w:w w:val="71"/>
              </w:rPr>
              <w:t>$</w:t>
            </w:r>
          </w:p>
        </w:tc>
        <w:tc>
          <w:tcPr>
            <w:tcW w:w="860" w:type="dxa"/>
            <w:vAlign w:val="bottom"/>
          </w:tcPr>
          <w:p>
            <w:pPr>
              <w:jc w:val="right"/>
              <w:spacing w:after="0"/>
              <w:rPr>
                <w:sz w:val="20"/>
                <w:szCs w:val="20"/>
                <w:color w:val="auto"/>
              </w:rPr>
            </w:pPr>
            <w:r>
              <w:rPr>
                <w:rFonts w:ascii="Arial" w:cs="Arial" w:eastAsia="Arial" w:hAnsi="Arial"/>
                <w:sz w:val="20"/>
                <w:szCs w:val="20"/>
                <w:color w:val="1E1E1E"/>
              </w:rPr>
              <w:t>0.75</w:t>
            </w:r>
          </w:p>
        </w:tc>
        <w:tc>
          <w:tcPr>
            <w:tcW w:w="2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20"/>
                <w:szCs w:val="20"/>
                <w:color w:val="1E1E1E"/>
              </w:rPr>
              <w:t>6.4 yrs. $</w:t>
            </w:r>
          </w:p>
        </w:tc>
        <w:tc>
          <w:tcPr>
            <w:tcW w:w="880" w:type="dxa"/>
            <w:vAlign w:val="bottom"/>
          </w:tcPr>
          <w:p>
            <w:pPr>
              <w:jc w:val="right"/>
              <w:spacing w:after="0"/>
              <w:rPr>
                <w:sz w:val="20"/>
                <w:szCs w:val="20"/>
                <w:color w:val="auto"/>
              </w:rPr>
            </w:pPr>
            <w:r>
              <w:rPr>
                <w:rFonts w:ascii="Arial" w:cs="Arial" w:eastAsia="Arial" w:hAnsi="Arial"/>
                <w:sz w:val="20"/>
                <w:szCs w:val="20"/>
                <w:color w:val="1E1E1E"/>
              </w:rPr>
              <w:t>10,962</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ectPr>
          <w:pgSz w:w="11880" w:h="15480" w:orient="portrait"/>
          <w:cols w:equalWidth="0" w:num="1">
            <w:col w:w="10800"/>
          </w:cols>
          <w:pgMar w:left="540" w:top="656"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55</w:t>
      </w:r>
    </w:p>
    <w:p>
      <w:pPr>
        <w:sectPr>
          <w:pgSz w:w="11880" w:h="15480" w:orient="portrait"/>
          <w:cols w:equalWidth="0" w:num="1">
            <w:col w:w="10800"/>
          </w:cols>
          <w:pgMar w:left="540" w:top="656" w:right="540" w:bottom="31" w:gutter="0" w:footer="0" w:header="0"/>
          <w:type w:val="continuous"/>
        </w:sectPr>
      </w:pPr>
    </w:p>
    <w:bookmarkStart w:id="57" w:name="page58"/>
    <w:bookmarkEnd w:id="57"/>
    <w:p>
      <w:pPr>
        <w:spacing w:after="0"/>
        <w:rPr>
          <w:sz w:val="20"/>
          <w:szCs w:val="20"/>
          <w:color w:val="auto"/>
        </w:rPr>
      </w:pPr>
      <w:r>
        <w:rPr>
          <w:rFonts w:ascii="Arial" w:cs="Arial" w:eastAsia="Arial" w:hAnsi="Arial"/>
          <w:sz w:val="20"/>
          <w:szCs w:val="20"/>
          <w:color w:val="1E1E1E"/>
        </w:rPr>
        <w:t>Non-Vested Share Activity</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20"/>
          <w:szCs w:val="20"/>
          <w:color w:val="1E1E1E"/>
        </w:rPr>
        <w:t>The following table summarizes activity for non-vested shares under the Company’s 2006 Plan, 2016 Plan and Inducement Awards, on an aggregate basis, for fiscal 2023:</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color w:val="1E1E1E"/>
                <w:w w:val="93"/>
              </w:rPr>
              <w:t>Weighted-</w:t>
            </w:r>
          </w:p>
        </w:tc>
        <w:tc>
          <w:tcPr>
            <w:tcW w:w="0" w:type="dxa"/>
            <w:vAlign w:val="bottom"/>
          </w:tcPr>
          <w:p>
            <w:pPr>
              <w:spacing w:after="0"/>
              <w:rPr>
                <w:sz w:val="1"/>
                <w:szCs w:val="1"/>
                <w:color w:val="auto"/>
              </w:rPr>
            </w:pPr>
          </w:p>
        </w:tc>
      </w:tr>
      <w:tr>
        <w:trPr>
          <w:trHeight w:val="182"/>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3"/>
          </w:tcPr>
          <w:p>
            <w:pPr>
              <w:jc w:val="center"/>
              <w:ind w:right="200"/>
              <w:spacing w:after="0" w:line="182" w:lineRule="exact"/>
              <w:rPr>
                <w:sz w:val="20"/>
                <w:szCs w:val="20"/>
                <w:color w:val="auto"/>
              </w:rPr>
            </w:pPr>
            <w:r>
              <w:rPr>
                <w:rFonts w:ascii="Arial" w:cs="Arial" w:eastAsia="Arial" w:hAnsi="Arial"/>
                <w:sz w:val="16"/>
                <w:szCs w:val="16"/>
                <w:color w:val="1E1E1E"/>
                <w:w w:val="89"/>
              </w:rPr>
              <w:t>Performance</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00"/>
              <w:spacing w:after="0" w:line="182" w:lineRule="exact"/>
              <w:rPr>
                <w:sz w:val="20"/>
                <w:szCs w:val="20"/>
                <w:color w:val="auto"/>
              </w:rPr>
            </w:pPr>
            <w:r>
              <w:rPr>
                <w:rFonts w:ascii="Arial" w:cs="Arial" w:eastAsia="Arial" w:hAnsi="Arial"/>
                <w:sz w:val="16"/>
                <w:szCs w:val="16"/>
                <w:color w:val="1E1E1E"/>
                <w:w w:val="82"/>
              </w:rPr>
              <w:t>average</w:t>
            </w:r>
          </w:p>
        </w:tc>
        <w:tc>
          <w:tcPr>
            <w:tcW w:w="0" w:type="dxa"/>
            <w:vAlign w:val="bottom"/>
          </w:tcPr>
          <w:p>
            <w:pPr>
              <w:spacing w:after="0"/>
              <w:rPr>
                <w:sz w:val="1"/>
                <w:szCs w:val="1"/>
                <w:color w:val="auto"/>
              </w:rPr>
            </w:pPr>
          </w:p>
        </w:tc>
      </w:tr>
      <w:tr>
        <w:trPr>
          <w:trHeight w:val="185"/>
        </w:trPr>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65"/>
              <w:spacing w:after="0"/>
              <w:rPr>
                <w:sz w:val="20"/>
                <w:szCs w:val="20"/>
                <w:color w:val="auto"/>
              </w:rPr>
            </w:pPr>
            <w:r>
              <w:rPr>
                <w:rFonts w:ascii="Arial" w:cs="Arial" w:eastAsia="Arial" w:hAnsi="Arial"/>
                <w:sz w:val="16"/>
                <w:szCs w:val="16"/>
                <w:color w:val="1E1E1E"/>
              </w:rPr>
              <w:t>Deferred</w:t>
            </w:r>
          </w:p>
        </w:tc>
        <w:tc>
          <w:tcPr>
            <w:tcW w:w="200" w:type="dxa"/>
            <w:vAlign w:val="bottom"/>
          </w:tcPr>
          <w:p>
            <w:pPr>
              <w:spacing w:after="0"/>
              <w:rPr>
                <w:sz w:val="16"/>
                <w:szCs w:val="16"/>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6"/>
                <w:szCs w:val="16"/>
                <w:color w:val="1E1E1E"/>
                <w:w w:val="84"/>
              </w:rPr>
              <w:t>share</w:t>
            </w: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1E1E1E"/>
                <w:w w:val="99"/>
              </w:rPr>
              <w:t>Fully-vest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1E1E1E"/>
                <w:w w:val="93"/>
              </w:rPr>
              <w:t>Total number</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color w:val="1E1E1E"/>
                <w:w w:val="87"/>
              </w:rPr>
              <w:t>grant-date</w:t>
            </w:r>
          </w:p>
        </w:tc>
        <w:tc>
          <w:tcPr>
            <w:tcW w:w="0" w:type="dxa"/>
            <w:vAlign w:val="bottom"/>
          </w:tcPr>
          <w:p>
            <w:pPr>
              <w:spacing w:after="0"/>
              <w:rPr>
                <w:sz w:val="1"/>
                <w:szCs w:val="1"/>
                <w:color w:val="auto"/>
              </w:rPr>
            </w:pPr>
          </w:p>
        </w:tc>
      </w:tr>
      <w:tr>
        <w:trPr>
          <w:trHeight w:val="202"/>
        </w:trPr>
        <w:tc>
          <w:tcPr>
            <w:tcW w:w="4380" w:type="dxa"/>
            <w:vAlign w:val="bottom"/>
            <w:vMerge w:val="restart"/>
          </w:tcPr>
          <w:p>
            <w:pPr>
              <w:spacing w:after="0"/>
              <w:rPr>
                <w:sz w:val="20"/>
                <w:szCs w:val="20"/>
                <w:color w:val="auto"/>
              </w:rPr>
            </w:pPr>
            <w:r>
              <w:rPr>
                <w:rFonts w:ascii="Arial" w:cs="Arial" w:eastAsia="Arial" w:hAnsi="Arial"/>
                <w:sz w:val="20"/>
                <w:szCs w:val="20"/>
                <w:color w:val="1E1E1E"/>
              </w:rPr>
              <w:t>Shares</w:t>
            </w:r>
          </w:p>
        </w:tc>
        <w:tc>
          <w:tcPr>
            <w:tcW w:w="100" w:type="dxa"/>
            <w:vAlign w:val="bottom"/>
          </w:tcPr>
          <w:p>
            <w:pPr>
              <w:spacing w:after="0"/>
              <w:rPr>
                <w:sz w:val="17"/>
                <w:szCs w:val="17"/>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1E1E1E"/>
              </w:rPr>
              <w:t xml:space="preserve">RSUs </w:t>
            </w:r>
            <w:r>
              <w:rPr>
                <w:rFonts w:ascii="Arial" w:cs="Arial" w:eastAsia="Arial" w:hAnsi="Arial"/>
                <w:sz w:val="10"/>
                <w:szCs w:val="10"/>
                <w:color w:val="1E1E1E"/>
              </w:rPr>
              <w:t>(1)</w:t>
            </w:r>
          </w:p>
        </w:tc>
        <w:tc>
          <w:tcPr>
            <w:tcW w:w="880" w:type="dxa"/>
            <w:vAlign w:val="bottom"/>
          </w:tcPr>
          <w:p>
            <w:pPr>
              <w:jc w:val="right"/>
              <w:ind w:right="65"/>
              <w:spacing w:after="0"/>
              <w:rPr>
                <w:sz w:val="20"/>
                <w:szCs w:val="20"/>
                <w:color w:val="auto"/>
              </w:rPr>
            </w:pPr>
            <w:r>
              <w:rPr>
                <w:rFonts w:ascii="Arial" w:cs="Arial" w:eastAsia="Arial" w:hAnsi="Arial"/>
                <w:sz w:val="16"/>
                <w:szCs w:val="16"/>
                <w:color w:val="1E1E1E"/>
              </w:rPr>
              <w:t xml:space="preserve">shares </w:t>
            </w:r>
            <w:r>
              <w:rPr>
                <w:rFonts w:ascii="Arial" w:cs="Arial" w:eastAsia="Arial" w:hAnsi="Arial"/>
                <w:sz w:val="10"/>
                <w:szCs w:val="10"/>
                <w:color w:val="1E1E1E"/>
              </w:rPr>
              <w:t>(2)</w:t>
            </w:r>
          </w:p>
        </w:tc>
        <w:tc>
          <w:tcPr>
            <w:tcW w:w="200" w:type="dxa"/>
            <w:vAlign w:val="bottom"/>
          </w:tcPr>
          <w:p>
            <w:pPr>
              <w:spacing w:after="0"/>
              <w:rPr>
                <w:sz w:val="17"/>
                <w:szCs w:val="17"/>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6"/>
                <w:szCs w:val="16"/>
                <w:color w:val="1E1E1E"/>
                <w:w w:val="95"/>
              </w:rPr>
              <w:t xml:space="preserve">units </w:t>
            </w:r>
            <w:r>
              <w:rPr>
                <w:rFonts w:ascii="Arial" w:cs="Arial" w:eastAsia="Arial" w:hAnsi="Arial"/>
                <w:sz w:val="10"/>
                <w:szCs w:val="10"/>
                <w:color w:val="1E1E1E"/>
                <w:w w:val="95"/>
              </w:rPr>
              <w:t>(3)</w:t>
            </w: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1E1E1E"/>
                <w:w w:val="98"/>
              </w:rPr>
              <w:t xml:space="preserve">shares </w:t>
            </w:r>
            <w:r>
              <w:rPr>
                <w:rFonts w:ascii="Arial" w:cs="Arial" w:eastAsia="Arial" w:hAnsi="Arial"/>
                <w:sz w:val="10"/>
                <w:szCs w:val="10"/>
                <w:color w:val="1E1E1E"/>
                <w:w w:val="98"/>
              </w:rPr>
              <w:t>(4)</w:t>
            </w:r>
          </w:p>
        </w:tc>
        <w:tc>
          <w:tcPr>
            <w:tcW w:w="1120" w:type="dxa"/>
            <w:vAlign w:val="bottom"/>
            <w:gridSpan w:val="2"/>
          </w:tcPr>
          <w:p>
            <w:pPr>
              <w:jc w:val="right"/>
              <w:ind w:right="380"/>
              <w:spacing w:after="0"/>
              <w:rPr>
                <w:sz w:val="20"/>
                <w:szCs w:val="20"/>
                <w:color w:val="auto"/>
              </w:rPr>
            </w:pPr>
            <w:r>
              <w:rPr>
                <w:rFonts w:ascii="Arial" w:cs="Arial" w:eastAsia="Arial" w:hAnsi="Arial"/>
                <w:sz w:val="16"/>
                <w:szCs w:val="16"/>
                <w:color w:val="1E1E1E"/>
              </w:rPr>
              <w:t>of shares</w:t>
            </w: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color w:val="1E1E1E"/>
                <w:w w:val="92"/>
              </w:rPr>
              <w:t>fair value</w:t>
            </w:r>
          </w:p>
        </w:tc>
        <w:tc>
          <w:tcPr>
            <w:tcW w:w="0" w:type="dxa"/>
            <w:vAlign w:val="bottom"/>
          </w:tcPr>
          <w:p>
            <w:pPr>
              <w:spacing w:after="0"/>
              <w:rPr>
                <w:sz w:val="1"/>
                <w:szCs w:val="1"/>
                <w:color w:val="auto"/>
              </w:rPr>
            </w:pPr>
          </w:p>
        </w:tc>
      </w:tr>
      <w:tr>
        <w:trPr>
          <w:trHeight w:val="219"/>
        </w:trPr>
        <w:tc>
          <w:tcPr>
            <w:tcW w:w="4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1E1E1E"/>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1E1E1E"/>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1E1E1E"/>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1E1E1E"/>
            </w:tcBorders>
          </w:tcPr>
          <w:p>
            <w:pPr>
              <w:spacing w:after="0"/>
              <w:rPr>
                <w:sz w:val="19"/>
                <w:szCs w:val="19"/>
                <w:color w:val="auto"/>
              </w:rPr>
            </w:pPr>
          </w:p>
        </w:tc>
        <w:tc>
          <w:tcPr>
            <w:tcW w:w="760" w:type="dxa"/>
            <w:vAlign w:val="bottom"/>
            <w:tcBorders>
              <w:top w:val="single" w:sz="8" w:color="1E1E1E"/>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1E1E1E"/>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1E1E1E"/>
            </w:tcBorders>
          </w:tcPr>
          <w:p>
            <w:pPr>
              <w:spacing w:after="0"/>
              <w:rPr>
                <w:sz w:val="19"/>
                <w:szCs w:val="19"/>
                <w:color w:val="auto"/>
              </w:rPr>
            </w:pPr>
          </w:p>
        </w:tc>
        <w:tc>
          <w:tcPr>
            <w:tcW w:w="780" w:type="dxa"/>
            <w:vAlign w:val="bottom"/>
            <w:tcBorders>
              <w:top w:val="single" w:sz="8" w:color="1E1E1E"/>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E4E4E4"/>
          </w:tcPr>
          <w:p>
            <w:pPr>
              <w:ind w:left="200"/>
              <w:spacing w:after="0"/>
              <w:rPr>
                <w:sz w:val="20"/>
                <w:szCs w:val="20"/>
                <w:color w:val="auto"/>
              </w:rPr>
            </w:pPr>
            <w:r>
              <w:rPr>
                <w:rFonts w:ascii="Arial" w:cs="Arial" w:eastAsia="Arial" w:hAnsi="Arial"/>
                <w:sz w:val="20"/>
                <w:szCs w:val="20"/>
                <w:color w:val="1E1E1E"/>
                <w:w w:val="90"/>
              </w:rPr>
              <w:t>Outstanding non-vested shares at beginning of year</w:t>
            </w:r>
          </w:p>
        </w:tc>
        <w:tc>
          <w:tcPr>
            <w:tcW w:w="98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520,008</w:t>
            </w:r>
          </w:p>
        </w:tc>
        <w:tc>
          <w:tcPr>
            <w:tcW w:w="200" w:type="dxa"/>
            <w:vAlign w:val="bottom"/>
            <w:shd w:val="clear" w:color="auto" w:fill="E4E4E4"/>
          </w:tcPr>
          <w:p>
            <w:pPr>
              <w:spacing w:after="0"/>
              <w:rPr>
                <w:sz w:val="20"/>
                <w:szCs w:val="20"/>
                <w:color w:val="auto"/>
              </w:rPr>
            </w:pPr>
          </w:p>
        </w:tc>
        <w:tc>
          <w:tcPr>
            <w:tcW w:w="88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435,568</w:t>
            </w:r>
          </w:p>
        </w:tc>
        <w:tc>
          <w:tcPr>
            <w:tcW w:w="108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240,000</w:t>
            </w:r>
          </w:p>
        </w:tc>
        <w:tc>
          <w:tcPr>
            <w:tcW w:w="2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960" w:type="dxa"/>
            <w:vAlign w:val="bottom"/>
            <w:gridSpan w:val="2"/>
            <w:shd w:val="clear" w:color="auto" w:fill="E4E4E4"/>
          </w:tcPr>
          <w:p>
            <w:pPr>
              <w:jc w:val="right"/>
              <w:ind w:right="200"/>
              <w:spacing w:after="0"/>
              <w:rPr>
                <w:sz w:val="20"/>
                <w:szCs w:val="20"/>
                <w:color w:val="auto"/>
              </w:rPr>
            </w:pPr>
            <w:r>
              <w:rPr>
                <w:rFonts w:ascii="Arial" w:cs="Arial" w:eastAsia="Arial" w:hAnsi="Arial"/>
                <w:sz w:val="20"/>
                <w:szCs w:val="20"/>
                <w:color w:val="1E1E1E"/>
              </w:rPr>
              <w:t>—</w:t>
            </w:r>
          </w:p>
        </w:tc>
        <w:tc>
          <w:tcPr>
            <w:tcW w:w="1120" w:type="dxa"/>
            <w:vAlign w:val="bottom"/>
            <w:gridSpan w:val="2"/>
            <w:shd w:val="clear" w:color="auto" w:fill="E4E4E4"/>
          </w:tcPr>
          <w:p>
            <w:pPr>
              <w:jc w:val="right"/>
              <w:ind w:right="200"/>
              <w:spacing w:after="0"/>
              <w:rPr>
                <w:sz w:val="20"/>
                <w:szCs w:val="20"/>
                <w:color w:val="auto"/>
              </w:rPr>
            </w:pPr>
            <w:r>
              <w:rPr>
                <w:rFonts w:ascii="Arial" w:cs="Arial" w:eastAsia="Arial" w:hAnsi="Arial"/>
                <w:sz w:val="20"/>
                <w:szCs w:val="20"/>
                <w:color w:val="1E1E1E"/>
              </w:rPr>
              <w:t>1,195,576</w:t>
            </w:r>
          </w:p>
        </w:tc>
        <w:tc>
          <w:tcPr>
            <w:tcW w:w="100" w:type="dxa"/>
            <w:vAlign w:val="bottom"/>
            <w:shd w:val="clear" w:color="auto" w:fill="E4E4E4"/>
          </w:tcPr>
          <w:p>
            <w:pPr>
              <w:jc w:val="right"/>
              <w:spacing w:after="0"/>
              <w:rPr>
                <w:sz w:val="20"/>
                <w:szCs w:val="20"/>
                <w:color w:val="auto"/>
              </w:rPr>
            </w:pPr>
            <w:r>
              <w:rPr>
                <w:rFonts w:ascii="Arial" w:cs="Arial" w:eastAsia="Arial" w:hAnsi="Arial"/>
                <w:sz w:val="20"/>
                <w:szCs w:val="20"/>
                <w:color w:val="1E1E1E"/>
                <w:w w:val="71"/>
              </w:rPr>
              <w:t>$</w:t>
            </w:r>
          </w:p>
        </w:tc>
        <w:tc>
          <w:tcPr>
            <w:tcW w:w="78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2.51</w:t>
            </w: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0"/>
              <w:spacing w:after="0"/>
              <w:rPr>
                <w:sz w:val="20"/>
                <w:szCs w:val="20"/>
                <w:color w:val="auto"/>
              </w:rPr>
            </w:pPr>
            <w:r>
              <w:rPr>
                <w:rFonts w:ascii="Arial" w:cs="Arial" w:eastAsia="Arial" w:hAnsi="Arial"/>
                <w:sz w:val="20"/>
                <w:szCs w:val="20"/>
                <w:color w:val="1E1E1E"/>
              </w:rPr>
              <w:t>Shares granted</w:t>
            </w:r>
          </w:p>
        </w:tc>
        <w:tc>
          <w:tcPr>
            <w:tcW w:w="980" w:type="dxa"/>
            <w:vAlign w:val="bottom"/>
            <w:gridSpan w:val="2"/>
          </w:tcPr>
          <w:p>
            <w:pPr>
              <w:jc w:val="right"/>
              <w:spacing w:after="0"/>
              <w:rPr>
                <w:sz w:val="20"/>
                <w:szCs w:val="20"/>
                <w:color w:val="auto"/>
              </w:rPr>
            </w:pPr>
            <w:r>
              <w:rPr>
                <w:rFonts w:ascii="Arial" w:cs="Arial" w:eastAsia="Arial" w:hAnsi="Arial"/>
                <w:sz w:val="20"/>
                <w:szCs w:val="20"/>
                <w:color w:val="1E1E1E"/>
              </w:rPr>
              <w:t>607,142</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1E1E1E"/>
              </w:rPr>
              <w:t>—</w:t>
            </w:r>
          </w:p>
        </w:tc>
        <w:tc>
          <w:tcPr>
            <w:tcW w:w="1080" w:type="dxa"/>
            <w:vAlign w:val="bottom"/>
            <w:gridSpan w:val="2"/>
          </w:tcPr>
          <w:p>
            <w:pPr>
              <w:jc w:val="right"/>
              <w:spacing w:after="0"/>
              <w:rPr>
                <w:sz w:val="20"/>
                <w:szCs w:val="20"/>
                <w:color w:val="auto"/>
              </w:rPr>
            </w:pPr>
            <w:r>
              <w:rPr>
                <w:rFonts w:ascii="Arial" w:cs="Arial" w:eastAsia="Arial" w:hAnsi="Arial"/>
                <w:sz w:val="20"/>
                <w:szCs w:val="20"/>
                <w:color w:val="1E1E1E"/>
              </w:rPr>
              <w:t>573,000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1E1E1E"/>
              </w:rPr>
              <w:t>29,650</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20"/>
                <w:szCs w:val="20"/>
                <w:color w:val="1E1E1E"/>
              </w:rPr>
              <w:t>1,209,792</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1E1E1E"/>
              </w:rPr>
              <w:t>4.47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380" w:type="dxa"/>
            <w:vAlign w:val="bottom"/>
            <w:shd w:val="clear" w:color="auto" w:fill="E4E4E4"/>
          </w:tcPr>
          <w:p>
            <w:pPr>
              <w:ind w:left="200"/>
              <w:spacing w:after="0" w:line="228" w:lineRule="exact"/>
              <w:rPr>
                <w:sz w:val="20"/>
                <w:szCs w:val="20"/>
                <w:color w:val="auto"/>
              </w:rPr>
            </w:pPr>
            <w:r>
              <w:rPr>
                <w:rFonts w:ascii="Arial" w:cs="Arial" w:eastAsia="Arial" w:hAnsi="Arial"/>
                <w:sz w:val="20"/>
                <w:szCs w:val="20"/>
                <w:color w:val="1E1E1E"/>
              </w:rPr>
              <w:t>Shares forfeited</w:t>
            </w:r>
          </w:p>
        </w:tc>
        <w:tc>
          <w:tcPr>
            <w:tcW w:w="1180" w:type="dxa"/>
            <w:vAlign w:val="bottom"/>
            <w:gridSpan w:val="3"/>
            <w:shd w:val="clear" w:color="auto" w:fill="E4E4E4"/>
          </w:tcPr>
          <w:p>
            <w:pPr>
              <w:jc w:val="right"/>
              <w:ind w:right="140"/>
              <w:spacing w:after="0" w:line="228" w:lineRule="exact"/>
              <w:rPr>
                <w:sz w:val="20"/>
                <w:szCs w:val="20"/>
                <w:color w:val="auto"/>
              </w:rPr>
            </w:pPr>
            <w:r>
              <w:rPr>
                <w:rFonts w:ascii="Arial" w:cs="Arial" w:eastAsia="Arial" w:hAnsi="Arial"/>
                <w:sz w:val="20"/>
                <w:szCs w:val="20"/>
                <w:color w:val="1E1E1E"/>
              </w:rPr>
              <w:t>(53,180)</w:t>
            </w:r>
          </w:p>
        </w:tc>
        <w:tc>
          <w:tcPr>
            <w:tcW w:w="880" w:type="dxa"/>
            <w:vAlign w:val="bottom"/>
            <w:shd w:val="clear" w:color="auto" w:fill="E4E4E4"/>
          </w:tcPr>
          <w:p>
            <w:pPr>
              <w:jc w:val="right"/>
              <w:spacing w:after="0" w:line="228" w:lineRule="exact"/>
              <w:rPr>
                <w:sz w:val="20"/>
                <w:szCs w:val="20"/>
                <w:color w:val="auto"/>
              </w:rPr>
            </w:pPr>
            <w:r>
              <w:rPr>
                <w:rFonts w:ascii="Arial" w:cs="Arial" w:eastAsia="Arial" w:hAnsi="Arial"/>
                <w:sz w:val="20"/>
                <w:szCs w:val="20"/>
                <w:color w:val="1E1E1E"/>
              </w:rPr>
              <w:t>—</w:t>
            </w:r>
          </w:p>
        </w:tc>
        <w:tc>
          <w:tcPr>
            <w:tcW w:w="200" w:type="dxa"/>
            <w:vAlign w:val="bottom"/>
            <w:shd w:val="clear" w:color="auto" w:fill="E4E4E4"/>
          </w:tcPr>
          <w:p>
            <w:pPr>
              <w:spacing w:after="0"/>
              <w:rPr>
                <w:sz w:val="19"/>
                <w:szCs w:val="19"/>
                <w:color w:val="auto"/>
              </w:rPr>
            </w:pPr>
          </w:p>
        </w:tc>
        <w:tc>
          <w:tcPr>
            <w:tcW w:w="1100" w:type="dxa"/>
            <w:vAlign w:val="bottom"/>
            <w:gridSpan w:val="3"/>
            <w:shd w:val="clear" w:color="auto" w:fill="E4E4E4"/>
          </w:tcPr>
          <w:p>
            <w:pPr>
              <w:jc w:val="right"/>
              <w:ind w:right="220"/>
              <w:spacing w:after="0" w:line="228" w:lineRule="exact"/>
              <w:rPr>
                <w:sz w:val="20"/>
                <w:szCs w:val="20"/>
                <w:color w:val="auto"/>
              </w:rPr>
            </w:pPr>
            <w:r>
              <w:rPr>
                <w:rFonts w:ascii="Arial" w:cs="Arial" w:eastAsia="Arial" w:hAnsi="Arial"/>
                <w:sz w:val="20"/>
                <w:szCs w:val="20"/>
                <w:color w:val="1E1E1E"/>
              </w:rPr>
              <w:t>—</w:t>
            </w:r>
          </w:p>
        </w:tc>
        <w:tc>
          <w:tcPr>
            <w:tcW w:w="960" w:type="dxa"/>
            <w:vAlign w:val="bottom"/>
            <w:gridSpan w:val="2"/>
            <w:shd w:val="clear" w:color="auto" w:fill="E4E4E4"/>
          </w:tcPr>
          <w:p>
            <w:pPr>
              <w:jc w:val="right"/>
              <w:ind w:right="200"/>
              <w:spacing w:after="0" w:line="228" w:lineRule="exact"/>
              <w:rPr>
                <w:sz w:val="20"/>
                <w:szCs w:val="20"/>
                <w:color w:val="auto"/>
              </w:rPr>
            </w:pPr>
            <w:r>
              <w:rPr>
                <w:rFonts w:ascii="Arial" w:cs="Arial" w:eastAsia="Arial" w:hAnsi="Arial"/>
                <w:sz w:val="20"/>
                <w:szCs w:val="20"/>
                <w:color w:val="1E1E1E"/>
              </w:rPr>
              <w:t>—</w:t>
            </w:r>
          </w:p>
        </w:tc>
        <w:tc>
          <w:tcPr>
            <w:tcW w:w="1120" w:type="dxa"/>
            <w:vAlign w:val="bottom"/>
            <w:gridSpan w:val="2"/>
            <w:shd w:val="clear" w:color="auto" w:fill="E4E4E4"/>
          </w:tcPr>
          <w:p>
            <w:pPr>
              <w:jc w:val="right"/>
              <w:ind w:right="140"/>
              <w:spacing w:after="0" w:line="228" w:lineRule="exact"/>
              <w:rPr>
                <w:sz w:val="20"/>
                <w:szCs w:val="20"/>
                <w:color w:val="auto"/>
              </w:rPr>
            </w:pPr>
            <w:r>
              <w:rPr>
                <w:rFonts w:ascii="Arial" w:cs="Arial" w:eastAsia="Arial" w:hAnsi="Arial"/>
                <w:sz w:val="20"/>
                <w:szCs w:val="20"/>
                <w:color w:val="1E1E1E"/>
              </w:rPr>
              <w:t>(53,180)</w:t>
            </w:r>
          </w:p>
        </w:tc>
        <w:tc>
          <w:tcPr>
            <w:tcW w:w="100" w:type="dxa"/>
            <w:vAlign w:val="bottom"/>
            <w:shd w:val="clear" w:color="auto" w:fill="E4E4E4"/>
          </w:tcPr>
          <w:p>
            <w:pPr>
              <w:spacing w:after="0"/>
              <w:rPr>
                <w:sz w:val="19"/>
                <w:szCs w:val="19"/>
                <w:color w:val="auto"/>
              </w:rPr>
            </w:pPr>
          </w:p>
        </w:tc>
        <w:tc>
          <w:tcPr>
            <w:tcW w:w="780" w:type="dxa"/>
            <w:vAlign w:val="bottom"/>
            <w:shd w:val="clear" w:color="auto" w:fill="E4E4E4"/>
          </w:tcPr>
          <w:p>
            <w:pPr>
              <w:jc w:val="right"/>
              <w:spacing w:after="0" w:line="228" w:lineRule="exact"/>
              <w:rPr>
                <w:sz w:val="20"/>
                <w:szCs w:val="20"/>
                <w:color w:val="auto"/>
              </w:rPr>
            </w:pPr>
            <w:r>
              <w:rPr>
                <w:rFonts w:ascii="Arial" w:cs="Arial" w:eastAsia="Arial" w:hAnsi="Arial"/>
                <w:sz w:val="20"/>
                <w:szCs w:val="20"/>
                <w:color w:val="1E1E1E"/>
              </w:rPr>
              <w:t>7.22</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0"/>
              <w:spacing w:after="0"/>
              <w:rPr>
                <w:sz w:val="20"/>
                <w:szCs w:val="20"/>
                <w:color w:val="auto"/>
              </w:rPr>
            </w:pPr>
            <w:r>
              <w:rPr>
                <w:rFonts w:ascii="Arial" w:cs="Arial" w:eastAsia="Arial" w:hAnsi="Arial"/>
                <w:sz w:val="20"/>
                <w:szCs w:val="20"/>
                <w:color w:val="1E1E1E"/>
              </w:rPr>
              <w:t>Shares expired</w:t>
            </w: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20"/>
                <w:szCs w:val="20"/>
                <w:color w:val="1E1E1E"/>
              </w:rPr>
              <w:t>—</w:t>
            </w:r>
          </w:p>
        </w:tc>
        <w:tc>
          <w:tcPr>
            <w:tcW w:w="880" w:type="dxa"/>
            <w:vAlign w:val="bottom"/>
          </w:tcPr>
          <w:p>
            <w:pPr>
              <w:jc w:val="right"/>
              <w:spacing w:after="0"/>
              <w:rPr>
                <w:sz w:val="20"/>
                <w:szCs w:val="20"/>
                <w:color w:val="auto"/>
              </w:rPr>
            </w:pPr>
            <w:r>
              <w:rPr>
                <w:rFonts w:ascii="Arial" w:cs="Arial" w:eastAsia="Arial" w:hAnsi="Arial"/>
                <w:sz w:val="20"/>
                <w:szCs w:val="20"/>
                <w:color w:val="1E1E1E"/>
              </w:rPr>
              <w:t>—</w:t>
            </w:r>
          </w:p>
        </w:tc>
        <w:tc>
          <w:tcPr>
            <w:tcW w:w="1280" w:type="dxa"/>
            <w:vAlign w:val="bottom"/>
            <w:gridSpan w:val="3"/>
          </w:tcPr>
          <w:p>
            <w:pPr>
              <w:jc w:val="right"/>
              <w:ind w:right="140"/>
              <w:spacing w:after="0"/>
              <w:rPr>
                <w:sz w:val="20"/>
                <w:szCs w:val="20"/>
                <w:color w:val="auto"/>
              </w:rPr>
            </w:pPr>
            <w:r>
              <w:rPr>
                <w:rFonts w:ascii="Arial" w:cs="Arial" w:eastAsia="Arial" w:hAnsi="Arial"/>
                <w:sz w:val="20"/>
                <w:szCs w:val="20"/>
                <w:color w:val="1E1E1E"/>
              </w:rPr>
              <w:t>(240,000)</w:t>
            </w:r>
          </w:p>
        </w:tc>
        <w:tc>
          <w:tcPr>
            <w:tcW w:w="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20"/>
                <w:szCs w:val="20"/>
                <w:color w:val="1E1E1E"/>
              </w:rPr>
              <w:t>—</w:t>
            </w: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1E1E1E"/>
              </w:rPr>
              <w:t>(240,000)</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1E1E1E"/>
              </w:rPr>
              <w:t>1.07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E4E4E4"/>
          </w:tcPr>
          <w:p>
            <w:pPr>
              <w:ind w:left="200"/>
              <w:spacing w:after="0"/>
              <w:rPr>
                <w:sz w:val="20"/>
                <w:szCs w:val="20"/>
                <w:color w:val="auto"/>
              </w:rPr>
            </w:pPr>
            <w:r>
              <w:rPr>
                <w:rFonts w:ascii="Arial" w:cs="Arial" w:eastAsia="Arial" w:hAnsi="Arial"/>
                <w:sz w:val="20"/>
                <w:szCs w:val="20"/>
                <w:color w:val="1E1E1E"/>
              </w:rPr>
              <w:t>Shares vested/issued</w:t>
            </w:r>
          </w:p>
        </w:tc>
        <w:tc>
          <w:tcPr>
            <w:tcW w:w="1180" w:type="dxa"/>
            <w:vAlign w:val="bottom"/>
            <w:gridSpan w:val="3"/>
            <w:shd w:val="clear" w:color="auto" w:fill="E4E4E4"/>
          </w:tcPr>
          <w:p>
            <w:pPr>
              <w:jc w:val="right"/>
              <w:ind w:right="140"/>
              <w:spacing w:after="0"/>
              <w:rPr>
                <w:sz w:val="20"/>
                <w:szCs w:val="20"/>
                <w:color w:val="auto"/>
              </w:rPr>
            </w:pPr>
            <w:r>
              <w:rPr>
                <w:rFonts w:ascii="Arial" w:cs="Arial" w:eastAsia="Arial" w:hAnsi="Arial"/>
                <w:sz w:val="20"/>
                <w:szCs w:val="20"/>
                <w:color w:val="1E1E1E"/>
              </w:rPr>
              <w:t>(537,685)</w:t>
            </w:r>
          </w:p>
        </w:tc>
        <w:tc>
          <w:tcPr>
            <w:tcW w:w="88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w:t>
            </w:r>
          </w:p>
        </w:tc>
        <w:tc>
          <w:tcPr>
            <w:tcW w:w="200" w:type="dxa"/>
            <w:vAlign w:val="bottom"/>
            <w:shd w:val="clear" w:color="auto" w:fill="E4E4E4"/>
          </w:tcPr>
          <w:p>
            <w:pPr>
              <w:spacing w:after="0"/>
              <w:rPr>
                <w:sz w:val="20"/>
                <w:szCs w:val="20"/>
                <w:color w:val="auto"/>
              </w:rPr>
            </w:pPr>
          </w:p>
        </w:tc>
        <w:tc>
          <w:tcPr>
            <w:tcW w:w="1100" w:type="dxa"/>
            <w:vAlign w:val="bottom"/>
            <w:gridSpan w:val="3"/>
            <w:shd w:val="clear" w:color="auto" w:fill="E4E4E4"/>
          </w:tcPr>
          <w:p>
            <w:pPr>
              <w:jc w:val="right"/>
              <w:ind w:right="220"/>
              <w:spacing w:after="0"/>
              <w:rPr>
                <w:sz w:val="20"/>
                <w:szCs w:val="20"/>
                <w:color w:val="auto"/>
              </w:rPr>
            </w:pPr>
            <w:r>
              <w:rPr>
                <w:rFonts w:ascii="Arial" w:cs="Arial" w:eastAsia="Arial" w:hAnsi="Arial"/>
                <w:sz w:val="20"/>
                <w:szCs w:val="20"/>
                <w:color w:val="1E1E1E"/>
              </w:rPr>
              <w:t>—</w:t>
            </w:r>
          </w:p>
        </w:tc>
        <w:tc>
          <w:tcPr>
            <w:tcW w:w="960" w:type="dxa"/>
            <w:vAlign w:val="bottom"/>
            <w:gridSpan w:val="2"/>
            <w:shd w:val="clear" w:color="auto" w:fill="E4E4E4"/>
          </w:tcPr>
          <w:p>
            <w:pPr>
              <w:jc w:val="right"/>
              <w:ind w:right="140"/>
              <w:spacing w:after="0"/>
              <w:rPr>
                <w:sz w:val="20"/>
                <w:szCs w:val="20"/>
                <w:color w:val="auto"/>
              </w:rPr>
            </w:pPr>
            <w:r>
              <w:rPr>
                <w:rFonts w:ascii="Arial" w:cs="Arial" w:eastAsia="Arial" w:hAnsi="Arial"/>
                <w:sz w:val="20"/>
                <w:szCs w:val="20"/>
                <w:color w:val="1E1E1E"/>
              </w:rPr>
              <w:t>(29,650)</w:t>
            </w:r>
          </w:p>
        </w:tc>
        <w:tc>
          <w:tcPr>
            <w:tcW w:w="1120" w:type="dxa"/>
            <w:vAlign w:val="bottom"/>
            <w:gridSpan w:val="2"/>
            <w:shd w:val="clear" w:color="auto" w:fill="E4E4E4"/>
          </w:tcPr>
          <w:p>
            <w:pPr>
              <w:jc w:val="right"/>
              <w:ind w:right="140"/>
              <w:spacing w:after="0"/>
              <w:rPr>
                <w:sz w:val="20"/>
                <w:szCs w:val="20"/>
                <w:color w:val="auto"/>
              </w:rPr>
            </w:pPr>
            <w:r>
              <w:rPr>
                <w:rFonts w:ascii="Arial" w:cs="Arial" w:eastAsia="Arial" w:hAnsi="Arial"/>
                <w:sz w:val="20"/>
                <w:szCs w:val="20"/>
                <w:color w:val="1E1E1E"/>
              </w:rPr>
              <w:t>(567,335)</w:t>
            </w:r>
          </w:p>
        </w:tc>
        <w:tc>
          <w:tcPr>
            <w:tcW w:w="100" w:type="dxa"/>
            <w:vAlign w:val="bottom"/>
            <w:shd w:val="clear" w:color="auto" w:fill="E4E4E4"/>
          </w:tcPr>
          <w:p>
            <w:pPr>
              <w:spacing w:after="0"/>
              <w:rPr>
                <w:sz w:val="20"/>
                <w:szCs w:val="20"/>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4.07</w:t>
            </w: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200"/>
              <w:spacing w:after="0" w:line="220" w:lineRule="exact"/>
              <w:rPr>
                <w:sz w:val="20"/>
                <w:szCs w:val="20"/>
                <w:color w:val="auto"/>
              </w:rPr>
            </w:pPr>
            <w:r>
              <w:rPr>
                <w:rFonts w:ascii="Arial" w:cs="Arial" w:eastAsia="Arial" w:hAnsi="Arial"/>
                <w:sz w:val="20"/>
                <w:szCs w:val="20"/>
                <w:color w:val="1E1E1E"/>
              </w:rPr>
              <w:t>Outstanding non-vested shares at end of year</w:t>
            </w:r>
          </w:p>
        </w:tc>
        <w:tc>
          <w:tcPr>
            <w:tcW w:w="100" w:type="dxa"/>
            <w:vAlign w:val="bottom"/>
          </w:tcPr>
          <w:p>
            <w:pPr>
              <w:spacing w:after="0"/>
              <w:rPr>
                <w:sz w:val="19"/>
                <w:szCs w:val="19"/>
                <w:color w:val="auto"/>
              </w:rPr>
            </w:pPr>
          </w:p>
        </w:tc>
        <w:tc>
          <w:tcPr>
            <w:tcW w:w="88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rPr>
              <w:t>536,285</w:t>
            </w:r>
          </w:p>
        </w:tc>
        <w:tc>
          <w:tcPr>
            <w:tcW w:w="200" w:type="dxa"/>
            <w:vAlign w:val="bottom"/>
          </w:tcPr>
          <w:p>
            <w:pPr>
              <w:spacing w:after="0"/>
              <w:rPr>
                <w:sz w:val="19"/>
                <w:szCs w:val="19"/>
                <w:color w:val="auto"/>
              </w:rPr>
            </w:pPr>
          </w:p>
        </w:tc>
        <w:tc>
          <w:tcPr>
            <w:tcW w:w="88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rPr>
              <w:t>435,568</w:t>
            </w:r>
          </w:p>
        </w:tc>
        <w:tc>
          <w:tcPr>
            <w:tcW w:w="200" w:type="dxa"/>
            <w:vAlign w:val="bottom"/>
          </w:tcPr>
          <w:p>
            <w:pPr>
              <w:spacing w:after="0"/>
              <w:rPr>
                <w:sz w:val="19"/>
                <w:szCs w:val="19"/>
                <w:color w:val="auto"/>
              </w:rPr>
            </w:pPr>
          </w:p>
        </w:tc>
        <w:tc>
          <w:tcPr>
            <w:tcW w:w="88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rPr>
              <w:t>573,000</w:t>
            </w:r>
          </w:p>
        </w:tc>
        <w:tc>
          <w:tcPr>
            <w:tcW w:w="200" w:type="dxa"/>
            <w:vAlign w:val="bottom"/>
          </w:tcPr>
          <w:p>
            <w:pPr>
              <w:spacing w:after="0"/>
              <w:rPr>
                <w:sz w:val="19"/>
                <w:szCs w:val="19"/>
                <w:color w:val="auto"/>
              </w:rPr>
            </w:pPr>
          </w:p>
        </w:tc>
        <w:tc>
          <w:tcPr>
            <w:tcW w:w="20" w:type="dxa"/>
            <w:vAlign w:val="bottom"/>
            <w:tcBorders>
              <w:top w:val="single" w:sz="8" w:color="1E1E1E"/>
            </w:tcBorders>
          </w:tcPr>
          <w:p>
            <w:pPr>
              <w:spacing w:after="0"/>
              <w:rPr>
                <w:sz w:val="19"/>
                <w:szCs w:val="19"/>
                <w:color w:val="auto"/>
              </w:rPr>
            </w:pPr>
          </w:p>
        </w:tc>
        <w:tc>
          <w:tcPr>
            <w:tcW w:w="76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rPr>
              <w:t>—</w:t>
            </w:r>
          </w:p>
        </w:tc>
        <w:tc>
          <w:tcPr>
            <w:tcW w:w="200" w:type="dxa"/>
            <w:vAlign w:val="bottom"/>
          </w:tcPr>
          <w:p>
            <w:pPr>
              <w:spacing w:after="0"/>
              <w:rPr>
                <w:sz w:val="19"/>
                <w:szCs w:val="19"/>
                <w:color w:val="auto"/>
              </w:rPr>
            </w:pPr>
          </w:p>
        </w:tc>
        <w:tc>
          <w:tcPr>
            <w:tcW w:w="92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highlight w:val="white"/>
                <w:w w:val="98"/>
              </w:rPr>
              <w:t>1,544,853</w:t>
            </w:r>
          </w:p>
        </w:tc>
        <w:tc>
          <w:tcPr>
            <w:tcW w:w="200" w:type="dxa"/>
            <w:vAlign w:val="bottom"/>
          </w:tcPr>
          <w:p>
            <w:pPr>
              <w:spacing w:after="0"/>
              <w:rPr>
                <w:sz w:val="19"/>
                <w:szCs w:val="19"/>
                <w:color w:val="auto"/>
              </w:rPr>
            </w:pPr>
          </w:p>
        </w:tc>
        <w:tc>
          <w:tcPr>
            <w:tcW w:w="10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w w:val="71"/>
              </w:rPr>
              <w:t>$</w:t>
            </w:r>
          </w:p>
        </w:tc>
        <w:tc>
          <w:tcPr>
            <w:tcW w:w="78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rPr>
              <w:t>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80" w:type="dxa"/>
            <w:vAlign w:val="bottom"/>
            <w:shd w:val="clear" w:color="auto" w:fill="E4E4E4"/>
          </w:tcPr>
          <w:p>
            <w:pPr>
              <w:ind w:left="200"/>
              <w:spacing w:after="0"/>
              <w:rPr>
                <w:sz w:val="20"/>
                <w:szCs w:val="20"/>
                <w:color w:val="auto"/>
              </w:rPr>
            </w:pPr>
            <w:r>
              <w:rPr>
                <w:rFonts w:ascii="Arial" w:cs="Arial" w:eastAsia="Arial" w:hAnsi="Arial"/>
                <w:sz w:val="20"/>
                <w:szCs w:val="20"/>
                <w:color w:val="1E1E1E"/>
              </w:rPr>
              <w:t>Vested and expected to vest at end of year</w:t>
            </w:r>
          </w:p>
        </w:tc>
        <w:tc>
          <w:tcPr>
            <w:tcW w:w="100" w:type="dxa"/>
            <w:vAlign w:val="bottom"/>
            <w:shd w:val="clear" w:color="auto" w:fill="E4E4E4"/>
          </w:tcPr>
          <w:p>
            <w:pPr>
              <w:spacing w:after="0"/>
              <w:rPr>
                <w:sz w:val="20"/>
                <w:szCs w:val="20"/>
                <w:color w:val="auto"/>
              </w:rPr>
            </w:pPr>
          </w:p>
        </w:tc>
        <w:tc>
          <w:tcPr>
            <w:tcW w:w="88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536,285</w:t>
            </w:r>
          </w:p>
        </w:tc>
        <w:tc>
          <w:tcPr>
            <w:tcW w:w="200" w:type="dxa"/>
            <w:vAlign w:val="bottom"/>
            <w:shd w:val="clear" w:color="auto" w:fill="E4E4E4"/>
          </w:tcPr>
          <w:p>
            <w:pPr>
              <w:spacing w:after="0"/>
              <w:rPr>
                <w:sz w:val="20"/>
                <w:szCs w:val="20"/>
                <w:color w:val="auto"/>
              </w:rPr>
            </w:pPr>
          </w:p>
        </w:tc>
        <w:tc>
          <w:tcPr>
            <w:tcW w:w="88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435,568</w:t>
            </w:r>
          </w:p>
        </w:tc>
        <w:tc>
          <w:tcPr>
            <w:tcW w:w="200" w:type="dxa"/>
            <w:vAlign w:val="bottom"/>
            <w:shd w:val="clear" w:color="auto" w:fill="E4E4E4"/>
          </w:tcPr>
          <w:p>
            <w:pPr>
              <w:spacing w:after="0"/>
              <w:rPr>
                <w:sz w:val="20"/>
                <w:szCs w:val="20"/>
                <w:color w:val="auto"/>
              </w:rPr>
            </w:pPr>
          </w:p>
        </w:tc>
        <w:tc>
          <w:tcPr>
            <w:tcW w:w="88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w:t>
            </w:r>
          </w:p>
        </w:tc>
        <w:tc>
          <w:tcPr>
            <w:tcW w:w="2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w:t>
            </w:r>
          </w:p>
        </w:tc>
        <w:tc>
          <w:tcPr>
            <w:tcW w:w="200" w:type="dxa"/>
            <w:vAlign w:val="bottom"/>
            <w:shd w:val="clear" w:color="auto" w:fill="E4E4E4"/>
          </w:tcPr>
          <w:p>
            <w:pPr>
              <w:spacing w:after="0"/>
              <w:rPr>
                <w:sz w:val="20"/>
                <w:szCs w:val="20"/>
                <w:color w:val="auto"/>
              </w:rPr>
            </w:pPr>
          </w:p>
        </w:tc>
        <w:tc>
          <w:tcPr>
            <w:tcW w:w="92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971,853</w:t>
            </w:r>
          </w:p>
        </w:tc>
        <w:tc>
          <w:tcPr>
            <w:tcW w:w="200" w:type="dxa"/>
            <w:vAlign w:val="bottom"/>
            <w:shd w:val="clear" w:color="auto" w:fill="E4E4E4"/>
          </w:tcPr>
          <w:p>
            <w:pPr>
              <w:spacing w:after="0"/>
              <w:rPr>
                <w:sz w:val="20"/>
                <w:szCs w:val="20"/>
                <w:color w:val="auto"/>
              </w:rPr>
            </w:pPr>
          </w:p>
        </w:tc>
        <w:tc>
          <w:tcPr>
            <w:tcW w:w="100" w:type="dxa"/>
            <w:vAlign w:val="bottom"/>
            <w:shd w:val="clear" w:color="auto" w:fill="E4E4E4"/>
          </w:tcPr>
          <w:p>
            <w:pPr>
              <w:jc w:val="right"/>
              <w:spacing w:after="0"/>
              <w:rPr>
                <w:sz w:val="20"/>
                <w:szCs w:val="20"/>
                <w:color w:val="auto"/>
              </w:rPr>
            </w:pPr>
            <w:r>
              <w:rPr>
                <w:rFonts w:ascii="Arial" w:cs="Arial" w:eastAsia="Arial" w:hAnsi="Arial"/>
                <w:sz w:val="20"/>
                <w:szCs w:val="20"/>
                <w:color w:val="1E1E1E"/>
                <w:w w:val="71"/>
              </w:rPr>
              <w:t>$</w:t>
            </w:r>
          </w:p>
        </w:tc>
        <w:tc>
          <w:tcPr>
            <w:tcW w:w="78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3.14</w:t>
            </w: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left="980" w:hanging="490"/>
        <w:spacing w:after="0" w:line="252" w:lineRule="auto"/>
        <w:tabs>
          <w:tab w:leader="none" w:pos="980" w:val="left"/>
        </w:tabs>
        <w:numPr>
          <w:ilvl w:val="0"/>
          <w:numId w:val="5"/>
        </w:numPr>
        <w:rPr>
          <w:rFonts w:ascii="Arial" w:cs="Arial" w:eastAsia="Arial" w:hAnsi="Arial"/>
          <w:sz w:val="20"/>
          <w:szCs w:val="20"/>
          <w:color w:val="1E1E1E"/>
        </w:rPr>
      </w:pPr>
      <w:r>
        <w:rPr>
          <w:rFonts w:ascii="Arial" w:cs="Arial" w:eastAsia="Arial" w:hAnsi="Arial"/>
          <w:sz w:val="20"/>
          <w:szCs w:val="20"/>
          <w:color w:val="1E1E1E"/>
        </w:rPr>
        <w:t>During fiscal 2023, the Company granted RSUs for the achievement of performance metrics under the 2020-2022 LTIP that were subject to additional vesting through August 31, 2023 and time-based RSUs under its LTIPs. See Note H, Long-Term Incentive Plans. As a result of net share settlements, of the 537,685 RSUs that vested, only 385,073 shares of common stock were issued.</w:t>
      </w:r>
    </w:p>
    <w:p>
      <w:pPr>
        <w:spacing w:after="0" w:line="73" w:lineRule="exact"/>
        <w:rPr>
          <w:rFonts w:ascii="Arial" w:cs="Arial" w:eastAsia="Arial" w:hAnsi="Arial"/>
          <w:sz w:val="20"/>
          <w:szCs w:val="20"/>
          <w:color w:val="1E1E1E"/>
        </w:rPr>
      </w:pPr>
    </w:p>
    <w:p>
      <w:pPr>
        <w:ind w:left="980" w:hanging="490"/>
        <w:spacing w:after="0" w:line="279" w:lineRule="auto"/>
        <w:tabs>
          <w:tab w:leader="none" w:pos="980" w:val="left"/>
        </w:tabs>
        <w:numPr>
          <w:ilvl w:val="0"/>
          <w:numId w:val="5"/>
        </w:numPr>
        <w:rPr>
          <w:rFonts w:ascii="Arial" w:cs="Arial" w:eastAsia="Arial" w:hAnsi="Arial"/>
          <w:sz w:val="20"/>
          <w:szCs w:val="20"/>
          <w:color w:val="1E1E1E"/>
        </w:rPr>
      </w:pPr>
      <w:r>
        <w:rPr>
          <w:rFonts w:ascii="Arial" w:cs="Arial" w:eastAsia="Arial" w:hAnsi="Arial"/>
          <w:sz w:val="20"/>
          <w:szCs w:val="20"/>
          <w:color w:val="1E1E1E"/>
        </w:rPr>
        <w:t>Represents compensation to certain directors, in lieu of cash, in accordance with their irrevocable elections. The outstanding deferred shares will be issued upon the director’s separation from service.</w:t>
      </w:r>
    </w:p>
    <w:p>
      <w:pPr>
        <w:spacing w:after="0" w:line="46" w:lineRule="exact"/>
        <w:rPr>
          <w:rFonts w:ascii="Arial" w:cs="Arial" w:eastAsia="Arial" w:hAnsi="Arial"/>
          <w:sz w:val="20"/>
          <w:szCs w:val="20"/>
          <w:color w:val="1E1E1E"/>
        </w:rPr>
      </w:pPr>
    </w:p>
    <w:p>
      <w:pPr>
        <w:jc w:val="both"/>
        <w:ind w:left="980" w:hanging="490"/>
        <w:spacing w:after="0" w:line="274" w:lineRule="auto"/>
        <w:tabs>
          <w:tab w:leader="none" w:pos="980" w:val="left"/>
        </w:tabs>
        <w:numPr>
          <w:ilvl w:val="0"/>
          <w:numId w:val="5"/>
        </w:numPr>
        <w:rPr>
          <w:rFonts w:ascii="Arial" w:cs="Arial" w:eastAsia="Arial" w:hAnsi="Arial"/>
          <w:sz w:val="18"/>
          <w:szCs w:val="18"/>
          <w:color w:val="1E1E1E"/>
        </w:rPr>
      </w:pPr>
      <w:r>
        <w:rPr>
          <w:rFonts w:ascii="Arial" w:cs="Arial" w:eastAsia="Arial" w:hAnsi="Arial"/>
          <w:sz w:val="18"/>
          <w:szCs w:val="18"/>
          <w:color w:val="1E1E1E"/>
        </w:rPr>
        <w:t>On August 11, 2023, the Company granted 573,000 performance share units ("PSUs") in connection with the extension of Mr. Kanter's employment agreement. The award consists of nine tranches, with the first tranche vesting if and when the 30-day volume-weighted closing price of the Company's common stock is equal to or greater than $6.50 per share. Each subsequent tranche will vest upon achievement of the 30-day volume-weighted closing price of the Company's common stock in $0.25 installments with the ninth tranche vesting when such price is equal to or greater than $8.50 per share. The PSUs are subject to a one-year minimum vesting period, and any unvested PSUs will expire on August 11, 2026. The respective fair value and derived service period assigned to each tranche of the PSUs were determined using a Monte Carlo model based on: a weighted historical volatility of 57.8%, a term of 3 years, stock price on the date of grant of $4.98 per share, a risk-free rate of 4.6% and a cost of equity of 11.0%. The $2.4 million fair value is being expensed over the respective derived service periods of each tranche which range from 12 to 13 months.</w:t>
      </w:r>
    </w:p>
    <w:p>
      <w:pPr>
        <w:spacing w:after="0" w:line="56" w:lineRule="exact"/>
        <w:rPr>
          <w:rFonts w:ascii="Arial" w:cs="Arial" w:eastAsia="Arial" w:hAnsi="Arial"/>
          <w:sz w:val="18"/>
          <w:szCs w:val="18"/>
          <w:color w:val="1E1E1E"/>
        </w:rPr>
      </w:pPr>
    </w:p>
    <w:p>
      <w:pPr>
        <w:jc w:val="both"/>
        <w:ind w:left="980" w:hanging="490"/>
        <w:spacing w:after="0" w:line="279" w:lineRule="auto"/>
        <w:tabs>
          <w:tab w:leader="none" w:pos="980" w:val="left"/>
        </w:tabs>
        <w:numPr>
          <w:ilvl w:val="0"/>
          <w:numId w:val="5"/>
        </w:numPr>
        <w:rPr>
          <w:rFonts w:ascii="Arial" w:cs="Arial" w:eastAsia="Arial" w:hAnsi="Arial"/>
          <w:sz w:val="19"/>
          <w:szCs w:val="19"/>
          <w:color w:val="1E1E1E"/>
        </w:rPr>
      </w:pPr>
      <w:r>
        <w:rPr>
          <w:rFonts w:ascii="Arial" w:cs="Arial" w:eastAsia="Arial" w:hAnsi="Arial"/>
          <w:sz w:val="19"/>
          <w:szCs w:val="19"/>
          <w:color w:val="1E1E1E"/>
        </w:rPr>
        <w:t>Represents compensation, with a fair value of $141,742, to certain directors, who are required to receive shares, in lieu of cash, in order to satisfy their minimum equity ownership under the Non-Employee Director Plan. Voluntary shares received, in lieu of cash, are reported below under Non-Employee Director Compensation Plan.</w:t>
      </w:r>
    </w:p>
    <w:p>
      <w:pPr>
        <w:spacing w:after="0" w:line="289" w:lineRule="exact"/>
        <w:rPr>
          <w:sz w:val="20"/>
          <w:szCs w:val="20"/>
          <w:color w:val="auto"/>
        </w:rPr>
      </w:pPr>
    </w:p>
    <w:p>
      <w:pPr>
        <w:ind w:left="480"/>
        <w:spacing w:after="0"/>
        <w:rPr>
          <w:sz w:val="20"/>
          <w:szCs w:val="20"/>
          <w:color w:val="auto"/>
        </w:rPr>
      </w:pPr>
      <w:r>
        <w:rPr>
          <w:rFonts w:ascii="Arial" w:cs="Arial" w:eastAsia="Arial" w:hAnsi="Arial"/>
          <w:sz w:val="20"/>
          <w:szCs w:val="20"/>
          <w:u w:val="single" w:color="auto"/>
          <w:color w:val="1E1E1E"/>
        </w:rPr>
        <w:t>Non-Employee Director Compensation Plan</w:t>
      </w:r>
    </w:p>
    <w:p>
      <w:pPr>
        <w:spacing w:after="0" w:line="118"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1E1E1E"/>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Seventh Amended and Restated Non-Employee Director Compensation Plan, as amended, the "Non-Employee Director Compensation Plan."</w:t>
      </w:r>
    </w:p>
    <w:p>
      <w:pPr>
        <w:spacing w:after="0" w:line="41"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1E1E1E"/>
        </w:rPr>
        <w:t>The plan requires a minimum equity ownership requirement which requires each director to receive at least 60% of their annual retainers in shares of common stock until the value of their equity ownership is equal to at least three times the annual retainer. Any shares issued to satisfy the minimum equity ownership were granted from the 2016 Plan. All other shares were granted under the Non-Employee Director Compensation Plan.</w:t>
      </w:r>
    </w:p>
    <w:p>
      <w:pPr>
        <w:spacing w:after="0" w:line="193" w:lineRule="exact"/>
        <w:rPr>
          <w:sz w:val="20"/>
          <w:szCs w:val="20"/>
          <w:color w:val="auto"/>
        </w:rPr>
      </w:pPr>
    </w:p>
    <w:p>
      <w:pPr>
        <w:ind w:right="280"/>
        <w:spacing w:after="0" w:line="279" w:lineRule="auto"/>
        <w:rPr>
          <w:sz w:val="20"/>
          <w:szCs w:val="20"/>
          <w:color w:val="auto"/>
        </w:rPr>
      </w:pPr>
      <w:r>
        <w:rPr>
          <w:rFonts w:ascii="Arial" w:cs="Arial" w:eastAsia="Arial" w:hAnsi="Arial"/>
          <w:sz w:val="20"/>
          <w:szCs w:val="20"/>
          <w:color w:val="1E1E1E"/>
        </w:rPr>
        <w:t>The following shares of common stock, with the respective fair value, were issued from the Non-Employee Director Compensation Plan to its non-employee directors as compensation for fiscal 2023, fiscal 2022 and fiscal 2021:</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00" w:type="dxa"/>
            <w:vAlign w:val="bottom"/>
          </w:tcPr>
          <w:p>
            <w:pPr>
              <w:spacing w:after="0"/>
              <w:rPr>
                <w:sz w:val="16"/>
                <w:szCs w:val="16"/>
                <w:color w:val="auto"/>
              </w:rPr>
            </w:pPr>
          </w:p>
        </w:tc>
        <w:tc>
          <w:tcPr>
            <w:tcW w:w="1740" w:type="dxa"/>
            <w:vAlign w:val="bottom"/>
          </w:tcPr>
          <w:p>
            <w:pPr>
              <w:jc w:val="right"/>
              <w:ind w:right="108"/>
              <w:spacing w:after="0"/>
              <w:rPr>
                <w:sz w:val="20"/>
                <w:szCs w:val="20"/>
                <w:color w:val="auto"/>
              </w:rPr>
            </w:pPr>
            <w:r>
              <w:rPr>
                <w:rFonts w:ascii="Arial" w:cs="Arial" w:eastAsia="Arial" w:hAnsi="Arial"/>
                <w:sz w:val="16"/>
                <w:szCs w:val="16"/>
                <w:color w:val="1E1E1E"/>
              </w:rPr>
              <w:t>Number of shares of</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center"/>
              <w:ind w:right="68"/>
              <w:spacing w:after="0"/>
              <w:rPr>
                <w:sz w:val="20"/>
                <w:szCs w:val="20"/>
                <w:color w:val="auto"/>
              </w:rPr>
            </w:pPr>
            <w:r>
              <w:rPr>
                <w:rFonts w:ascii="Arial" w:cs="Arial" w:eastAsia="Arial" w:hAnsi="Arial"/>
                <w:sz w:val="16"/>
                <w:szCs w:val="16"/>
                <w:color w:val="1E1E1E"/>
                <w:w w:val="93"/>
              </w:rPr>
              <w:t>Fair value of</w:t>
            </w:r>
          </w:p>
        </w:tc>
        <w:tc>
          <w:tcPr>
            <w:tcW w:w="100" w:type="dxa"/>
            <w:vAlign w:val="bottom"/>
          </w:tcPr>
          <w:p>
            <w:pPr>
              <w:spacing w:after="0"/>
              <w:rPr>
                <w:sz w:val="16"/>
                <w:szCs w:val="16"/>
                <w:color w:val="auto"/>
              </w:rPr>
            </w:pPr>
          </w:p>
        </w:tc>
      </w:tr>
      <w:tr>
        <w:trPr>
          <w:trHeight w:val="208"/>
        </w:trPr>
        <w:tc>
          <w:tcPr>
            <w:tcW w:w="6900" w:type="dxa"/>
            <w:vAlign w:val="bottom"/>
            <w:tcBorders>
              <w:bottom w:val="single" w:sz="8" w:color="E4E4E4"/>
            </w:tcBorders>
          </w:tcPr>
          <w:p>
            <w:pPr>
              <w:spacing w:after="0"/>
              <w:rPr>
                <w:sz w:val="18"/>
                <w:szCs w:val="18"/>
                <w:color w:val="auto"/>
              </w:rPr>
            </w:pPr>
          </w:p>
        </w:tc>
        <w:tc>
          <w:tcPr>
            <w:tcW w:w="1740" w:type="dxa"/>
            <w:vAlign w:val="bottom"/>
            <w:tcBorders>
              <w:bottom w:val="single" w:sz="8" w:color="1E1E1E"/>
            </w:tcBorders>
          </w:tcPr>
          <w:p>
            <w:pPr>
              <w:jc w:val="right"/>
              <w:ind w:right="88"/>
              <w:spacing w:after="0"/>
              <w:rPr>
                <w:sz w:val="20"/>
                <w:szCs w:val="20"/>
                <w:color w:val="auto"/>
              </w:rPr>
            </w:pPr>
            <w:r>
              <w:rPr>
                <w:rFonts w:ascii="Arial" w:cs="Arial" w:eastAsia="Arial" w:hAnsi="Arial"/>
                <w:sz w:val="16"/>
                <w:szCs w:val="16"/>
                <w:color w:val="1E1E1E"/>
              </w:rPr>
              <w:t>common stock issued</w:t>
            </w:r>
          </w:p>
        </w:tc>
        <w:tc>
          <w:tcPr>
            <w:tcW w:w="300" w:type="dxa"/>
            <w:vAlign w:val="bottom"/>
            <w:tcBorders>
              <w:bottom w:val="single" w:sz="8" w:color="E4E4E4"/>
            </w:tcBorders>
          </w:tcPr>
          <w:p>
            <w:pPr>
              <w:spacing w:after="0"/>
              <w:rPr>
                <w:sz w:val="18"/>
                <w:szCs w:val="18"/>
                <w:color w:val="auto"/>
              </w:rPr>
            </w:pPr>
          </w:p>
        </w:tc>
        <w:tc>
          <w:tcPr>
            <w:tcW w:w="140" w:type="dxa"/>
            <w:vAlign w:val="bottom"/>
            <w:tcBorders>
              <w:bottom w:val="single" w:sz="8" w:color="1E1E1E"/>
            </w:tcBorders>
          </w:tcPr>
          <w:p>
            <w:pPr>
              <w:spacing w:after="0"/>
              <w:rPr>
                <w:sz w:val="18"/>
                <w:szCs w:val="18"/>
                <w:color w:val="auto"/>
              </w:rPr>
            </w:pPr>
          </w:p>
        </w:tc>
        <w:tc>
          <w:tcPr>
            <w:tcW w:w="1620" w:type="dxa"/>
            <w:vAlign w:val="bottom"/>
            <w:tcBorders>
              <w:bottom w:val="single" w:sz="8" w:color="1E1E1E"/>
            </w:tcBorders>
          </w:tcPr>
          <w:p>
            <w:pPr>
              <w:jc w:val="center"/>
              <w:ind w:right="68"/>
              <w:spacing w:after="0"/>
              <w:rPr>
                <w:sz w:val="20"/>
                <w:szCs w:val="20"/>
                <w:color w:val="auto"/>
              </w:rPr>
            </w:pPr>
            <w:r>
              <w:rPr>
                <w:rFonts w:ascii="Arial" w:cs="Arial" w:eastAsia="Arial" w:hAnsi="Arial"/>
                <w:sz w:val="16"/>
                <w:szCs w:val="16"/>
                <w:color w:val="1E1E1E"/>
                <w:w w:val="89"/>
              </w:rPr>
              <w:t>common stock issued</w:t>
            </w:r>
          </w:p>
        </w:tc>
        <w:tc>
          <w:tcPr>
            <w:tcW w:w="100" w:type="dxa"/>
            <w:vAlign w:val="bottom"/>
            <w:tcBorders>
              <w:bottom w:val="single" w:sz="8" w:color="E4E4E4"/>
            </w:tcBorders>
          </w:tcPr>
          <w:p>
            <w:pPr>
              <w:spacing w:after="0"/>
              <w:rPr>
                <w:sz w:val="18"/>
                <w:szCs w:val="18"/>
                <w:color w:val="auto"/>
              </w:rPr>
            </w:pPr>
          </w:p>
        </w:tc>
      </w:tr>
      <w:tr>
        <w:trPr>
          <w:trHeight w:val="220"/>
        </w:trPr>
        <w:tc>
          <w:tcPr>
            <w:tcW w:w="6900" w:type="dxa"/>
            <w:vAlign w:val="bottom"/>
            <w:shd w:val="clear" w:color="auto" w:fill="E4E4E4"/>
          </w:tcPr>
          <w:p>
            <w:pPr>
              <w:spacing w:after="0" w:line="220" w:lineRule="exact"/>
              <w:rPr>
                <w:sz w:val="20"/>
                <w:szCs w:val="20"/>
                <w:color w:val="auto"/>
              </w:rPr>
            </w:pPr>
            <w:r>
              <w:rPr>
                <w:rFonts w:ascii="Arial" w:cs="Arial" w:eastAsia="Arial" w:hAnsi="Arial"/>
                <w:sz w:val="20"/>
                <w:szCs w:val="20"/>
                <w:color w:val="1E1E1E"/>
              </w:rPr>
              <w:t>Fiscal 2023</w:t>
            </w:r>
          </w:p>
        </w:tc>
        <w:tc>
          <w:tcPr>
            <w:tcW w:w="174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1E1E1E"/>
              </w:rPr>
              <w:t>59,532</w:t>
            </w:r>
          </w:p>
        </w:tc>
        <w:tc>
          <w:tcPr>
            <w:tcW w:w="300" w:type="dxa"/>
            <w:vAlign w:val="bottom"/>
            <w:shd w:val="clear" w:color="auto" w:fill="E4E4E4"/>
          </w:tcPr>
          <w:p>
            <w:pPr>
              <w:spacing w:after="0"/>
              <w:rPr>
                <w:sz w:val="19"/>
                <w:szCs w:val="19"/>
                <w:color w:val="auto"/>
              </w:rPr>
            </w:pPr>
          </w:p>
        </w:tc>
        <w:tc>
          <w:tcPr>
            <w:tcW w:w="140" w:type="dxa"/>
            <w:vAlign w:val="bottom"/>
            <w:shd w:val="clear" w:color="auto" w:fill="E4E4E4"/>
          </w:tcPr>
          <w:p>
            <w:pPr>
              <w:jc w:val="right"/>
              <w:spacing w:after="0" w:line="220" w:lineRule="exact"/>
              <w:rPr>
                <w:sz w:val="20"/>
                <w:szCs w:val="20"/>
                <w:color w:val="auto"/>
              </w:rPr>
            </w:pPr>
            <w:r>
              <w:rPr>
                <w:rFonts w:ascii="Arial" w:cs="Arial" w:eastAsia="Arial" w:hAnsi="Arial"/>
                <w:sz w:val="20"/>
                <w:szCs w:val="20"/>
                <w:color w:val="1E1E1E"/>
                <w:w w:val="71"/>
              </w:rPr>
              <w:t>$</w:t>
            </w:r>
          </w:p>
        </w:tc>
        <w:tc>
          <w:tcPr>
            <w:tcW w:w="1620" w:type="dxa"/>
            <w:vAlign w:val="bottom"/>
            <w:shd w:val="clear" w:color="auto" w:fill="E4E4E4"/>
          </w:tcPr>
          <w:p>
            <w:pPr>
              <w:ind w:left="960"/>
              <w:spacing w:after="0" w:line="220" w:lineRule="exact"/>
              <w:rPr>
                <w:sz w:val="20"/>
                <w:szCs w:val="20"/>
                <w:color w:val="auto"/>
              </w:rPr>
            </w:pPr>
            <w:r>
              <w:rPr>
                <w:rFonts w:ascii="Arial" w:cs="Arial" w:eastAsia="Arial" w:hAnsi="Arial"/>
                <w:sz w:val="20"/>
                <w:szCs w:val="20"/>
                <w:color w:val="1E1E1E"/>
                <w:w w:val="88"/>
              </w:rPr>
              <w:t>301,578</w:t>
            </w:r>
          </w:p>
        </w:tc>
        <w:tc>
          <w:tcPr>
            <w:tcW w:w="100" w:type="dxa"/>
            <w:vAlign w:val="bottom"/>
            <w:shd w:val="clear" w:color="auto" w:fill="E4E4E4"/>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20"/>
                <w:szCs w:val="20"/>
                <w:color w:val="1E1E1E"/>
              </w:rPr>
              <w:t>Fiscal 2022</w:t>
            </w:r>
          </w:p>
        </w:tc>
        <w:tc>
          <w:tcPr>
            <w:tcW w:w="1740" w:type="dxa"/>
            <w:vAlign w:val="bottom"/>
          </w:tcPr>
          <w:p>
            <w:pPr>
              <w:jc w:val="right"/>
              <w:spacing w:after="0"/>
              <w:rPr>
                <w:sz w:val="20"/>
                <w:szCs w:val="20"/>
                <w:color w:val="auto"/>
              </w:rPr>
            </w:pPr>
            <w:r>
              <w:rPr>
                <w:rFonts w:ascii="Arial" w:cs="Arial" w:eastAsia="Arial" w:hAnsi="Arial"/>
                <w:sz w:val="20"/>
                <w:szCs w:val="20"/>
                <w:color w:val="1E1E1E"/>
              </w:rPr>
              <w:t>73,024</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1E1E1E"/>
                <w:w w:val="71"/>
              </w:rPr>
              <w:t>$</w:t>
            </w:r>
          </w:p>
        </w:tc>
        <w:tc>
          <w:tcPr>
            <w:tcW w:w="1620" w:type="dxa"/>
            <w:vAlign w:val="bottom"/>
          </w:tcPr>
          <w:p>
            <w:pPr>
              <w:ind w:left="960"/>
              <w:spacing w:after="0"/>
              <w:rPr>
                <w:sz w:val="20"/>
                <w:szCs w:val="20"/>
                <w:color w:val="auto"/>
              </w:rPr>
            </w:pPr>
            <w:r>
              <w:rPr>
                <w:rFonts w:ascii="Arial" w:cs="Arial" w:eastAsia="Arial" w:hAnsi="Arial"/>
                <w:sz w:val="20"/>
                <w:szCs w:val="20"/>
                <w:color w:val="1E1E1E"/>
                <w:w w:val="88"/>
              </w:rPr>
              <w:t>359,208</w:t>
            </w:r>
          </w:p>
        </w:tc>
        <w:tc>
          <w:tcPr>
            <w:tcW w:w="100" w:type="dxa"/>
            <w:vAlign w:val="bottom"/>
          </w:tcPr>
          <w:p>
            <w:pPr>
              <w:spacing w:after="0"/>
              <w:rPr>
                <w:sz w:val="20"/>
                <w:szCs w:val="20"/>
                <w:color w:val="auto"/>
              </w:rPr>
            </w:pPr>
          </w:p>
        </w:tc>
      </w:tr>
      <w:tr>
        <w:trPr>
          <w:trHeight w:val="233"/>
        </w:trPr>
        <w:tc>
          <w:tcPr>
            <w:tcW w:w="6900" w:type="dxa"/>
            <w:vAlign w:val="bottom"/>
            <w:shd w:val="clear" w:color="auto" w:fill="E4E4E4"/>
          </w:tcPr>
          <w:p>
            <w:pPr>
              <w:spacing w:after="0"/>
              <w:rPr>
                <w:sz w:val="20"/>
                <w:szCs w:val="20"/>
                <w:color w:val="auto"/>
              </w:rPr>
            </w:pPr>
            <w:r>
              <w:rPr>
                <w:rFonts w:ascii="Arial" w:cs="Arial" w:eastAsia="Arial" w:hAnsi="Arial"/>
                <w:sz w:val="20"/>
                <w:szCs w:val="20"/>
                <w:color w:val="1E1E1E"/>
              </w:rPr>
              <w:t>Fiscal 2021</w:t>
            </w:r>
          </w:p>
        </w:tc>
        <w:tc>
          <w:tcPr>
            <w:tcW w:w="174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232,910</w:t>
            </w:r>
          </w:p>
        </w:tc>
        <w:tc>
          <w:tcPr>
            <w:tcW w:w="44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w:t>
            </w:r>
          </w:p>
        </w:tc>
        <w:tc>
          <w:tcPr>
            <w:tcW w:w="1620" w:type="dxa"/>
            <w:vAlign w:val="bottom"/>
            <w:shd w:val="clear" w:color="auto" w:fill="E4E4E4"/>
          </w:tcPr>
          <w:p>
            <w:pPr>
              <w:ind w:left="960"/>
              <w:spacing w:after="0"/>
              <w:rPr>
                <w:sz w:val="20"/>
                <w:szCs w:val="20"/>
                <w:color w:val="auto"/>
              </w:rPr>
            </w:pPr>
            <w:r>
              <w:rPr>
                <w:rFonts w:ascii="Arial" w:cs="Arial" w:eastAsia="Arial" w:hAnsi="Arial"/>
                <w:sz w:val="20"/>
                <w:szCs w:val="20"/>
                <w:color w:val="1E1E1E"/>
                <w:w w:val="88"/>
              </w:rPr>
              <w:t>374,227</w:t>
            </w:r>
          </w:p>
        </w:tc>
        <w:tc>
          <w:tcPr>
            <w:tcW w:w="100" w:type="dxa"/>
            <w:vAlign w:val="bottom"/>
            <w:shd w:val="clear" w:color="auto" w:fill="E4E4E4"/>
          </w:tcPr>
          <w:p>
            <w:pPr>
              <w:spacing w:after="0"/>
              <w:rPr>
                <w:sz w:val="20"/>
                <w:szCs w:val="20"/>
                <w:color w:val="auto"/>
              </w:rPr>
            </w:pPr>
          </w:p>
        </w:tc>
      </w:tr>
    </w:tbl>
    <w:p>
      <w:pPr>
        <w:spacing w:after="0" w:line="200" w:lineRule="exact"/>
        <w:rPr>
          <w:sz w:val="20"/>
          <w:szCs w:val="20"/>
          <w:color w:val="auto"/>
        </w:rPr>
      </w:pPr>
    </w:p>
    <w:p>
      <w:pPr>
        <w:sectPr>
          <w:pgSz w:w="11880" w:h="15480" w:orient="portrait"/>
          <w:cols w:equalWidth="0" w:num="1">
            <w:col w:w="10800"/>
          </w:cols>
          <w:pgMar w:left="540" w:top="1130" w:right="540" w:bottom="31"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56</w:t>
      </w:r>
    </w:p>
    <w:p>
      <w:pPr>
        <w:sectPr>
          <w:pgSz w:w="11880" w:h="15480" w:orient="portrait"/>
          <w:cols w:equalWidth="0" w:num="1">
            <w:col w:w="10800"/>
          </w:cols>
          <w:pgMar w:left="540" w:top="1130" w:right="540" w:bottom="31" w:gutter="0" w:footer="0" w:header="0"/>
          <w:type w:val="continuous"/>
        </w:sectPr>
      </w:pPr>
    </w:p>
    <w:bookmarkStart w:id="58" w:name="page59"/>
    <w:bookmarkEnd w:id="58"/>
    <w:p>
      <w:pPr>
        <w:spacing w:after="0"/>
        <w:rPr>
          <w:sz w:val="20"/>
          <w:szCs w:val="20"/>
          <w:color w:val="auto"/>
        </w:rPr>
      </w:pPr>
      <w:r>
        <w:rPr>
          <w:rFonts w:ascii="Arial" w:cs="Arial" w:eastAsia="Arial" w:hAnsi="Arial"/>
          <w:sz w:val="20"/>
          <w:szCs w:val="20"/>
          <w:color w:val="1E1E1E"/>
        </w:rPr>
        <w:t>At February 3, 2024, 634,534 shares remained available for grant under the Non-Employee Director Compensation Plan.</w:t>
      </w: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1E1E1E"/>
        </w:rPr>
        <w:t>J. EMPLOYEE BENEFIT PLANS</w:t>
      </w:r>
    </w:p>
    <w:p>
      <w:pPr>
        <w:spacing w:after="0" w:line="12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1E1E1E"/>
        </w:rPr>
        <w:t>The Company accounted for its employee benefit plans in accordance with ASC Topic 715, Compensation – Retirement Benefits. ASC Topic 715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postretirement plan in the year in which the changes occur.</w:t>
      </w:r>
    </w:p>
    <w:p>
      <w:pPr>
        <w:spacing w:after="0" w:line="318"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Noncontributory Pension Plan</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1E1E1E"/>
        </w:rPr>
        <w:t>In connection with the Casual Male acquisition in May 2002, the Company assumed the assets and liabilities of the Casual Male Noncontributory Pension Plan “Casual Male Corp. Retirement Plan”, which was previously known as the J. Baker, Inc. Qualified Plan (the “Pension Plan”). Casual Male Corp. froze all future benefits under this plan on May 1, 1997.</w:t>
      </w:r>
    </w:p>
    <w:p>
      <w:pPr>
        <w:spacing w:after="0" w:line="6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1E1E1E"/>
        </w:rPr>
        <w:t>On May 3, 2023, the Audit Committee approved the termination of the Pension Plan, which was then approved and ratified by the Board of Directors on May 4, 2023 with a final termination approval on June 8, 2023. By the end of fiscal 2023, the Company completed the settlement of all plan assets. Results for fiscal 2023, included a charge of $5.6 million, representing recognition of the of the unrealized loss in "Accumulated Other Comprehensive Loss" on the Consolidated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1E1E1E"/>
        </w:rPr>
        <w:t>The following table sets forth the Pension Plan’s funded status at February 3, 2024 and January 28, 2023:</w:t>
      </w:r>
    </w:p>
    <w:p>
      <w:pPr>
        <w:spacing w:after="0" w:line="231" w:lineRule="exact"/>
        <w:rPr>
          <w:sz w:val="20"/>
          <w:szCs w:val="20"/>
          <w:color w:val="auto"/>
        </w:rPr>
      </w:pPr>
    </w:p>
    <w:tbl>
      <w:tblPr>
        <w:tblLayout w:type="fixed"/>
        <w:tblInd w:w="1620" w:type="dxa"/>
        <w:tblCellMar>
          <w:top w:w="0" w:type="dxa"/>
          <w:left w:w="0" w:type="dxa"/>
          <w:bottom w:w="0" w:type="dxa"/>
          <w:right w:w="0" w:type="dxa"/>
        </w:tblCellMar>
      </w:tblPr>
      <w:tr>
        <w:trPr>
          <w:trHeight w:val="184"/>
        </w:trPr>
        <w:tc>
          <w:tcPr>
            <w:tcW w:w="2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270"/>
              <w:spacing w:after="0"/>
              <w:rPr>
                <w:sz w:val="20"/>
                <w:szCs w:val="20"/>
                <w:color w:val="auto"/>
              </w:rPr>
            </w:pPr>
            <w:r>
              <w:rPr>
                <w:rFonts w:ascii="Arial" w:cs="Arial" w:eastAsia="Arial" w:hAnsi="Arial"/>
                <w:sz w:val="16"/>
                <w:szCs w:val="16"/>
                <w:color w:val="1E1E1E"/>
                <w:w w:val="92"/>
              </w:rPr>
              <w:t>February 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6"/>
                <w:szCs w:val="16"/>
                <w:color w:val="1E1E1E"/>
                <w:w w:val="88"/>
              </w:rPr>
              <w:t>January 28,</w:t>
            </w:r>
          </w:p>
        </w:tc>
      </w:tr>
      <w:tr>
        <w:trPr>
          <w:trHeight w:val="202"/>
        </w:trPr>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1E1E1E"/>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940" w:type="dxa"/>
            <w:vAlign w:val="bottom"/>
            <w:tcBorders>
              <w:bottom w:val="single" w:sz="8" w:color="1E1E1E"/>
            </w:tcBorders>
          </w:tcPr>
          <w:p>
            <w:pPr>
              <w:jc w:val="right"/>
              <w:ind w:right="263"/>
              <w:spacing w:after="0"/>
              <w:rPr>
                <w:sz w:val="20"/>
                <w:szCs w:val="20"/>
                <w:color w:val="auto"/>
              </w:rPr>
            </w:pPr>
            <w:r>
              <w:rPr>
                <w:rFonts w:ascii="Arial" w:cs="Arial" w:eastAsia="Arial" w:hAnsi="Arial"/>
                <w:sz w:val="16"/>
                <w:szCs w:val="16"/>
                <w:color w:val="1E1E1E"/>
              </w:rPr>
              <w:t>2024</w:t>
            </w:r>
          </w:p>
        </w:tc>
        <w:tc>
          <w:tcPr>
            <w:tcW w:w="20" w:type="dxa"/>
            <w:vAlign w:val="bottom"/>
            <w:tcBorders>
              <w:bottom w:val="single" w:sz="8" w:color="1E1E1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1E1E1E"/>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940" w:type="dxa"/>
            <w:vAlign w:val="bottom"/>
            <w:tcBorders>
              <w:bottom w:val="single" w:sz="8" w:color="1E1E1E"/>
            </w:tcBorders>
          </w:tcPr>
          <w:p>
            <w:pPr>
              <w:jc w:val="right"/>
              <w:ind w:right="283"/>
              <w:spacing w:after="0"/>
              <w:rPr>
                <w:sz w:val="20"/>
                <w:szCs w:val="20"/>
                <w:color w:val="auto"/>
              </w:rPr>
            </w:pPr>
            <w:r>
              <w:rPr>
                <w:rFonts w:ascii="Arial" w:cs="Arial" w:eastAsia="Arial" w:hAnsi="Arial"/>
                <w:sz w:val="16"/>
                <w:szCs w:val="16"/>
                <w:color w:val="1E1E1E"/>
              </w:rPr>
              <w:t>2023</w:t>
            </w:r>
          </w:p>
        </w:tc>
        <w:tc>
          <w:tcPr>
            <w:tcW w:w="20" w:type="dxa"/>
            <w:vAlign w:val="bottom"/>
            <w:tcBorders>
              <w:bottom w:val="single" w:sz="8" w:color="1E1E1E"/>
            </w:tcBorders>
          </w:tcPr>
          <w:p>
            <w:pPr>
              <w:spacing w:after="0"/>
              <w:rPr>
                <w:sz w:val="17"/>
                <w:szCs w:val="17"/>
                <w:color w:val="auto"/>
              </w:rPr>
            </w:pPr>
          </w:p>
        </w:tc>
        <w:tc>
          <w:tcPr>
            <w:tcW w:w="60" w:type="dxa"/>
            <w:vAlign w:val="bottom"/>
          </w:tcPr>
          <w:p>
            <w:pPr>
              <w:spacing w:after="0"/>
              <w:rPr>
                <w:sz w:val="17"/>
                <w:szCs w:val="17"/>
                <w:color w:val="auto"/>
              </w:rPr>
            </w:pPr>
          </w:p>
        </w:tc>
      </w:tr>
      <w:tr>
        <w:trPr>
          <w:trHeight w:val="173"/>
        </w:trPr>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00"/>
              <w:spacing w:after="0" w:line="173" w:lineRule="exact"/>
              <w:rPr>
                <w:sz w:val="20"/>
                <w:szCs w:val="20"/>
                <w:color w:val="auto"/>
              </w:rPr>
            </w:pPr>
            <w:r>
              <w:rPr>
                <w:rFonts w:ascii="Arial" w:cs="Arial" w:eastAsia="Arial" w:hAnsi="Arial"/>
                <w:sz w:val="16"/>
                <w:szCs w:val="16"/>
                <w:color w:val="1E1E1E"/>
              </w:rPr>
              <w:t>in</w:t>
            </w:r>
          </w:p>
        </w:tc>
        <w:tc>
          <w:tcPr>
            <w:tcW w:w="1260" w:type="dxa"/>
            <w:vAlign w:val="bottom"/>
            <w:gridSpan w:val="5"/>
          </w:tcPr>
          <w:p>
            <w:pPr>
              <w:jc w:val="center"/>
              <w:ind w:right="780"/>
              <w:spacing w:after="0"/>
              <w:rPr>
                <w:sz w:val="20"/>
                <w:szCs w:val="20"/>
                <w:color w:val="auto"/>
              </w:rPr>
            </w:pPr>
            <w:r>
              <w:rPr>
                <w:rFonts w:ascii="Arial" w:cs="Arial" w:eastAsia="Arial" w:hAnsi="Arial"/>
                <w:sz w:val="14"/>
                <w:szCs w:val="14"/>
                <w:color w:val="1E1E1E"/>
                <w:w w:val="74"/>
              </w:rPr>
              <w:t>thousands</w:t>
            </w:r>
          </w:p>
        </w:tc>
        <w:tc>
          <w:tcPr>
            <w:tcW w:w="60" w:type="dxa"/>
            <w:vAlign w:val="bottom"/>
          </w:tcPr>
          <w:p>
            <w:pPr>
              <w:spacing w:after="0"/>
              <w:rPr>
                <w:sz w:val="15"/>
                <w:szCs w:val="15"/>
                <w:color w:val="auto"/>
              </w:rPr>
            </w:pPr>
          </w:p>
        </w:tc>
      </w:tr>
      <w:tr>
        <w:trPr>
          <w:trHeight w:val="210"/>
        </w:trPr>
        <w:tc>
          <w:tcPr>
            <w:tcW w:w="2340" w:type="dxa"/>
            <w:vAlign w:val="bottom"/>
            <w:tcBorders>
              <w:bottom w:val="single" w:sz="8" w:color="1E1E1E"/>
            </w:tcBorders>
            <w:gridSpan w:val="2"/>
            <w:shd w:val="clear" w:color="auto" w:fill="E4E4E4"/>
          </w:tcPr>
          <w:p>
            <w:pPr>
              <w:spacing w:after="0" w:line="210" w:lineRule="exact"/>
              <w:rPr>
                <w:sz w:val="20"/>
                <w:szCs w:val="20"/>
                <w:color w:val="auto"/>
              </w:rPr>
            </w:pPr>
            <w:r>
              <w:rPr>
                <w:rFonts w:ascii="Arial" w:cs="Arial" w:eastAsia="Arial" w:hAnsi="Arial"/>
                <w:sz w:val="20"/>
                <w:szCs w:val="20"/>
                <w:color w:val="1E1E1E"/>
                <w:w w:val="91"/>
              </w:rPr>
              <w:t>Change in benefit obligation:</w:t>
            </w:r>
          </w:p>
        </w:tc>
        <w:tc>
          <w:tcPr>
            <w:tcW w:w="2720" w:type="dxa"/>
            <w:vAlign w:val="bottom"/>
            <w:tcBorders>
              <w:bottom w:val="single" w:sz="8" w:color="E4E4E4"/>
            </w:tcBorders>
            <w:gridSpan w:val="3"/>
            <w:shd w:val="clear" w:color="auto" w:fill="E4E4E4"/>
          </w:tcPr>
          <w:p>
            <w:pPr>
              <w:spacing w:after="0"/>
              <w:rPr>
                <w:sz w:val="18"/>
                <w:szCs w:val="18"/>
                <w:color w:val="auto"/>
              </w:rPr>
            </w:pPr>
          </w:p>
        </w:tc>
        <w:tc>
          <w:tcPr>
            <w:tcW w:w="100" w:type="dxa"/>
            <w:vAlign w:val="bottom"/>
            <w:tcBorders>
              <w:bottom w:val="single" w:sz="8" w:color="E4E4E4"/>
            </w:tcBorders>
            <w:shd w:val="clear" w:color="auto" w:fill="E4E4E4"/>
          </w:tcPr>
          <w:p>
            <w:pPr>
              <w:spacing w:after="0"/>
              <w:rPr>
                <w:sz w:val="18"/>
                <w:szCs w:val="18"/>
                <w:color w:val="auto"/>
              </w:rPr>
            </w:pPr>
          </w:p>
        </w:tc>
        <w:tc>
          <w:tcPr>
            <w:tcW w:w="20" w:type="dxa"/>
            <w:vAlign w:val="bottom"/>
            <w:tcBorders>
              <w:bottom w:val="single" w:sz="8" w:color="E4E4E4"/>
            </w:tcBorders>
            <w:shd w:val="clear" w:color="auto" w:fill="E4E4E4"/>
          </w:tcPr>
          <w:p>
            <w:pPr>
              <w:spacing w:after="0"/>
              <w:rPr>
                <w:sz w:val="18"/>
                <w:szCs w:val="18"/>
                <w:color w:val="auto"/>
              </w:rPr>
            </w:pPr>
          </w:p>
        </w:tc>
        <w:tc>
          <w:tcPr>
            <w:tcW w:w="100" w:type="dxa"/>
            <w:vAlign w:val="bottom"/>
            <w:tcBorders>
              <w:bottom w:val="single" w:sz="8" w:color="E4E4E4"/>
            </w:tcBorders>
            <w:shd w:val="clear" w:color="auto" w:fill="E4E4E4"/>
          </w:tcPr>
          <w:p>
            <w:pPr>
              <w:spacing w:after="0"/>
              <w:rPr>
                <w:sz w:val="18"/>
                <w:szCs w:val="18"/>
                <w:color w:val="auto"/>
              </w:rPr>
            </w:pPr>
          </w:p>
        </w:tc>
        <w:tc>
          <w:tcPr>
            <w:tcW w:w="940" w:type="dxa"/>
            <w:vAlign w:val="bottom"/>
            <w:tcBorders>
              <w:bottom w:val="single" w:sz="8" w:color="E4E4E4"/>
            </w:tcBorders>
            <w:shd w:val="clear" w:color="auto" w:fill="E4E4E4"/>
          </w:tcPr>
          <w:p>
            <w:pPr>
              <w:spacing w:after="0"/>
              <w:rPr>
                <w:sz w:val="18"/>
                <w:szCs w:val="18"/>
                <w:color w:val="auto"/>
              </w:rPr>
            </w:pPr>
          </w:p>
        </w:tc>
        <w:tc>
          <w:tcPr>
            <w:tcW w:w="20" w:type="dxa"/>
            <w:vAlign w:val="bottom"/>
            <w:tcBorders>
              <w:bottom w:val="single" w:sz="8" w:color="E4E4E4"/>
            </w:tcBorders>
            <w:shd w:val="clear" w:color="auto" w:fill="E4E4E4"/>
          </w:tcPr>
          <w:p>
            <w:pPr>
              <w:spacing w:after="0"/>
              <w:rPr>
                <w:sz w:val="18"/>
                <w:szCs w:val="18"/>
                <w:color w:val="auto"/>
              </w:rPr>
            </w:pPr>
          </w:p>
        </w:tc>
        <w:tc>
          <w:tcPr>
            <w:tcW w:w="160" w:type="dxa"/>
            <w:vAlign w:val="bottom"/>
            <w:tcBorders>
              <w:bottom w:val="single" w:sz="8" w:color="E4E4E4"/>
            </w:tcBorders>
            <w:shd w:val="clear" w:color="auto" w:fill="E4E4E4"/>
          </w:tcPr>
          <w:p>
            <w:pPr>
              <w:spacing w:after="0"/>
              <w:rPr>
                <w:sz w:val="18"/>
                <w:szCs w:val="18"/>
                <w:color w:val="auto"/>
              </w:rPr>
            </w:pPr>
          </w:p>
        </w:tc>
        <w:tc>
          <w:tcPr>
            <w:tcW w:w="20" w:type="dxa"/>
            <w:vAlign w:val="bottom"/>
            <w:tcBorders>
              <w:bottom w:val="single" w:sz="8" w:color="E4E4E4"/>
            </w:tcBorders>
            <w:shd w:val="clear" w:color="auto" w:fill="E4E4E4"/>
          </w:tcPr>
          <w:p>
            <w:pPr>
              <w:spacing w:after="0"/>
              <w:rPr>
                <w:sz w:val="18"/>
                <w:szCs w:val="18"/>
                <w:color w:val="auto"/>
              </w:rPr>
            </w:pPr>
          </w:p>
        </w:tc>
        <w:tc>
          <w:tcPr>
            <w:tcW w:w="120" w:type="dxa"/>
            <w:vAlign w:val="bottom"/>
            <w:tcBorders>
              <w:bottom w:val="single" w:sz="8" w:color="E4E4E4"/>
            </w:tcBorders>
            <w:shd w:val="clear" w:color="auto" w:fill="E4E4E4"/>
          </w:tcPr>
          <w:p>
            <w:pPr>
              <w:spacing w:after="0"/>
              <w:rPr>
                <w:sz w:val="18"/>
                <w:szCs w:val="18"/>
                <w:color w:val="auto"/>
              </w:rPr>
            </w:pPr>
          </w:p>
        </w:tc>
        <w:tc>
          <w:tcPr>
            <w:tcW w:w="940" w:type="dxa"/>
            <w:vAlign w:val="bottom"/>
            <w:tcBorders>
              <w:bottom w:val="single" w:sz="8" w:color="E4E4E4"/>
            </w:tcBorders>
            <w:shd w:val="clear" w:color="auto" w:fill="E4E4E4"/>
          </w:tcPr>
          <w:p>
            <w:pPr>
              <w:spacing w:after="0"/>
              <w:rPr>
                <w:sz w:val="18"/>
                <w:szCs w:val="18"/>
                <w:color w:val="auto"/>
              </w:rPr>
            </w:pPr>
          </w:p>
        </w:tc>
        <w:tc>
          <w:tcPr>
            <w:tcW w:w="20" w:type="dxa"/>
            <w:vAlign w:val="bottom"/>
            <w:tcBorders>
              <w:bottom w:val="single" w:sz="8" w:color="E4E4E4"/>
            </w:tcBorders>
            <w:shd w:val="clear" w:color="auto" w:fill="E4E4E4"/>
          </w:tcPr>
          <w:p>
            <w:pPr>
              <w:spacing w:after="0"/>
              <w:rPr>
                <w:sz w:val="18"/>
                <w:szCs w:val="18"/>
                <w:color w:val="auto"/>
              </w:rPr>
            </w:pPr>
          </w:p>
        </w:tc>
        <w:tc>
          <w:tcPr>
            <w:tcW w:w="60" w:type="dxa"/>
            <w:vAlign w:val="bottom"/>
            <w:tcBorders>
              <w:bottom w:val="single" w:sz="8" w:color="E4E4E4"/>
            </w:tcBorders>
            <w:shd w:val="clear" w:color="auto" w:fill="E4E4E4"/>
          </w:tcPr>
          <w:p>
            <w:pPr>
              <w:spacing w:after="0"/>
              <w:rPr>
                <w:sz w:val="18"/>
                <w:szCs w:val="18"/>
                <w:color w:val="auto"/>
              </w:rPr>
            </w:pPr>
          </w:p>
        </w:tc>
      </w:tr>
      <w:tr>
        <w:trPr>
          <w:trHeight w:val="230"/>
        </w:trPr>
        <w:tc>
          <w:tcPr>
            <w:tcW w:w="5060" w:type="dxa"/>
            <w:vAlign w:val="bottom"/>
            <w:gridSpan w:val="5"/>
          </w:tcPr>
          <w:p>
            <w:pPr>
              <w:spacing w:after="0"/>
              <w:rPr>
                <w:sz w:val="20"/>
                <w:szCs w:val="20"/>
                <w:color w:val="auto"/>
              </w:rPr>
            </w:pPr>
            <w:r>
              <w:rPr>
                <w:rFonts w:ascii="Arial" w:cs="Arial" w:eastAsia="Arial" w:hAnsi="Arial"/>
                <w:sz w:val="20"/>
                <w:szCs w:val="20"/>
                <w:color w:val="1E1E1E"/>
              </w:rPr>
              <w:t>Balance at beginning of period</w:t>
            </w:r>
          </w:p>
        </w:tc>
        <w:tc>
          <w:tcPr>
            <w:tcW w:w="220" w:type="dxa"/>
            <w:vAlign w:val="bottom"/>
            <w:gridSpan w:val="3"/>
          </w:tcPr>
          <w:p>
            <w:pPr>
              <w:jc w:val="right"/>
              <w:spacing w:after="0"/>
              <w:rPr>
                <w:sz w:val="20"/>
                <w:szCs w:val="20"/>
                <w:color w:val="auto"/>
              </w:rPr>
            </w:pPr>
            <w:r>
              <w:rPr>
                <w:rFonts w:ascii="Arial" w:cs="Arial" w:eastAsia="Arial" w:hAnsi="Arial"/>
                <w:sz w:val="20"/>
                <w:szCs w:val="20"/>
                <w:color w:val="1E1E1E"/>
              </w:rPr>
              <w:t>$</w:t>
            </w:r>
          </w:p>
        </w:tc>
        <w:tc>
          <w:tcPr>
            <w:tcW w:w="1120" w:type="dxa"/>
            <w:vAlign w:val="bottom"/>
            <w:gridSpan w:val="3"/>
          </w:tcPr>
          <w:p>
            <w:pPr>
              <w:jc w:val="right"/>
              <w:ind w:right="90"/>
              <w:spacing w:after="0"/>
              <w:rPr>
                <w:sz w:val="20"/>
                <w:szCs w:val="20"/>
                <w:color w:val="auto"/>
              </w:rPr>
            </w:pPr>
            <w:r>
              <w:rPr>
                <w:rFonts w:ascii="Arial" w:cs="Arial" w:eastAsia="Arial" w:hAnsi="Arial"/>
                <w:sz w:val="20"/>
                <w:szCs w:val="20"/>
                <w:color w:val="1E1E1E"/>
              </w:rPr>
              <w:t>11,454</w:t>
            </w:r>
          </w:p>
        </w:tc>
        <w:tc>
          <w:tcPr>
            <w:tcW w:w="140" w:type="dxa"/>
            <w:vAlign w:val="bottom"/>
            <w:gridSpan w:val="2"/>
          </w:tcPr>
          <w:p>
            <w:pPr>
              <w:jc w:val="center"/>
              <w:spacing w:after="0"/>
              <w:rPr>
                <w:sz w:val="20"/>
                <w:szCs w:val="20"/>
                <w:color w:val="auto"/>
              </w:rPr>
            </w:pPr>
            <w:r>
              <w:rPr>
                <w:rFonts w:ascii="Arial" w:cs="Arial" w:eastAsia="Arial" w:hAnsi="Arial"/>
                <w:sz w:val="20"/>
                <w:szCs w:val="20"/>
                <w:color w:val="1E1E1E"/>
                <w:w w:val="89"/>
              </w:rPr>
              <w:t>$</w:t>
            </w:r>
          </w:p>
        </w:tc>
        <w:tc>
          <w:tcPr>
            <w:tcW w:w="1020" w:type="dxa"/>
            <w:vAlign w:val="bottom"/>
            <w:gridSpan w:val="3"/>
          </w:tcPr>
          <w:p>
            <w:pPr>
              <w:jc w:val="right"/>
              <w:ind w:right="80"/>
              <w:spacing w:after="0"/>
              <w:rPr>
                <w:sz w:val="20"/>
                <w:szCs w:val="20"/>
                <w:color w:val="auto"/>
              </w:rPr>
            </w:pPr>
            <w:r>
              <w:rPr>
                <w:rFonts w:ascii="Arial" w:cs="Arial" w:eastAsia="Arial" w:hAnsi="Arial"/>
                <w:sz w:val="20"/>
                <w:szCs w:val="20"/>
                <w:color w:val="1E1E1E"/>
              </w:rPr>
              <w:t>14,361</w:t>
            </w:r>
          </w:p>
        </w:tc>
      </w:tr>
      <w:tr>
        <w:trPr>
          <w:trHeight w:val="230"/>
        </w:trPr>
        <w:tc>
          <w:tcPr>
            <w:tcW w:w="5060" w:type="dxa"/>
            <w:vAlign w:val="bottom"/>
            <w:gridSpan w:val="5"/>
            <w:shd w:val="clear" w:color="auto" w:fill="E4E4E4"/>
          </w:tcPr>
          <w:p>
            <w:pPr>
              <w:spacing w:after="0"/>
              <w:rPr>
                <w:sz w:val="20"/>
                <w:szCs w:val="20"/>
                <w:color w:val="auto"/>
              </w:rPr>
            </w:pPr>
            <w:r>
              <w:rPr>
                <w:rFonts w:ascii="Arial" w:cs="Arial" w:eastAsia="Arial" w:hAnsi="Arial"/>
                <w:sz w:val="20"/>
                <w:szCs w:val="20"/>
                <w:color w:val="1E1E1E"/>
              </w:rPr>
              <w:t>Benefits and expenses paid</w:t>
            </w:r>
          </w:p>
        </w:tc>
        <w:tc>
          <w:tcPr>
            <w:tcW w:w="1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20" w:type="dxa"/>
            <w:vAlign w:val="bottom"/>
            <w:gridSpan w:val="3"/>
            <w:shd w:val="clear" w:color="auto" w:fill="E4E4E4"/>
          </w:tcPr>
          <w:p>
            <w:pPr>
              <w:jc w:val="right"/>
              <w:ind w:right="30"/>
              <w:spacing w:after="0"/>
              <w:rPr>
                <w:sz w:val="20"/>
                <w:szCs w:val="20"/>
                <w:color w:val="auto"/>
              </w:rPr>
            </w:pPr>
            <w:r>
              <w:rPr>
                <w:rFonts w:ascii="Arial" w:cs="Arial" w:eastAsia="Arial" w:hAnsi="Arial"/>
                <w:sz w:val="20"/>
                <w:szCs w:val="20"/>
                <w:color w:val="1E1E1E"/>
              </w:rPr>
              <w:t>(347)</w:t>
            </w: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020" w:type="dxa"/>
            <w:vAlign w:val="bottom"/>
            <w:gridSpan w:val="3"/>
            <w:shd w:val="clear" w:color="auto" w:fill="E4E4E4"/>
          </w:tcPr>
          <w:p>
            <w:pPr>
              <w:jc w:val="right"/>
              <w:ind w:right="20"/>
              <w:spacing w:after="0"/>
              <w:rPr>
                <w:sz w:val="20"/>
                <w:szCs w:val="20"/>
                <w:color w:val="auto"/>
              </w:rPr>
            </w:pPr>
            <w:r>
              <w:rPr>
                <w:rFonts w:ascii="Arial" w:cs="Arial" w:eastAsia="Arial" w:hAnsi="Arial"/>
                <w:sz w:val="20"/>
                <w:szCs w:val="20"/>
                <w:color w:val="1E1E1E"/>
              </w:rPr>
              <w:t>(818)</w:t>
            </w:r>
          </w:p>
        </w:tc>
      </w:tr>
      <w:tr>
        <w:trPr>
          <w:trHeight w:val="228"/>
        </w:trPr>
        <w:tc>
          <w:tcPr>
            <w:tcW w:w="5060" w:type="dxa"/>
            <w:vAlign w:val="bottom"/>
            <w:gridSpan w:val="5"/>
          </w:tcPr>
          <w:p>
            <w:pPr>
              <w:spacing w:after="0" w:line="228" w:lineRule="exact"/>
              <w:rPr>
                <w:sz w:val="20"/>
                <w:szCs w:val="20"/>
                <w:color w:val="auto"/>
              </w:rPr>
            </w:pPr>
            <w:r>
              <w:rPr>
                <w:rFonts w:ascii="Arial" w:cs="Arial" w:eastAsia="Arial" w:hAnsi="Arial"/>
                <w:sz w:val="20"/>
                <w:szCs w:val="20"/>
                <w:color w:val="1E1E1E"/>
              </w:rPr>
              <w:t>Interest costs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
              <w:spacing w:after="0" w:line="228" w:lineRule="exact"/>
              <w:rPr>
                <w:sz w:val="20"/>
                <w:szCs w:val="20"/>
                <w:color w:val="auto"/>
              </w:rPr>
            </w:pPr>
            <w:r>
              <w:rPr>
                <w:rFonts w:ascii="Arial" w:cs="Arial" w:eastAsia="Arial" w:hAnsi="Arial"/>
                <w:sz w:val="20"/>
                <w:szCs w:val="20"/>
                <w:color w:val="1E1E1E"/>
              </w:rPr>
              <w:t>294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
              <w:spacing w:after="0" w:line="228" w:lineRule="exact"/>
              <w:rPr>
                <w:sz w:val="20"/>
                <w:szCs w:val="20"/>
                <w:color w:val="auto"/>
              </w:rPr>
            </w:pPr>
            <w:r>
              <w:rPr>
                <w:rFonts w:ascii="Arial" w:cs="Arial" w:eastAsia="Arial" w:hAnsi="Arial"/>
                <w:sz w:val="20"/>
                <w:szCs w:val="20"/>
                <w:color w:val="1E1E1E"/>
              </w:rPr>
              <w:t>414</w:t>
            </w:r>
          </w:p>
        </w:tc>
        <w:tc>
          <w:tcPr>
            <w:tcW w:w="60" w:type="dxa"/>
            <w:vAlign w:val="bottom"/>
          </w:tcPr>
          <w:p>
            <w:pPr>
              <w:spacing w:after="0"/>
              <w:rPr>
                <w:sz w:val="19"/>
                <w:szCs w:val="19"/>
                <w:color w:val="auto"/>
              </w:rPr>
            </w:pPr>
          </w:p>
        </w:tc>
      </w:tr>
      <w:tr>
        <w:trPr>
          <w:trHeight w:val="230"/>
        </w:trPr>
        <w:tc>
          <w:tcPr>
            <w:tcW w:w="5060" w:type="dxa"/>
            <w:vAlign w:val="bottom"/>
            <w:gridSpan w:val="5"/>
            <w:shd w:val="clear" w:color="auto" w:fill="E4E4E4"/>
          </w:tcPr>
          <w:p>
            <w:pPr>
              <w:spacing w:after="0"/>
              <w:rPr>
                <w:sz w:val="20"/>
                <w:szCs w:val="20"/>
                <w:color w:val="auto"/>
              </w:rPr>
            </w:pPr>
            <w:r>
              <w:rPr>
                <w:rFonts w:ascii="Arial" w:cs="Arial" w:eastAsia="Arial" w:hAnsi="Arial"/>
                <w:sz w:val="20"/>
                <w:szCs w:val="20"/>
                <w:color w:val="1E1E1E"/>
              </w:rPr>
              <w:t>Settlements</w:t>
            </w:r>
          </w:p>
        </w:tc>
        <w:tc>
          <w:tcPr>
            <w:tcW w:w="1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20" w:type="dxa"/>
            <w:vAlign w:val="bottom"/>
            <w:gridSpan w:val="3"/>
            <w:shd w:val="clear" w:color="auto" w:fill="E4E4E4"/>
          </w:tcPr>
          <w:p>
            <w:pPr>
              <w:jc w:val="right"/>
              <w:ind w:right="30"/>
              <w:spacing w:after="0"/>
              <w:rPr>
                <w:sz w:val="20"/>
                <w:szCs w:val="20"/>
                <w:color w:val="auto"/>
              </w:rPr>
            </w:pPr>
            <w:r>
              <w:rPr>
                <w:rFonts w:ascii="Arial" w:cs="Arial" w:eastAsia="Arial" w:hAnsi="Arial"/>
                <w:sz w:val="20"/>
                <w:szCs w:val="20"/>
                <w:color w:val="1E1E1E"/>
              </w:rPr>
              <w:t>(10,877)</w:t>
            </w: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020" w:type="dxa"/>
            <w:vAlign w:val="bottom"/>
            <w:gridSpan w:val="3"/>
            <w:shd w:val="clear" w:color="auto" w:fill="E4E4E4"/>
          </w:tcPr>
          <w:p>
            <w:pPr>
              <w:jc w:val="right"/>
              <w:ind w:right="20"/>
              <w:spacing w:after="0"/>
              <w:rPr>
                <w:sz w:val="20"/>
                <w:szCs w:val="20"/>
                <w:color w:val="auto"/>
              </w:rPr>
            </w:pPr>
            <w:r>
              <w:rPr>
                <w:rFonts w:ascii="Arial" w:cs="Arial" w:eastAsia="Arial" w:hAnsi="Arial"/>
                <w:sz w:val="20"/>
                <w:szCs w:val="20"/>
                <w:color w:val="1E1E1E"/>
              </w:rPr>
              <w:t>(358)</w:t>
            </w:r>
          </w:p>
        </w:tc>
      </w:tr>
      <w:tr>
        <w:trPr>
          <w:trHeight w:val="230"/>
        </w:trPr>
        <w:tc>
          <w:tcPr>
            <w:tcW w:w="5060" w:type="dxa"/>
            <w:vAlign w:val="bottom"/>
            <w:gridSpan w:val="5"/>
          </w:tcPr>
          <w:p>
            <w:pPr>
              <w:spacing w:after="0"/>
              <w:rPr>
                <w:sz w:val="20"/>
                <w:szCs w:val="20"/>
                <w:color w:val="auto"/>
              </w:rPr>
            </w:pPr>
            <w:r>
              <w:rPr>
                <w:rFonts w:ascii="Arial" w:cs="Arial" w:eastAsia="Arial" w:hAnsi="Arial"/>
                <w:sz w:val="20"/>
                <w:szCs w:val="20"/>
                <w:color w:val="1E1E1E"/>
              </w:rPr>
              <w:t>Actuarial (gain) loss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20"/>
                <w:szCs w:val="20"/>
                <w:color w:val="1E1E1E"/>
              </w:rPr>
              <w:t>(524)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20"/>
                <w:szCs w:val="20"/>
                <w:color w:val="1E1E1E"/>
              </w:rPr>
              <w:t>(2,145)</w:t>
            </w:r>
          </w:p>
        </w:tc>
      </w:tr>
      <w:tr>
        <w:trPr>
          <w:trHeight w:val="222"/>
        </w:trPr>
        <w:tc>
          <w:tcPr>
            <w:tcW w:w="5060" w:type="dxa"/>
            <w:vAlign w:val="bottom"/>
            <w:tcBorders>
              <w:top w:val="single" w:sz="8" w:color="E4E4E4"/>
            </w:tcBorders>
            <w:gridSpan w:val="5"/>
            <w:shd w:val="clear" w:color="auto" w:fill="E4E4E4"/>
          </w:tcPr>
          <w:p>
            <w:pPr>
              <w:spacing w:after="0" w:line="220" w:lineRule="exact"/>
              <w:rPr>
                <w:sz w:val="20"/>
                <w:szCs w:val="20"/>
                <w:color w:val="auto"/>
              </w:rPr>
            </w:pPr>
            <w:r>
              <w:rPr>
                <w:rFonts w:ascii="Arial" w:cs="Arial" w:eastAsia="Arial" w:hAnsi="Arial"/>
                <w:sz w:val="20"/>
                <w:szCs w:val="20"/>
                <w:color w:val="1E1E1E"/>
              </w:rPr>
              <w:t>Balance at end of year</w:t>
            </w:r>
          </w:p>
        </w:tc>
        <w:tc>
          <w:tcPr>
            <w:tcW w:w="10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1E1E1E"/>
            </w:tcBorders>
            <w:shd w:val="clear" w:color="auto" w:fill="E4E4E4"/>
          </w:tcPr>
          <w:p>
            <w:pPr>
              <w:spacing w:after="0"/>
              <w:rPr>
                <w:sz w:val="19"/>
                <w:szCs w:val="19"/>
                <w:color w:val="auto"/>
              </w:rPr>
            </w:pPr>
          </w:p>
        </w:tc>
        <w:tc>
          <w:tcPr>
            <w:tcW w:w="100" w:type="dxa"/>
            <w:vAlign w:val="bottom"/>
            <w:tcBorders>
              <w:top w:val="single" w:sz="8" w:color="1E1E1E"/>
            </w:tcBorders>
            <w:shd w:val="clear" w:color="auto" w:fill="E4E4E4"/>
          </w:tcPr>
          <w:p>
            <w:pPr>
              <w:jc w:val="right"/>
              <w:spacing w:after="0"/>
              <w:rPr>
                <w:sz w:val="20"/>
                <w:szCs w:val="20"/>
                <w:color w:val="auto"/>
              </w:rPr>
            </w:pPr>
            <w:r>
              <w:rPr>
                <w:rFonts w:ascii="Arial" w:cs="Arial" w:eastAsia="Arial" w:hAnsi="Arial"/>
                <w:sz w:val="15"/>
                <w:szCs w:val="15"/>
                <w:color w:val="1E1E1E"/>
                <w:w w:val="71"/>
              </w:rPr>
              <w:t>$</w:t>
            </w:r>
          </w:p>
        </w:tc>
        <w:tc>
          <w:tcPr>
            <w:tcW w:w="940" w:type="dxa"/>
            <w:vAlign w:val="bottom"/>
            <w:tcBorders>
              <w:top w:val="single" w:sz="8" w:color="1E1E1E"/>
            </w:tcBorders>
            <w:shd w:val="clear" w:color="auto" w:fill="E4E4E4"/>
          </w:tcPr>
          <w:p>
            <w:pPr>
              <w:jc w:val="right"/>
              <w:spacing w:after="0" w:line="223" w:lineRule="exact"/>
              <w:rPr>
                <w:sz w:val="20"/>
                <w:szCs w:val="20"/>
                <w:color w:val="auto"/>
              </w:rPr>
            </w:pPr>
            <w:r>
              <w:rPr>
                <w:rFonts w:ascii="Arial" w:cs="Arial" w:eastAsia="Arial" w:hAnsi="Arial"/>
                <w:sz w:val="20"/>
                <w:szCs w:val="20"/>
                <w:color w:val="1E1E1E"/>
              </w:rPr>
              <w:t>—</w:t>
            </w:r>
          </w:p>
        </w:tc>
        <w:tc>
          <w:tcPr>
            <w:tcW w:w="20" w:type="dxa"/>
            <w:vAlign w:val="bottom"/>
            <w:tcBorders>
              <w:top w:val="single" w:sz="8" w:color="1E1E1E"/>
            </w:tcBorders>
            <w:shd w:val="clear" w:color="auto" w:fill="E4E4E4"/>
          </w:tcPr>
          <w:p>
            <w:pPr>
              <w:spacing w:after="0"/>
              <w:rPr>
                <w:sz w:val="19"/>
                <w:szCs w:val="19"/>
                <w:color w:val="auto"/>
              </w:rPr>
            </w:pPr>
          </w:p>
        </w:tc>
        <w:tc>
          <w:tcPr>
            <w:tcW w:w="16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1E1E1E"/>
            </w:tcBorders>
            <w:shd w:val="clear" w:color="auto" w:fill="E4E4E4"/>
          </w:tcPr>
          <w:p>
            <w:pPr>
              <w:spacing w:after="0"/>
              <w:rPr>
                <w:sz w:val="19"/>
                <w:szCs w:val="19"/>
                <w:color w:val="auto"/>
              </w:rPr>
            </w:pPr>
          </w:p>
        </w:tc>
        <w:tc>
          <w:tcPr>
            <w:tcW w:w="120" w:type="dxa"/>
            <w:vAlign w:val="bottom"/>
            <w:tcBorders>
              <w:top w:val="single" w:sz="8" w:color="1E1E1E"/>
            </w:tcBorders>
            <w:shd w:val="clear" w:color="auto" w:fill="E4E4E4"/>
          </w:tcPr>
          <w:p>
            <w:pPr>
              <w:jc w:val="center"/>
              <w:spacing w:after="0" w:line="223" w:lineRule="exact"/>
              <w:rPr>
                <w:sz w:val="20"/>
                <w:szCs w:val="20"/>
                <w:color w:val="auto"/>
              </w:rPr>
            </w:pPr>
            <w:r>
              <w:rPr>
                <w:rFonts w:ascii="Arial" w:cs="Arial" w:eastAsia="Arial" w:hAnsi="Arial"/>
                <w:sz w:val="20"/>
                <w:szCs w:val="20"/>
                <w:color w:val="1E1E1E"/>
                <w:w w:val="71"/>
              </w:rPr>
              <w:t>$</w:t>
            </w:r>
          </w:p>
        </w:tc>
        <w:tc>
          <w:tcPr>
            <w:tcW w:w="940" w:type="dxa"/>
            <w:vAlign w:val="bottom"/>
            <w:tcBorders>
              <w:top w:val="single" w:sz="8" w:color="1E1E1E"/>
            </w:tcBorders>
            <w:shd w:val="clear" w:color="auto" w:fill="E4E4E4"/>
          </w:tcPr>
          <w:p>
            <w:pPr>
              <w:jc w:val="right"/>
              <w:spacing w:after="0" w:line="223" w:lineRule="exact"/>
              <w:rPr>
                <w:sz w:val="20"/>
                <w:szCs w:val="20"/>
                <w:color w:val="auto"/>
              </w:rPr>
            </w:pPr>
            <w:r>
              <w:rPr>
                <w:rFonts w:ascii="Arial" w:cs="Arial" w:eastAsia="Arial" w:hAnsi="Arial"/>
                <w:sz w:val="20"/>
                <w:szCs w:val="20"/>
                <w:color w:val="1E1E1E"/>
              </w:rPr>
              <w:t>11,454</w:t>
            </w:r>
          </w:p>
        </w:tc>
        <w:tc>
          <w:tcPr>
            <w:tcW w:w="20" w:type="dxa"/>
            <w:vAlign w:val="bottom"/>
            <w:tcBorders>
              <w:top w:val="single" w:sz="8" w:color="1E1E1E"/>
            </w:tcBorders>
            <w:shd w:val="clear" w:color="auto" w:fill="E4E4E4"/>
          </w:tcPr>
          <w:p>
            <w:pPr>
              <w:spacing w:after="0"/>
              <w:rPr>
                <w:sz w:val="19"/>
                <w:szCs w:val="19"/>
                <w:color w:val="auto"/>
              </w:rPr>
            </w:pPr>
          </w:p>
        </w:tc>
        <w:tc>
          <w:tcPr>
            <w:tcW w:w="60" w:type="dxa"/>
            <w:vAlign w:val="bottom"/>
            <w:tcBorders>
              <w:top w:val="single" w:sz="8" w:color="E4E4E4"/>
            </w:tcBorders>
            <w:shd w:val="clear" w:color="auto" w:fill="E4E4E4"/>
          </w:tcPr>
          <w:p>
            <w:pPr>
              <w:spacing w:after="0"/>
              <w:rPr>
                <w:sz w:val="19"/>
                <w:szCs w:val="19"/>
                <w:color w:val="auto"/>
              </w:rPr>
            </w:pPr>
          </w:p>
        </w:tc>
      </w:tr>
      <w:tr>
        <w:trPr>
          <w:trHeight w:val="43"/>
        </w:trPr>
        <w:tc>
          <w:tcPr>
            <w:tcW w:w="226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30"/>
        </w:trPr>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8"/>
        </w:trPr>
        <w:tc>
          <w:tcPr>
            <w:tcW w:w="2820" w:type="dxa"/>
            <w:vAlign w:val="bottom"/>
            <w:tcBorders>
              <w:bottom w:val="single" w:sz="8" w:color="1E1E1E"/>
            </w:tcBorders>
            <w:gridSpan w:val="4"/>
            <w:shd w:val="clear" w:color="auto" w:fill="E4E4E4"/>
          </w:tcPr>
          <w:p>
            <w:pPr>
              <w:spacing w:after="0" w:line="207" w:lineRule="exact"/>
              <w:rPr>
                <w:sz w:val="20"/>
                <w:szCs w:val="20"/>
                <w:color w:val="auto"/>
              </w:rPr>
            </w:pPr>
            <w:r>
              <w:rPr>
                <w:rFonts w:ascii="Arial" w:cs="Arial" w:eastAsia="Arial" w:hAnsi="Arial"/>
                <w:sz w:val="20"/>
                <w:szCs w:val="20"/>
                <w:color w:val="1E1E1E"/>
                <w:w w:val="89"/>
              </w:rPr>
              <w:t>Change in fair value of plan assets:</w:t>
            </w:r>
          </w:p>
        </w:tc>
        <w:tc>
          <w:tcPr>
            <w:tcW w:w="2240" w:type="dxa"/>
            <w:vAlign w:val="bottom"/>
            <w:tcBorders>
              <w:bottom w:val="single" w:sz="8" w:color="E4E4E4"/>
            </w:tcBorders>
            <w:shd w:val="clear" w:color="auto" w:fill="E4E4E4"/>
          </w:tcPr>
          <w:p>
            <w:pPr>
              <w:spacing w:after="0"/>
              <w:rPr>
                <w:sz w:val="18"/>
                <w:szCs w:val="18"/>
                <w:color w:val="auto"/>
              </w:rPr>
            </w:pPr>
          </w:p>
        </w:tc>
        <w:tc>
          <w:tcPr>
            <w:tcW w:w="100" w:type="dxa"/>
            <w:vAlign w:val="bottom"/>
            <w:tcBorders>
              <w:bottom w:val="single" w:sz="8" w:color="E4E4E4"/>
            </w:tcBorders>
            <w:shd w:val="clear" w:color="auto" w:fill="E4E4E4"/>
          </w:tcPr>
          <w:p>
            <w:pPr>
              <w:spacing w:after="0"/>
              <w:rPr>
                <w:sz w:val="18"/>
                <w:szCs w:val="18"/>
                <w:color w:val="auto"/>
              </w:rPr>
            </w:pPr>
          </w:p>
        </w:tc>
        <w:tc>
          <w:tcPr>
            <w:tcW w:w="20" w:type="dxa"/>
            <w:vAlign w:val="bottom"/>
            <w:tcBorders>
              <w:bottom w:val="single" w:sz="8" w:color="E4E4E4"/>
            </w:tcBorders>
            <w:shd w:val="clear" w:color="auto" w:fill="E4E4E4"/>
          </w:tcPr>
          <w:p>
            <w:pPr>
              <w:spacing w:after="0"/>
              <w:rPr>
                <w:sz w:val="18"/>
                <w:szCs w:val="18"/>
                <w:color w:val="auto"/>
              </w:rPr>
            </w:pPr>
          </w:p>
        </w:tc>
        <w:tc>
          <w:tcPr>
            <w:tcW w:w="100" w:type="dxa"/>
            <w:vAlign w:val="bottom"/>
            <w:tcBorders>
              <w:bottom w:val="single" w:sz="8" w:color="E4E4E4"/>
            </w:tcBorders>
            <w:shd w:val="clear" w:color="auto" w:fill="E4E4E4"/>
          </w:tcPr>
          <w:p>
            <w:pPr>
              <w:spacing w:after="0"/>
              <w:rPr>
                <w:sz w:val="18"/>
                <w:szCs w:val="18"/>
                <w:color w:val="auto"/>
              </w:rPr>
            </w:pPr>
          </w:p>
        </w:tc>
        <w:tc>
          <w:tcPr>
            <w:tcW w:w="940" w:type="dxa"/>
            <w:vAlign w:val="bottom"/>
            <w:tcBorders>
              <w:bottom w:val="single" w:sz="8" w:color="E4E4E4"/>
            </w:tcBorders>
            <w:shd w:val="clear" w:color="auto" w:fill="E4E4E4"/>
          </w:tcPr>
          <w:p>
            <w:pPr>
              <w:spacing w:after="0"/>
              <w:rPr>
                <w:sz w:val="18"/>
                <w:szCs w:val="18"/>
                <w:color w:val="auto"/>
              </w:rPr>
            </w:pPr>
          </w:p>
        </w:tc>
        <w:tc>
          <w:tcPr>
            <w:tcW w:w="20" w:type="dxa"/>
            <w:vAlign w:val="bottom"/>
            <w:tcBorders>
              <w:bottom w:val="single" w:sz="8" w:color="E4E4E4"/>
            </w:tcBorders>
            <w:shd w:val="clear" w:color="auto" w:fill="E4E4E4"/>
          </w:tcPr>
          <w:p>
            <w:pPr>
              <w:spacing w:after="0"/>
              <w:rPr>
                <w:sz w:val="18"/>
                <w:szCs w:val="18"/>
                <w:color w:val="auto"/>
              </w:rPr>
            </w:pPr>
          </w:p>
        </w:tc>
        <w:tc>
          <w:tcPr>
            <w:tcW w:w="160" w:type="dxa"/>
            <w:vAlign w:val="bottom"/>
            <w:tcBorders>
              <w:bottom w:val="single" w:sz="8" w:color="E4E4E4"/>
            </w:tcBorders>
            <w:shd w:val="clear" w:color="auto" w:fill="E4E4E4"/>
          </w:tcPr>
          <w:p>
            <w:pPr>
              <w:spacing w:after="0"/>
              <w:rPr>
                <w:sz w:val="18"/>
                <w:szCs w:val="18"/>
                <w:color w:val="auto"/>
              </w:rPr>
            </w:pPr>
          </w:p>
        </w:tc>
        <w:tc>
          <w:tcPr>
            <w:tcW w:w="20" w:type="dxa"/>
            <w:vAlign w:val="bottom"/>
            <w:tcBorders>
              <w:bottom w:val="single" w:sz="8" w:color="E4E4E4"/>
            </w:tcBorders>
            <w:shd w:val="clear" w:color="auto" w:fill="E4E4E4"/>
          </w:tcPr>
          <w:p>
            <w:pPr>
              <w:spacing w:after="0"/>
              <w:rPr>
                <w:sz w:val="18"/>
                <w:szCs w:val="18"/>
                <w:color w:val="auto"/>
              </w:rPr>
            </w:pPr>
          </w:p>
        </w:tc>
        <w:tc>
          <w:tcPr>
            <w:tcW w:w="120" w:type="dxa"/>
            <w:vAlign w:val="bottom"/>
            <w:tcBorders>
              <w:bottom w:val="single" w:sz="8" w:color="E4E4E4"/>
            </w:tcBorders>
            <w:shd w:val="clear" w:color="auto" w:fill="E4E4E4"/>
          </w:tcPr>
          <w:p>
            <w:pPr>
              <w:spacing w:after="0"/>
              <w:rPr>
                <w:sz w:val="18"/>
                <w:szCs w:val="18"/>
                <w:color w:val="auto"/>
              </w:rPr>
            </w:pPr>
          </w:p>
        </w:tc>
        <w:tc>
          <w:tcPr>
            <w:tcW w:w="940" w:type="dxa"/>
            <w:vAlign w:val="bottom"/>
            <w:tcBorders>
              <w:bottom w:val="single" w:sz="8" w:color="E4E4E4"/>
            </w:tcBorders>
            <w:shd w:val="clear" w:color="auto" w:fill="E4E4E4"/>
          </w:tcPr>
          <w:p>
            <w:pPr>
              <w:spacing w:after="0"/>
              <w:rPr>
                <w:sz w:val="18"/>
                <w:szCs w:val="18"/>
                <w:color w:val="auto"/>
              </w:rPr>
            </w:pPr>
          </w:p>
        </w:tc>
        <w:tc>
          <w:tcPr>
            <w:tcW w:w="20" w:type="dxa"/>
            <w:vAlign w:val="bottom"/>
            <w:tcBorders>
              <w:bottom w:val="single" w:sz="8" w:color="E4E4E4"/>
            </w:tcBorders>
            <w:shd w:val="clear" w:color="auto" w:fill="E4E4E4"/>
          </w:tcPr>
          <w:p>
            <w:pPr>
              <w:spacing w:after="0"/>
              <w:rPr>
                <w:sz w:val="18"/>
                <w:szCs w:val="18"/>
                <w:color w:val="auto"/>
              </w:rPr>
            </w:pPr>
          </w:p>
        </w:tc>
        <w:tc>
          <w:tcPr>
            <w:tcW w:w="60" w:type="dxa"/>
            <w:vAlign w:val="bottom"/>
            <w:tcBorders>
              <w:bottom w:val="single" w:sz="8" w:color="E4E4E4"/>
            </w:tcBorders>
            <w:shd w:val="clear" w:color="auto" w:fill="E4E4E4"/>
          </w:tcPr>
          <w:p>
            <w:pPr>
              <w:spacing w:after="0"/>
              <w:rPr>
                <w:sz w:val="18"/>
                <w:szCs w:val="18"/>
                <w:color w:val="auto"/>
              </w:rPr>
            </w:pPr>
          </w:p>
        </w:tc>
      </w:tr>
      <w:tr>
        <w:trPr>
          <w:trHeight w:val="230"/>
        </w:trPr>
        <w:tc>
          <w:tcPr>
            <w:tcW w:w="5060" w:type="dxa"/>
            <w:vAlign w:val="bottom"/>
            <w:gridSpan w:val="5"/>
          </w:tcPr>
          <w:p>
            <w:pPr>
              <w:spacing w:after="0"/>
              <w:rPr>
                <w:sz w:val="20"/>
                <w:szCs w:val="20"/>
                <w:color w:val="auto"/>
              </w:rPr>
            </w:pPr>
            <w:r>
              <w:rPr>
                <w:rFonts w:ascii="Arial" w:cs="Arial" w:eastAsia="Arial" w:hAnsi="Arial"/>
                <w:sz w:val="20"/>
                <w:szCs w:val="20"/>
                <w:color w:val="1E1E1E"/>
              </w:rPr>
              <w:t>Balance at beginning of period</w:t>
            </w:r>
          </w:p>
        </w:tc>
        <w:tc>
          <w:tcPr>
            <w:tcW w:w="220" w:type="dxa"/>
            <w:vAlign w:val="bottom"/>
            <w:gridSpan w:val="3"/>
          </w:tcPr>
          <w:p>
            <w:pPr>
              <w:jc w:val="right"/>
              <w:spacing w:after="0"/>
              <w:rPr>
                <w:sz w:val="20"/>
                <w:szCs w:val="20"/>
                <w:color w:val="auto"/>
              </w:rPr>
            </w:pPr>
            <w:r>
              <w:rPr>
                <w:rFonts w:ascii="Arial" w:cs="Arial" w:eastAsia="Arial" w:hAnsi="Arial"/>
                <w:sz w:val="20"/>
                <w:szCs w:val="20"/>
                <w:color w:val="1E1E1E"/>
              </w:rPr>
              <w:t>$</w:t>
            </w:r>
          </w:p>
        </w:tc>
        <w:tc>
          <w:tcPr>
            <w:tcW w:w="960" w:type="dxa"/>
            <w:vAlign w:val="bottom"/>
            <w:gridSpan w:val="2"/>
          </w:tcPr>
          <w:p>
            <w:pPr>
              <w:jc w:val="right"/>
              <w:ind w:right="20"/>
              <w:spacing w:after="0"/>
              <w:rPr>
                <w:sz w:val="20"/>
                <w:szCs w:val="20"/>
                <w:color w:val="auto"/>
              </w:rPr>
            </w:pPr>
            <w:r>
              <w:rPr>
                <w:rFonts w:ascii="Arial" w:cs="Arial" w:eastAsia="Arial" w:hAnsi="Arial"/>
                <w:sz w:val="20"/>
                <w:szCs w:val="20"/>
                <w:color w:val="1E1E1E"/>
              </w:rPr>
              <w:t>9,591</w:t>
            </w:r>
          </w:p>
        </w:tc>
        <w:tc>
          <w:tcPr>
            <w:tcW w:w="160" w:type="dxa"/>
            <w:vAlign w:val="bottom"/>
          </w:tcPr>
          <w:p>
            <w:pPr>
              <w:spacing w:after="0"/>
              <w:rPr>
                <w:sz w:val="20"/>
                <w:szCs w:val="20"/>
                <w:color w:val="auto"/>
              </w:rPr>
            </w:pPr>
          </w:p>
        </w:tc>
        <w:tc>
          <w:tcPr>
            <w:tcW w:w="140" w:type="dxa"/>
            <w:vAlign w:val="bottom"/>
            <w:gridSpan w:val="2"/>
          </w:tcPr>
          <w:p>
            <w:pPr>
              <w:jc w:val="center"/>
              <w:spacing w:after="0"/>
              <w:rPr>
                <w:sz w:val="20"/>
                <w:szCs w:val="20"/>
                <w:color w:val="auto"/>
              </w:rPr>
            </w:pPr>
            <w:r>
              <w:rPr>
                <w:rFonts w:ascii="Arial" w:cs="Arial" w:eastAsia="Arial" w:hAnsi="Arial"/>
                <w:sz w:val="20"/>
                <w:szCs w:val="20"/>
                <w:color w:val="1E1E1E"/>
                <w:w w:val="89"/>
              </w:rPr>
              <w:t>$</w:t>
            </w:r>
          </w:p>
        </w:tc>
        <w:tc>
          <w:tcPr>
            <w:tcW w:w="1020" w:type="dxa"/>
            <w:vAlign w:val="bottom"/>
            <w:gridSpan w:val="3"/>
          </w:tcPr>
          <w:p>
            <w:pPr>
              <w:jc w:val="right"/>
              <w:ind w:right="80"/>
              <w:spacing w:after="0"/>
              <w:rPr>
                <w:sz w:val="20"/>
                <w:szCs w:val="20"/>
                <w:color w:val="auto"/>
              </w:rPr>
            </w:pPr>
            <w:r>
              <w:rPr>
                <w:rFonts w:ascii="Arial" w:cs="Arial" w:eastAsia="Arial" w:hAnsi="Arial"/>
                <w:sz w:val="20"/>
                <w:szCs w:val="20"/>
                <w:color w:val="1E1E1E"/>
              </w:rPr>
              <w:t>11,293</w:t>
            </w:r>
          </w:p>
        </w:tc>
      </w:tr>
      <w:tr>
        <w:trPr>
          <w:trHeight w:val="230"/>
        </w:trPr>
        <w:tc>
          <w:tcPr>
            <w:tcW w:w="5060" w:type="dxa"/>
            <w:vAlign w:val="bottom"/>
            <w:gridSpan w:val="5"/>
            <w:shd w:val="clear" w:color="auto" w:fill="E4E4E4"/>
          </w:tcPr>
          <w:p>
            <w:pPr>
              <w:spacing w:after="0"/>
              <w:rPr>
                <w:sz w:val="20"/>
                <w:szCs w:val="20"/>
                <w:color w:val="auto"/>
              </w:rPr>
            </w:pPr>
            <w:r>
              <w:rPr>
                <w:rFonts w:ascii="Arial" w:cs="Arial" w:eastAsia="Arial" w:hAnsi="Arial"/>
                <w:sz w:val="20"/>
                <w:szCs w:val="20"/>
                <w:color w:val="1E1E1E"/>
              </w:rPr>
              <w:t>Actual return on plan assets</w:t>
            </w:r>
          </w:p>
        </w:tc>
        <w:tc>
          <w:tcPr>
            <w:tcW w:w="1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20" w:type="dxa"/>
            <w:vAlign w:val="bottom"/>
            <w:gridSpan w:val="3"/>
            <w:shd w:val="clear" w:color="auto" w:fill="E4E4E4"/>
          </w:tcPr>
          <w:p>
            <w:pPr>
              <w:jc w:val="right"/>
              <w:ind w:right="30"/>
              <w:spacing w:after="0"/>
              <w:rPr>
                <w:sz w:val="20"/>
                <w:szCs w:val="20"/>
                <w:color w:val="auto"/>
              </w:rPr>
            </w:pPr>
            <w:r>
              <w:rPr>
                <w:rFonts w:ascii="Arial" w:cs="Arial" w:eastAsia="Arial" w:hAnsi="Arial"/>
                <w:sz w:val="20"/>
                <w:szCs w:val="20"/>
                <w:color w:val="1E1E1E"/>
              </w:rPr>
              <w:t>(34)</w:t>
            </w: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020" w:type="dxa"/>
            <w:vAlign w:val="bottom"/>
            <w:gridSpan w:val="3"/>
            <w:shd w:val="clear" w:color="auto" w:fill="E4E4E4"/>
          </w:tcPr>
          <w:p>
            <w:pPr>
              <w:jc w:val="right"/>
              <w:ind w:right="20"/>
              <w:spacing w:after="0"/>
              <w:rPr>
                <w:sz w:val="20"/>
                <w:szCs w:val="20"/>
                <w:color w:val="auto"/>
              </w:rPr>
            </w:pPr>
            <w:r>
              <w:rPr>
                <w:rFonts w:ascii="Arial" w:cs="Arial" w:eastAsia="Arial" w:hAnsi="Arial"/>
                <w:sz w:val="20"/>
                <w:szCs w:val="20"/>
                <w:color w:val="1E1E1E"/>
              </w:rPr>
              <w:t>(1,050)</w:t>
            </w:r>
          </w:p>
        </w:tc>
      </w:tr>
      <w:tr>
        <w:trPr>
          <w:trHeight w:val="230"/>
        </w:trPr>
        <w:tc>
          <w:tcPr>
            <w:tcW w:w="5060" w:type="dxa"/>
            <w:vAlign w:val="bottom"/>
            <w:gridSpan w:val="5"/>
          </w:tcPr>
          <w:p>
            <w:pPr>
              <w:spacing w:after="0"/>
              <w:rPr>
                <w:sz w:val="20"/>
                <w:szCs w:val="20"/>
                <w:color w:val="auto"/>
              </w:rPr>
            </w:pPr>
            <w:r>
              <w:rPr>
                <w:rFonts w:ascii="Arial" w:cs="Arial" w:eastAsia="Arial" w:hAnsi="Arial"/>
                <w:sz w:val="20"/>
                <w:szCs w:val="20"/>
                <w:color w:val="1E1E1E"/>
              </w:rPr>
              <w:t>Employer contributions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20"/>
                <w:szCs w:val="20"/>
                <w:color w:val="1E1E1E"/>
              </w:rPr>
              <w:t>2,106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20"/>
                <w:szCs w:val="20"/>
                <w:color w:val="1E1E1E"/>
              </w:rPr>
              <w:t>524</w:t>
            </w:r>
          </w:p>
        </w:tc>
        <w:tc>
          <w:tcPr>
            <w:tcW w:w="60" w:type="dxa"/>
            <w:vAlign w:val="bottom"/>
          </w:tcPr>
          <w:p>
            <w:pPr>
              <w:spacing w:after="0"/>
              <w:rPr>
                <w:sz w:val="20"/>
                <w:szCs w:val="20"/>
                <w:color w:val="auto"/>
              </w:rPr>
            </w:pPr>
          </w:p>
        </w:tc>
      </w:tr>
      <w:tr>
        <w:trPr>
          <w:trHeight w:val="230"/>
        </w:trPr>
        <w:tc>
          <w:tcPr>
            <w:tcW w:w="5060" w:type="dxa"/>
            <w:vAlign w:val="bottom"/>
            <w:gridSpan w:val="5"/>
            <w:shd w:val="clear" w:color="auto" w:fill="E4E4E4"/>
          </w:tcPr>
          <w:p>
            <w:pPr>
              <w:spacing w:after="0"/>
              <w:rPr>
                <w:sz w:val="20"/>
                <w:szCs w:val="20"/>
                <w:color w:val="auto"/>
              </w:rPr>
            </w:pPr>
            <w:r>
              <w:rPr>
                <w:rFonts w:ascii="Arial" w:cs="Arial" w:eastAsia="Arial" w:hAnsi="Arial"/>
                <w:sz w:val="20"/>
                <w:szCs w:val="20"/>
                <w:color w:val="1E1E1E"/>
              </w:rPr>
              <w:t>Settlements</w:t>
            </w:r>
          </w:p>
        </w:tc>
        <w:tc>
          <w:tcPr>
            <w:tcW w:w="1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20" w:type="dxa"/>
            <w:vAlign w:val="bottom"/>
            <w:gridSpan w:val="3"/>
            <w:shd w:val="clear" w:color="auto" w:fill="E4E4E4"/>
          </w:tcPr>
          <w:p>
            <w:pPr>
              <w:jc w:val="right"/>
              <w:ind w:right="30"/>
              <w:spacing w:after="0"/>
              <w:rPr>
                <w:sz w:val="20"/>
                <w:szCs w:val="20"/>
                <w:color w:val="auto"/>
              </w:rPr>
            </w:pPr>
            <w:r>
              <w:rPr>
                <w:rFonts w:ascii="Arial" w:cs="Arial" w:eastAsia="Arial" w:hAnsi="Arial"/>
                <w:sz w:val="20"/>
                <w:szCs w:val="20"/>
                <w:color w:val="1E1E1E"/>
              </w:rPr>
              <w:t>(11,316)</w:t>
            </w: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020" w:type="dxa"/>
            <w:vAlign w:val="bottom"/>
            <w:gridSpan w:val="3"/>
            <w:shd w:val="clear" w:color="auto" w:fill="E4E4E4"/>
          </w:tcPr>
          <w:p>
            <w:pPr>
              <w:jc w:val="right"/>
              <w:ind w:right="20"/>
              <w:spacing w:after="0"/>
              <w:rPr>
                <w:sz w:val="20"/>
                <w:szCs w:val="20"/>
                <w:color w:val="auto"/>
              </w:rPr>
            </w:pPr>
            <w:r>
              <w:rPr>
                <w:rFonts w:ascii="Arial" w:cs="Arial" w:eastAsia="Arial" w:hAnsi="Arial"/>
                <w:sz w:val="20"/>
                <w:szCs w:val="20"/>
                <w:color w:val="1E1E1E"/>
              </w:rPr>
              <w:t>(358)</w:t>
            </w:r>
          </w:p>
        </w:tc>
      </w:tr>
      <w:tr>
        <w:trPr>
          <w:trHeight w:val="229"/>
        </w:trPr>
        <w:tc>
          <w:tcPr>
            <w:tcW w:w="5060" w:type="dxa"/>
            <w:vAlign w:val="bottom"/>
            <w:gridSpan w:val="5"/>
          </w:tcPr>
          <w:p>
            <w:pPr>
              <w:spacing w:after="0"/>
              <w:rPr>
                <w:sz w:val="20"/>
                <w:szCs w:val="20"/>
                <w:color w:val="auto"/>
              </w:rPr>
            </w:pPr>
            <w:r>
              <w:rPr>
                <w:rFonts w:ascii="Arial" w:cs="Arial" w:eastAsia="Arial" w:hAnsi="Arial"/>
                <w:sz w:val="20"/>
                <w:szCs w:val="20"/>
                <w:color w:val="1E1E1E"/>
              </w:rPr>
              <w:t>Benefits and expenses paid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20"/>
                <w:szCs w:val="20"/>
                <w:color w:val="1E1E1E"/>
              </w:rPr>
              <w:t>(347)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20"/>
                <w:szCs w:val="20"/>
                <w:color w:val="1E1E1E"/>
              </w:rPr>
              <w:t>(818)</w:t>
            </w:r>
          </w:p>
        </w:tc>
      </w:tr>
      <w:tr>
        <w:trPr>
          <w:trHeight w:val="224"/>
        </w:trPr>
        <w:tc>
          <w:tcPr>
            <w:tcW w:w="5060" w:type="dxa"/>
            <w:vAlign w:val="bottom"/>
            <w:tcBorders>
              <w:top w:val="single" w:sz="8" w:color="E4E4E4"/>
            </w:tcBorders>
            <w:gridSpan w:val="5"/>
            <w:shd w:val="clear" w:color="auto" w:fill="E4E4E4"/>
          </w:tcPr>
          <w:p>
            <w:pPr>
              <w:spacing w:after="0" w:line="221" w:lineRule="exact"/>
              <w:rPr>
                <w:sz w:val="20"/>
                <w:szCs w:val="20"/>
                <w:color w:val="auto"/>
              </w:rPr>
            </w:pPr>
            <w:r>
              <w:rPr>
                <w:rFonts w:ascii="Arial" w:cs="Arial" w:eastAsia="Arial" w:hAnsi="Arial"/>
                <w:sz w:val="20"/>
                <w:szCs w:val="20"/>
                <w:color w:val="1E1E1E"/>
              </w:rPr>
              <w:t>Balance at end of period</w:t>
            </w:r>
          </w:p>
        </w:tc>
        <w:tc>
          <w:tcPr>
            <w:tcW w:w="10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1E1E1E"/>
            </w:tcBorders>
            <w:shd w:val="clear" w:color="auto" w:fill="E4E4E4"/>
          </w:tcPr>
          <w:p>
            <w:pPr>
              <w:spacing w:after="0"/>
              <w:rPr>
                <w:sz w:val="19"/>
                <w:szCs w:val="19"/>
                <w:color w:val="auto"/>
              </w:rPr>
            </w:pPr>
          </w:p>
        </w:tc>
        <w:tc>
          <w:tcPr>
            <w:tcW w:w="100" w:type="dxa"/>
            <w:vAlign w:val="bottom"/>
            <w:tcBorders>
              <w:top w:val="single" w:sz="8" w:color="1E1E1E"/>
            </w:tcBorders>
            <w:shd w:val="clear" w:color="auto" w:fill="E4E4E4"/>
          </w:tcPr>
          <w:p>
            <w:pPr>
              <w:jc w:val="right"/>
              <w:spacing w:after="0"/>
              <w:rPr>
                <w:sz w:val="20"/>
                <w:szCs w:val="20"/>
                <w:color w:val="auto"/>
              </w:rPr>
            </w:pPr>
            <w:r>
              <w:rPr>
                <w:rFonts w:ascii="Arial" w:cs="Arial" w:eastAsia="Arial" w:hAnsi="Arial"/>
                <w:sz w:val="15"/>
                <w:szCs w:val="15"/>
                <w:color w:val="1E1E1E"/>
                <w:w w:val="71"/>
              </w:rPr>
              <w:t>$</w:t>
            </w:r>
          </w:p>
        </w:tc>
        <w:tc>
          <w:tcPr>
            <w:tcW w:w="940" w:type="dxa"/>
            <w:vAlign w:val="bottom"/>
            <w:tcBorders>
              <w:top w:val="single" w:sz="8" w:color="1E1E1E"/>
            </w:tcBorders>
            <w:shd w:val="clear" w:color="auto" w:fill="E4E4E4"/>
          </w:tcPr>
          <w:p>
            <w:pPr>
              <w:jc w:val="right"/>
              <w:spacing w:after="0" w:line="224" w:lineRule="exact"/>
              <w:rPr>
                <w:sz w:val="20"/>
                <w:szCs w:val="20"/>
                <w:color w:val="auto"/>
              </w:rPr>
            </w:pPr>
            <w:r>
              <w:rPr>
                <w:rFonts w:ascii="Arial" w:cs="Arial" w:eastAsia="Arial" w:hAnsi="Arial"/>
                <w:sz w:val="20"/>
                <w:szCs w:val="20"/>
                <w:color w:val="1E1E1E"/>
              </w:rPr>
              <w:t>—</w:t>
            </w:r>
          </w:p>
        </w:tc>
        <w:tc>
          <w:tcPr>
            <w:tcW w:w="20" w:type="dxa"/>
            <w:vAlign w:val="bottom"/>
            <w:tcBorders>
              <w:top w:val="single" w:sz="8" w:color="1E1E1E"/>
            </w:tcBorders>
            <w:shd w:val="clear" w:color="auto" w:fill="E4E4E4"/>
          </w:tcPr>
          <w:p>
            <w:pPr>
              <w:spacing w:after="0"/>
              <w:rPr>
                <w:sz w:val="19"/>
                <w:szCs w:val="19"/>
                <w:color w:val="auto"/>
              </w:rPr>
            </w:pPr>
          </w:p>
        </w:tc>
        <w:tc>
          <w:tcPr>
            <w:tcW w:w="16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1E1E1E"/>
            </w:tcBorders>
            <w:shd w:val="clear" w:color="auto" w:fill="E4E4E4"/>
          </w:tcPr>
          <w:p>
            <w:pPr>
              <w:spacing w:after="0"/>
              <w:rPr>
                <w:sz w:val="19"/>
                <w:szCs w:val="19"/>
                <w:color w:val="auto"/>
              </w:rPr>
            </w:pPr>
          </w:p>
        </w:tc>
        <w:tc>
          <w:tcPr>
            <w:tcW w:w="120" w:type="dxa"/>
            <w:vAlign w:val="bottom"/>
            <w:tcBorders>
              <w:top w:val="single" w:sz="8" w:color="1E1E1E"/>
            </w:tcBorders>
            <w:shd w:val="clear" w:color="auto" w:fill="E4E4E4"/>
          </w:tcPr>
          <w:p>
            <w:pPr>
              <w:jc w:val="center"/>
              <w:spacing w:after="0" w:line="224" w:lineRule="exact"/>
              <w:rPr>
                <w:sz w:val="20"/>
                <w:szCs w:val="20"/>
                <w:color w:val="auto"/>
              </w:rPr>
            </w:pPr>
            <w:r>
              <w:rPr>
                <w:rFonts w:ascii="Arial" w:cs="Arial" w:eastAsia="Arial" w:hAnsi="Arial"/>
                <w:sz w:val="20"/>
                <w:szCs w:val="20"/>
                <w:color w:val="1E1E1E"/>
                <w:w w:val="71"/>
              </w:rPr>
              <w:t>$</w:t>
            </w:r>
          </w:p>
        </w:tc>
        <w:tc>
          <w:tcPr>
            <w:tcW w:w="940" w:type="dxa"/>
            <w:vAlign w:val="bottom"/>
            <w:tcBorders>
              <w:top w:val="single" w:sz="8" w:color="1E1E1E"/>
            </w:tcBorders>
            <w:shd w:val="clear" w:color="auto" w:fill="E4E4E4"/>
          </w:tcPr>
          <w:p>
            <w:pPr>
              <w:jc w:val="right"/>
              <w:spacing w:after="0" w:line="224" w:lineRule="exact"/>
              <w:rPr>
                <w:sz w:val="20"/>
                <w:szCs w:val="20"/>
                <w:color w:val="auto"/>
              </w:rPr>
            </w:pPr>
            <w:r>
              <w:rPr>
                <w:rFonts w:ascii="Arial" w:cs="Arial" w:eastAsia="Arial" w:hAnsi="Arial"/>
                <w:sz w:val="20"/>
                <w:szCs w:val="20"/>
                <w:color w:val="1E1E1E"/>
              </w:rPr>
              <w:t>9,591</w:t>
            </w:r>
          </w:p>
        </w:tc>
        <w:tc>
          <w:tcPr>
            <w:tcW w:w="20" w:type="dxa"/>
            <w:vAlign w:val="bottom"/>
            <w:tcBorders>
              <w:top w:val="single" w:sz="8" w:color="1E1E1E"/>
            </w:tcBorders>
            <w:shd w:val="clear" w:color="auto" w:fill="E4E4E4"/>
          </w:tcPr>
          <w:p>
            <w:pPr>
              <w:spacing w:after="0"/>
              <w:rPr>
                <w:sz w:val="19"/>
                <w:szCs w:val="19"/>
                <w:color w:val="auto"/>
              </w:rPr>
            </w:pPr>
          </w:p>
        </w:tc>
        <w:tc>
          <w:tcPr>
            <w:tcW w:w="60" w:type="dxa"/>
            <w:vAlign w:val="bottom"/>
            <w:tcBorders>
              <w:top w:val="single" w:sz="8" w:color="E4E4E4"/>
            </w:tcBorders>
            <w:shd w:val="clear" w:color="auto" w:fill="E4E4E4"/>
          </w:tcPr>
          <w:p>
            <w:pPr>
              <w:spacing w:after="0"/>
              <w:rPr>
                <w:sz w:val="19"/>
                <w:szCs w:val="19"/>
                <w:color w:val="auto"/>
              </w:rPr>
            </w:pPr>
          </w:p>
        </w:tc>
      </w:tr>
      <w:tr>
        <w:trPr>
          <w:trHeight w:val="41"/>
        </w:trPr>
        <w:tc>
          <w:tcPr>
            <w:tcW w:w="226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25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30"/>
        </w:trPr>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5060" w:type="dxa"/>
            <w:vAlign w:val="bottom"/>
            <w:gridSpan w:val="5"/>
            <w:shd w:val="clear" w:color="auto" w:fill="E4E4E4"/>
          </w:tcPr>
          <w:p>
            <w:pPr>
              <w:spacing w:after="0" w:line="210" w:lineRule="exact"/>
              <w:rPr>
                <w:sz w:val="20"/>
                <w:szCs w:val="20"/>
                <w:color w:val="auto"/>
              </w:rPr>
            </w:pPr>
            <w:r>
              <w:rPr>
                <w:rFonts w:ascii="Arial" w:cs="Arial" w:eastAsia="Arial" w:hAnsi="Arial"/>
                <w:sz w:val="20"/>
                <w:szCs w:val="20"/>
                <w:color w:val="1E1E1E"/>
              </w:rPr>
              <w:t>Reconciliation of funded status:</w:t>
            </w:r>
          </w:p>
        </w:tc>
        <w:tc>
          <w:tcPr>
            <w:tcW w:w="10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94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94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r>
      <w:tr>
        <w:trPr>
          <w:trHeight w:val="230"/>
        </w:trPr>
        <w:tc>
          <w:tcPr>
            <w:tcW w:w="2540" w:type="dxa"/>
            <w:vAlign w:val="bottom"/>
            <w:tcBorders>
              <w:top w:val="single" w:sz="8" w:color="1E1E1E"/>
            </w:tcBorders>
            <w:gridSpan w:val="3"/>
          </w:tcPr>
          <w:p>
            <w:pPr>
              <w:spacing w:after="0"/>
              <w:rPr>
                <w:sz w:val="20"/>
                <w:szCs w:val="20"/>
                <w:color w:val="auto"/>
              </w:rPr>
            </w:pPr>
            <w:r>
              <w:rPr>
                <w:rFonts w:ascii="Arial" w:cs="Arial" w:eastAsia="Arial" w:hAnsi="Arial"/>
                <w:sz w:val="20"/>
                <w:szCs w:val="20"/>
                <w:color w:val="1E1E1E"/>
              </w:rPr>
              <w:t>Projected benefit obligation</w:t>
            </w:r>
          </w:p>
        </w:tc>
        <w:tc>
          <w:tcPr>
            <w:tcW w:w="2520" w:type="dxa"/>
            <w:vAlign w:val="bottom"/>
            <w:tcBorders>
              <w:top w:val="single" w:sz="8" w:color="E4E4E4"/>
            </w:tcBorders>
            <w:gridSpan w:val="2"/>
          </w:tcPr>
          <w:p>
            <w:pPr>
              <w:spacing w:after="0"/>
              <w:rPr>
                <w:sz w:val="20"/>
                <w:szCs w:val="20"/>
                <w:color w:val="auto"/>
              </w:rPr>
            </w:pPr>
          </w:p>
        </w:tc>
        <w:tc>
          <w:tcPr>
            <w:tcW w:w="220" w:type="dxa"/>
            <w:vAlign w:val="bottom"/>
            <w:tcBorders>
              <w:top w:val="single" w:sz="8" w:color="E4E4E4"/>
            </w:tcBorders>
            <w:gridSpan w:val="3"/>
          </w:tcPr>
          <w:p>
            <w:pPr>
              <w:jc w:val="right"/>
              <w:spacing w:after="0"/>
              <w:rPr>
                <w:sz w:val="20"/>
                <w:szCs w:val="20"/>
                <w:color w:val="auto"/>
              </w:rPr>
            </w:pPr>
            <w:r>
              <w:rPr>
                <w:rFonts w:ascii="Arial" w:cs="Arial" w:eastAsia="Arial" w:hAnsi="Arial"/>
                <w:sz w:val="20"/>
                <w:szCs w:val="20"/>
                <w:color w:val="1E1E1E"/>
              </w:rPr>
              <w:t>$</w:t>
            </w:r>
          </w:p>
        </w:tc>
        <w:tc>
          <w:tcPr>
            <w:tcW w:w="1120" w:type="dxa"/>
            <w:vAlign w:val="bottom"/>
            <w:tcBorders>
              <w:top w:val="single" w:sz="8" w:color="E4E4E4"/>
            </w:tcBorders>
            <w:gridSpan w:val="3"/>
          </w:tcPr>
          <w:p>
            <w:pPr>
              <w:jc w:val="right"/>
              <w:ind w:right="110"/>
              <w:spacing w:after="0"/>
              <w:rPr>
                <w:sz w:val="20"/>
                <w:szCs w:val="20"/>
                <w:color w:val="auto"/>
              </w:rPr>
            </w:pPr>
            <w:r>
              <w:rPr>
                <w:rFonts w:ascii="Arial" w:cs="Arial" w:eastAsia="Arial" w:hAnsi="Arial"/>
                <w:sz w:val="20"/>
                <w:szCs w:val="20"/>
                <w:color w:val="1E1E1E"/>
              </w:rPr>
              <w:t>—</w:t>
            </w:r>
          </w:p>
        </w:tc>
        <w:tc>
          <w:tcPr>
            <w:tcW w:w="140" w:type="dxa"/>
            <w:vAlign w:val="bottom"/>
            <w:tcBorders>
              <w:top w:val="single" w:sz="8" w:color="E4E4E4"/>
            </w:tcBorders>
            <w:gridSpan w:val="2"/>
          </w:tcPr>
          <w:p>
            <w:pPr>
              <w:jc w:val="center"/>
              <w:spacing w:after="0"/>
              <w:rPr>
                <w:sz w:val="20"/>
                <w:szCs w:val="20"/>
                <w:color w:val="auto"/>
              </w:rPr>
            </w:pPr>
            <w:r>
              <w:rPr>
                <w:rFonts w:ascii="Arial" w:cs="Arial" w:eastAsia="Arial" w:hAnsi="Arial"/>
                <w:sz w:val="20"/>
                <w:szCs w:val="20"/>
                <w:color w:val="1E1E1E"/>
                <w:w w:val="89"/>
              </w:rPr>
              <w:t>$</w:t>
            </w:r>
          </w:p>
        </w:tc>
        <w:tc>
          <w:tcPr>
            <w:tcW w:w="1020" w:type="dxa"/>
            <w:vAlign w:val="bottom"/>
            <w:tcBorders>
              <w:top w:val="single" w:sz="8" w:color="E4E4E4"/>
            </w:tcBorders>
            <w:gridSpan w:val="3"/>
          </w:tcPr>
          <w:p>
            <w:pPr>
              <w:jc w:val="right"/>
              <w:ind w:right="80"/>
              <w:spacing w:after="0"/>
              <w:rPr>
                <w:sz w:val="20"/>
                <w:szCs w:val="20"/>
                <w:color w:val="auto"/>
              </w:rPr>
            </w:pPr>
            <w:r>
              <w:rPr>
                <w:rFonts w:ascii="Arial" w:cs="Arial" w:eastAsia="Arial" w:hAnsi="Arial"/>
                <w:sz w:val="20"/>
                <w:szCs w:val="20"/>
                <w:color w:val="1E1E1E"/>
              </w:rPr>
              <w:t>11,454</w:t>
            </w:r>
          </w:p>
        </w:tc>
      </w:tr>
      <w:tr>
        <w:trPr>
          <w:trHeight w:val="249"/>
        </w:trPr>
        <w:tc>
          <w:tcPr>
            <w:tcW w:w="5060" w:type="dxa"/>
            <w:vAlign w:val="bottom"/>
            <w:gridSpan w:val="5"/>
            <w:shd w:val="clear" w:color="auto" w:fill="E4E4E4"/>
          </w:tcPr>
          <w:p>
            <w:pPr>
              <w:spacing w:after="0"/>
              <w:rPr>
                <w:sz w:val="20"/>
                <w:szCs w:val="20"/>
                <w:color w:val="auto"/>
              </w:rPr>
            </w:pPr>
            <w:r>
              <w:rPr>
                <w:rFonts w:ascii="Arial" w:cs="Arial" w:eastAsia="Arial" w:hAnsi="Arial"/>
                <w:sz w:val="20"/>
                <w:szCs w:val="20"/>
                <w:color w:val="1E1E1E"/>
              </w:rPr>
              <w:t>Fair value of plan assets</w:t>
            </w: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120" w:type="dxa"/>
            <w:vAlign w:val="bottom"/>
            <w:gridSpan w:val="3"/>
            <w:shd w:val="clear" w:color="auto" w:fill="E4E4E4"/>
          </w:tcPr>
          <w:p>
            <w:pPr>
              <w:jc w:val="right"/>
              <w:ind w:right="110"/>
              <w:spacing w:after="0"/>
              <w:rPr>
                <w:sz w:val="20"/>
                <w:szCs w:val="20"/>
                <w:color w:val="auto"/>
              </w:rPr>
            </w:pPr>
            <w:r>
              <w:rPr>
                <w:rFonts w:ascii="Arial" w:cs="Arial" w:eastAsia="Arial" w:hAnsi="Arial"/>
                <w:sz w:val="20"/>
                <w:szCs w:val="20"/>
                <w:color w:val="1E1E1E"/>
              </w:rPr>
              <w:t>—</w:t>
            </w: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960" w:type="dxa"/>
            <w:vAlign w:val="bottom"/>
            <w:gridSpan w:val="2"/>
            <w:shd w:val="clear" w:color="auto" w:fill="E4E4E4"/>
          </w:tcPr>
          <w:p>
            <w:pPr>
              <w:jc w:val="right"/>
              <w:ind w:right="20"/>
              <w:spacing w:after="0"/>
              <w:rPr>
                <w:sz w:val="20"/>
                <w:szCs w:val="20"/>
                <w:color w:val="auto"/>
              </w:rPr>
            </w:pPr>
            <w:r>
              <w:rPr>
                <w:rFonts w:ascii="Arial" w:cs="Arial" w:eastAsia="Arial" w:hAnsi="Arial"/>
                <w:sz w:val="20"/>
                <w:szCs w:val="20"/>
                <w:color w:val="1E1E1E"/>
              </w:rPr>
              <w:t>9,591</w:t>
            </w:r>
          </w:p>
        </w:tc>
        <w:tc>
          <w:tcPr>
            <w:tcW w:w="60" w:type="dxa"/>
            <w:vAlign w:val="bottom"/>
            <w:shd w:val="clear" w:color="auto" w:fill="E4E4E4"/>
          </w:tcPr>
          <w:p>
            <w:pPr>
              <w:spacing w:after="0"/>
              <w:rPr>
                <w:sz w:val="21"/>
                <w:szCs w:val="21"/>
                <w:color w:val="auto"/>
              </w:rPr>
            </w:pPr>
          </w:p>
        </w:tc>
      </w:tr>
      <w:tr>
        <w:trPr>
          <w:trHeight w:val="201"/>
        </w:trPr>
        <w:tc>
          <w:tcPr>
            <w:tcW w:w="5060" w:type="dxa"/>
            <w:vAlign w:val="bottom"/>
            <w:tcBorders>
              <w:top w:val="single" w:sz="8" w:color="E4E4E4"/>
            </w:tcBorders>
            <w:gridSpan w:val="5"/>
          </w:tcPr>
          <w:p>
            <w:pPr>
              <w:spacing w:after="0" w:line="201" w:lineRule="exact"/>
              <w:rPr>
                <w:sz w:val="20"/>
                <w:szCs w:val="20"/>
                <w:color w:val="auto"/>
              </w:rPr>
            </w:pPr>
            <w:r>
              <w:rPr>
                <w:rFonts w:ascii="Arial" w:cs="Arial" w:eastAsia="Arial" w:hAnsi="Arial"/>
                <w:sz w:val="20"/>
                <w:szCs w:val="20"/>
                <w:color w:val="1E1E1E"/>
              </w:rPr>
              <w:t>Unfunded status</w:t>
            </w:r>
          </w:p>
        </w:tc>
        <w:tc>
          <w:tcPr>
            <w:tcW w:w="100" w:type="dxa"/>
            <w:vAlign w:val="bottom"/>
            <w:tcBorders>
              <w:top w:val="single" w:sz="8" w:color="E4E4E4"/>
            </w:tcBorders>
          </w:tcPr>
          <w:p>
            <w:pPr>
              <w:spacing w:after="0"/>
              <w:rPr>
                <w:sz w:val="17"/>
                <w:szCs w:val="17"/>
                <w:color w:val="auto"/>
              </w:rPr>
            </w:pPr>
          </w:p>
        </w:tc>
        <w:tc>
          <w:tcPr>
            <w:tcW w:w="20" w:type="dxa"/>
            <w:vAlign w:val="bottom"/>
            <w:tcBorders>
              <w:top w:val="single" w:sz="8" w:color="1E1E1E"/>
            </w:tcBorders>
          </w:tcPr>
          <w:p>
            <w:pPr>
              <w:spacing w:after="0"/>
              <w:rPr>
                <w:sz w:val="17"/>
                <w:szCs w:val="17"/>
                <w:color w:val="auto"/>
              </w:rPr>
            </w:pPr>
          </w:p>
        </w:tc>
        <w:tc>
          <w:tcPr>
            <w:tcW w:w="100" w:type="dxa"/>
            <w:vAlign w:val="bottom"/>
            <w:tcBorders>
              <w:top w:val="single" w:sz="8" w:color="1E1E1E"/>
            </w:tcBorders>
          </w:tcPr>
          <w:p>
            <w:pPr>
              <w:jc w:val="right"/>
              <w:spacing w:after="0"/>
              <w:rPr>
                <w:sz w:val="20"/>
                <w:szCs w:val="20"/>
                <w:color w:val="auto"/>
              </w:rPr>
            </w:pPr>
            <w:r>
              <w:rPr>
                <w:rFonts w:ascii="Arial" w:cs="Arial" w:eastAsia="Arial" w:hAnsi="Arial"/>
                <w:sz w:val="15"/>
                <w:szCs w:val="15"/>
                <w:color w:val="1E1E1E"/>
                <w:w w:val="71"/>
              </w:rPr>
              <w:t>$</w:t>
            </w:r>
          </w:p>
        </w:tc>
        <w:tc>
          <w:tcPr>
            <w:tcW w:w="940" w:type="dxa"/>
            <w:vAlign w:val="bottom"/>
            <w:tcBorders>
              <w:top w:val="single" w:sz="8" w:color="1E1E1E"/>
            </w:tcBorders>
          </w:tcPr>
          <w:p>
            <w:pPr>
              <w:jc w:val="right"/>
              <w:spacing w:after="0" w:line="201" w:lineRule="exact"/>
              <w:rPr>
                <w:sz w:val="20"/>
                <w:szCs w:val="20"/>
                <w:color w:val="auto"/>
              </w:rPr>
            </w:pPr>
            <w:r>
              <w:rPr>
                <w:rFonts w:ascii="Arial" w:cs="Arial" w:eastAsia="Arial" w:hAnsi="Arial"/>
                <w:sz w:val="20"/>
                <w:szCs w:val="20"/>
                <w:color w:val="1E1E1E"/>
              </w:rPr>
              <w:t>—</w:t>
            </w:r>
          </w:p>
        </w:tc>
        <w:tc>
          <w:tcPr>
            <w:tcW w:w="20" w:type="dxa"/>
            <w:vAlign w:val="bottom"/>
            <w:tcBorders>
              <w:top w:val="single" w:sz="8" w:color="1E1E1E"/>
            </w:tcBorders>
          </w:tcPr>
          <w:p>
            <w:pPr>
              <w:spacing w:after="0"/>
              <w:rPr>
                <w:sz w:val="17"/>
                <w:szCs w:val="17"/>
                <w:color w:val="auto"/>
              </w:rPr>
            </w:pPr>
          </w:p>
        </w:tc>
        <w:tc>
          <w:tcPr>
            <w:tcW w:w="160" w:type="dxa"/>
            <w:vAlign w:val="bottom"/>
            <w:tcBorders>
              <w:top w:val="single" w:sz="8" w:color="E4E4E4"/>
            </w:tcBorders>
          </w:tcPr>
          <w:p>
            <w:pPr>
              <w:spacing w:after="0"/>
              <w:rPr>
                <w:sz w:val="17"/>
                <w:szCs w:val="17"/>
                <w:color w:val="auto"/>
              </w:rPr>
            </w:pPr>
          </w:p>
        </w:tc>
        <w:tc>
          <w:tcPr>
            <w:tcW w:w="20" w:type="dxa"/>
            <w:vAlign w:val="bottom"/>
            <w:tcBorders>
              <w:top w:val="single" w:sz="8" w:color="1E1E1E"/>
            </w:tcBorders>
          </w:tcPr>
          <w:p>
            <w:pPr>
              <w:spacing w:after="0"/>
              <w:rPr>
                <w:sz w:val="17"/>
                <w:szCs w:val="17"/>
                <w:color w:val="auto"/>
              </w:rPr>
            </w:pPr>
          </w:p>
        </w:tc>
        <w:tc>
          <w:tcPr>
            <w:tcW w:w="120" w:type="dxa"/>
            <w:vAlign w:val="bottom"/>
            <w:tcBorders>
              <w:top w:val="single" w:sz="8" w:color="1E1E1E"/>
            </w:tcBorders>
          </w:tcPr>
          <w:p>
            <w:pPr>
              <w:jc w:val="center"/>
              <w:spacing w:after="0" w:line="201" w:lineRule="exact"/>
              <w:rPr>
                <w:sz w:val="20"/>
                <w:szCs w:val="20"/>
                <w:color w:val="auto"/>
              </w:rPr>
            </w:pPr>
            <w:r>
              <w:rPr>
                <w:rFonts w:ascii="Arial" w:cs="Arial" w:eastAsia="Arial" w:hAnsi="Arial"/>
                <w:sz w:val="20"/>
                <w:szCs w:val="20"/>
                <w:color w:val="1E1E1E"/>
                <w:w w:val="71"/>
              </w:rPr>
              <w:t>$</w:t>
            </w:r>
          </w:p>
        </w:tc>
        <w:tc>
          <w:tcPr>
            <w:tcW w:w="940" w:type="dxa"/>
            <w:vAlign w:val="bottom"/>
            <w:tcBorders>
              <w:top w:val="single" w:sz="8" w:color="1E1E1E"/>
            </w:tcBorders>
          </w:tcPr>
          <w:p>
            <w:pPr>
              <w:jc w:val="right"/>
              <w:spacing w:after="0" w:line="201" w:lineRule="exact"/>
              <w:rPr>
                <w:sz w:val="20"/>
                <w:szCs w:val="20"/>
                <w:color w:val="auto"/>
              </w:rPr>
            </w:pPr>
            <w:r>
              <w:rPr>
                <w:rFonts w:ascii="Arial" w:cs="Arial" w:eastAsia="Arial" w:hAnsi="Arial"/>
                <w:sz w:val="20"/>
                <w:szCs w:val="20"/>
                <w:color w:val="1E1E1E"/>
              </w:rPr>
              <w:t>(1,863)</w:t>
            </w:r>
          </w:p>
        </w:tc>
        <w:tc>
          <w:tcPr>
            <w:tcW w:w="20" w:type="dxa"/>
            <w:vAlign w:val="bottom"/>
            <w:tcBorders>
              <w:top w:val="single" w:sz="8" w:color="1E1E1E"/>
            </w:tcBorders>
          </w:tcPr>
          <w:p>
            <w:pPr>
              <w:spacing w:after="0"/>
              <w:rPr>
                <w:sz w:val="17"/>
                <w:szCs w:val="17"/>
                <w:color w:val="auto"/>
              </w:rPr>
            </w:pPr>
          </w:p>
        </w:tc>
        <w:tc>
          <w:tcPr>
            <w:tcW w:w="60" w:type="dxa"/>
            <w:vAlign w:val="bottom"/>
            <w:tcBorders>
              <w:top w:val="single" w:sz="8" w:color="E4E4E4"/>
            </w:tcBorders>
          </w:tcPr>
          <w:p>
            <w:pPr>
              <w:spacing w:after="0"/>
              <w:rPr>
                <w:sz w:val="17"/>
                <w:szCs w:val="17"/>
                <w:color w:val="auto"/>
              </w:rPr>
            </w:pPr>
          </w:p>
        </w:tc>
      </w:tr>
      <w:tr>
        <w:trPr>
          <w:trHeight w:val="228"/>
        </w:trPr>
        <w:tc>
          <w:tcPr>
            <w:tcW w:w="2260" w:type="dxa"/>
            <w:vAlign w:val="bottom"/>
            <w:shd w:val="clear" w:color="auto" w:fill="E4E4E4"/>
          </w:tcPr>
          <w:p>
            <w:pPr>
              <w:spacing w:after="0"/>
              <w:rPr>
                <w:sz w:val="19"/>
                <w:szCs w:val="19"/>
                <w:color w:val="auto"/>
              </w:rPr>
            </w:pPr>
          </w:p>
        </w:tc>
        <w:tc>
          <w:tcPr>
            <w:tcW w:w="2800" w:type="dxa"/>
            <w:vAlign w:val="bottom"/>
            <w:gridSpan w:val="4"/>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r>
      <w:tr>
        <w:trPr>
          <w:trHeight w:val="210"/>
        </w:trPr>
        <w:tc>
          <w:tcPr>
            <w:tcW w:w="5060" w:type="dxa"/>
            <w:vAlign w:val="bottom"/>
            <w:gridSpan w:val="5"/>
          </w:tcPr>
          <w:p>
            <w:pPr>
              <w:spacing w:after="0" w:line="210" w:lineRule="exact"/>
              <w:rPr>
                <w:sz w:val="20"/>
                <w:szCs w:val="20"/>
                <w:color w:val="auto"/>
              </w:rPr>
            </w:pPr>
            <w:r>
              <w:rPr>
                <w:rFonts w:ascii="Arial" w:cs="Arial" w:eastAsia="Arial" w:hAnsi="Arial"/>
                <w:sz w:val="20"/>
                <w:szCs w:val="20"/>
                <w:color w:val="1E1E1E"/>
              </w:rPr>
              <w:t>Balance sheet classification: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3"/>
        </w:trPr>
        <w:tc>
          <w:tcPr>
            <w:tcW w:w="2260" w:type="dxa"/>
            <w:vAlign w:val="bottom"/>
            <w:tcBorders>
              <w:top w:val="single" w:sz="8" w:color="1E1E1E"/>
            </w:tcBorders>
            <w:shd w:val="clear" w:color="auto" w:fill="E4E4E4"/>
          </w:tcPr>
          <w:p>
            <w:pPr>
              <w:spacing w:after="0"/>
              <w:rPr>
                <w:sz w:val="20"/>
                <w:szCs w:val="20"/>
                <w:color w:val="auto"/>
              </w:rPr>
            </w:pPr>
            <w:r>
              <w:rPr>
                <w:rFonts w:ascii="Arial" w:cs="Arial" w:eastAsia="Arial" w:hAnsi="Arial"/>
                <w:sz w:val="20"/>
                <w:szCs w:val="20"/>
                <w:color w:val="1E1E1E"/>
              </w:rPr>
              <w:t>Other long-term liabilities</w:t>
            </w:r>
          </w:p>
        </w:tc>
        <w:tc>
          <w:tcPr>
            <w:tcW w:w="2800" w:type="dxa"/>
            <w:vAlign w:val="bottom"/>
            <w:gridSpan w:val="4"/>
            <w:shd w:val="clear" w:color="auto" w:fill="E4E4E4"/>
          </w:tcPr>
          <w:p>
            <w:pPr>
              <w:spacing w:after="0"/>
              <w:rPr>
                <w:sz w:val="20"/>
                <w:szCs w:val="20"/>
                <w:color w:val="auto"/>
              </w:rPr>
            </w:pPr>
          </w:p>
        </w:tc>
        <w:tc>
          <w:tcPr>
            <w:tcW w:w="220" w:type="dxa"/>
            <w:vAlign w:val="bottom"/>
            <w:gridSpan w:val="3"/>
            <w:shd w:val="clear" w:color="auto" w:fill="E4E4E4"/>
          </w:tcPr>
          <w:p>
            <w:pPr>
              <w:jc w:val="right"/>
              <w:spacing w:after="0"/>
              <w:rPr>
                <w:sz w:val="20"/>
                <w:szCs w:val="20"/>
                <w:color w:val="auto"/>
              </w:rPr>
            </w:pPr>
            <w:r>
              <w:rPr>
                <w:rFonts w:ascii="Arial" w:cs="Arial" w:eastAsia="Arial" w:hAnsi="Arial"/>
                <w:sz w:val="20"/>
                <w:szCs w:val="20"/>
                <w:color w:val="1E1E1E"/>
              </w:rPr>
              <w:t>$</w:t>
            </w:r>
          </w:p>
        </w:tc>
        <w:tc>
          <w:tcPr>
            <w:tcW w:w="1120" w:type="dxa"/>
            <w:vAlign w:val="bottom"/>
            <w:gridSpan w:val="3"/>
            <w:shd w:val="clear" w:color="auto" w:fill="E4E4E4"/>
          </w:tcPr>
          <w:p>
            <w:pPr>
              <w:jc w:val="right"/>
              <w:ind w:right="110"/>
              <w:spacing w:after="0"/>
              <w:rPr>
                <w:sz w:val="20"/>
                <w:szCs w:val="20"/>
                <w:color w:val="auto"/>
              </w:rPr>
            </w:pPr>
            <w:r>
              <w:rPr>
                <w:rFonts w:ascii="Arial" w:cs="Arial" w:eastAsia="Arial" w:hAnsi="Arial"/>
                <w:sz w:val="20"/>
                <w:szCs w:val="20"/>
                <w:color w:val="1E1E1E"/>
              </w:rPr>
              <w:t>—</w:t>
            </w:r>
          </w:p>
        </w:tc>
        <w:tc>
          <w:tcPr>
            <w:tcW w:w="140" w:type="dxa"/>
            <w:vAlign w:val="bottom"/>
            <w:gridSpan w:val="2"/>
            <w:shd w:val="clear" w:color="auto" w:fill="E4E4E4"/>
          </w:tcPr>
          <w:p>
            <w:pPr>
              <w:jc w:val="center"/>
              <w:spacing w:after="0"/>
              <w:rPr>
                <w:sz w:val="20"/>
                <w:szCs w:val="20"/>
                <w:color w:val="auto"/>
              </w:rPr>
            </w:pPr>
            <w:r>
              <w:rPr>
                <w:rFonts w:ascii="Arial" w:cs="Arial" w:eastAsia="Arial" w:hAnsi="Arial"/>
                <w:sz w:val="20"/>
                <w:szCs w:val="20"/>
                <w:color w:val="1E1E1E"/>
                <w:w w:val="89"/>
              </w:rPr>
              <w:t>$</w:t>
            </w:r>
          </w:p>
        </w:tc>
        <w:tc>
          <w:tcPr>
            <w:tcW w:w="960" w:type="dxa"/>
            <w:vAlign w:val="bottom"/>
            <w:gridSpan w:val="2"/>
            <w:shd w:val="clear" w:color="auto" w:fill="E4E4E4"/>
          </w:tcPr>
          <w:p>
            <w:pPr>
              <w:jc w:val="right"/>
              <w:ind w:right="20"/>
              <w:spacing w:after="0"/>
              <w:rPr>
                <w:sz w:val="20"/>
                <w:szCs w:val="20"/>
                <w:color w:val="auto"/>
              </w:rPr>
            </w:pPr>
            <w:r>
              <w:rPr>
                <w:rFonts w:ascii="Arial" w:cs="Arial" w:eastAsia="Arial" w:hAnsi="Arial"/>
                <w:sz w:val="20"/>
                <w:szCs w:val="20"/>
                <w:color w:val="1E1E1E"/>
              </w:rPr>
              <w:t>1,863</w:t>
            </w:r>
          </w:p>
        </w:tc>
        <w:tc>
          <w:tcPr>
            <w:tcW w:w="60" w:type="dxa"/>
            <w:vAlign w:val="bottom"/>
            <w:shd w:val="clear" w:color="auto" w:fill="E4E4E4"/>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-2422525</wp:posOffset>
            </wp:positionV>
            <wp:extent cx="1505585" cy="609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05585" cy="6096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-1218565</wp:posOffset>
            </wp:positionV>
            <wp:extent cx="1505585"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05585" cy="59690"/>
                    </a:xfrm>
                    <a:prstGeom prst="rect">
                      <a:avLst/>
                    </a:prstGeom>
                    <a:noFill/>
                  </pic:spPr>
                </pic:pic>
              </a:graphicData>
            </a:graphic>
          </wp:anchor>
        </w:drawing>
      </w:r>
    </w:p>
    <w:p>
      <w:pPr>
        <w:sectPr>
          <w:pgSz w:w="11880" w:h="15480" w:orient="portrait"/>
          <w:cols w:equalWidth="0" w:num="1">
            <w:col w:w="10800"/>
          </w:cols>
          <w:pgMar w:left="540" w:top="656"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57</w:t>
      </w:r>
    </w:p>
    <w:p>
      <w:pPr>
        <w:sectPr>
          <w:pgSz w:w="11880" w:h="15480" w:orient="portrait"/>
          <w:cols w:equalWidth="0" w:num="1">
            <w:col w:w="10800"/>
          </w:cols>
          <w:pgMar w:left="540" w:top="656" w:right="540" w:bottom="31"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color w:val="1E1E1E"/>
        </w:rPr>
        <w:t>Total plan expense and other amounts recognized in accumulated other comprehensive loss for the years ended February 3, 2024,</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1E1E1E"/>
        </w:rPr>
        <w:t>January 28, 2023 and January 29, 2022 include the following components:</w:t>
      </w:r>
    </w:p>
    <w:p>
      <w:pPr>
        <w:spacing w:after="0" w:line="2" w:lineRule="exact"/>
        <w:rPr>
          <w:sz w:val="20"/>
          <w:szCs w:val="20"/>
          <w:color w:val="auto"/>
        </w:rPr>
      </w:pPr>
    </w:p>
    <w:tbl>
      <w:tblPr>
        <w:tblLayout w:type="fixed"/>
        <w:tblInd w:w="1080" w:type="dxa"/>
        <w:tblCellMar>
          <w:top w:w="0" w:type="dxa"/>
          <w:left w:w="0" w:type="dxa"/>
          <w:bottom w:w="0" w:type="dxa"/>
          <w:right w:w="0" w:type="dxa"/>
        </w:tblCellMar>
      </w:tblPr>
      <w:tr>
        <w:trPr>
          <w:trHeight w:val="185"/>
        </w:trPr>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1E1E1E"/>
                <w:w w:val="90"/>
              </w:rPr>
              <w:t>February 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6"/>
                <w:szCs w:val="16"/>
                <w:color w:val="1E1E1E"/>
                <w:w w:val="86"/>
              </w:rPr>
              <w:t>January 28,</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1E1E1E"/>
                <w:w w:val="88"/>
              </w:rPr>
              <w:t>January 29,</w:t>
            </w:r>
          </w:p>
        </w:tc>
        <w:tc>
          <w:tcPr>
            <w:tcW w:w="0" w:type="dxa"/>
            <w:vAlign w:val="bottom"/>
          </w:tcPr>
          <w:p>
            <w:pPr>
              <w:spacing w:after="0"/>
              <w:rPr>
                <w:sz w:val="1"/>
                <w:szCs w:val="1"/>
                <w:color w:val="auto"/>
              </w:rPr>
            </w:pPr>
          </w:p>
        </w:tc>
      </w:tr>
      <w:tr>
        <w:trPr>
          <w:trHeight w:val="202"/>
        </w:trPr>
        <w:tc>
          <w:tcPr>
            <w:tcW w:w="4960" w:type="dxa"/>
            <w:vAlign w:val="bottom"/>
            <w:gridSpan w:val="4"/>
            <w:vMerge w:val="restart"/>
          </w:tcPr>
          <w:p>
            <w:pPr>
              <w:spacing w:after="0"/>
              <w:rPr>
                <w:sz w:val="20"/>
                <w:szCs w:val="20"/>
                <w:color w:val="auto"/>
              </w:rPr>
            </w:pPr>
            <w:r>
              <w:rPr>
                <w:rFonts w:ascii="Arial" w:cs="Arial" w:eastAsia="Arial" w:hAnsi="Arial"/>
                <w:sz w:val="20"/>
                <w:szCs w:val="20"/>
                <w:color w:val="1E1E1E"/>
              </w:rPr>
              <w:t>Net pension cost:</w:t>
            </w:r>
          </w:p>
        </w:tc>
        <w:tc>
          <w:tcPr>
            <w:tcW w:w="120" w:type="dxa"/>
            <w:vAlign w:val="bottom"/>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900" w:type="dxa"/>
            <w:vAlign w:val="bottom"/>
            <w:tcBorders>
              <w:bottom w:val="single" w:sz="8" w:color="1E1E1E"/>
            </w:tcBorders>
          </w:tcPr>
          <w:p>
            <w:pPr>
              <w:jc w:val="right"/>
              <w:ind w:right="244"/>
              <w:spacing w:after="0"/>
              <w:rPr>
                <w:sz w:val="20"/>
                <w:szCs w:val="20"/>
                <w:color w:val="auto"/>
              </w:rPr>
            </w:pPr>
            <w:r>
              <w:rPr>
                <w:rFonts w:ascii="Arial" w:cs="Arial" w:eastAsia="Arial" w:hAnsi="Arial"/>
                <w:sz w:val="16"/>
                <w:szCs w:val="16"/>
                <w:color w:val="1E1E1E"/>
              </w:rPr>
              <w:t>2024</w:t>
            </w:r>
          </w:p>
        </w:tc>
        <w:tc>
          <w:tcPr>
            <w:tcW w:w="200" w:type="dxa"/>
            <w:vAlign w:val="bottom"/>
          </w:tcPr>
          <w:p>
            <w:pPr>
              <w:spacing w:after="0"/>
              <w:rPr>
                <w:sz w:val="17"/>
                <w:szCs w:val="17"/>
                <w:color w:val="auto"/>
              </w:rPr>
            </w:pPr>
          </w:p>
        </w:tc>
        <w:tc>
          <w:tcPr>
            <w:tcW w:w="20" w:type="dxa"/>
            <w:vAlign w:val="bottom"/>
            <w:tcBorders>
              <w:bottom w:val="single" w:sz="8" w:color="1E1E1E"/>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900" w:type="dxa"/>
            <w:vAlign w:val="bottom"/>
            <w:tcBorders>
              <w:bottom w:val="single" w:sz="8" w:color="1E1E1E"/>
            </w:tcBorders>
          </w:tcPr>
          <w:p>
            <w:pPr>
              <w:jc w:val="center"/>
              <w:ind w:right="4"/>
              <w:spacing w:after="0"/>
              <w:rPr>
                <w:sz w:val="20"/>
                <w:szCs w:val="20"/>
                <w:color w:val="auto"/>
              </w:rPr>
            </w:pPr>
            <w:r>
              <w:rPr>
                <w:rFonts w:ascii="Arial" w:cs="Arial" w:eastAsia="Arial" w:hAnsi="Arial"/>
                <w:sz w:val="16"/>
                <w:szCs w:val="16"/>
                <w:color w:val="1E1E1E"/>
                <w:w w:val="89"/>
              </w:rPr>
              <w:t>2023</w:t>
            </w:r>
          </w:p>
        </w:tc>
        <w:tc>
          <w:tcPr>
            <w:tcW w:w="20" w:type="dxa"/>
            <w:vAlign w:val="bottom"/>
            <w:tcBorders>
              <w:bottom w:val="single" w:sz="8" w:color="1E1E1E"/>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900" w:type="dxa"/>
            <w:vAlign w:val="bottom"/>
            <w:tcBorders>
              <w:bottom w:val="single" w:sz="8" w:color="1E1E1E"/>
            </w:tcBorders>
          </w:tcPr>
          <w:p>
            <w:pPr>
              <w:jc w:val="right"/>
              <w:ind w:right="264"/>
              <w:spacing w:after="0"/>
              <w:rPr>
                <w:sz w:val="20"/>
                <w:szCs w:val="20"/>
                <w:color w:val="auto"/>
              </w:rPr>
            </w:pPr>
            <w:r>
              <w:rPr>
                <w:rFonts w:ascii="Arial" w:cs="Arial" w:eastAsia="Arial" w:hAnsi="Arial"/>
                <w:sz w:val="16"/>
                <w:szCs w:val="16"/>
                <w:color w:val="1E1E1E"/>
              </w:rPr>
              <w:t>2022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6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4"/>
          </w:tcPr>
          <w:p>
            <w:pPr>
              <w:jc w:val="center"/>
              <w:ind w:right="220"/>
              <w:spacing w:after="0"/>
              <w:rPr>
                <w:sz w:val="20"/>
                <w:szCs w:val="20"/>
                <w:color w:val="auto"/>
              </w:rPr>
            </w:pPr>
            <w:r>
              <w:rPr>
                <w:rFonts w:ascii="Arial" w:cs="Arial" w:eastAsia="Arial" w:hAnsi="Arial"/>
                <w:sz w:val="16"/>
                <w:szCs w:val="16"/>
                <w:color w:val="1E1E1E"/>
                <w:w w:val="90"/>
              </w:rPr>
              <w:t>(in thousands)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1E1E1E"/>
            </w:tcBorders>
            <w:gridSpan w:val="2"/>
            <w:vMerge w:val="restart"/>
          </w:tcPr>
          <w:p>
            <w:pPr>
              <w:spacing w:after="0"/>
              <w:rPr>
                <w:sz w:val="20"/>
                <w:szCs w:val="20"/>
                <w:color w:val="auto"/>
              </w:rPr>
            </w:pPr>
            <w:r>
              <w:rPr>
                <w:rFonts w:ascii="Arial" w:cs="Arial" w:eastAsia="Arial" w:hAnsi="Arial"/>
                <w:sz w:val="20"/>
                <w:szCs w:val="20"/>
                <w:color w:val="1E1E1E"/>
                <w:w w:val="99"/>
              </w:rPr>
              <w:t>Interest cost on</w:t>
            </w:r>
          </w:p>
        </w:tc>
        <w:tc>
          <w:tcPr>
            <w:tcW w:w="3580" w:type="dxa"/>
            <w:vAlign w:val="bottom"/>
            <w:gridSpan w:val="2"/>
            <w:vMerge w:val="restart"/>
          </w:tcPr>
          <w:p>
            <w:pPr>
              <w:spacing w:after="0"/>
              <w:rPr>
                <w:sz w:val="20"/>
                <w:szCs w:val="20"/>
                <w:color w:val="auto"/>
              </w:rPr>
            </w:pPr>
            <w:r>
              <w:rPr>
                <w:rFonts w:ascii="Arial" w:cs="Arial" w:eastAsia="Arial" w:hAnsi="Arial"/>
                <w:sz w:val="20"/>
                <w:szCs w:val="20"/>
                <w:color w:val="1E1E1E"/>
              </w:rPr>
              <w:t>projected benefit obligation</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380" w:type="dxa"/>
            <w:vAlign w:val="bottom"/>
            <w:gridSpan w:val="2"/>
            <w:vMerge w:val="continue"/>
          </w:tcPr>
          <w:p>
            <w:pPr>
              <w:spacing w:after="0"/>
              <w:rPr>
                <w:sz w:val="18"/>
                <w:szCs w:val="18"/>
                <w:color w:val="auto"/>
              </w:rPr>
            </w:pPr>
          </w:p>
        </w:tc>
        <w:tc>
          <w:tcPr>
            <w:tcW w:w="3580" w:type="dxa"/>
            <w:vAlign w:val="bottom"/>
            <w:gridSpan w:val="2"/>
            <w:vMerge w:val="continue"/>
          </w:tcPr>
          <w:p>
            <w:pPr>
              <w:spacing w:after="0"/>
              <w:rPr>
                <w:sz w:val="18"/>
                <w:szCs w:val="18"/>
                <w:color w:val="auto"/>
              </w:rPr>
            </w:pPr>
          </w:p>
        </w:tc>
        <w:tc>
          <w:tcPr>
            <w:tcW w:w="240" w:type="dxa"/>
            <w:vAlign w:val="bottom"/>
            <w:gridSpan w:val="2"/>
          </w:tcPr>
          <w:p>
            <w:pPr>
              <w:jc w:val="right"/>
              <w:spacing w:after="0" w:line="210" w:lineRule="exact"/>
              <w:rPr>
                <w:sz w:val="20"/>
                <w:szCs w:val="20"/>
                <w:color w:val="auto"/>
              </w:rPr>
            </w:pPr>
            <w:r>
              <w:rPr>
                <w:rFonts w:ascii="Arial" w:cs="Arial" w:eastAsia="Arial" w:hAnsi="Arial"/>
                <w:sz w:val="20"/>
                <w:szCs w:val="20"/>
                <w:color w:val="1E1E1E"/>
              </w:rPr>
              <w:t>$</w:t>
            </w:r>
          </w:p>
        </w:tc>
        <w:tc>
          <w:tcPr>
            <w:tcW w:w="900" w:type="dxa"/>
            <w:vAlign w:val="bottom"/>
          </w:tcPr>
          <w:p>
            <w:pPr>
              <w:jc w:val="right"/>
              <w:spacing w:after="0" w:line="210" w:lineRule="exact"/>
              <w:rPr>
                <w:sz w:val="20"/>
                <w:szCs w:val="20"/>
                <w:color w:val="auto"/>
              </w:rPr>
            </w:pPr>
            <w:r>
              <w:rPr>
                <w:rFonts w:ascii="Arial" w:cs="Arial" w:eastAsia="Arial" w:hAnsi="Arial"/>
                <w:sz w:val="20"/>
                <w:szCs w:val="20"/>
                <w:color w:val="1E1E1E"/>
              </w:rPr>
              <w:t>294</w:t>
            </w:r>
          </w:p>
        </w:tc>
        <w:tc>
          <w:tcPr>
            <w:tcW w:w="200" w:type="dxa"/>
            <w:vAlign w:val="bottom"/>
          </w:tcPr>
          <w:p>
            <w:pPr>
              <w:spacing w:after="0"/>
              <w:rPr>
                <w:sz w:val="18"/>
                <w:szCs w:val="18"/>
                <w:color w:val="auto"/>
              </w:rPr>
            </w:pPr>
          </w:p>
        </w:tc>
        <w:tc>
          <w:tcPr>
            <w:tcW w:w="120" w:type="dxa"/>
            <w:vAlign w:val="bottom"/>
            <w:gridSpan w:val="2"/>
          </w:tcPr>
          <w:p>
            <w:pPr>
              <w:jc w:val="right"/>
              <w:spacing w:after="0" w:line="210" w:lineRule="exact"/>
              <w:rPr>
                <w:sz w:val="20"/>
                <w:szCs w:val="20"/>
                <w:color w:val="auto"/>
              </w:rPr>
            </w:pPr>
            <w:r>
              <w:rPr>
                <w:rFonts w:ascii="Arial" w:cs="Arial" w:eastAsia="Arial" w:hAnsi="Arial"/>
                <w:sz w:val="20"/>
                <w:szCs w:val="20"/>
                <w:color w:val="1E1E1E"/>
                <w:w w:val="71"/>
              </w:rPr>
              <w:t>$</w:t>
            </w:r>
          </w:p>
        </w:tc>
        <w:tc>
          <w:tcPr>
            <w:tcW w:w="920" w:type="dxa"/>
            <w:vAlign w:val="bottom"/>
            <w:gridSpan w:val="2"/>
          </w:tcPr>
          <w:p>
            <w:pPr>
              <w:jc w:val="right"/>
              <w:spacing w:after="0" w:line="210" w:lineRule="exact"/>
              <w:rPr>
                <w:sz w:val="20"/>
                <w:szCs w:val="20"/>
                <w:color w:val="auto"/>
              </w:rPr>
            </w:pPr>
            <w:r>
              <w:rPr>
                <w:rFonts w:ascii="Arial" w:cs="Arial" w:eastAsia="Arial" w:hAnsi="Arial"/>
                <w:sz w:val="20"/>
                <w:szCs w:val="20"/>
                <w:color w:val="1E1E1E"/>
              </w:rPr>
              <w:t>414</w:t>
            </w:r>
          </w:p>
        </w:tc>
        <w:tc>
          <w:tcPr>
            <w:tcW w:w="200" w:type="dxa"/>
            <w:vAlign w:val="bottom"/>
          </w:tcPr>
          <w:p>
            <w:pPr>
              <w:spacing w:after="0"/>
              <w:rPr>
                <w:sz w:val="18"/>
                <w:szCs w:val="18"/>
                <w:color w:val="auto"/>
              </w:rPr>
            </w:pPr>
          </w:p>
        </w:tc>
        <w:tc>
          <w:tcPr>
            <w:tcW w:w="120" w:type="dxa"/>
            <w:vAlign w:val="bottom"/>
          </w:tcPr>
          <w:p>
            <w:pPr>
              <w:jc w:val="right"/>
              <w:spacing w:after="0" w:line="210" w:lineRule="exact"/>
              <w:rPr>
                <w:sz w:val="20"/>
                <w:szCs w:val="20"/>
                <w:color w:val="auto"/>
              </w:rPr>
            </w:pPr>
            <w:r>
              <w:rPr>
                <w:rFonts w:ascii="Arial" w:cs="Arial" w:eastAsia="Arial" w:hAnsi="Arial"/>
                <w:sz w:val="20"/>
                <w:szCs w:val="20"/>
                <w:color w:val="1E1E1E"/>
                <w:w w:val="71"/>
              </w:rPr>
              <w:t>$</w:t>
            </w:r>
          </w:p>
        </w:tc>
        <w:tc>
          <w:tcPr>
            <w:tcW w:w="900" w:type="dxa"/>
            <w:vAlign w:val="bottom"/>
          </w:tcPr>
          <w:p>
            <w:pPr>
              <w:jc w:val="right"/>
              <w:spacing w:after="0" w:line="210" w:lineRule="exact"/>
              <w:rPr>
                <w:sz w:val="20"/>
                <w:szCs w:val="20"/>
                <w:color w:val="auto"/>
              </w:rPr>
            </w:pPr>
            <w:r>
              <w:rPr>
                <w:rFonts w:ascii="Arial" w:cs="Arial" w:eastAsia="Arial" w:hAnsi="Arial"/>
                <w:sz w:val="20"/>
                <w:szCs w:val="20"/>
                <w:color w:val="1E1E1E"/>
              </w:rPr>
              <w:t>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4"/>
            <w:shd w:val="clear" w:color="auto" w:fill="E4E4E4"/>
          </w:tcPr>
          <w:p>
            <w:pPr>
              <w:spacing w:after="0"/>
              <w:rPr>
                <w:sz w:val="20"/>
                <w:szCs w:val="20"/>
                <w:color w:val="auto"/>
              </w:rPr>
            </w:pPr>
            <w:r>
              <w:rPr>
                <w:rFonts w:ascii="Arial" w:cs="Arial" w:eastAsia="Arial" w:hAnsi="Arial"/>
                <w:sz w:val="20"/>
                <w:szCs w:val="20"/>
                <w:color w:val="1E1E1E"/>
              </w:rPr>
              <w:t>Expected return on plan assets</w:t>
            </w:r>
          </w:p>
        </w:tc>
        <w:tc>
          <w:tcPr>
            <w:tcW w:w="1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100" w:type="dxa"/>
            <w:vAlign w:val="bottom"/>
            <w:gridSpan w:val="2"/>
            <w:shd w:val="clear" w:color="auto" w:fill="E4E4E4"/>
          </w:tcPr>
          <w:p>
            <w:pPr>
              <w:jc w:val="right"/>
              <w:ind w:right="120"/>
              <w:spacing w:after="0"/>
              <w:rPr>
                <w:sz w:val="20"/>
                <w:szCs w:val="20"/>
                <w:color w:val="auto"/>
              </w:rPr>
            </w:pPr>
            <w:r>
              <w:rPr>
                <w:rFonts w:ascii="Arial" w:cs="Arial" w:eastAsia="Arial" w:hAnsi="Arial"/>
                <w:sz w:val="20"/>
                <w:szCs w:val="20"/>
                <w:color w:val="1E1E1E"/>
              </w:rPr>
              <w:t>(325)</w:t>
            </w: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20" w:type="dxa"/>
            <w:vAlign w:val="bottom"/>
            <w:gridSpan w:val="3"/>
            <w:shd w:val="clear" w:color="auto" w:fill="E4E4E4"/>
          </w:tcPr>
          <w:p>
            <w:pPr>
              <w:jc w:val="right"/>
              <w:ind w:right="140"/>
              <w:spacing w:after="0"/>
              <w:rPr>
                <w:sz w:val="20"/>
                <w:szCs w:val="20"/>
                <w:color w:val="auto"/>
              </w:rPr>
            </w:pPr>
            <w:r>
              <w:rPr>
                <w:rFonts w:ascii="Arial" w:cs="Arial" w:eastAsia="Arial" w:hAnsi="Arial"/>
                <w:sz w:val="20"/>
                <w:szCs w:val="20"/>
                <w:color w:val="1E1E1E"/>
              </w:rPr>
              <w:t>(723)</w:t>
            </w:r>
          </w:p>
        </w:tc>
        <w:tc>
          <w:tcPr>
            <w:tcW w:w="120" w:type="dxa"/>
            <w:vAlign w:val="bottom"/>
            <w:shd w:val="clear" w:color="auto" w:fill="E4E4E4"/>
          </w:tcPr>
          <w:p>
            <w:pPr>
              <w:spacing w:after="0"/>
              <w:rPr>
                <w:sz w:val="20"/>
                <w:szCs w:val="20"/>
                <w:color w:val="auto"/>
              </w:rPr>
            </w:pPr>
          </w:p>
        </w:tc>
        <w:tc>
          <w:tcPr>
            <w:tcW w:w="980" w:type="dxa"/>
            <w:vAlign w:val="bottom"/>
            <w:gridSpan w:val="2"/>
            <w:shd w:val="clear" w:color="auto" w:fill="E4E4E4"/>
          </w:tcPr>
          <w:p>
            <w:pPr>
              <w:jc w:val="right"/>
              <w:ind w:right="20"/>
              <w:spacing w:after="0"/>
              <w:rPr>
                <w:sz w:val="20"/>
                <w:szCs w:val="20"/>
                <w:color w:val="auto"/>
              </w:rPr>
            </w:pPr>
            <w:r>
              <w:rPr>
                <w:rFonts w:ascii="Arial" w:cs="Arial" w:eastAsia="Arial" w:hAnsi="Arial"/>
                <w:sz w:val="20"/>
                <w:szCs w:val="20"/>
                <w:color w:val="1E1E1E"/>
              </w:rPr>
              <w:t>(728)</w:t>
            </w:r>
          </w:p>
        </w:tc>
        <w:tc>
          <w:tcPr>
            <w:tcW w:w="0" w:type="dxa"/>
            <w:vAlign w:val="bottom"/>
          </w:tcPr>
          <w:p>
            <w:pPr>
              <w:spacing w:after="0"/>
              <w:rPr>
                <w:sz w:val="1"/>
                <w:szCs w:val="1"/>
                <w:color w:val="auto"/>
              </w:rPr>
            </w:pPr>
          </w:p>
        </w:tc>
      </w:tr>
      <w:tr>
        <w:trPr>
          <w:trHeight w:val="228"/>
        </w:trPr>
        <w:tc>
          <w:tcPr>
            <w:tcW w:w="4960" w:type="dxa"/>
            <w:vAlign w:val="bottom"/>
            <w:tcBorders>
              <w:bottom w:val="single" w:sz="8" w:color="E4E4E4"/>
            </w:tcBorders>
            <w:gridSpan w:val="4"/>
          </w:tcPr>
          <w:p>
            <w:pPr>
              <w:spacing w:after="0" w:line="228" w:lineRule="exact"/>
              <w:rPr>
                <w:sz w:val="20"/>
                <w:szCs w:val="20"/>
                <w:color w:val="auto"/>
              </w:rPr>
            </w:pPr>
            <w:r>
              <w:rPr>
                <w:rFonts w:ascii="Arial" w:cs="Arial" w:eastAsia="Arial" w:hAnsi="Arial"/>
                <w:sz w:val="20"/>
                <w:szCs w:val="20"/>
                <w:color w:val="1E1E1E"/>
              </w:rPr>
              <w:t>Amortization of unrecognized loss</w:t>
            </w:r>
          </w:p>
        </w:tc>
        <w:tc>
          <w:tcPr>
            <w:tcW w:w="120" w:type="dxa"/>
            <w:vAlign w:val="bottom"/>
            <w:tcBorders>
              <w:bottom w:val="single" w:sz="8" w:color="E4E4E4"/>
            </w:tcBorders>
          </w:tcPr>
          <w:p>
            <w:pPr>
              <w:spacing w:after="0"/>
              <w:rPr>
                <w:sz w:val="19"/>
                <w:szCs w:val="19"/>
                <w:color w:val="auto"/>
              </w:rPr>
            </w:pPr>
          </w:p>
        </w:tc>
        <w:tc>
          <w:tcPr>
            <w:tcW w:w="120" w:type="dxa"/>
            <w:vAlign w:val="bottom"/>
            <w:tcBorders>
              <w:bottom w:val="single" w:sz="8" w:color="1E1E1E"/>
            </w:tcBorders>
          </w:tcPr>
          <w:p>
            <w:pPr>
              <w:spacing w:after="0"/>
              <w:rPr>
                <w:sz w:val="19"/>
                <w:szCs w:val="19"/>
                <w:color w:val="auto"/>
              </w:rPr>
            </w:pPr>
          </w:p>
        </w:tc>
        <w:tc>
          <w:tcPr>
            <w:tcW w:w="900" w:type="dxa"/>
            <w:vAlign w:val="bottom"/>
            <w:tcBorders>
              <w:bottom w:val="single" w:sz="8" w:color="1E1E1E"/>
            </w:tcBorders>
          </w:tcPr>
          <w:p>
            <w:pPr>
              <w:jc w:val="right"/>
              <w:spacing w:after="0" w:line="228" w:lineRule="exact"/>
              <w:rPr>
                <w:sz w:val="20"/>
                <w:szCs w:val="20"/>
                <w:color w:val="auto"/>
              </w:rPr>
            </w:pPr>
            <w:r>
              <w:rPr>
                <w:rFonts w:ascii="Arial" w:cs="Arial" w:eastAsia="Arial" w:hAnsi="Arial"/>
                <w:sz w:val="20"/>
                <w:szCs w:val="20"/>
                <w:color w:val="1E1E1E"/>
              </w:rPr>
              <w:t>133</w:t>
            </w:r>
          </w:p>
        </w:tc>
        <w:tc>
          <w:tcPr>
            <w:tcW w:w="200" w:type="dxa"/>
            <w:vAlign w:val="bottom"/>
            <w:tcBorders>
              <w:bottom w:val="single" w:sz="8" w:color="E4E4E4"/>
            </w:tcBorders>
          </w:tcPr>
          <w:p>
            <w:pPr>
              <w:spacing w:after="0"/>
              <w:rPr>
                <w:sz w:val="19"/>
                <w:szCs w:val="19"/>
                <w:color w:val="auto"/>
              </w:rPr>
            </w:pPr>
          </w:p>
        </w:tc>
        <w:tc>
          <w:tcPr>
            <w:tcW w:w="20" w:type="dxa"/>
            <w:vAlign w:val="bottom"/>
            <w:tcBorders>
              <w:bottom w:val="single" w:sz="8" w:color="1E1E1E"/>
            </w:tcBorders>
          </w:tcPr>
          <w:p>
            <w:pPr>
              <w:spacing w:after="0"/>
              <w:rPr>
                <w:sz w:val="19"/>
                <w:szCs w:val="19"/>
                <w:color w:val="auto"/>
              </w:rPr>
            </w:pPr>
          </w:p>
        </w:tc>
        <w:tc>
          <w:tcPr>
            <w:tcW w:w="100" w:type="dxa"/>
            <w:vAlign w:val="bottom"/>
            <w:tcBorders>
              <w:bottom w:val="single" w:sz="8" w:color="1E1E1E"/>
            </w:tcBorders>
          </w:tcPr>
          <w:p>
            <w:pPr>
              <w:spacing w:after="0"/>
              <w:rPr>
                <w:sz w:val="19"/>
                <w:szCs w:val="19"/>
                <w:color w:val="auto"/>
              </w:rPr>
            </w:pPr>
          </w:p>
        </w:tc>
        <w:tc>
          <w:tcPr>
            <w:tcW w:w="920" w:type="dxa"/>
            <w:vAlign w:val="bottom"/>
            <w:tcBorders>
              <w:bottom w:val="single" w:sz="8" w:color="1E1E1E"/>
            </w:tcBorders>
            <w:gridSpan w:val="2"/>
          </w:tcPr>
          <w:p>
            <w:pPr>
              <w:jc w:val="right"/>
              <w:spacing w:after="0" w:line="228" w:lineRule="exact"/>
              <w:rPr>
                <w:sz w:val="20"/>
                <w:szCs w:val="20"/>
                <w:color w:val="auto"/>
              </w:rPr>
            </w:pPr>
            <w:r>
              <w:rPr>
                <w:rFonts w:ascii="Arial" w:cs="Arial" w:eastAsia="Arial" w:hAnsi="Arial"/>
                <w:sz w:val="20"/>
                <w:szCs w:val="20"/>
                <w:color w:val="1E1E1E"/>
              </w:rPr>
              <w:t>270</w:t>
            </w:r>
          </w:p>
        </w:tc>
        <w:tc>
          <w:tcPr>
            <w:tcW w:w="200" w:type="dxa"/>
            <w:vAlign w:val="bottom"/>
            <w:tcBorders>
              <w:bottom w:val="single" w:sz="8" w:color="E4E4E4"/>
            </w:tcBorders>
          </w:tcPr>
          <w:p>
            <w:pPr>
              <w:spacing w:after="0"/>
              <w:rPr>
                <w:sz w:val="19"/>
                <w:szCs w:val="19"/>
                <w:color w:val="auto"/>
              </w:rPr>
            </w:pPr>
          </w:p>
        </w:tc>
        <w:tc>
          <w:tcPr>
            <w:tcW w:w="120" w:type="dxa"/>
            <w:vAlign w:val="bottom"/>
            <w:tcBorders>
              <w:bottom w:val="single" w:sz="8" w:color="1E1E1E"/>
            </w:tcBorders>
          </w:tcPr>
          <w:p>
            <w:pPr>
              <w:spacing w:after="0"/>
              <w:rPr>
                <w:sz w:val="19"/>
                <w:szCs w:val="19"/>
                <w:color w:val="auto"/>
              </w:rPr>
            </w:pPr>
          </w:p>
        </w:tc>
        <w:tc>
          <w:tcPr>
            <w:tcW w:w="900" w:type="dxa"/>
            <w:vAlign w:val="bottom"/>
            <w:tcBorders>
              <w:bottom w:val="single" w:sz="8" w:color="1E1E1E"/>
            </w:tcBorders>
          </w:tcPr>
          <w:p>
            <w:pPr>
              <w:jc w:val="right"/>
              <w:spacing w:after="0" w:line="228" w:lineRule="exact"/>
              <w:rPr>
                <w:sz w:val="20"/>
                <w:szCs w:val="20"/>
                <w:color w:val="auto"/>
              </w:rPr>
            </w:pPr>
            <w:r>
              <w:rPr>
                <w:rFonts w:ascii="Arial" w:cs="Arial" w:eastAsia="Arial" w:hAnsi="Arial"/>
                <w:sz w:val="20"/>
                <w:szCs w:val="20"/>
                <w:color w:val="1E1E1E"/>
              </w:rPr>
              <w:t>314</w:t>
            </w:r>
          </w:p>
        </w:tc>
        <w:tc>
          <w:tcPr>
            <w:tcW w:w="8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60" w:type="dxa"/>
            <w:vAlign w:val="bottom"/>
            <w:gridSpan w:val="4"/>
            <w:shd w:val="clear" w:color="auto" w:fill="E4E4E4"/>
          </w:tcPr>
          <w:p>
            <w:pPr>
              <w:spacing w:after="0" w:line="220" w:lineRule="exact"/>
              <w:rPr>
                <w:sz w:val="20"/>
                <w:szCs w:val="20"/>
                <w:color w:val="auto"/>
              </w:rPr>
            </w:pPr>
            <w:r>
              <w:rPr>
                <w:rFonts w:ascii="Arial" w:cs="Arial" w:eastAsia="Arial" w:hAnsi="Arial"/>
                <w:sz w:val="20"/>
                <w:szCs w:val="20"/>
                <w:color w:val="1E1E1E"/>
              </w:rPr>
              <w:t>Net pension cost</w:t>
            </w:r>
          </w:p>
        </w:tc>
        <w:tc>
          <w:tcPr>
            <w:tcW w:w="120" w:type="dxa"/>
            <w:vAlign w:val="bottom"/>
            <w:shd w:val="clear" w:color="auto" w:fill="E4E4E4"/>
          </w:tcPr>
          <w:p>
            <w:pPr>
              <w:spacing w:after="0"/>
              <w:rPr>
                <w:sz w:val="19"/>
                <w:szCs w:val="19"/>
                <w:color w:val="auto"/>
              </w:rPr>
            </w:pPr>
          </w:p>
        </w:tc>
        <w:tc>
          <w:tcPr>
            <w:tcW w:w="120" w:type="dxa"/>
            <w:vAlign w:val="bottom"/>
            <w:shd w:val="clear" w:color="auto" w:fill="E4E4E4"/>
          </w:tcPr>
          <w:p>
            <w:pPr>
              <w:jc w:val="right"/>
              <w:spacing w:after="0" w:line="223" w:lineRule="exact"/>
              <w:rPr>
                <w:sz w:val="20"/>
                <w:szCs w:val="20"/>
                <w:color w:val="auto"/>
              </w:rPr>
            </w:pPr>
            <w:r>
              <w:rPr>
                <w:rFonts w:ascii="Arial" w:cs="Arial" w:eastAsia="Arial" w:hAnsi="Arial"/>
                <w:sz w:val="20"/>
                <w:szCs w:val="20"/>
                <w:color w:val="1E1E1E"/>
                <w:w w:val="71"/>
              </w:rPr>
              <w:t>$</w:t>
            </w:r>
          </w:p>
        </w:tc>
        <w:tc>
          <w:tcPr>
            <w:tcW w:w="900" w:type="dxa"/>
            <w:vAlign w:val="bottom"/>
            <w:shd w:val="clear" w:color="auto" w:fill="E4E4E4"/>
          </w:tcPr>
          <w:p>
            <w:pPr>
              <w:jc w:val="right"/>
              <w:spacing w:after="0" w:line="223" w:lineRule="exact"/>
              <w:rPr>
                <w:sz w:val="20"/>
                <w:szCs w:val="20"/>
                <w:color w:val="auto"/>
              </w:rPr>
            </w:pPr>
            <w:r>
              <w:rPr>
                <w:rFonts w:ascii="Arial" w:cs="Arial" w:eastAsia="Arial" w:hAnsi="Arial"/>
                <w:sz w:val="20"/>
                <w:szCs w:val="20"/>
                <w:color w:val="1E1E1E"/>
              </w:rPr>
              <w:t>102</w:t>
            </w: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rPr>
                <w:sz w:val="20"/>
                <w:szCs w:val="20"/>
                <w:color w:val="auto"/>
              </w:rPr>
            </w:pPr>
            <w:r>
              <w:rPr>
                <w:rFonts w:ascii="Arial" w:cs="Arial" w:eastAsia="Arial" w:hAnsi="Arial"/>
                <w:sz w:val="15"/>
                <w:szCs w:val="15"/>
                <w:color w:val="1E1E1E"/>
                <w:w w:val="71"/>
              </w:rPr>
              <w:t>$</w:t>
            </w:r>
          </w:p>
        </w:tc>
        <w:tc>
          <w:tcPr>
            <w:tcW w:w="900" w:type="dxa"/>
            <w:vAlign w:val="bottom"/>
            <w:shd w:val="clear" w:color="auto" w:fill="E4E4E4"/>
          </w:tcPr>
          <w:p>
            <w:pPr>
              <w:jc w:val="right"/>
              <w:spacing w:after="0" w:line="223" w:lineRule="exact"/>
              <w:rPr>
                <w:sz w:val="20"/>
                <w:szCs w:val="20"/>
                <w:color w:val="auto"/>
              </w:rPr>
            </w:pPr>
            <w:r>
              <w:rPr>
                <w:rFonts w:ascii="Arial" w:cs="Arial" w:eastAsia="Arial" w:hAnsi="Arial"/>
                <w:sz w:val="20"/>
                <w:szCs w:val="20"/>
                <w:color w:val="1E1E1E"/>
              </w:rPr>
              <w:t>(39)</w:t>
            </w:r>
          </w:p>
        </w:tc>
        <w:tc>
          <w:tcPr>
            <w:tcW w:w="2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20" w:type="dxa"/>
            <w:vAlign w:val="bottom"/>
            <w:shd w:val="clear" w:color="auto" w:fill="E4E4E4"/>
          </w:tcPr>
          <w:p>
            <w:pPr>
              <w:jc w:val="right"/>
              <w:spacing w:after="0" w:line="223" w:lineRule="exact"/>
              <w:rPr>
                <w:sz w:val="20"/>
                <w:szCs w:val="20"/>
                <w:color w:val="auto"/>
              </w:rPr>
            </w:pPr>
            <w:r>
              <w:rPr>
                <w:rFonts w:ascii="Arial" w:cs="Arial" w:eastAsia="Arial" w:hAnsi="Arial"/>
                <w:sz w:val="20"/>
                <w:szCs w:val="20"/>
                <w:color w:val="1E1E1E"/>
                <w:w w:val="71"/>
              </w:rPr>
              <w:t>$</w:t>
            </w:r>
          </w:p>
        </w:tc>
        <w:tc>
          <w:tcPr>
            <w:tcW w:w="900" w:type="dxa"/>
            <w:vAlign w:val="bottom"/>
            <w:shd w:val="clear" w:color="auto" w:fill="E4E4E4"/>
          </w:tcPr>
          <w:p>
            <w:pPr>
              <w:jc w:val="right"/>
              <w:spacing w:after="0" w:line="223" w:lineRule="exact"/>
              <w:rPr>
                <w:sz w:val="20"/>
                <w:szCs w:val="20"/>
                <w:color w:val="auto"/>
              </w:rPr>
            </w:pPr>
            <w:r>
              <w:rPr>
                <w:rFonts w:ascii="Arial" w:cs="Arial" w:eastAsia="Arial" w:hAnsi="Arial"/>
                <w:sz w:val="20"/>
                <w:szCs w:val="20"/>
                <w:color w:val="1E1E1E"/>
              </w:rPr>
              <w:t>(41)</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120" w:type="dxa"/>
            <w:vAlign w:val="bottom"/>
          </w:tcPr>
          <w:p>
            <w:pPr>
              <w:spacing w:after="0"/>
              <w:rPr>
                <w:sz w:val="3"/>
                <w:szCs w:val="3"/>
                <w:color w:val="auto"/>
              </w:rPr>
            </w:pPr>
          </w:p>
        </w:tc>
        <w:tc>
          <w:tcPr>
            <w:tcW w:w="330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960" w:type="dxa"/>
            <w:vAlign w:val="bottom"/>
            <w:gridSpan w:val="4"/>
            <w:shd w:val="clear" w:color="auto" w:fill="E4E4E4"/>
          </w:tcPr>
          <w:p>
            <w:pPr>
              <w:spacing w:after="0" w:line="207" w:lineRule="exact"/>
              <w:rPr>
                <w:sz w:val="20"/>
                <w:szCs w:val="20"/>
                <w:color w:val="auto"/>
              </w:rPr>
            </w:pPr>
            <w:r>
              <w:rPr>
                <w:rFonts w:ascii="Arial" w:cs="Arial" w:eastAsia="Arial" w:hAnsi="Arial"/>
                <w:sz w:val="20"/>
                <w:szCs w:val="20"/>
                <w:color w:val="1E1E1E"/>
                <w:w w:val="99"/>
              </w:rPr>
              <w:t>Other changes recognized in other comprehensive loss,</w:t>
            </w:r>
          </w:p>
        </w:tc>
        <w:tc>
          <w:tcPr>
            <w:tcW w:w="1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90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90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90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1E1E1E"/>
            </w:tcBorders>
            <w:gridSpan w:val="3"/>
            <w:shd w:val="clear" w:color="auto" w:fill="E4E4E4"/>
          </w:tcPr>
          <w:p>
            <w:pPr>
              <w:ind w:left="160"/>
              <w:spacing w:after="0" w:line="210" w:lineRule="exact"/>
              <w:rPr>
                <w:sz w:val="20"/>
                <w:szCs w:val="20"/>
                <w:color w:val="auto"/>
              </w:rPr>
            </w:pPr>
            <w:r>
              <w:rPr>
                <w:rFonts w:ascii="Arial" w:cs="Arial" w:eastAsia="Arial" w:hAnsi="Arial"/>
                <w:sz w:val="20"/>
                <w:szCs w:val="20"/>
                <w:color w:val="1E1E1E"/>
              </w:rPr>
              <w:t>before taxes:</w:t>
            </w:r>
          </w:p>
        </w:tc>
        <w:tc>
          <w:tcPr>
            <w:tcW w:w="540" w:type="dxa"/>
            <w:vAlign w:val="bottom"/>
            <w:tcBorders>
              <w:top w:val="single" w:sz="8" w:color="E4E4E4"/>
            </w:tcBorders>
            <w:shd w:val="clear" w:color="auto" w:fill="E4E4E4"/>
          </w:tcPr>
          <w:p>
            <w:pPr>
              <w:spacing w:after="0"/>
              <w:rPr>
                <w:sz w:val="18"/>
                <w:szCs w:val="18"/>
                <w:color w:val="auto"/>
              </w:rPr>
            </w:pPr>
          </w:p>
        </w:tc>
        <w:tc>
          <w:tcPr>
            <w:tcW w:w="120" w:type="dxa"/>
            <w:vAlign w:val="bottom"/>
            <w:tcBorders>
              <w:top w:val="single" w:sz="8" w:color="E4E4E4"/>
            </w:tcBorders>
            <w:shd w:val="clear" w:color="auto" w:fill="E4E4E4"/>
          </w:tcPr>
          <w:p>
            <w:pPr>
              <w:spacing w:after="0"/>
              <w:rPr>
                <w:sz w:val="18"/>
                <w:szCs w:val="18"/>
                <w:color w:val="auto"/>
              </w:rPr>
            </w:pPr>
          </w:p>
        </w:tc>
        <w:tc>
          <w:tcPr>
            <w:tcW w:w="120" w:type="dxa"/>
            <w:vAlign w:val="bottom"/>
            <w:tcBorders>
              <w:top w:val="single" w:sz="8" w:color="E4E4E4"/>
            </w:tcBorders>
            <w:shd w:val="clear" w:color="auto" w:fill="E4E4E4"/>
          </w:tcPr>
          <w:p>
            <w:pPr>
              <w:spacing w:after="0"/>
              <w:rPr>
                <w:sz w:val="18"/>
                <w:szCs w:val="18"/>
                <w:color w:val="auto"/>
              </w:rPr>
            </w:pPr>
          </w:p>
        </w:tc>
        <w:tc>
          <w:tcPr>
            <w:tcW w:w="900" w:type="dxa"/>
            <w:vAlign w:val="bottom"/>
            <w:tcBorders>
              <w:top w:val="single" w:sz="8" w:color="E4E4E4"/>
            </w:tcBorders>
            <w:shd w:val="clear" w:color="auto" w:fill="E4E4E4"/>
          </w:tcPr>
          <w:p>
            <w:pPr>
              <w:spacing w:after="0"/>
              <w:rPr>
                <w:sz w:val="18"/>
                <w:szCs w:val="18"/>
                <w:color w:val="auto"/>
              </w:rPr>
            </w:pPr>
          </w:p>
        </w:tc>
        <w:tc>
          <w:tcPr>
            <w:tcW w:w="20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E4E4E4"/>
            </w:tcBorders>
            <w:shd w:val="clear" w:color="auto" w:fill="E4E4E4"/>
          </w:tcPr>
          <w:p>
            <w:pPr>
              <w:spacing w:after="0"/>
              <w:rPr>
                <w:sz w:val="18"/>
                <w:szCs w:val="18"/>
                <w:color w:val="auto"/>
              </w:rPr>
            </w:pPr>
          </w:p>
        </w:tc>
        <w:tc>
          <w:tcPr>
            <w:tcW w:w="90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200" w:type="dxa"/>
            <w:vAlign w:val="bottom"/>
            <w:tcBorders>
              <w:top w:val="single" w:sz="8" w:color="E4E4E4"/>
            </w:tcBorders>
            <w:shd w:val="clear" w:color="auto" w:fill="E4E4E4"/>
          </w:tcPr>
          <w:p>
            <w:pPr>
              <w:spacing w:after="0"/>
              <w:rPr>
                <w:sz w:val="18"/>
                <w:szCs w:val="18"/>
                <w:color w:val="auto"/>
              </w:rPr>
            </w:pPr>
          </w:p>
        </w:tc>
        <w:tc>
          <w:tcPr>
            <w:tcW w:w="120" w:type="dxa"/>
            <w:vAlign w:val="bottom"/>
            <w:tcBorders>
              <w:top w:val="single" w:sz="8" w:color="E4E4E4"/>
            </w:tcBorders>
            <w:shd w:val="clear" w:color="auto" w:fill="E4E4E4"/>
          </w:tcPr>
          <w:p>
            <w:pPr>
              <w:spacing w:after="0"/>
              <w:rPr>
                <w:sz w:val="18"/>
                <w:szCs w:val="18"/>
                <w:color w:val="auto"/>
              </w:rPr>
            </w:pPr>
          </w:p>
        </w:tc>
        <w:tc>
          <w:tcPr>
            <w:tcW w:w="900" w:type="dxa"/>
            <w:vAlign w:val="bottom"/>
            <w:tcBorders>
              <w:top w:val="single" w:sz="8" w:color="E4E4E4"/>
            </w:tcBorders>
            <w:shd w:val="clear" w:color="auto" w:fill="E4E4E4"/>
          </w:tcPr>
          <w:p>
            <w:pPr>
              <w:spacing w:after="0"/>
              <w:rPr>
                <w:sz w:val="18"/>
                <w:szCs w:val="18"/>
                <w:color w:val="auto"/>
              </w:rPr>
            </w:pPr>
          </w:p>
        </w:tc>
        <w:tc>
          <w:tcPr>
            <w:tcW w:w="80" w:type="dxa"/>
            <w:vAlign w:val="bottom"/>
            <w:tcBorders>
              <w:top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1E1E1E"/>
            </w:tcBorders>
            <w:shd w:val="clear" w:color="auto" w:fill="E4E4E4"/>
          </w:tcPr>
          <w:p>
            <w:pPr>
              <w:spacing w:after="0" w:line="20" w:lineRule="exact"/>
              <w:rPr>
                <w:sz w:val="1"/>
                <w:szCs w:val="1"/>
                <w:color w:val="auto"/>
              </w:rPr>
            </w:pPr>
          </w:p>
        </w:tc>
        <w:tc>
          <w:tcPr>
            <w:tcW w:w="260" w:type="dxa"/>
            <w:vAlign w:val="bottom"/>
            <w:tcBorders>
              <w:top w:val="single" w:sz="8" w:color="E4E4E4"/>
            </w:tcBorders>
            <w:shd w:val="clear" w:color="auto" w:fill="E4E4E4"/>
          </w:tcPr>
          <w:p>
            <w:pPr>
              <w:spacing w:after="0" w:line="20" w:lineRule="exact"/>
              <w:rPr>
                <w:sz w:val="1"/>
                <w:szCs w:val="1"/>
                <w:color w:val="auto"/>
              </w:rPr>
            </w:pPr>
          </w:p>
        </w:tc>
        <w:tc>
          <w:tcPr>
            <w:tcW w:w="3040" w:type="dxa"/>
            <w:vAlign w:val="bottom"/>
            <w:tcBorders>
              <w:top w:val="single" w:sz="8" w:color="E4E4E4"/>
            </w:tcBorders>
            <w:shd w:val="clear" w:color="auto" w:fill="E4E4E4"/>
          </w:tcPr>
          <w:p>
            <w:pPr>
              <w:spacing w:after="0" w:line="20" w:lineRule="exact"/>
              <w:rPr>
                <w:sz w:val="1"/>
                <w:szCs w:val="1"/>
                <w:color w:val="auto"/>
              </w:rPr>
            </w:pPr>
          </w:p>
        </w:tc>
        <w:tc>
          <w:tcPr>
            <w:tcW w:w="540" w:type="dxa"/>
            <w:vAlign w:val="bottom"/>
            <w:tcBorders>
              <w:top w:val="single" w:sz="8" w:color="E4E4E4"/>
            </w:tcBorders>
            <w:shd w:val="clear" w:color="auto" w:fill="E4E4E4"/>
          </w:tcPr>
          <w:p>
            <w:pPr>
              <w:spacing w:after="0" w:line="20" w:lineRule="exact"/>
              <w:rPr>
                <w:sz w:val="1"/>
                <w:szCs w:val="1"/>
                <w:color w:val="auto"/>
              </w:rPr>
            </w:pPr>
          </w:p>
        </w:tc>
        <w:tc>
          <w:tcPr>
            <w:tcW w:w="120" w:type="dxa"/>
            <w:vAlign w:val="bottom"/>
            <w:tcBorders>
              <w:top w:val="single" w:sz="8" w:color="E4E4E4"/>
            </w:tcBorders>
            <w:shd w:val="clear" w:color="auto" w:fill="E4E4E4"/>
          </w:tcPr>
          <w:p>
            <w:pPr>
              <w:spacing w:after="0" w:line="20" w:lineRule="exact"/>
              <w:rPr>
                <w:sz w:val="1"/>
                <w:szCs w:val="1"/>
                <w:color w:val="auto"/>
              </w:rPr>
            </w:pPr>
          </w:p>
        </w:tc>
        <w:tc>
          <w:tcPr>
            <w:tcW w:w="120" w:type="dxa"/>
            <w:vAlign w:val="bottom"/>
            <w:tcBorders>
              <w:top w:val="single" w:sz="8" w:color="E4E4E4"/>
            </w:tcBorders>
            <w:shd w:val="clear" w:color="auto" w:fill="E4E4E4"/>
          </w:tcPr>
          <w:p>
            <w:pPr>
              <w:spacing w:after="0" w:line="20" w:lineRule="exact"/>
              <w:rPr>
                <w:sz w:val="1"/>
                <w:szCs w:val="1"/>
                <w:color w:val="auto"/>
              </w:rPr>
            </w:pPr>
          </w:p>
        </w:tc>
        <w:tc>
          <w:tcPr>
            <w:tcW w:w="900" w:type="dxa"/>
            <w:vAlign w:val="bottom"/>
            <w:tcBorders>
              <w:top w:val="single" w:sz="8" w:color="E4E4E4"/>
            </w:tcBorders>
            <w:shd w:val="clear" w:color="auto" w:fill="E4E4E4"/>
          </w:tcPr>
          <w:p>
            <w:pPr>
              <w:spacing w:after="0" w:line="20" w:lineRule="exact"/>
              <w:rPr>
                <w:sz w:val="1"/>
                <w:szCs w:val="1"/>
                <w:color w:val="auto"/>
              </w:rPr>
            </w:pPr>
          </w:p>
        </w:tc>
        <w:tc>
          <w:tcPr>
            <w:tcW w:w="200" w:type="dxa"/>
            <w:vAlign w:val="bottom"/>
            <w:tcBorders>
              <w:top w:val="single" w:sz="8" w:color="E4E4E4"/>
            </w:tcBorders>
            <w:shd w:val="clear" w:color="auto" w:fill="E4E4E4"/>
          </w:tcPr>
          <w:p>
            <w:pPr>
              <w:spacing w:after="0" w:line="20" w:lineRule="exact"/>
              <w:rPr>
                <w:sz w:val="1"/>
                <w:szCs w:val="1"/>
                <w:color w:val="auto"/>
              </w:rPr>
            </w:pPr>
          </w:p>
        </w:tc>
        <w:tc>
          <w:tcPr>
            <w:tcW w:w="20" w:type="dxa"/>
            <w:vAlign w:val="bottom"/>
            <w:tcBorders>
              <w:top w:val="single" w:sz="8" w:color="E4E4E4"/>
            </w:tcBorders>
            <w:shd w:val="clear" w:color="auto" w:fill="E4E4E4"/>
          </w:tcPr>
          <w:p>
            <w:pPr>
              <w:spacing w:after="0" w:line="20" w:lineRule="exact"/>
              <w:rPr>
                <w:sz w:val="1"/>
                <w:szCs w:val="1"/>
                <w:color w:val="auto"/>
              </w:rPr>
            </w:pPr>
          </w:p>
        </w:tc>
        <w:tc>
          <w:tcPr>
            <w:tcW w:w="100" w:type="dxa"/>
            <w:vAlign w:val="bottom"/>
            <w:tcBorders>
              <w:top w:val="single" w:sz="8" w:color="E4E4E4"/>
            </w:tcBorders>
            <w:shd w:val="clear" w:color="auto" w:fill="E4E4E4"/>
          </w:tcPr>
          <w:p>
            <w:pPr>
              <w:spacing w:after="0" w:line="20" w:lineRule="exact"/>
              <w:rPr>
                <w:sz w:val="1"/>
                <w:szCs w:val="1"/>
                <w:color w:val="auto"/>
              </w:rPr>
            </w:pPr>
          </w:p>
        </w:tc>
        <w:tc>
          <w:tcPr>
            <w:tcW w:w="900" w:type="dxa"/>
            <w:vAlign w:val="bottom"/>
            <w:tcBorders>
              <w:top w:val="single" w:sz="8" w:color="E4E4E4"/>
            </w:tcBorders>
            <w:shd w:val="clear" w:color="auto" w:fill="E4E4E4"/>
          </w:tcPr>
          <w:p>
            <w:pPr>
              <w:spacing w:after="0" w:line="20" w:lineRule="exact"/>
              <w:rPr>
                <w:sz w:val="1"/>
                <w:szCs w:val="1"/>
                <w:color w:val="auto"/>
              </w:rPr>
            </w:pPr>
          </w:p>
        </w:tc>
        <w:tc>
          <w:tcPr>
            <w:tcW w:w="20" w:type="dxa"/>
            <w:vAlign w:val="bottom"/>
            <w:tcBorders>
              <w:top w:val="single" w:sz="8" w:color="E4E4E4"/>
            </w:tcBorders>
            <w:shd w:val="clear" w:color="auto" w:fill="E4E4E4"/>
          </w:tcPr>
          <w:p>
            <w:pPr>
              <w:spacing w:after="0" w:line="20" w:lineRule="exact"/>
              <w:rPr>
                <w:sz w:val="1"/>
                <w:szCs w:val="1"/>
                <w:color w:val="auto"/>
              </w:rPr>
            </w:pPr>
          </w:p>
        </w:tc>
        <w:tc>
          <w:tcPr>
            <w:tcW w:w="200" w:type="dxa"/>
            <w:vAlign w:val="bottom"/>
            <w:tcBorders>
              <w:top w:val="single" w:sz="8" w:color="E4E4E4"/>
            </w:tcBorders>
            <w:shd w:val="clear" w:color="auto" w:fill="E4E4E4"/>
          </w:tcPr>
          <w:p>
            <w:pPr>
              <w:spacing w:after="0" w:line="20" w:lineRule="exact"/>
              <w:rPr>
                <w:sz w:val="1"/>
                <w:szCs w:val="1"/>
                <w:color w:val="auto"/>
              </w:rPr>
            </w:pPr>
          </w:p>
        </w:tc>
        <w:tc>
          <w:tcPr>
            <w:tcW w:w="120" w:type="dxa"/>
            <w:vAlign w:val="bottom"/>
            <w:tcBorders>
              <w:top w:val="single" w:sz="8" w:color="E4E4E4"/>
            </w:tcBorders>
            <w:shd w:val="clear" w:color="auto" w:fill="E4E4E4"/>
          </w:tcPr>
          <w:p>
            <w:pPr>
              <w:spacing w:after="0" w:line="20" w:lineRule="exact"/>
              <w:rPr>
                <w:sz w:val="1"/>
                <w:szCs w:val="1"/>
                <w:color w:val="auto"/>
              </w:rPr>
            </w:pPr>
          </w:p>
        </w:tc>
        <w:tc>
          <w:tcPr>
            <w:tcW w:w="900" w:type="dxa"/>
            <w:vAlign w:val="bottom"/>
            <w:tcBorders>
              <w:top w:val="single" w:sz="8" w:color="E4E4E4"/>
            </w:tcBorders>
            <w:shd w:val="clear" w:color="auto" w:fill="E4E4E4"/>
          </w:tcPr>
          <w:p>
            <w:pPr>
              <w:spacing w:after="0" w:line="20" w:lineRule="exact"/>
              <w:rPr>
                <w:sz w:val="1"/>
                <w:szCs w:val="1"/>
                <w:color w:val="auto"/>
              </w:rPr>
            </w:pPr>
          </w:p>
        </w:tc>
        <w:tc>
          <w:tcPr>
            <w:tcW w:w="80" w:type="dxa"/>
            <w:vAlign w:val="bottom"/>
            <w:tcBorders>
              <w:top w:val="single" w:sz="8" w:color="E4E4E4"/>
            </w:tcBorders>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60" w:type="dxa"/>
            <w:vAlign w:val="bottom"/>
            <w:gridSpan w:val="4"/>
          </w:tcPr>
          <w:p>
            <w:pPr>
              <w:spacing w:after="0" w:line="210" w:lineRule="exact"/>
              <w:rPr>
                <w:sz w:val="20"/>
                <w:szCs w:val="20"/>
                <w:color w:val="auto"/>
              </w:rPr>
            </w:pPr>
            <w:r>
              <w:rPr>
                <w:rFonts w:ascii="Arial" w:cs="Arial" w:eastAsia="Arial" w:hAnsi="Arial"/>
                <w:sz w:val="20"/>
                <w:szCs w:val="20"/>
                <w:color w:val="1E1E1E"/>
              </w:rPr>
              <w:t>Unrecognized losses at the beginning of the year</w:t>
            </w:r>
          </w:p>
        </w:tc>
        <w:tc>
          <w:tcPr>
            <w:tcW w:w="240" w:type="dxa"/>
            <w:vAlign w:val="bottom"/>
            <w:gridSpan w:val="2"/>
          </w:tcPr>
          <w:p>
            <w:pPr>
              <w:jc w:val="right"/>
              <w:spacing w:after="0" w:line="210" w:lineRule="exact"/>
              <w:rPr>
                <w:sz w:val="20"/>
                <w:szCs w:val="20"/>
                <w:color w:val="auto"/>
              </w:rPr>
            </w:pPr>
            <w:r>
              <w:rPr>
                <w:rFonts w:ascii="Arial" w:cs="Arial" w:eastAsia="Arial" w:hAnsi="Arial"/>
                <w:sz w:val="20"/>
                <w:szCs w:val="20"/>
                <w:color w:val="1E1E1E"/>
              </w:rPr>
              <w:t>$</w:t>
            </w:r>
          </w:p>
        </w:tc>
        <w:tc>
          <w:tcPr>
            <w:tcW w:w="900" w:type="dxa"/>
            <w:vAlign w:val="bottom"/>
          </w:tcPr>
          <w:p>
            <w:pPr>
              <w:jc w:val="right"/>
              <w:spacing w:after="0" w:line="210" w:lineRule="exact"/>
              <w:rPr>
                <w:sz w:val="20"/>
                <w:szCs w:val="20"/>
                <w:color w:val="auto"/>
              </w:rPr>
            </w:pPr>
            <w:r>
              <w:rPr>
                <w:rFonts w:ascii="Arial" w:cs="Arial" w:eastAsia="Arial" w:hAnsi="Arial"/>
                <w:sz w:val="20"/>
                <w:szCs w:val="20"/>
                <w:color w:val="1E1E1E"/>
              </w:rPr>
              <w:t>5,490</w:t>
            </w:r>
          </w:p>
        </w:tc>
        <w:tc>
          <w:tcPr>
            <w:tcW w:w="200" w:type="dxa"/>
            <w:vAlign w:val="bottom"/>
          </w:tcPr>
          <w:p>
            <w:pPr>
              <w:spacing w:after="0"/>
              <w:rPr>
                <w:sz w:val="18"/>
                <w:szCs w:val="18"/>
                <w:color w:val="auto"/>
              </w:rPr>
            </w:pPr>
          </w:p>
        </w:tc>
        <w:tc>
          <w:tcPr>
            <w:tcW w:w="120" w:type="dxa"/>
            <w:vAlign w:val="bottom"/>
            <w:gridSpan w:val="2"/>
          </w:tcPr>
          <w:p>
            <w:pPr>
              <w:jc w:val="right"/>
              <w:spacing w:after="0" w:line="210" w:lineRule="exact"/>
              <w:rPr>
                <w:sz w:val="20"/>
                <w:szCs w:val="20"/>
                <w:color w:val="auto"/>
              </w:rPr>
            </w:pPr>
            <w:r>
              <w:rPr>
                <w:rFonts w:ascii="Arial" w:cs="Arial" w:eastAsia="Arial" w:hAnsi="Arial"/>
                <w:sz w:val="20"/>
                <w:szCs w:val="20"/>
                <w:color w:val="1E1E1E"/>
                <w:w w:val="71"/>
              </w:rPr>
              <w:t>$</w:t>
            </w:r>
          </w:p>
        </w:tc>
        <w:tc>
          <w:tcPr>
            <w:tcW w:w="920" w:type="dxa"/>
            <w:vAlign w:val="bottom"/>
            <w:gridSpan w:val="2"/>
          </w:tcPr>
          <w:p>
            <w:pPr>
              <w:jc w:val="right"/>
              <w:spacing w:after="0" w:line="210" w:lineRule="exact"/>
              <w:rPr>
                <w:sz w:val="20"/>
                <w:szCs w:val="20"/>
                <w:color w:val="auto"/>
              </w:rPr>
            </w:pPr>
            <w:r>
              <w:rPr>
                <w:rFonts w:ascii="Arial" w:cs="Arial" w:eastAsia="Arial" w:hAnsi="Arial"/>
                <w:sz w:val="20"/>
                <w:szCs w:val="20"/>
                <w:color w:val="1E1E1E"/>
              </w:rPr>
              <w:t>6,132</w:t>
            </w:r>
          </w:p>
        </w:tc>
        <w:tc>
          <w:tcPr>
            <w:tcW w:w="200" w:type="dxa"/>
            <w:vAlign w:val="bottom"/>
          </w:tcPr>
          <w:p>
            <w:pPr>
              <w:spacing w:after="0"/>
              <w:rPr>
                <w:sz w:val="18"/>
                <w:szCs w:val="18"/>
                <w:color w:val="auto"/>
              </w:rPr>
            </w:pPr>
          </w:p>
        </w:tc>
        <w:tc>
          <w:tcPr>
            <w:tcW w:w="120" w:type="dxa"/>
            <w:vAlign w:val="bottom"/>
          </w:tcPr>
          <w:p>
            <w:pPr>
              <w:jc w:val="right"/>
              <w:spacing w:after="0" w:line="210" w:lineRule="exact"/>
              <w:rPr>
                <w:sz w:val="20"/>
                <w:szCs w:val="20"/>
                <w:color w:val="auto"/>
              </w:rPr>
            </w:pPr>
            <w:r>
              <w:rPr>
                <w:rFonts w:ascii="Arial" w:cs="Arial" w:eastAsia="Arial" w:hAnsi="Arial"/>
                <w:sz w:val="20"/>
                <w:szCs w:val="20"/>
                <w:color w:val="1E1E1E"/>
                <w:w w:val="71"/>
              </w:rPr>
              <w:t>$</w:t>
            </w:r>
          </w:p>
        </w:tc>
        <w:tc>
          <w:tcPr>
            <w:tcW w:w="900" w:type="dxa"/>
            <w:vAlign w:val="bottom"/>
          </w:tcPr>
          <w:p>
            <w:pPr>
              <w:jc w:val="right"/>
              <w:spacing w:after="0" w:line="210" w:lineRule="exact"/>
              <w:rPr>
                <w:sz w:val="20"/>
                <w:szCs w:val="20"/>
                <w:color w:val="auto"/>
              </w:rPr>
            </w:pPr>
            <w:r>
              <w:rPr>
                <w:rFonts w:ascii="Arial" w:cs="Arial" w:eastAsia="Arial" w:hAnsi="Arial"/>
                <w:sz w:val="20"/>
                <w:szCs w:val="20"/>
                <w:color w:val="1E1E1E"/>
              </w:rPr>
              <w:t>6,914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4"/>
            <w:shd w:val="clear" w:color="auto" w:fill="E4E4E4"/>
          </w:tcPr>
          <w:p>
            <w:pPr>
              <w:spacing w:after="0"/>
              <w:rPr>
                <w:sz w:val="20"/>
                <w:szCs w:val="20"/>
                <w:color w:val="auto"/>
              </w:rPr>
            </w:pPr>
            <w:r>
              <w:rPr>
                <w:rFonts w:ascii="Arial" w:cs="Arial" w:eastAsia="Arial" w:hAnsi="Arial"/>
                <w:sz w:val="20"/>
                <w:szCs w:val="20"/>
                <w:color w:val="1E1E1E"/>
              </w:rPr>
              <w:t>Net periodic pension cost</w:t>
            </w:r>
          </w:p>
        </w:tc>
        <w:tc>
          <w:tcPr>
            <w:tcW w:w="1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100" w:type="dxa"/>
            <w:vAlign w:val="bottom"/>
            <w:gridSpan w:val="2"/>
            <w:shd w:val="clear" w:color="auto" w:fill="E4E4E4"/>
          </w:tcPr>
          <w:p>
            <w:pPr>
              <w:jc w:val="right"/>
              <w:ind w:right="120"/>
              <w:spacing w:after="0"/>
              <w:rPr>
                <w:sz w:val="20"/>
                <w:szCs w:val="20"/>
                <w:color w:val="auto"/>
              </w:rPr>
            </w:pPr>
            <w:r>
              <w:rPr>
                <w:rFonts w:ascii="Arial" w:cs="Arial" w:eastAsia="Arial" w:hAnsi="Arial"/>
                <w:sz w:val="20"/>
                <w:szCs w:val="20"/>
                <w:color w:val="1E1E1E"/>
              </w:rPr>
              <w:t>(102)</w:t>
            </w: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20" w:type="dxa"/>
            <w:vAlign w:val="bottom"/>
            <w:gridSpan w:val="3"/>
            <w:shd w:val="clear" w:color="auto" w:fill="E4E4E4"/>
          </w:tcPr>
          <w:p>
            <w:pPr>
              <w:jc w:val="right"/>
              <w:ind w:right="200"/>
              <w:spacing w:after="0"/>
              <w:rPr>
                <w:sz w:val="20"/>
                <w:szCs w:val="20"/>
                <w:color w:val="auto"/>
              </w:rPr>
            </w:pPr>
            <w:r>
              <w:rPr>
                <w:rFonts w:ascii="Arial" w:cs="Arial" w:eastAsia="Arial" w:hAnsi="Arial"/>
                <w:sz w:val="20"/>
                <w:szCs w:val="20"/>
                <w:color w:val="1E1E1E"/>
              </w:rPr>
              <w:t>39</w:t>
            </w:r>
          </w:p>
        </w:tc>
        <w:tc>
          <w:tcPr>
            <w:tcW w:w="120" w:type="dxa"/>
            <w:vAlign w:val="bottom"/>
            <w:shd w:val="clear" w:color="auto" w:fill="E4E4E4"/>
          </w:tcPr>
          <w:p>
            <w:pPr>
              <w:spacing w:after="0"/>
              <w:rPr>
                <w:sz w:val="20"/>
                <w:szCs w:val="20"/>
                <w:color w:val="auto"/>
              </w:rPr>
            </w:pPr>
          </w:p>
        </w:tc>
        <w:tc>
          <w:tcPr>
            <w:tcW w:w="90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41</w:t>
            </w:r>
          </w:p>
        </w:tc>
        <w:tc>
          <w:tcPr>
            <w:tcW w:w="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gridSpan w:val="4"/>
          </w:tcPr>
          <w:p>
            <w:pPr>
              <w:spacing w:after="0"/>
              <w:rPr>
                <w:sz w:val="20"/>
                <w:szCs w:val="20"/>
                <w:color w:val="auto"/>
              </w:rPr>
            </w:pPr>
            <w:r>
              <w:rPr>
                <w:rFonts w:ascii="Arial" w:cs="Arial" w:eastAsia="Arial" w:hAnsi="Arial"/>
                <w:sz w:val="20"/>
                <w:szCs w:val="20"/>
                <w:color w:val="1E1E1E"/>
              </w:rPr>
              <w:t>Employer contribution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1E1E1E"/>
              </w:rPr>
              <w:t>2,106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color w:val="1E1E1E"/>
              </w:rPr>
              <w:t>524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1E1E1E"/>
              </w:rPr>
              <w:t>622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gridSpan w:val="4"/>
            <w:shd w:val="clear" w:color="auto" w:fill="E4E4E4"/>
          </w:tcPr>
          <w:p>
            <w:pPr>
              <w:spacing w:after="0"/>
              <w:rPr>
                <w:sz w:val="20"/>
                <w:szCs w:val="20"/>
                <w:color w:val="auto"/>
              </w:rPr>
            </w:pPr>
            <w:r>
              <w:rPr>
                <w:rFonts w:ascii="Arial" w:cs="Arial" w:eastAsia="Arial" w:hAnsi="Arial"/>
                <w:sz w:val="20"/>
                <w:szCs w:val="20"/>
                <w:color w:val="1E1E1E"/>
              </w:rPr>
              <w:t>Recognition of the unrealized loss</w:t>
            </w:r>
          </w:p>
        </w:tc>
        <w:tc>
          <w:tcPr>
            <w:tcW w:w="1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100" w:type="dxa"/>
            <w:vAlign w:val="bottom"/>
            <w:gridSpan w:val="2"/>
            <w:shd w:val="clear" w:color="auto" w:fill="E4E4E4"/>
          </w:tcPr>
          <w:p>
            <w:pPr>
              <w:jc w:val="right"/>
              <w:ind w:right="120"/>
              <w:spacing w:after="0"/>
              <w:rPr>
                <w:sz w:val="20"/>
                <w:szCs w:val="20"/>
                <w:color w:val="auto"/>
              </w:rPr>
            </w:pPr>
            <w:r>
              <w:rPr>
                <w:rFonts w:ascii="Arial" w:cs="Arial" w:eastAsia="Arial" w:hAnsi="Arial"/>
                <w:sz w:val="20"/>
                <w:szCs w:val="20"/>
                <w:color w:val="1E1E1E"/>
              </w:rPr>
              <w:t>(5,631)</w:t>
            </w: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20" w:type="dxa"/>
            <w:vAlign w:val="bottom"/>
            <w:gridSpan w:val="3"/>
            <w:shd w:val="clear" w:color="auto" w:fill="E4E4E4"/>
          </w:tcPr>
          <w:p>
            <w:pPr>
              <w:jc w:val="right"/>
              <w:ind w:right="200"/>
              <w:spacing w:after="0"/>
              <w:rPr>
                <w:sz w:val="20"/>
                <w:szCs w:val="20"/>
                <w:color w:val="auto"/>
              </w:rPr>
            </w:pPr>
            <w:r>
              <w:rPr>
                <w:rFonts w:ascii="Arial" w:cs="Arial" w:eastAsia="Arial" w:hAnsi="Arial"/>
                <w:sz w:val="20"/>
                <w:szCs w:val="20"/>
                <w:color w:val="1E1E1E"/>
              </w:rPr>
              <w:t>—</w:t>
            </w:r>
          </w:p>
        </w:tc>
        <w:tc>
          <w:tcPr>
            <w:tcW w:w="120" w:type="dxa"/>
            <w:vAlign w:val="bottom"/>
            <w:shd w:val="clear" w:color="auto" w:fill="E4E4E4"/>
          </w:tcPr>
          <w:p>
            <w:pPr>
              <w:spacing w:after="0"/>
              <w:rPr>
                <w:sz w:val="20"/>
                <w:szCs w:val="20"/>
                <w:color w:val="auto"/>
              </w:rPr>
            </w:pPr>
          </w:p>
        </w:tc>
        <w:tc>
          <w:tcPr>
            <w:tcW w:w="980" w:type="dxa"/>
            <w:vAlign w:val="bottom"/>
            <w:gridSpan w:val="2"/>
            <w:shd w:val="clear" w:color="auto" w:fill="E4E4E4"/>
          </w:tcPr>
          <w:p>
            <w:pPr>
              <w:jc w:val="right"/>
              <w:ind w:right="80"/>
              <w:spacing w:after="0"/>
              <w:rPr>
                <w:sz w:val="20"/>
                <w:szCs w:val="20"/>
                <w:color w:val="auto"/>
              </w:rPr>
            </w:pPr>
            <w:r>
              <w:rPr>
                <w:rFonts w:ascii="Arial" w:cs="Arial" w:eastAsia="Arial" w:hAnsi="Arial"/>
                <w:sz w:val="20"/>
                <w:szCs w:val="20"/>
                <w:color w:val="1E1E1E"/>
              </w:rPr>
              <w:t>—</w:t>
            </w:r>
          </w:p>
        </w:tc>
        <w:tc>
          <w:tcPr>
            <w:tcW w:w="0" w:type="dxa"/>
            <w:vAlign w:val="bottom"/>
          </w:tcPr>
          <w:p>
            <w:pPr>
              <w:spacing w:after="0"/>
              <w:rPr>
                <w:sz w:val="1"/>
                <w:szCs w:val="1"/>
                <w:color w:val="auto"/>
              </w:rPr>
            </w:pPr>
          </w:p>
        </w:tc>
      </w:tr>
      <w:tr>
        <w:trPr>
          <w:trHeight w:val="229"/>
        </w:trPr>
        <w:tc>
          <w:tcPr>
            <w:tcW w:w="4960" w:type="dxa"/>
            <w:vAlign w:val="bottom"/>
            <w:gridSpan w:val="4"/>
          </w:tcPr>
          <w:p>
            <w:pPr>
              <w:spacing w:after="0"/>
              <w:rPr>
                <w:sz w:val="20"/>
                <w:szCs w:val="20"/>
                <w:color w:val="auto"/>
              </w:rPr>
            </w:pPr>
            <w:r>
              <w:rPr>
                <w:rFonts w:ascii="Arial" w:cs="Arial" w:eastAsia="Arial" w:hAnsi="Arial"/>
                <w:sz w:val="20"/>
                <w:szCs w:val="20"/>
                <w:color w:val="1E1E1E"/>
              </w:rPr>
              <w:t>Change in plan assets and benefit obligations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20"/>
                <w:szCs w:val="20"/>
                <w:color w:val="1E1E1E"/>
              </w:rPr>
              <w:t>(1,863)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20"/>
                <w:szCs w:val="20"/>
                <w:color w:val="1E1E1E"/>
              </w:rPr>
              <w:t>(1,205)</w:t>
            </w: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20"/>
                <w:szCs w:val="20"/>
                <w:color w:val="1E1E1E"/>
              </w:rPr>
              <w:t>(1,445)</w:t>
            </w:r>
          </w:p>
        </w:tc>
        <w:tc>
          <w:tcPr>
            <w:tcW w:w="0" w:type="dxa"/>
            <w:vAlign w:val="bottom"/>
          </w:tcPr>
          <w:p>
            <w:pPr>
              <w:spacing w:after="0"/>
              <w:rPr>
                <w:sz w:val="1"/>
                <w:szCs w:val="1"/>
                <w:color w:val="auto"/>
              </w:rPr>
            </w:pPr>
          </w:p>
        </w:tc>
      </w:tr>
      <w:tr>
        <w:trPr>
          <w:trHeight w:val="224"/>
        </w:trPr>
        <w:tc>
          <w:tcPr>
            <w:tcW w:w="4960" w:type="dxa"/>
            <w:vAlign w:val="bottom"/>
            <w:tcBorders>
              <w:top w:val="single" w:sz="8" w:color="E4E4E4"/>
            </w:tcBorders>
            <w:gridSpan w:val="4"/>
            <w:shd w:val="clear" w:color="auto" w:fill="E4E4E4"/>
          </w:tcPr>
          <w:p>
            <w:pPr>
              <w:spacing w:after="0" w:line="224" w:lineRule="exact"/>
              <w:rPr>
                <w:sz w:val="20"/>
                <w:szCs w:val="20"/>
                <w:color w:val="auto"/>
              </w:rPr>
            </w:pPr>
            <w:r>
              <w:rPr>
                <w:rFonts w:ascii="Arial" w:cs="Arial" w:eastAsia="Arial" w:hAnsi="Arial"/>
                <w:sz w:val="20"/>
                <w:szCs w:val="20"/>
                <w:color w:val="1E1E1E"/>
              </w:rPr>
              <w:t>Unrecognized losses at the end of year</w:t>
            </w:r>
          </w:p>
        </w:tc>
        <w:tc>
          <w:tcPr>
            <w:tcW w:w="120" w:type="dxa"/>
            <w:vAlign w:val="bottom"/>
            <w:tcBorders>
              <w:top w:val="single" w:sz="8" w:color="E4E4E4"/>
            </w:tcBorders>
            <w:shd w:val="clear" w:color="auto" w:fill="E4E4E4"/>
          </w:tcPr>
          <w:p>
            <w:pPr>
              <w:spacing w:after="0"/>
              <w:rPr>
                <w:sz w:val="19"/>
                <w:szCs w:val="19"/>
                <w:color w:val="auto"/>
              </w:rPr>
            </w:pPr>
          </w:p>
        </w:tc>
        <w:tc>
          <w:tcPr>
            <w:tcW w:w="120" w:type="dxa"/>
            <w:vAlign w:val="bottom"/>
            <w:tcBorders>
              <w:top w:val="single" w:sz="8" w:color="1E1E1E"/>
            </w:tcBorders>
            <w:shd w:val="clear" w:color="auto" w:fill="E4E4E4"/>
          </w:tcPr>
          <w:p>
            <w:pPr>
              <w:jc w:val="right"/>
              <w:spacing w:after="0" w:line="224" w:lineRule="exact"/>
              <w:rPr>
                <w:sz w:val="20"/>
                <w:szCs w:val="20"/>
                <w:color w:val="auto"/>
              </w:rPr>
            </w:pPr>
            <w:r>
              <w:rPr>
                <w:rFonts w:ascii="Arial" w:cs="Arial" w:eastAsia="Arial" w:hAnsi="Arial"/>
                <w:sz w:val="20"/>
                <w:szCs w:val="20"/>
                <w:color w:val="1E1E1E"/>
                <w:w w:val="71"/>
              </w:rPr>
              <w:t>$</w:t>
            </w:r>
          </w:p>
        </w:tc>
        <w:tc>
          <w:tcPr>
            <w:tcW w:w="900" w:type="dxa"/>
            <w:vAlign w:val="bottom"/>
            <w:tcBorders>
              <w:top w:val="single" w:sz="8" w:color="1E1E1E"/>
            </w:tcBorders>
            <w:shd w:val="clear" w:color="auto" w:fill="E4E4E4"/>
          </w:tcPr>
          <w:p>
            <w:pPr>
              <w:jc w:val="right"/>
              <w:spacing w:after="0" w:line="224" w:lineRule="exact"/>
              <w:rPr>
                <w:sz w:val="20"/>
                <w:szCs w:val="20"/>
                <w:color w:val="auto"/>
              </w:rPr>
            </w:pPr>
            <w:r>
              <w:rPr>
                <w:rFonts w:ascii="Arial" w:cs="Arial" w:eastAsia="Arial" w:hAnsi="Arial"/>
                <w:sz w:val="20"/>
                <w:szCs w:val="20"/>
                <w:color w:val="1E1E1E"/>
              </w:rPr>
              <w:t>—</w:t>
            </w:r>
          </w:p>
        </w:tc>
        <w:tc>
          <w:tcPr>
            <w:tcW w:w="20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1E1E1E"/>
            </w:tcBorders>
            <w:shd w:val="clear" w:color="auto" w:fill="E4E4E4"/>
          </w:tcPr>
          <w:p>
            <w:pPr>
              <w:spacing w:after="0"/>
              <w:rPr>
                <w:sz w:val="19"/>
                <w:szCs w:val="19"/>
                <w:color w:val="auto"/>
              </w:rPr>
            </w:pPr>
          </w:p>
        </w:tc>
        <w:tc>
          <w:tcPr>
            <w:tcW w:w="100" w:type="dxa"/>
            <w:vAlign w:val="bottom"/>
            <w:tcBorders>
              <w:top w:val="single" w:sz="8" w:color="1E1E1E"/>
            </w:tcBorders>
            <w:shd w:val="clear" w:color="auto" w:fill="E4E4E4"/>
          </w:tcPr>
          <w:p>
            <w:pPr>
              <w:jc w:val="right"/>
              <w:spacing w:after="0"/>
              <w:rPr>
                <w:sz w:val="20"/>
                <w:szCs w:val="20"/>
                <w:color w:val="auto"/>
              </w:rPr>
            </w:pPr>
            <w:r>
              <w:rPr>
                <w:rFonts w:ascii="Arial" w:cs="Arial" w:eastAsia="Arial" w:hAnsi="Arial"/>
                <w:sz w:val="15"/>
                <w:szCs w:val="15"/>
                <w:color w:val="1E1E1E"/>
                <w:w w:val="71"/>
              </w:rPr>
              <w:t>$</w:t>
            </w:r>
          </w:p>
        </w:tc>
        <w:tc>
          <w:tcPr>
            <w:tcW w:w="900" w:type="dxa"/>
            <w:vAlign w:val="bottom"/>
            <w:tcBorders>
              <w:top w:val="single" w:sz="8" w:color="1E1E1E"/>
            </w:tcBorders>
            <w:shd w:val="clear" w:color="auto" w:fill="E4E4E4"/>
          </w:tcPr>
          <w:p>
            <w:pPr>
              <w:jc w:val="right"/>
              <w:spacing w:after="0" w:line="224" w:lineRule="exact"/>
              <w:rPr>
                <w:sz w:val="20"/>
                <w:szCs w:val="20"/>
                <w:color w:val="auto"/>
              </w:rPr>
            </w:pPr>
            <w:r>
              <w:rPr>
                <w:rFonts w:ascii="Arial" w:cs="Arial" w:eastAsia="Arial" w:hAnsi="Arial"/>
                <w:sz w:val="20"/>
                <w:szCs w:val="20"/>
                <w:color w:val="1E1E1E"/>
              </w:rPr>
              <w:t>5,490</w:t>
            </w:r>
          </w:p>
        </w:tc>
        <w:tc>
          <w:tcPr>
            <w:tcW w:w="20" w:type="dxa"/>
            <w:vAlign w:val="bottom"/>
            <w:tcBorders>
              <w:top w:val="single" w:sz="8" w:color="1E1E1E"/>
            </w:tcBorders>
            <w:shd w:val="clear" w:color="auto" w:fill="E4E4E4"/>
          </w:tcPr>
          <w:p>
            <w:pPr>
              <w:spacing w:after="0"/>
              <w:rPr>
                <w:sz w:val="19"/>
                <w:szCs w:val="19"/>
                <w:color w:val="auto"/>
              </w:rPr>
            </w:pPr>
          </w:p>
        </w:tc>
        <w:tc>
          <w:tcPr>
            <w:tcW w:w="200" w:type="dxa"/>
            <w:vAlign w:val="bottom"/>
            <w:tcBorders>
              <w:top w:val="single" w:sz="8" w:color="E4E4E4"/>
            </w:tcBorders>
            <w:shd w:val="clear" w:color="auto" w:fill="E4E4E4"/>
          </w:tcPr>
          <w:p>
            <w:pPr>
              <w:spacing w:after="0"/>
              <w:rPr>
                <w:sz w:val="19"/>
                <w:szCs w:val="19"/>
                <w:color w:val="auto"/>
              </w:rPr>
            </w:pPr>
          </w:p>
        </w:tc>
        <w:tc>
          <w:tcPr>
            <w:tcW w:w="120" w:type="dxa"/>
            <w:vAlign w:val="bottom"/>
            <w:tcBorders>
              <w:top w:val="single" w:sz="8" w:color="1E1E1E"/>
            </w:tcBorders>
            <w:shd w:val="clear" w:color="auto" w:fill="E4E4E4"/>
          </w:tcPr>
          <w:p>
            <w:pPr>
              <w:jc w:val="right"/>
              <w:spacing w:after="0" w:line="224" w:lineRule="exact"/>
              <w:rPr>
                <w:sz w:val="20"/>
                <w:szCs w:val="20"/>
                <w:color w:val="auto"/>
              </w:rPr>
            </w:pPr>
            <w:r>
              <w:rPr>
                <w:rFonts w:ascii="Arial" w:cs="Arial" w:eastAsia="Arial" w:hAnsi="Arial"/>
                <w:sz w:val="20"/>
                <w:szCs w:val="20"/>
                <w:color w:val="1E1E1E"/>
                <w:w w:val="71"/>
              </w:rPr>
              <w:t>$</w:t>
            </w:r>
          </w:p>
        </w:tc>
        <w:tc>
          <w:tcPr>
            <w:tcW w:w="900" w:type="dxa"/>
            <w:vAlign w:val="bottom"/>
            <w:tcBorders>
              <w:top w:val="single" w:sz="8" w:color="1E1E1E"/>
            </w:tcBorders>
            <w:shd w:val="clear" w:color="auto" w:fill="E4E4E4"/>
          </w:tcPr>
          <w:p>
            <w:pPr>
              <w:jc w:val="right"/>
              <w:spacing w:after="0" w:line="224" w:lineRule="exact"/>
              <w:rPr>
                <w:sz w:val="20"/>
                <w:szCs w:val="20"/>
                <w:color w:val="auto"/>
              </w:rPr>
            </w:pPr>
            <w:r>
              <w:rPr>
                <w:rFonts w:ascii="Arial" w:cs="Arial" w:eastAsia="Arial" w:hAnsi="Arial"/>
                <w:sz w:val="20"/>
                <w:szCs w:val="20"/>
                <w:color w:val="1E1E1E"/>
              </w:rPr>
              <w:t>6,132</w:t>
            </w:r>
          </w:p>
        </w:tc>
        <w:tc>
          <w:tcPr>
            <w:tcW w:w="80" w:type="dxa"/>
            <w:vAlign w:val="bottom"/>
            <w:tcBorders>
              <w:top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-2106295</wp:posOffset>
            </wp:positionV>
            <wp:extent cx="5513070" cy="3257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13070" cy="3257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-1366520</wp:posOffset>
            </wp:positionV>
            <wp:extent cx="2240280" cy="609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40280" cy="6096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-15875</wp:posOffset>
            </wp:positionV>
            <wp:extent cx="2240280" cy="609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40280" cy="60960"/>
                    </a:xfrm>
                    <a:prstGeom prst="rect">
                      <a:avLst/>
                    </a:prstGeom>
                    <a:noFill/>
                  </pic:spPr>
                </pic:pic>
              </a:graphicData>
            </a:graphic>
          </wp:anchor>
        </w:drawing>
      </w:r>
    </w:p>
    <w:p>
      <w:pPr>
        <w:spacing w:after="0" w:line="243"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1E1E1E"/>
        </w:rPr>
        <w:t>In connection with the partial settlement in the second quarter of fiscal 2023, a remeasurement of the pension obligation was completed as of June 30, 2023. Assumptions used to determine the benefit obligations as of February 3, 2024, June 30, 2023 and January 28, 2023 include a discount rate of 5.14%, 5.21% and 4.79%, respectively. Assumptions used to determine the net periodic benefit cost for the six months ended February 3, 2024, for the six months ended June 30, 2023 and for the fiscal years ended January 28, 2023 and January 29, 2022 included a discount rate of 5.21%, 4.79%, 3.00% and 2.39%, respectively.</w:t>
      </w:r>
    </w:p>
    <w:p>
      <w:pPr>
        <w:spacing w:after="0" w:line="183"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1E1E1E"/>
        </w:rPr>
        <w:t>The expected long-term rate of return for plan assets was assumed to be 5.10% and 6.50% at the beginning of fiscal 2023 and fiscal 2022, respectively. The expected long-term rate of return for plan assets was assumed to be 6.00% at June 30, 2023. The expected long-term rate of return assumption was developed considering historical and future expectations for returns for each asset class.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Plan Assets</w:t>
      </w:r>
    </w:p>
    <w:p>
      <w:pPr>
        <w:spacing w:after="0" w:line="120" w:lineRule="exact"/>
        <w:rPr>
          <w:sz w:val="20"/>
          <w:szCs w:val="20"/>
          <w:color w:val="auto"/>
        </w:rPr>
      </w:pPr>
    </w:p>
    <w:p>
      <w:pPr>
        <w:ind w:right="60"/>
        <w:spacing w:after="0" w:line="279" w:lineRule="auto"/>
        <w:rPr>
          <w:sz w:val="20"/>
          <w:szCs w:val="20"/>
          <w:color w:val="auto"/>
        </w:rPr>
      </w:pPr>
      <w:r>
        <w:rPr>
          <w:rFonts w:ascii="Arial" w:cs="Arial" w:eastAsia="Arial" w:hAnsi="Arial"/>
          <w:sz w:val="20"/>
          <w:szCs w:val="20"/>
          <w:color w:val="1E1E1E"/>
        </w:rPr>
        <w:t>There were no plan assets at the end of fiscal 2023. The fair values of the Company’s noncontributory defined benefit retirement plan assets at the end of fiscal 2022, by asset category, was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80" w:type="dxa"/>
            <w:vAlign w:val="bottom"/>
            <w:tcBorders>
              <w:bottom w:val="single" w:sz="8" w:color="1E1E1E"/>
            </w:tcBorders>
          </w:tcPr>
          <w:p>
            <w:pPr>
              <w:spacing w:after="0"/>
              <w:rPr>
                <w:sz w:val="15"/>
                <w:szCs w:val="15"/>
                <w:color w:val="auto"/>
              </w:rPr>
            </w:pPr>
          </w:p>
        </w:tc>
        <w:tc>
          <w:tcPr>
            <w:tcW w:w="1040" w:type="dxa"/>
            <w:vAlign w:val="bottom"/>
            <w:tcBorders>
              <w:bottom w:val="single" w:sz="8" w:color="1E1E1E"/>
            </w:tcBorders>
          </w:tcPr>
          <w:p>
            <w:pPr>
              <w:spacing w:after="0"/>
              <w:rPr>
                <w:sz w:val="15"/>
                <w:szCs w:val="15"/>
                <w:color w:val="auto"/>
              </w:rPr>
            </w:pPr>
          </w:p>
        </w:tc>
        <w:tc>
          <w:tcPr>
            <w:tcW w:w="220" w:type="dxa"/>
            <w:vAlign w:val="bottom"/>
            <w:tcBorders>
              <w:bottom w:val="single" w:sz="8" w:color="1E1E1E"/>
            </w:tcBorders>
          </w:tcPr>
          <w:p>
            <w:pPr>
              <w:spacing w:after="0"/>
              <w:rPr>
                <w:sz w:val="15"/>
                <w:szCs w:val="15"/>
                <w:color w:val="auto"/>
              </w:rPr>
            </w:pPr>
          </w:p>
        </w:tc>
        <w:tc>
          <w:tcPr>
            <w:tcW w:w="100" w:type="dxa"/>
            <w:vAlign w:val="bottom"/>
            <w:tcBorders>
              <w:bottom w:val="single" w:sz="8" w:color="1E1E1E"/>
            </w:tcBorders>
          </w:tcPr>
          <w:p>
            <w:pPr>
              <w:spacing w:after="0"/>
              <w:rPr>
                <w:sz w:val="15"/>
                <w:szCs w:val="15"/>
                <w:color w:val="auto"/>
              </w:rPr>
            </w:pPr>
          </w:p>
        </w:tc>
        <w:tc>
          <w:tcPr>
            <w:tcW w:w="2380" w:type="dxa"/>
            <w:vAlign w:val="bottom"/>
            <w:tcBorders>
              <w:bottom w:val="single" w:sz="8" w:color="1E1E1E"/>
            </w:tcBorders>
            <w:gridSpan w:val="4"/>
          </w:tcPr>
          <w:p>
            <w:pPr>
              <w:ind w:left="440"/>
              <w:spacing w:after="0"/>
              <w:rPr>
                <w:sz w:val="20"/>
                <w:szCs w:val="20"/>
                <w:color w:val="auto"/>
              </w:rPr>
            </w:pPr>
            <w:r>
              <w:rPr>
                <w:rFonts w:ascii="Arial" w:cs="Arial" w:eastAsia="Arial" w:hAnsi="Arial"/>
                <w:sz w:val="14"/>
                <w:szCs w:val="14"/>
                <w:color w:val="1E1E1E"/>
              </w:rPr>
              <w:t>Fair Value Measurement</w:t>
            </w:r>
          </w:p>
        </w:tc>
        <w:tc>
          <w:tcPr>
            <w:tcW w:w="200" w:type="dxa"/>
            <w:vAlign w:val="bottom"/>
            <w:tcBorders>
              <w:bottom w:val="single" w:sz="8" w:color="1E1E1E"/>
            </w:tcBorders>
          </w:tcPr>
          <w:p>
            <w:pPr>
              <w:spacing w:after="0"/>
              <w:rPr>
                <w:sz w:val="15"/>
                <w:szCs w:val="15"/>
                <w:color w:val="auto"/>
              </w:rPr>
            </w:pPr>
          </w:p>
        </w:tc>
        <w:tc>
          <w:tcPr>
            <w:tcW w:w="240" w:type="dxa"/>
            <w:vAlign w:val="bottom"/>
            <w:tcBorders>
              <w:bottom w:val="single" w:sz="8" w:color="1E1E1E"/>
            </w:tcBorders>
          </w:tcPr>
          <w:p>
            <w:pPr>
              <w:spacing w:after="0"/>
              <w:rPr>
                <w:sz w:val="15"/>
                <w:szCs w:val="15"/>
                <w:color w:val="auto"/>
              </w:rPr>
            </w:pPr>
          </w:p>
        </w:tc>
        <w:tc>
          <w:tcPr>
            <w:tcW w:w="900" w:type="dxa"/>
            <w:vAlign w:val="bottom"/>
            <w:tcBorders>
              <w:bottom w:val="single" w:sz="8" w:color="1E1E1E"/>
            </w:tcBorders>
          </w:tcPr>
          <w:p>
            <w:pPr>
              <w:spacing w:after="0"/>
              <w:rPr>
                <w:sz w:val="15"/>
                <w:szCs w:val="15"/>
                <w:color w:val="auto"/>
              </w:rPr>
            </w:pPr>
          </w:p>
        </w:tc>
        <w:tc>
          <w:tcPr>
            <w:tcW w:w="100" w:type="dxa"/>
            <w:vAlign w:val="bottom"/>
          </w:tcPr>
          <w:p>
            <w:pPr>
              <w:spacing w:after="0"/>
              <w:rPr>
                <w:sz w:val="15"/>
                <w:szCs w:val="15"/>
                <w:color w:val="auto"/>
              </w:rPr>
            </w:pPr>
          </w:p>
        </w:tc>
      </w:tr>
      <w:tr>
        <w:trPr>
          <w:trHeight w:val="150"/>
        </w:trPr>
        <w:tc>
          <w:tcPr>
            <w:tcW w:w="5540" w:type="dxa"/>
            <w:vAlign w:val="bottom"/>
          </w:tcPr>
          <w:p>
            <w:pPr>
              <w:spacing w:after="0"/>
              <w:rPr>
                <w:sz w:val="13"/>
                <w:szCs w:val="13"/>
                <w:color w:val="auto"/>
              </w:rPr>
            </w:pPr>
          </w:p>
        </w:tc>
        <w:tc>
          <w:tcPr>
            <w:tcW w:w="80" w:type="dxa"/>
            <w:vAlign w:val="bottom"/>
            <w:tcBorders>
              <w:bottom w:val="single" w:sz="8" w:color="1E1E1E"/>
            </w:tcBorders>
          </w:tcPr>
          <w:p>
            <w:pPr>
              <w:spacing w:after="0"/>
              <w:rPr>
                <w:sz w:val="13"/>
                <w:szCs w:val="13"/>
                <w:color w:val="auto"/>
              </w:rPr>
            </w:pPr>
          </w:p>
        </w:tc>
        <w:tc>
          <w:tcPr>
            <w:tcW w:w="1040" w:type="dxa"/>
            <w:vAlign w:val="bottom"/>
            <w:tcBorders>
              <w:bottom w:val="single" w:sz="8" w:color="1E1E1E"/>
            </w:tcBorders>
          </w:tcPr>
          <w:p>
            <w:pPr>
              <w:spacing w:after="0"/>
              <w:rPr>
                <w:sz w:val="13"/>
                <w:szCs w:val="13"/>
                <w:color w:val="auto"/>
              </w:rPr>
            </w:pPr>
          </w:p>
        </w:tc>
        <w:tc>
          <w:tcPr>
            <w:tcW w:w="220" w:type="dxa"/>
            <w:vAlign w:val="bottom"/>
            <w:tcBorders>
              <w:bottom w:val="single" w:sz="8" w:color="1E1E1E"/>
            </w:tcBorders>
          </w:tcPr>
          <w:p>
            <w:pPr>
              <w:spacing w:after="0"/>
              <w:rPr>
                <w:sz w:val="13"/>
                <w:szCs w:val="13"/>
                <w:color w:val="auto"/>
              </w:rPr>
            </w:pPr>
          </w:p>
        </w:tc>
        <w:tc>
          <w:tcPr>
            <w:tcW w:w="100" w:type="dxa"/>
            <w:vAlign w:val="bottom"/>
            <w:tcBorders>
              <w:bottom w:val="single" w:sz="8" w:color="1E1E1E"/>
            </w:tcBorders>
          </w:tcPr>
          <w:p>
            <w:pPr>
              <w:spacing w:after="0"/>
              <w:rPr>
                <w:sz w:val="13"/>
                <w:szCs w:val="13"/>
                <w:color w:val="auto"/>
              </w:rPr>
            </w:pPr>
          </w:p>
        </w:tc>
        <w:tc>
          <w:tcPr>
            <w:tcW w:w="2380" w:type="dxa"/>
            <w:vAlign w:val="bottom"/>
            <w:tcBorders>
              <w:bottom w:val="single" w:sz="8" w:color="1E1E1E"/>
            </w:tcBorders>
            <w:gridSpan w:val="4"/>
          </w:tcPr>
          <w:p>
            <w:pPr>
              <w:ind w:left="660"/>
              <w:spacing w:after="0" w:line="151" w:lineRule="exact"/>
              <w:rPr>
                <w:sz w:val="20"/>
                <w:szCs w:val="20"/>
                <w:color w:val="auto"/>
              </w:rPr>
            </w:pPr>
            <w:r>
              <w:rPr>
                <w:rFonts w:ascii="Arial" w:cs="Arial" w:eastAsia="Arial" w:hAnsi="Arial"/>
                <w:sz w:val="14"/>
                <w:szCs w:val="14"/>
                <w:color w:val="1E1E1E"/>
              </w:rPr>
              <w:t>January 28, 2023</w:t>
            </w:r>
          </w:p>
        </w:tc>
        <w:tc>
          <w:tcPr>
            <w:tcW w:w="200" w:type="dxa"/>
            <w:vAlign w:val="bottom"/>
            <w:tcBorders>
              <w:bottom w:val="single" w:sz="8" w:color="1E1E1E"/>
            </w:tcBorders>
          </w:tcPr>
          <w:p>
            <w:pPr>
              <w:spacing w:after="0"/>
              <w:rPr>
                <w:sz w:val="13"/>
                <w:szCs w:val="13"/>
                <w:color w:val="auto"/>
              </w:rPr>
            </w:pPr>
          </w:p>
        </w:tc>
        <w:tc>
          <w:tcPr>
            <w:tcW w:w="240" w:type="dxa"/>
            <w:vAlign w:val="bottom"/>
            <w:tcBorders>
              <w:bottom w:val="single" w:sz="8" w:color="1E1E1E"/>
            </w:tcBorders>
          </w:tcPr>
          <w:p>
            <w:pPr>
              <w:spacing w:after="0"/>
              <w:rPr>
                <w:sz w:val="13"/>
                <w:szCs w:val="13"/>
                <w:color w:val="auto"/>
              </w:rPr>
            </w:pPr>
          </w:p>
        </w:tc>
        <w:tc>
          <w:tcPr>
            <w:tcW w:w="900" w:type="dxa"/>
            <w:vAlign w:val="bottom"/>
            <w:tcBorders>
              <w:bottom w:val="single" w:sz="8" w:color="1E1E1E"/>
            </w:tcBorders>
          </w:tcPr>
          <w:p>
            <w:pPr>
              <w:spacing w:after="0"/>
              <w:rPr>
                <w:sz w:val="13"/>
                <w:szCs w:val="13"/>
                <w:color w:val="auto"/>
              </w:rPr>
            </w:pPr>
          </w:p>
        </w:tc>
        <w:tc>
          <w:tcPr>
            <w:tcW w:w="100" w:type="dxa"/>
            <w:vAlign w:val="bottom"/>
          </w:tcPr>
          <w:p>
            <w:pPr>
              <w:spacing w:after="0"/>
              <w:rPr>
                <w:sz w:val="13"/>
                <w:szCs w:val="13"/>
                <w:color w:val="auto"/>
              </w:rPr>
            </w:pPr>
          </w:p>
        </w:tc>
      </w:tr>
      <w:tr>
        <w:trPr>
          <w:trHeight w:val="139"/>
        </w:trPr>
        <w:tc>
          <w:tcPr>
            <w:tcW w:w="5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39" w:lineRule="exact"/>
              <w:rPr>
                <w:sz w:val="20"/>
                <w:szCs w:val="20"/>
                <w:color w:val="auto"/>
              </w:rPr>
            </w:pPr>
            <w:r>
              <w:rPr>
                <w:rFonts w:ascii="Arial" w:cs="Arial" w:eastAsia="Arial" w:hAnsi="Arial"/>
                <w:sz w:val="14"/>
                <w:szCs w:val="14"/>
                <w:color w:val="1E1E1E"/>
                <w:w w:val="90"/>
              </w:rPr>
              <w:t>Quoted Prices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1E1E1E"/>
                <w:w w:val="93"/>
              </w:rPr>
              <w:t>Active Markets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color w:val="1E1E1E"/>
                <w:w w:val="95"/>
              </w:rPr>
              <w:t>Significant</w:t>
            </w:r>
          </w:p>
        </w:tc>
        <w:tc>
          <w:tcPr>
            <w:tcW w:w="100" w:type="dxa"/>
            <w:vAlign w:val="bottom"/>
          </w:tcPr>
          <w:p>
            <w:pPr>
              <w:spacing w:after="0"/>
              <w:rPr>
                <w:sz w:val="13"/>
                <w:szCs w:val="13"/>
                <w:color w:val="auto"/>
              </w:rPr>
            </w:pPr>
          </w:p>
        </w:tc>
        <w:tc>
          <w:tcPr>
            <w:tcW w:w="1040" w:type="dxa"/>
            <w:vAlign w:val="bottom"/>
          </w:tcPr>
          <w:p>
            <w:pPr>
              <w:jc w:val="center"/>
              <w:ind w:right="30"/>
              <w:spacing w:after="0"/>
              <w:rPr>
                <w:sz w:val="20"/>
                <w:szCs w:val="20"/>
                <w:color w:val="auto"/>
              </w:rPr>
            </w:pPr>
            <w:r>
              <w:rPr>
                <w:rFonts w:ascii="Arial" w:cs="Arial" w:eastAsia="Arial" w:hAnsi="Arial"/>
                <w:sz w:val="14"/>
                <w:szCs w:val="14"/>
                <w:color w:val="1E1E1E"/>
                <w:w w:val="95"/>
              </w:rPr>
              <w:t>Significant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3"/>
        </w:trPr>
        <w:tc>
          <w:tcPr>
            <w:tcW w:w="5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10"/>
              <w:spacing w:after="0"/>
              <w:rPr>
                <w:sz w:val="20"/>
                <w:szCs w:val="20"/>
                <w:color w:val="auto"/>
              </w:rPr>
            </w:pPr>
            <w:r>
              <w:rPr>
                <w:rFonts w:ascii="Arial" w:cs="Arial" w:eastAsia="Arial" w:hAnsi="Arial"/>
                <w:sz w:val="14"/>
                <w:szCs w:val="14"/>
                <w:color w:val="1E1E1E"/>
                <w:w w:val="93"/>
              </w:rPr>
              <w:t>for Identical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color w:val="1E1E1E"/>
                <w:w w:val="89"/>
              </w:rPr>
              <w:t>Observable</w:t>
            </w:r>
          </w:p>
        </w:tc>
        <w:tc>
          <w:tcPr>
            <w:tcW w:w="100" w:type="dxa"/>
            <w:vAlign w:val="bottom"/>
          </w:tcPr>
          <w:p>
            <w:pPr>
              <w:spacing w:after="0"/>
              <w:rPr>
                <w:sz w:val="14"/>
                <w:szCs w:val="14"/>
                <w:color w:val="auto"/>
              </w:rPr>
            </w:pPr>
          </w:p>
        </w:tc>
        <w:tc>
          <w:tcPr>
            <w:tcW w:w="1040" w:type="dxa"/>
            <w:vAlign w:val="bottom"/>
          </w:tcPr>
          <w:p>
            <w:pPr>
              <w:jc w:val="center"/>
              <w:ind w:right="30"/>
              <w:spacing w:after="0"/>
              <w:rPr>
                <w:sz w:val="20"/>
                <w:szCs w:val="20"/>
                <w:color w:val="auto"/>
              </w:rPr>
            </w:pPr>
            <w:r>
              <w:rPr>
                <w:rFonts w:ascii="Arial" w:cs="Arial" w:eastAsia="Arial" w:hAnsi="Arial"/>
                <w:sz w:val="14"/>
                <w:szCs w:val="14"/>
                <w:color w:val="1E1E1E"/>
                <w:w w:val="90"/>
              </w:rPr>
              <w:t>Unobservable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5540" w:type="dxa"/>
            <w:vAlign w:val="bottom"/>
          </w:tcPr>
          <w:p>
            <w:pPr>
              <w:spacing w:after="0"/>
              <w:rPr>
                <w:sz w:val="20"/>
                <w:szCs w:val="20"/>
                <w:color w:val="auto"/>
              </w:rPr>
            </w:pPr>
            <w:r>
              <w:rPr>
                <w:rFonts w:ascii="Arial" w:cs="Arial" w:eastAsia="Arial" w:hAnsi="Arial"/>
                <w:sz w:val="14"/>
                <w:szCs w:val="14"/>
                <w:color w:val="1E1E1E"/>
              </w:rPr>
              <w:t>(in thousands)</w:t>
            </w:r>
          </w:p>
        </w:tc>
        <w:tc>
          <w:tcPr>
            <w:tcW w:w="80" w:type="dxa"/>
            <w:vAlign w:val="bottom"/>
          </w:tcPr>
          <w:p>
            <w:pPr>
              <w:spacing w:after="0"/>
              <w:rPr>
                <w:sz w:val="15"/>
                <w:szCs w:val="15"/>
                <w:color w:val="auto"/>
              </w:rPr>
            </w:pPr>
          </w:p>
        </w:tc>
        <w:tc>
          <w:tcPr>
            <w:tcW w:w="1040" w:type="dxa"/>
            <w:vAlign w:val="bottom"/>
          </w:tcPr>
          <w:p>
            <w:pPr>
              <w:jc w:val="center"/>
              <w:ind w:right="10"/>
              <w:spacing w:after="0"/>
              <w:rPr>
                <w:sz w:val="20"/>
                <w:szCs w:val="20"/>
                <w:color w:val="auto"/>
              </w:rPr>
            </w:pPr>
            <w:r>
              <w:rPr>
                <w:rFonts w:ascii="Arial" w:cs="Arial" w:eastAsia="Arial" w:hAnsi="Arial"/>
                <w:sz w:val="14"/>
                <w:szCs w:val="14"/>
                <w:color w:val="1E1E1E"/>
                <w:w w:val="91"/>
              </w:rPr>
              <w:t>Assets (Level 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color w:val="1E1E1E"/>
                <w:w w:val="93"/>
              </w:rPr>
              <w:t>Inputs (Level 2)</w:t>
            </w:r>
          </w:p>
        </w:tc>
        <w:tc>
          <w:tcPr>
            <w:tcW w:w="100" w:type="dxa"/>
            <w:vAlign w:val="bottom"/>
          </w:tcPr>
          <w:p>
            <w:pPr>
              <w:spacing w:after="0"/>
              <w:rPr>
                <w:sz w:val="15"/>
                <w:szCs w:val="15"/>
                <w:color w:val="auto"/>
              </w:rPr>
            </w:pPr>
          </w:p>
        </w:tc>
        <w:tc>
          <w:tcPr>
            <w:tcW w:w="1040" w:type="dxa"/>
            <w:vAlign w:val="bottom"/>
          </w:tcPr>
          <w:p>
            <w:pPr>
              <w:jc w:val="center"/>
              <w:ind w:right="30"/>
              <w:spacing w:after="0"/>
              <w:rPr>
                <w:sz w:val="20"/>
                <w:szCs w:val="20"/>
                <w:color w:val="auto"/>
              </w:rPr>
            </w:pPr>
            <w:r>
              <w:rPr>
                <w:rFonts w:ascii="Arial" w:cs="Arial" w:eastAsia="Arial" w:hAnsi="Arial"/>
                <w:sz w:val="14"/>
                <w:szCs w:val="14"/>
                <w:color w:val="1E1E1E"/>
                <w:w w:val="93"/>
              </w:rPr>
              <w:t>Inputs (Level 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50"/>
              <w:spacing w:after="0"/>
              <w:rPr>
                <w:sz w:val="20"/>
                <w:szCs w:val="20"/>
                <w:color w:val="auto"/>
              </w:rPr>
            </w:pPr>
            <w:r>
              <w:rPr>
                <w:rFonts w:ascii="Arial" w:cs="Arial" w:eastAsia="Arial" w:hAnsi="Arial"/>
                <w:sz w:val="14"/>
                <w:szCs w:val="14"/>
                <w:color w:val="1E1E1E"/>
              </w:rPr>
              <w:t>Total</w:t>
            </w:r>
          </w:p>
        </w:tc>
        <w:tc>
          <w:tcPr>
            <w:tcW w:w="100" w:type="dxa"/>
            <w:vAlign w:val="bottom"/>
          </w:tcPr>
          <w:p>
            <w:pPr>
              <w:spacing w:after="0"/>
              <w:rPr>
                <w:sz w:val="15"/>
                <w:szCs w:val="15"/>
                <w:color w:val="auto"/>
              </w:rPr>
            </w:pPr>
          </w:p>
        </w:tc>
      </w:tr>
      <w:tr>
        <w:trPr>
          <w:trHeight w:val="153"/>
        </w:trPr>
        <w:tc>
          <w:tcPr>
            <w:tcW w:w="5540" w:type="dxa"/>
            <w:vAlign w:val="bottom"/>
            <w:tcBorders>
              <w:top w:val="single" w:sz="8" w:color="E4E4E4"/>
            </w:tcBorders>
            <w:shd w:val="clear" w:color="auto" w:fill="E4E4E4"/>
          </w:tcPr>
          <w:p>
            <w:pPr>
              <w:spacing w:after="0" w:line="153" w:lineRule="exact"/>
              <w:rPr>
                <w:sz w:val="20"/>
                <w:szCs w:val="20"/>
                <w:color w:val="auto"/>
              </w:rPr>
            </w:pPr>
            <w:r>
              <w:rPr>
                <w:rFonts w:ascii="Arial" w:cs="Arial" w:eastAsia="Arial" w:hAnsi="Arial"/>
                <w:sz w:val="14"/>
                <w:szCs w:val="14"/>
                <w:color w:val="1E1E1E"/>
              </w:rPr>
              <w:t>Asset category:</w:t>
            </w:r>
          </w:p>
        </w:tc>
        <w:tc>
          <w:tcPr>
            <w:tcW w:w="80" w:type="dxa"/>
            <w:vAlign w:val="bottom"/>
            <w:tcBorders>
              <w:top w:val="single" w:sz="8" w:color="1E1E1E"/>
            </w:tcBorders>
            <w:shd w:val="clear" w:color="auto" w:fill="E4E4E4"/>
          </w:tcPr>
          <w:p>
            <w:pPr>
              <w:spacing w:after="0"/>
              <w:rPr>
                <w:sz w:val="13"/>
                <w:szCs w:val="13"/>
                <w:color w:val="auto"/>
              </w:rPr>
            </w:pPr>
          </w:p>
        </w:tc>
        <w:tc>
          <w:tcPr>
            <w:tcW w:w="1040" w:type="dxa"/>
            <w:vAlign w:val="bottom"/>
            <w:tcBorders>
              <w:top w:val="single" w:sz="8" w:color="1E1E1E"/>
            </w:tcBorders>
            <w:shd w:val="clear" w:color="auto" w:fill="E4E4E4"/>
          </w:tcPr>
          <w:p>
            <w:pPr>
              <w:spacing w:after="0"/>
              <w:rPr>
                <w:sz w:val="13"/>
                <w:szCs w:val="13"/>
                <w:color w:val="auto"/>
              </w:rPr>
            </w:pPr>
          </w:p>
        </w:tc>
        <w:tc>
          <w:tcPr>
            <w:tcW w:w="220" w:type="dxa"/>
            <w:vAlign w:val="bottom"/>
            <w:tcBorders>
              <w:top w:val="single" w:sz="8" w:color="E4E4E4"/>
            </w:tcBorders>
            <w:shd w:val="clear" w:color="auto" w:fill="E4E4E4"/>
          </w:tcPr>
          <w:p>
            <w:pPr>
              <w:spacing w:after="0"/>
              <w:rPr>
                <w:sz w:val="13"/>
                <w:szCs w:val="13"/>
                <w:color w:val="auto"/>
              </w:rPr>
            </w:pPr>
          </w:p>
        </w:tc>
        <w:tc>
          <w:tcPr>
            <w:tcW w:w="100" w:type="dxa"/>
            <w:vAlign w:val="bottom"/>
            <w:tcBorders>
              <w:top w:val="single" w:sz="8" w:color="1E1E1E"/>
            </w:tcBorders>
            <w:shd w:val="clear" w:color="auto" w:fill="E4E4E4"/>
          </w:tcPr>
          <w:p>
            <w:pPr>
              <w:spacing w:after="0"/>
              <w:rPr>
                <w:sz w:val="13"/>
                <w:szCs w:val="13"/>
                <w:color w:val="auto"/>
              </w:rPr>
            </w:pPr>
          </w:p>
        </w:tc>
        <w:tc>
          <w:tcPr>
            <w:tcW w:w="1020" w:type="dxa"/>
            <w:vAlign w:val="bottom"/>
            <w:tcBorders>
              <w:top w:val="single" w:sz="8" w:color="1E1E1E"/>
            </w:tcBorders>
            <w:shd w:val="clear" w:color="auto" w:fill="E4E4E4"/>
          </w:tcPr>
          <w:p>
            <w:pPr>
              <w:spacing w:after="0"/>
              <w:rPr>
                <w:sz w:val="13"/>
                <w:szCs w:val="13"/>
                <w:color w:val="auto"/>
              </w:rPr>
            </w:pPr>
          </w:p>
        </w:tc>
        <w:tc>
          <w:tcPr>
            <w:tcW w:w="220" w:type="dxa"/>
            <w:vAlign w:val="bottom"/>
            <w:tcBorders>
              <w:top w:val="single" w:sz="8" w:color="E4E4E4"/>
            </w:tcBorders>
            <w:shd w:val="clear" w:color="auto" w:fill="E4E4E4"/>
          </w:tcPr>
          <w:p>
            <w:pPr>
              <w:spacing w:after="0"/>
              <w:rPr>
                <w:sz w:val="13"/>
                <w:szCs w:val="13"/>
                <w:color w:val="auto"/>
              </w:rPr>
            </w:pPr>
          </w:p>
        </w:tc>
        <w:tc>
          <w:tcPr>
            <w:tcW w:w="100" w:type="dxa"/>
            <w:vAlign w:val="bottom"/>
            <w:tcBorders>
              <w:top w:val="single" w:sz="8" w:color="1E1E1E"/>
            </w:tcBorders>
            <w:shd w:val="clear" w:color="auto" w:fill="E4E4E4"/>
          </w:tcPr>
          <w:p>
            <w:pPr>
              <w:spacing w:after="0"/>
              <w:rPr>
                <w:sz w:val="13"/>
                <w:szCs w:val="13"/>
                <w:color w:val="auto"/>
              </w:rPr>
            </w:pPr>
          </w:p>
        </w:tc>
        <w:tc>
          <w:tcPr>
            <w:tcW w:w="1040" w:type="dxa"/>
            <w:vAlign w:val="bottom"/>
            <w:tcBorders>
              <w:top w:val="single" w:sz="8" w:color="1E1E1E"/>
            </w:tcBorders>
            <w:shd w:val="clear" w:color="auto" w:fill="E4E4E4"/>
          </w:tcPr>
          <w:p>
            <w:pPr>
              <w:spacing w:after="0"/>
              <w:rPr>
                <w:sz w:val="13"/>
                <w:szCs w:val="13"/>
                <w:color w:val="auto"/>
              </w:rPr>
            </w:pPr>
          </w:p>
        </w:tc>
        <w:tc>
          <w:tcPr>
            <w:tcW w:w="200" w:type="dxa"/>
            <w:vAlign w:val="bottom"/>
            <w:tcBorders>
              <w:top w:val="single" w:sz="8" w:color="E4E4E4"/>
            </w:tcBorders>
            <w:shd w:val="clear" w:color="auto" w:fill="E4E4E4"/>
          </w:tcPr>
          <w:p>
            <w:pPr>
              <w:spacing w:after="0"/>
              <w:rPr>
                <w:sz w:val="13"/>
                <w:szCs w:val="13"/>
                <w:color w:val="auto"/>
              </w:rPr>
            </w:pPr>
          </w:p>
        </w:tc>
        <w:tc>
          <w:tcPr>
            <w:tcW w:w="240" w:type="dxa"/>
            <w:vAlign w:val="bottom"/>
            <w:tcBorders>
              <w:top w:val="single" w:sz="8" w:color="1E1E1E"/>
            </w:tcBorders>
            <w:shd w:val="clear" w:color="auto" w:fill="E4E4E4"/>
          </w:tcPr>
          <w:p>
            <w:pPr>
              <w:spacing w:after="0"/>
              <w:rPr>
                <w:sz w:val="13"/>
                <w:szCs w:val="13"/>
                <w:color w:val="auto"/>
              </w:rPr>
            </w:pPr>
          </w:p>
        </w:tc>
        <w:tc>
          <w:tcPr>
            <w:tcW w:w="900" w:type="dxa"/>
            <w:vAlign w:val="bottom"/>
            <w:tcBorders>
              <w:top w:val="single" w:sz="8" w:color="1E1E1E"/>
            </w:tcBorders>
            <w:shd w:val="clear" w:color="auto" w:fill="E4E4E4"/>
          </w:tcPr>
          <w:p>
            <w:pPr>
              <w:spacing w:after="0"/>
              <w:rPr>
                <w:sz w:val="13"/>
                <w:szCs w:val="13"/>
                <w:color w:val="auto"/>
              </w:rPr>
            </w:pPr>
          </w:p>
        </w:tc>
        <w:tc>
          <w:tcPr>
            <w:tcW w:w="100" w:type="dxa"/>
            <w:vAlign w:val="bottom"/>
            <w:tcBorders>
              <w:top w:val="single" w:sz="8" w:color="E4E4E4"/>
            </w:tcBorders>
            <w:shd w:val="clear" w:color="auto" w:fill="E4E4E4"/>
          </w:tcPr>
          <w:p>
            <w:pPr>
              <w:spacing w:after="0"/>
              <w:rPr>
                <w:sz w:val="13"/>
                <w:szCs w:val="13"/>
                <w:color w:val="auto"/>
              </w:rPr>
            </w:pPr>
          </w:p>
        </w:tc>
      </w:tr>
      <w:tr>
        <w:trPr>
          <w:trHeight w:val="161"/>
        </w:trPr>
        <w:tc>
          <w:tcPr>
            <w:tcW w:w="5540" w:type="dxa"/>
            <w:vAlign w:val="bottom"/>
          </w:tcPr>
          <w:p>
            <w:pPr>
              <w:spacing w:after="0"/>
              <w:rPr>
                <w:sz w:val="20"/>
                <w:szCs w:val="20"/>
                <w:color w:val="auto"/>
              </w:rPr>
            </w:pPr>
            <w:r>
              <w:rPr>
                <w:rFonts w:ascii="Arial" w:cs="Arial" w:eastAsia="Arial" w:hAnsi="Arial"/>
                <w:sz w:val="14"/>
                <w:szCs w:val="14"/>
                <w:color w:val="1E1E1E"/>
              </w:rPr>
              <w:t>Mutual Funds:</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5540" w:type="dxa"/>
            <w:vAlign w:val="bottom"/>
            <w:shd w:val="clear" w:color="auto" w:fill="E4E4E4"/>
          </w:tcPr>
          <w:p>
            <w:pPr>
              <w:ind w:left="200"/>
              <w:spacing w:after="0"/>
              <w:rPr>
                <w:sz w:val="20"/>
                <w:szCs w:val="20"/>
                <w:color w:val="auto"/>
              </w:rPr>
            </w:pPr>
            <w:r>
              <w:rPr>
                <w:rFonts w:ascii="Arial" w:cs="Arial" w:eastAsia="Arial" w:hAnsi="Arial"/>
                <w:sz w:val="14"/>
                <w:szCs w:val="14"/>
                <w:color w:val="1E1E1E"/>
              </w:rPr>
              <w:t>U.S. Equity</w:t>
            </w:r>
          </w:p>
        </w:tc>
        <w:tc>
          <w:tcPr>
            <w:tcW w:w="80" w:type="dxa"/>
            <w:vAlign w:val="bottom"/>
            <w:shd w:val="clear" w:color="auto" w:fill="E4E4E4"/>
          </w:tcPr>
          <w:p>
            <w:pPr>
              <w:jc w:val="right"/>
              <w:spacing w:after="0"/>
              <w:rPr>
                <w:sz w:val="20"/>
                <w:szCs w:val="20"/>
                <w:color w:val="auto"/>
              </w:rPr>
            </w:pPr>
            <w:r>
              <w:rPr>
                <w:rFonts w:ascii="Arial" w:cs="Arial" w:eastAsia="Arial" w:hAnsi="Arial"/>
                <w:sz w:val="14"/>
                <w:szCs w:val="14"/>
                <w:color w:val="1E1E1E"/>
                <w:w w:val="76"/>
              </w:rPr>
              <w:t>$</w:t>
            </w:r>
          </w:p>
        </w:tc>
        <w:tc>
          <w:tcPr>
            <w:tcW w:w="104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3,743</w:t>
            </w:r>
          </w:p>
        </w:tc>
        <w:tc>
          <w:tcPr>
            <w:tcW w:w="220" w:type="dxa"/>
            <w:vAlign w:val="bottom"/>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1240" w:type="dxa"/>
            <w:vAlign w:val="bottom"/>
            <w:gridSpan w:val="2"/>
            <w:shd w:val="clear" w:color="auto" w:fill="E4E4E4"/>
          </w:tcPr>
          <w:p>
            <w:pPr>
              <w:ind w:left="880"/>
              <w:spacing w:after="0"/>
              <w:rPr>
                <w:sz w:val="20"/>
                <w:szCs w:val="20"/>
                <w:color w:val="auto"/>
              </w:rPr>
            </w:pPr>
            <w:r>
              <w:rPr>
                <w:rFonts w:ascii="Arial" w:cs="Arial" w:eastAsia="Arial" w:hAnsi="Arial"/>
                <w:sz w:val="14"/>
                <w:szCs w:val="14"/>
                <w:color w:val="1E1E1E"/>
              </w:rPr>
              <w:t>—</w:t>
            </w:r>
          </w:p>
        </w:tc>
        <w:tc>
          <w:tcPr>
            <w:tcW w:w="100" w:type="dxa"/>
            <w:vAlign w:val="bottom"/>
            <w:shd w:val="clear" w:color="auto" w:fill="E4E4E4"/>
          </w:tcPr>
          <w:p>
            <w:pPr>
              <w:spacing w:after="0"/>
              <w:rPr>
                <w:sz w:val="13"/>
                <w:szCs w:val="13"/>
                <w:color w:val="auto"/>
              </w:rPr>
            </w:pPr>
          </w:p>
        </w:tc>
        <w:tc>
          <w:tcPr>
            <w:tcW w:w="1040" w:type="dxa"/>
            <w:vAlign w:val="bottom"/>
            <w:shd w:val="clear" w:color="auto" w:fill="E4E4E4"/>
          </w:tcPr>
          <w:p>
            <w:pPr>
              <w:ind w:left="900"/>
              <w:spacing w:after="0"/>
              <w:rPr>
                <w:sz w:val="20"/>
                <w:szCs w:val="20"/>
                <w:color w:val="auto"/>
              </w:rPr>
            </w:pPr>
            <w:r>
              <w:rPr>
                <w:rFonts w:ascii="Arial" w:cs="Arial" w:eastAsia="Arial" w:hAnsi="Arial"/>
                <w:sz w:val="14"/>
                <w:szCs w:val="14"/>
                <w:color w:val="1E1E1E"/>
                <w:w w:val="85"/>
              </w:rPr>
              <w:t>—</w:t>
            </w:r>
          </w:p>
        </w:tc>
        <w:tc>
          <w:tcPr>
            <w:tcW w:w="440" w:type="dxa"/>
            <w:vAlign w:val="bottom"/>
            <w:gridSpan w:val="2"/>
            <w:shd w:val="clear" w:color="auto" w:fill="E4E4E4"/>
          </w:tcPr>
          <w:p>
            <w:pPr>
              <w:jc w:val="right"/>
              <w:ind w:right="90"/>
              <w:spacing w:after="0"/>
              <w:rPr>
                <w:sz w:val="20"/>
                <w:szCs w:val="20"/>
                <w:color w:val="auto"/>
              </w:rPr>
            </w:pPr>
            <w:r>
              <w:rPr>
                <w:rFonts w:ascii="Arial" w:cs="Arial" w:eastAsia="Arial" w:hAnsi="Arial"/>
                <w:sz w:val="14"/>
                <w:szCs w:val="14"/>
                <w:color w:val="1E1E1E"/>
              </w:rPr>
              <w:t>$</w:t>
            </w:r>
          </w:p>
        </w:tc>
        <w:tc>
          <w:tcPr>
            <w:tcW w:w="90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3,743</w:t>
            </w:r>
          </w:p>
        </w:tc>
        <w:tc>
          <w:tcPr>
            <w:tcW w:w="100" w:type="dxa"/>
            <w:vAlign w:val="bottom"/>
            <w:shd w:val="clear" w:color="auto" w:fill="E4E4E4"/>
          </w:tcPr>
          <w:p>
            <w:pPr>
              <w:spacing w:after="0"/>
              <w:rPr>
                <w:sz w:val="13"/>
                <w:szCs w:val="13"/>
                <w:color w:val="auto"/>
              </w:rPr>
            </w:pPr>
          </w:p>
        </w:tc>
      </w:tr>
      <w:tr>
        <w:trPr>
          <w:trHeight w:val="161"/>
        </w:trPr>
        <w:tc>
          <w:tcPr>
            <w:tcW w:w="5540" w:type="dxa"/>
            <w:vAlign w:val="bottom"/>
          </w:tcPr>
          <w:p>
            <w:pPr>
              <w:ind w:left="200"/>
              <w:spacing w:after="0"/>
              <w:rPr>
                <w:sz w:val="20"/>
                <w:szCs w:val="20"/>
                <w:color w:val="auto"/>
              </w:rPr>
            </w:pPr>
            <w:r>
              <w:rPr>
                <w:rFonts w:ascii="Arial" w:cs="Arial" w:eastAsia="Arial" w:hAnsi="Arial"/>
                <w:sz w:val="14"/>
                <w:szCs w:val="14"/>
                <w:color w:val="1E1E1E"/>
              </w:rPr>
              <w:t>International Equity</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E1E1E"/>
              </w:rPr>
              <w:t>2,592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ind w:left="880"/>
              <w:spacing w:after="0"/>
              <w:rPr>
                <w:sz w:val="20"/>
                <w:szCs w:val="20"/>
                <w:color w:val="auto"/>
              </w:rPr>
            </w:pPr>
            <w:r>
              <w:rPr>
                <w:rFonts w:ascii="Arial" w:cs="Arial" w:eastAsia="Arial" w:hAnsi="Arial"/>
                <w:sz w:val="14"/>
                <w:szCs w:val="14"/>
                <w:color w:val="1E1E1E"/>
              </w:rPr>
              <w:t>—</w:t>
            </w:r>
          </w:p>
        </w:tc>
        <w:tc>
          <w:tcPr>
            <w:tcW w:w="100" w:type="dxa"/>
            <w:vAlign w:val="bottom"/>
          </w:tcPr>
          <w:p>
            <w:pPr>
              <w:spacing w:after="0"/>
              <w:rPr>
                <w:sz w:val="13"/>
                <w:szCs w:val="13"/>
                <w:color w:val="auto"/>
              </w:rPr>
            </w:pPr>
          </w:p>
        </w:tc>
        <w:tc>
          <w:tcPr>
            <w:tcW w:w="1040" w:type="dxa"/>
            <w:vAlign w:val="bottom"/>
          </w:tcPr>
          <w:p>
            <w:pPr>
              <w:ind w:left="900"/>
              <w:spacing w:after="0"/>
              <w:rPr>
                <w:sz w:val="20"/>
                <w:szCs w:val="20"/>
                <w:color w:val="auto"/>
              </w:rPr>
            </w:pPr>
            <w:r>
              <w:rPr>
                <w:rFonts w:ascii="Arial" w:cs="Arial" w:eastAsia="Arial" w:hAnsi="Arial"/>
                <w:sz w:val="14"/>
                <w:szCs w:val="14"/>
                <w:color w:val="1E1E1E"/>
                <w:w w:val="85"/>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1E1E1E"/>
              </w:rPr>
              <w:t>2,592</w:t>
            </w:r>
          </w:p>
        </w:tc>
        <w:tc>
          <w:tcPr>
            <w:tcW w:w="100" w:type="dxa"/>
            <w:vAlign w:val="bottom"/>
          </w:tcPr>
          <w:p>
            <w:pPr>
              <w:spacing w:after="0"/>
              <w:rPr>
                <w:sz w:val="13"/>
                <w:szCs w:val="13"/>
                <w:color w:val="auto"/>
              </w:rPr>
            </w:pPr>
          </w:p>
        </w:tc>
      </w:tr>
      <w:tr>
        <w:trPr>
          <w:trHeight w:val="161"/>
        </w:trPr>
        <w:tc>
          <w:tcPr>
            <w:tcW w:w="5540" w:type="dxa"/>
            <w:vAlign w:val="bottom"/>
            <w:shd w:val="clear" w:color="auto" w:fill="E4E4E4"/>
          </w:tcPr>
          <w:p>
            <w:pPr>
              <w:spacing w:after="0"/>
              <w:rPr>
                <w:sz w:val="20"/>
                <w:szCs w:val="20"/>
                <w:color w:val="auto"/>
              </w:rPr>
            </w:pPr>
            <w:r>
              <w:rPr>
                <w:rFonts w:ascii="Arial" w:cs="Arial" w:eastAsia="Arial" w:hAnsi="Arial"/>
                <w:sz w:val="14"/>
                <w:szCs w:val="14"/>
                <w:color w:val="1E1E1E"/>
              </w:rPr>
              <w:t>Fixed Income</w:t>
            </w:r>
          </w:p>
        </w:tc>
        <w:tc>
          <w:tcPr>
            <w:tcW w:w="80" w:type="dxa"/>
            <w:vAlign w:val="bottom"/>
            <w:shd w:val="clear" w:color="auto" w:fill="E4E4E4"/>
          </w:tcPr>
          <w:p>
            <w:pPr>
              <w:spacing w:after="0"/>
              <w:rPr>
                <w:sz w:val="13"/>
                <w:szCs w:val="13"/>
                <w:color w:val="auto"/>
              </w:rPr>
            </w:pPr>
          </w:p>
        </w:tc>
        <w:tc>
          <w:tcPr>
            <w:tcW w:w="104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1,333</w:t>
            </w:r>
          </w:p>
        </w:tc>
        <w:tc>
          <w:tcPr>
            <w:tcW w:w="220" w:type="dxa"/>
            <w:vAlign w:val="bottom"/>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1240" w:type="dxa"/>
            <w:vAlign w:val="bottom"/>
            <w:gridSpan w:val="2"/>
            <w:shd w:val="clear" w:color="auto" w:fill="E4E4E4"/>
          </w:tcPr>
          <w:p>
            <w:pPr>
              <w:ind w:left="880"/>
              <w:spacing w:after="0"/>
              <w:rPr>
                <w:sz w:val="20"/>
                <w:szCs w:val="20"/>
                <w:color w:val="auto"/>
              </w:rPr>
            </w:pPr>
            <w:r>
              <w:rPr>
                <w:rFonts w:ascii="Arial" w:cs="Arial" w:eastAsia="Arial" w:hAnsi="Arial"/>
                <w:sz w:val="14"/>
                <w:szCs w:val="14"/>
                <w:color w:val="1E1E1E"/>
              </w:rPr>
              <w:t>—</w:t>
            </w:r>
          </w:p>
        </w:tc>
        <w:tc>
          <w:tcPr>
            <w:tcW w:w="100" w:type="dxa"/>
            <w:vAlign w:val="bottom"/>
            <w:shd w:val="clear" w:color="auto" w:fill="E4E4E4"/>
          </w:tcPr>
          <w:p>
            <w:pPr>
              <w:spacing w:after="0"/>
              <w:rPr>
                <w:sz w:val="13"/>
                <w:szCs w:val="13"/>
                <w:color w:val="auto"/>
              </w:rPr>
            </w:pPr>
          </w:p>
        </w:tc>
        <w:tc>
          <w:tcPr>
            <w:tcW w:w="1040" w:type="dxa"/>
            <w:vAlign w:val="bottom"/>
            <w:shd w:val="clear" w:color="auto" w:fill="E4E4E4"/>
          </w:tcPr>
          <w:p>
            <w:pPr>
              <w:ind w:left="900"/>
              <w:spacing w:after="0"/>
              <w:rPr>
                <w:sz w:val="20"/>
                <w:szCs w:val="20"/>
                <w:color w:val="auto"/>
              </w:rPr>
            </w:pPr>
            <w:r>
              <w:rPr>
                <w:rFonts w:ascii="Arial" w:cs="Arial" w:eastAsia="Arial" w:hAnsi="Arial"/>
                <w:sz w:val="14"/>
                <w:szCs w:val="14"/>
                <w:color w:val="1E1E1E"/>
                <w:w w:val="85"/>
              </w:rPr>
              <w:t>—</w:t>
            </w:r>
          </w:p>
        </w:tc>
        <w:tc>
          <w:tcPr>
            <w:tcW w:w="200" w:type="dxa"/>
            <w:vAlign w:val="bottom"/>
            <w:shd w:val="clear" w:color="auto" w:fill="E4E4E4"/>
          </w:tcPr>
          <w:p>
            <w:pPr>
              <w:spacing w:after="0"/>
              <w:rPr>
                <w:sz w:val="13"/>
                <w:szCs w:val="13"/>
                <w:color w:val="auto"/>
              </w:rPr>
            </w:pPr>
          </w:p>
        </w:tc>
        <w:tc>
          <w:tcPr>
            <w:tcW w:w="240" w:type="dxa"/>
            <w:vAlign w:val="bottom"/>
            <w:shd w:val="clear" w:color="auto" w:fill="E4E4E4"/>
          </w:tcPr>
          <w:p>
            <w:pPr>
              <w:spacing w:after="0"/>
              <w:rPr>
                <w:sz w:val="13"/>
                <w:szCs w:val="13"/>
                <w:color w:val="auto"/>
              </w:rPr>
            </w:pPr>
          </w:p>
        </w:tc>
        <w:tc>
          <w:tcPr>
            <w:tcW w:w="900" w:type="dxa"/>
            <w:vAlign w:val="bottom"/>
            <w:shd w:val="clear" w:color="auto" w:fill="E4E4E4"/>
          </w:tcPr>
          <w:p>
            <w:pPr>
              <w:jc w:val="right"/>
              <w:spacing w:after="0"/>
              <w:rPr>
                <w:sz w:val="20"/>
                <w:szCs w:val="20"/>
                <w:color w:val="auto"/>
              </w:rPr>
            </w:pPr>
            <w:r>
              <w:rPr>
                <w:rFonts w:ascii="Arial" w:cs="Arial" w:eastAsia="Arial" w:hAnsi="Arial"/>
                <w:sz w:val="14"/>
                <w:szCs w:val="14"/>
                <w:color w:val="1E1E1E"/>
              </w:rPr>
              <w:t>1,333</w:t>
            </w:r>
          </w:p>
        </w:tc>
        <w:tc>
          <w:tcPr>
            <w:tcW w:w="100" w:type="dxa"/>
            <w:vAlign w:val="bottom"/>
            <w:shd w:val="clear" w:color="auto" w:fill="E4E4E4"/>
          </w:tcPr>
          <w:p>
            <w:pPr>
              <w:spacing w:after="0"/>
              <w:rPr>
                <w:sz w:val="13"/>
                <w:szCs w:val="13"/>
                <w:color w:val="auto"/>
              </w:rPr>
            </w:pPr>
          </w:p>
        </w:tc>
      </w:tr>
      <w:tr>
        <w:trPr>
          <w:trHeight w:val="161"/>
        </w:trPr>
        <w:tc>
          <w:tcPr>
            <w:tcW w:w="5540" w:type="dxa"/>
            <w:vAlign w:val="bottom"/>
          </w:tcPr>
          <w:p>
            <w:pPr>
              <w:spacing w:after="0"/>
              <w:rPr>
                <w:sz w:val="20"/>
                <w:szCs w:val="20"/>
                <w:color w:val="auto"/>
              </w:rPr>
            </w:pPr>
            <w:r>
              <w:rPr>
                <w:rFonts w:ascii="Arial" w:cs="Arial" w:eastAsia="Arial" w:hAnsi="Arial"/>
                <w:sz w:val="14"/>
                <w:szCs w:val="14"/>
                <w:color w:val="1E1E1E"/>
              </w:rPr>
              <w:t>Cash</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E1E1E"/>
              </w:rPr>
              <w:t>1,923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ind w:left="880"/>
              <w:spacing w:after="0"/>
              <w:rPr>
                <w:sz w:val="20"/>
                <w:szCs w:val="20"/>
                <w:color w:val="auto"/>
              </w:rPr>
            </w:pPr>
            <w:r>
              <w:rPr>
                <w:rFonts w:ascii="Arial" w:cs="Arial" w:eastAsia="Arial" w:hAnsi="Arial"/>
                <w:sz w:val="14"/>
                <w:szCs w:val="14"/>
                <w:color w:val="1E1E1E"/>
              </w:rPr>
              <w:t>—</w:t>
            </w:r>
          </w:p>
        </w:tc>
        <w:tc>
          <w:tcPr>
            <w:tcW w:w="100" w:type="dxa"/>
            <w:vAlign w:val="bottom"/>
          </w:tcPr>
          <w:p>
            <w:pPr>
              <w:spacing w:after="0"/>
              <w:rPr>
                <w:sz w:val="13"/>
                <w:szCs w:val="13"/>
                <w:color w:val="auto"/>
              </w:rPr>
            </w:pPr>
          </w:p>
        </w:tc>
        <w:tc>
          <w:tcPr>
            <w:tcW w:w="1040" w:type="dxa"/>
            <w:vAlign w:val="bottom"/>
          </w:tcPr>
          <w:p>
            <w:pPr>
              <w:ind w:left="900"/>
              <w:spacing w:after="0"/>
              <w:rPr>
                <w:sz w:val="20"/>
                <w:szCs w:val="20"/>
                <w:color w:val="auto"/>
              </w:rPr>
            </w:pPr>
            <w:r>
              <w:rPr>
                <w:rFonts w:ascii="Arial" w:cs="Arial" w:eastAsia="Arial" w:hAnsi="Arial"/>
                <w:sz w:val="14"/>
                <w:szCs w:val="14"/>
                <w:color w:val="1E1E1E"/>
                <w:w w:val="85"/>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1E1E1E"/>
              </w:rPr>
              <w:t>1,923</w:t>
            </w:r>
          </w:p>
        </w:tc>
        <w:tc>
          <w:tcPr>
            <w:tcW w:w="100" w:type="dxa"/>
            <w:vAlign w:val="bottom"/>
          </w:tcPr>
          <w:p>
            <w:pPr>
              <w:spacing w:after="0"/>
              <w:rPr>
                <w:sz w:val="13"/>
                <w:szCs w:val="13"/>
                <w:color w:val="auto"/>
              </w:rPr>
            </w:pPr>
          </w:p>
        </w:tc>
      </w:tr>
      <w:tr>
        <w:trPr>
          <w:trHeight w:val="152"/>
        </w:trPr>
        <w:tc>
          <w:tcPr>
            <w:tcW w:w="5540" w:type="dxa"/>
            <w:vAlign w:val="bottom"/>
            <w:tcBorders>
              <w:top w:val="single" w:sz="8" w:color="E4E4E4"/>
              <w:bottom w:val="single" w:sz="8" w:color="E4E4E4"/>
            </w:tcBorders>
            <w:shd w:val="clear" w:color="auto" w:fill="E4E4E4"/>
          </w:tcPr>
          <w:p>
            <w:pPr>
              <w:spacing w:after="0" w:line="151" w:lineRule="exact"/>
              <w:rPr>
                <w:sz w:val="20"/>
                <w:szCs w:val="20"/>
                <w:color w:val="auto"/>
              </w:rPr>
            </w:pPr>
            <w:r>
              <w:rPr>
                <w:rFonts w:ascii="Arial" w:cs="Arial" w:eastAsia="Arial" w:hAnsi="Arial"/>
                <w:sz w:val="14"/>
                <w:szCs w:val="14"/>
                <w:color w:val="1E1E1E"/>
              </w:rPr>
              <w:t>Total</w:t>
            </w:r>
          </w:p>
        </w:tc>
        <w:tc>
          <w:tcPr>
            <w:tcW w:w="80" w:type="dxa"/>
            <w:vAlign w:val="bottom"/>
            <w:tcBorders>
              <w:top w:val="single" w:sz="8" w:color="1E1E1E"/>
              <w:bottom w:val="single" w:sz="8" w:color="1E1E1E"/>
            </w:tcBorders>
            <w:shd w:val="clear" w:color="auto" w:fill="E4E4E4"/>
          </w:tcPr>
          <w:p>
            <w:pPr>
              <w:jc w:val="right"/>
              <w:spacing w:after="0" w:line="151" w:lineRule="exact"/>
              <w:rPr>
                <w:sz w:val="20"/>
                <w:szCs w:val="20"/>
                <w:color w:val="auto"/>
              </w:rPr>
            </w:pPr>
            <w:r>
              <w:rPr>
                <w:rFonts w:ascii="Arial" w:cs="Arial" w:eastAsia="Arial" w:hAnsi="Arial"/>
                <w:sz w:val="14"/>
                <w:szCs w:val="14"/>
                <w:color w:val="1E1E1E"/>
                <w:w w:val="76"/>
              </w:rPr>
              <w:t>$</w:t>
            </w:r>
          </w:p>
        </w:tc>
        <w:tc>
          <w:tcPr>
            <w:tcW w:w="1040" w:type="dxa"/>
            <w:vAlign w:val="bottom"/>
            <w:tcBorders>
              <w:top w:val="single" w:sz="8" w:color="1E1E1E"/>
              <w:bottom w:val="single" w:sz="8" w:color="1E1E1E"/>
            </w:tcBorders>
            <w:shd w:val="clear" w:color="auto" w:fill="E4E4E4"/>
          </w:tcPr>
          <w:p>
            <w:pPr>
              <w:jc w:val="right"/>
              <w:spacing w:after="0" w:line="151" w:lineRule="exact"/>
              <w:rPr>
                <w:sz w:val="20"/>
                <w:szCs w:val="20"/>
                <w:color w:val="auto"/>
              </w:rPr>
            </w:pPr>
            <w:r>
              <w:rPr>
                <w:rFonts w:ascii="Arial" w:cs="Arial" w:eastAsia="Arial" w:hAnsi="Arial"/>
                <w:sz w:val="14"/>
                <w:szCs w:val="14"/>
                <w:color w:val="1E1E1E"/>
              </w:rPr>
              <w:t>9,591</w:t>
            </w:r>
          </w:p>
        </w:tc>
        <w:tc>
          <w:tcPr>
            <w:tcW w:w="220" w:type="dxa"/>
            <w:vAlign w:val="bottom"/>
            <w:tcBorders>
              <w:top w:val="single" w:sz="8" w:color="E4E4E4"/>
              <w:bottom w:val="single" w:sz="8" w:color="E4E4E4"/>
            </w:tcBorders>
            <w:shd w:val="clear" w:color="auto" w:fill="E4E4E4"/>
          </w:tcPr>
          <w:p>
            <w:pPr>
              <w:spacing w:after="0"/>
              <w:rPr>
                <w:sz w:val="13"/>
                <w:szCs w:val="13"/>
                <w:color w:val="auto"/>
              </w:rPr>
            </w:pPr>
          </w:p>
        </w:tc>
        <w:tc>
          <w:tcPr>
            <w:tcW w:w="100" w:type="dxa"/>
            <w:vAlign w:val="bottom"/>
            <w:tcBorders>
              <w:top w:val="single" w:sz="8" w:color="1E1E1E"/>
              <w:bottom w:val="single" w:sz="8" w:color="1E1E1E"/>
            </w:tcBorders>
            <w:shd w:val="clear" w:color="auto" w:fill="E4E4E4"/>
          </w:tcPr>
          <w:p>
            <w:pPr>
              <w:jc w:val="right"/>
              <w:spacing w:after="0" w:line="151" w:lineRule="exact"/>
              <w:rPr>
                <w:sz w:val="20"/>
                <w:szCs w:val="20"/>
                <w:color w:val="auto"/>
              </w:rPr>
            </w:pPr>
            <w:r>
              <w:rPr>
                <w:rFonts w:ascii="Arial" w:cs="Arial" w:eastAsia="Arial" w:hAnsi="Arial"/>
                <w:sz w:val="14"/>
                <w:szCs w:val="14"/>
                <w:color w:val="1E1E1E"/>
                <w:w w:val="76"/>
              </w:rPr>
              <w:t>$</w:t>
            </w:r>
          </w:p>
        </w:tc>
        <w:tc>
          <w:tcPr>
            <w:tcW w:w="1020" w:type="dxa"/>
            <w:vAlign w:val="bottom"/>
            <w:tcBorders>
              <w:top w:val="single" w:sz="8" w:color="1E1E1E"/>
              <w:bottom w:val="single" w:sz="8" w:color="1E1E1E"/>
            </w:tcBorders>
            <w:shd w:val="clear" w:color="auto" w:fill="E4E4E4"/>
          </w:tcPr>
          <w:p>
            <w:pPr>
              <w:ind w:left="880"/>
              <w:spacing w:after="0" w:line="151" w:lineRule="exact"/>
              <w:rPr>
                <w:sz w:val="20"/>
                <w:szCs w:val="20"/>
                <w:color w:val="auto"/>
              </w:rPr>
            </w:pPr>
            <w:r>
              <w:rPr>
                <w:rFonts w:ascii="Arial" w:cs="Arial" w:eastAsia="Arial" w:hAnsi="Arial"/>
                <w:sz w:val="14"/>
                <w:szCs w:val="14"/>
                <w:color w:val="1E1E1E"/>
                <w:w w:val="85"/>
              </w:rPr>
              <w:t>—</w:t>
            </w:r>
          </w:p>
        </w:tc>
        <w:tc>
          <w:tcPr>
            <w:tcW w:w="220" w:type="dxa"/>
            <w:vAlign w:val="bottom"/>
            <w:tcBorders>
              <w:top w:val="single" w:sz="8" w:color="E4E4E4"/>
              <w:bottom w:val="single" w:sz="8" w:color="E4E4E4"/>
            </w:tcBorders>
            <w:shd w:val="clear" w:color="auto" w:fill="E4E4E4"/>
          </w:tcPr>
          <w:p>
            <w:pPr>
              <w:spacing w:after="0"/>
              <w:rPr>
                <w:sz w:val="13"/>
                <w:szCs w:val="13"/>
                <w:color w:val="auto"/>
              </w:rPr>
            </w:pPr>
          </w:p>
        </w:tc>
        <w:tc>
          <w:tcPr>
            <w:tcW w:w="100" w:type="dxa"/>
            <w:vAlign w:val="bottom"/>
            <w:tcBorders>
              <w:top w:val="single" w:sz="8" w:color="1E1E1E"/>
              <w:bottom w:val="single" w:sz="8" w:color="1E1E1E"/>
            </w:tcBorders>
            <w:shd w:val="clear" w:color="auto" w:fill="E4E4E4"/>
          </w:tcPr>
          <w:p>
            <w:pPr>
              <w:jc w:val="right"/>
              <w:spacing w:after="0" w:line="151" w:lineRule="exact"/>
              <w:rPr>
                <w:sz w:val="20"/>
                <w:szCs w:val="20"/>
                <w:color w:val="auto"/>
              </w:rPr>
            </w:pPr>
            <w:r>
              <w:rPr>
                <w:rFonts w:ascii="Arial" w:cs="Arial" w:eastAsia="Arial" w:hAnsi="Arial"/>
                <w:sz w:val="14"/>
                <w:szCs w:val="14"/>
                <w:color w:val="1E1E1E"/>
                <w:w w:val="76"/>
              </w:rPr>
              <w:t>$</w:t>
            </w:r>
          </w:p>
        </w:tc>
        <w:tc>
          <w:tcPr>
            <w:tcW w:w="1040" w:type="dxa"/>
            <w:vAlign w:val="bottom"/>
            <w:tcBorders>
              <w:top w:val="single" w:sz="8" w:color="1E1E1E"/>
              <w:bottom w:val="single" w:sz="8" w:color="1E1E1E"/>
            </w:tcBorders>
            <w:shd w:val="clear" w:color="auto" w:fill="E4E4E4"/>
          </w:tcPr>
          <w:p>
            <w:pPr>
              <w:ind w:left="900"/>
              <w:spacing w:after="0" w:line="151" w:lineRule="exact"/>
              <w:rPr>
                <w:sz w:val="20"/>
                <w:szCs w:val="20"/>
                <w:color w:val="auto"/>
              </w:rPr>
            </w:pPr>
            <w:r>
              <w:rPr>
                <w:rFonts w:ascii="Arial" w:cs="Arial" w:eastAsia="Arial" w:hAnsi="Arial"/>
                <w:sz w:val="14"/>
                <w:szCs w:val="14"/>
                <w:color w:val="1E1E1E"/>
                <w:w w:val="85"/>
              </w:rPr>
              <w:t>—</w:t>
            </w:r>
          </w:p>
        </w:tc>
        <w:tc>
          <w:tcPr>
            <w:tcW w:w="200" w:type="dxa"/>
            <w:vAlign w:val="bottom"/>
            <w:tcBorders>
              <w:top w:val="single" w:sz="8" w:color="E4E4E4"/>
              <w:bottom w:val="single" w:sz="8" w:color="E4E4E4"/>
            </w:tcBorders>
            <w:shd w:val="clear" w:color="auto" w:fill="E4E4E4"/>
          </w:tcPr>
          <w:p>
            <w:pPr>
              <w:spacing w:after="0"/>
              <w:rPr>
                <w:sz w:val="13"/>
                <w:szCs w:val="13"/>
                <w:color w:val="auto"/>
              </w:rPr>
            </w:pPr>
          </w:p>
        </w:tc>
        <w:tc>
          <w:tcPr>
            <w:tcW w:w="240" w:type="dxa"/>
            <w:vAlign w:val="bottom"/>
            <w:tcBorders>
              <w:top w:val="single" w:sz="8" w:color="1E1E1E"/>
              <w:bottom w:val="single" w:sz="8" w:color="1E1E1E"/>
            </w:tcBorders>
            <w:shd w:val="clear" w:color="auto" w:fill="E4E4E4"/>
          </w:tcPr>
          <w:p>
            <w:pPr>
              <w:jc w:val="right"/>
              <w:ind w:right="90"/>
              <w:spacing w:after="0" w:line="151" w:lineRule="exact"/>
              <w:rPr>
                <w:sz w:val="20"/>
                <w:szCs w:val="20"/>
                <w:color w:val="auto"/>
              </w:rPr>
            </w:pPr>
            <w:r>
              <w:rPr>
                <w:rFonts w:ascii="Arial" w:cs="Arial" w:eastAsia="Arial" w:hAnsi="Arial"/>
                <w:sz w:val="14"/>
                <w:szCs w:val="14"/>
                <w:color w:val="1E1E1E"/>
                <w:w w:val="76"/>
              </w:rPr>
              <w:t>$</w:t>
            </w:r>
          </w:p>
        </w:tc>
        <w:tc>
          <w:tcPr>
            <w:tcW w:w="900" w:type="dxa"/>
            <w:vAlign w:val="bottom"/>
            <w:tcBorders>
              <w:top w:val="single" w:sz="8" w:color="1E1E1E"/>
              <w:bottom w:val="single" w:sz="8" w:color="1E1E1E"/>
            </w:tcBorders>
            <w:shd w:val="clear" w:color="auto" w:fill="E4E4E4"/>
          </w:tcPr>
          <w:p>
            <w:pPr>
              <w:jc w:val="right"/>
              <w:spacing w:after="0" w:line="151" w:lineRule="exact"/>
              <w:rPr>
                <w:sz w:val="20"/>
                <w:szCs w:val="20"/>
                <w:color w:val="auto"/>
              </w:rPr>
            </w:pPr>
            <w:r>
              <w:rPr>
                <w:rFonts w:ascii="Arial" w:cs="Arial" w:eastAsia="Arial" w:hAnsi="Arial"/>
                <w:sz w:val="14"/>
                <w:szCs w:val="14"/>
                <w:color w:val="1E1E1E"/>
              </w:rPr>
              <w:t>9,591</w:t>
            </w:r>
          </w:p>
        </w:tc>
        <w:tc>
          <w:tcPr>
            <w:tcW w:w="100" w:type="dxa"/>
            <w:vAlign w:val="bottom"/>
            <w:tcBorders>
              <w:top w:val="single" w:sz="8" w:color="E4E4E4"/>
              <w:bottom w:val="single" w:sz="8" w:color="E4E4E4"/>
            </w:tcBorders>
            <w:shd w:val="clear" w:color="auto" w:fill="E4E4E4"/>
          </w:tcPr>
          <w:p>
            <w:pPr>
              <w:spacing w:after="0"/>
              <w:rPr>
                <w:sz w:val="13"/>
                <w:szCs w:val="13"/>
                <w:color w:val="auto"/>
              </w:rPr>
            </w:pPr>
          </w:p>
        </w:tc>
      </w:tr>
    </w:tbl>
    <w:p>
      <w:pPr>
        <w:spacing w:after="0" w:line="220" w:lineRule="exact"/>
        <w:rPr>
          <w:sz w:val="20"/>
          <w:szCs w:val="20"/>
          <w:color w:val="auto"/>
        </w:rPr>
      </w:pPr>
    </w:p>
    <w:p>
      <w:pPr>
        <w:ind w:left="60"/>
        <w:spacing w:after="0"/>
        <w:rPr>
          <w:sz w:val="20"/>
          <w:szCs w:val="20"/>
          <w:color w:val="auto"/>
        </w:rPr>
      </w:pPr>
      <w:r>
        <w:rPr>
          <w:rFonts w:ascii="Arial" w:cs="Arial" w:eastAsia="Arial" w:hAnsi="Arial"/>
          <w:sz w:val="20"/>
          <w:szCs w:val="20"/>
          <w:color w:val="1E1E1E"/>
        </w:rPr>
        <w:t>Supplemental Executive Retirement Plan</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1E1E1E"/>
        </w:rPr>
        <w:t>In connection with the Casual Male acquisition, the Company also assumed the liability of the Casual Male Supplemental Retirement Plan (the “SERP”).</w:t>
      </w:r>
    </w:p>
    <w:p>
      <w:pPr>
        <w:spacing w:after="0" w:line="4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1E1E1E"/>
        </w:rPr>
        <w:t>On May 3, 2023, the Audit Committee approved the termination of the SERP, which was then approved and ratified by the Board of Directors on May 4, 2023. During fiscal 2023, the Company completed the termination of the SERP though the purchase of a nonparticipating annuity. In connection with that termination, the Company made a cash contribution of $0.4 million and recognized a loss on the termination of the plan of $57,000, which included the recognition of the unrealized loss of $31,000 in Accumulated Other Comprehensive Loss.</w:t>
      </w:r>
    </w:p>
    <w:p>
      <w:pPr>
        <w:sectPr>
          <w:pgSz w:w="11880" w:h="15480" w:orient="portrait"/>
          <w:cols w:equalWidth="0" w:num="1">
            <w:col w:w="10800"/>
          </w:cols>
          <w:pgMar w:left="540" w:top="656"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58</w:t>
      </w:r>
    </w:p>
    <w:p>
      <w:pPr>
        <w:sectPr>
          <w:pgSz w:w="11880" w:h="15480" w:orient="portrait"/>
          <w:cols w:equalWidth="0" w:num="1">
            <w:col w:w="10800"/>
          </w:cols>
          <w:pgMar w:left="540" w:top="656" w:right="540" w:bottom="31" w:gutter="0" w:footer="0" w:header="0"/>
          <w:type w:val="continuous"/>
        </w:sectPr>
      </w:pPr>
    </w:p>
    <w:bookmarkStart w:id="60" w:name="page61"/>
    <w:bookmarkEnd w:id="60"/>
    <w:p>
      <w:pPr>
        <w:spacing w:after="0"/>
        <w:rPr>
          <w:sz w:val="20"/>
          <w:szCs w:val="20"/>
          <w:color w:val="auto"/>
        </w:rPr>
      </w:pPr>
      <w:r>
        <w:rPr>
          <w:rFonts w:ascii="Arial" w:cs="Arial" w:eastAsia="Arial" w:hAnsi="Arial"/>
          <w:sz w:val="20"/>
          <w:szCs w:val="20"/>
          <w:color w:val="1E1E1E"/>
        </w:rPr>
        <w:t>The following table sets forth the SERP’s funded status at February 3, 2024 and January 28, 2023:</w:t>
      </w:r>
    </w:p>
    <w:p>
      <w:pPr>
        <w:spacing w:after="0" w:line="232" w:lineRule="exact"/>
        <w:rPr>
          <w:sz w:val="20"/>
          <w:szCs w:val="20"/>
          <w:color w:val="auto"/>
        </w:rPr>
      </w:pPr>
    </w:p>
    <w:tbl>
      <w:tblPr>
        <w:tblLayout w:type="fixed"/>
        <w:tblInd w:w="162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6"/>
                <w:szCs w:val="16"/>
                <w:color w:val="1E1E1E"/>
                <w:w w:val="92"/>
              </w:rPr>
              <w:t>February 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1E1E1E"/>
                <w:w w:val="88"/>
              </w:rPr>
              <w:t>January 28,</w:t>
            </w:r>
          </w:p>
        </w:tc>
      </w:tr>
      <w:tr>
        <w:trPr>
          <w:trHeight w:val="202"/>
        </w:trPr>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1E1E1E"/>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940" w:type="dxa"/>
            <w:vAlign w:val="bottom"/>
            <w:tcBorders>
              <w:bottom w:val="single" w:sz="8" w:color="1E1E1E"/>
            </w:tcBorders>
          </w:tcPr>
          <w:p>
            <w:pPr>
              <w:jc w:val="right"/>
              <w:ind w:right="283"/>
              <w:spacing w:after="0"/>
              <w:rPr>
                <w:sz w:val="20"/>
                <w:szCs w:val="20"/>
                <w:color w:val="auto"/>
              </w:rPr>
            </w:pPr>
            <w:r>
              <w:rPr>
                <w:rFonts w:ascii="Arial" w:cs="Arial" w:eastAsia="Arial" w:hAnsi="Arial"/>
                <w:sz w:val="16"/>
                <w:szCs w:val="16"/>
                <w:color w:val="1E1E1E"/>
              </w:rPr>
              <w:t>2024</w:t>
            </w:r>
          </w:p>
        </w:tc>
        <w:tc>
          <w:tcPr>
            <w:tcW w:w="20" w:type="dxa"/>
            <w:vAlign w:val="bottom"/>
            <w:tcBorders>
              <w:bottom w:val="single" w:sz="8" w:color="1E1E1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1E1E1E"/>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920" w:type="dxa"/>
            <w:vAlign w:val="bottom"/>
            <w:tcBorders>
              <w:bottom w:val="single" w:sz="8" w:color="1E1E1E"/>
            </w:tcBorders>
          </w:tcPr>
          <w:p>
            <w:pPr>
              <w:jc w:val="right"/>
              <w:ind w:right="263"/>
              <w:spacing w:after="0"/>
              <w:rPr>
                <w:sz w:val="20"/>
                <w:szCs w:val="20"/>
                <w:color w:val="auto"/>
              </w:rPr>
            </w:pPr>
            <w:r>
              <w:rPr>
                <w:rFonts w:ascii="Arial" w:cs="Arial" w:eastAsia="Arial" w:hAnsi="Arial"/>
                <w:sz w:val="16"/>
                <w:szCs w:val="16"/>
                <w:color w:val="1E1E1E"/>
              </w:rPr>
              <w:t>2023</w:t>
            </w:r>
          </w:p>
        </w:tc>
        <w:tc>
          <w:tcPr>
            <w:tcW w:w="80" w:type="dxa"/>
            <w:vAlign w:val="bottom"/>
          </w:tcPr>
          <w:p>
            <w:pPr>
              <w:spacing w:after="0"/>
              <w:rPr>
                <w:sz w:val="17"/>
                <w:szCs w:val="17"/>
                <w:color w:val="auto"/>
              </w:rPr>
            </w:pPr>
          </w:p>
        </w:tc>
      </w:tr>
      <w:tr>
        <w:trPr>
          <w:trHeight w:val="356"/>
        </w:trPr>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7"/>
          </w:tcPr>
          <w:p>
            <w:pPr>
              <w:jc w:val="right"/>
              <w:ind w:right="820"/>
              <w:spacing w:after="0"/>
              <w:rPr>
                <w:sz w:val="20"/>
                <w:szCs w:val="20"/>
                <w:color w:val="auto"/>
              </w:rPr>
            </w:pPr>
            <w:r>
              <w:rPr>
                <w:rFonts w:ascii="Arial" w:cs="Arial" w:eastAsia="Arial" w:hAnsi="Arial"/>
                <w:sz w:val="16"/>
                <w:szCs w:val="16"/>
                <w:color w:val="1E1E1E"/>
              </w:rPr>
              <w:t>in thousands</w:t>
            </w:r>
          </w:p>
        </w:tc>
      </w:tr>
      <w:tr>
        <w:trPr>
          <w:trHeight w:val="210"/>
        </w:trPr>
        <w:tc>
          <w:tcPr>
            <w:tcW w:w="2340" w:type="dxa"/>
            <w:vAlign w:val="bottom"/>
            <w:tcBorders>
              <w:bottom w:val="single" w:sz="8" w:color="1E1E1E"/>
            </w:tcBorders>
            <w:gridSpan w:val="2"/>
            <w:shd w:val="clear" w:color="auto" w:fill="E4E4E4"/>
          </w:tcPr>
          <w:p>
            <w:pPr>
              <w:spacing w:after="0" w:line="210" w:lineRule="exact"/>
              <w:rPr>
                <w:sz w:val="20"/>
                <w:szCs w:val="20"/>
                <w:color w:val="auto"/>
              </w:rPr>
            </w:pPr>
            <w:r>
              <w:rPr>
                <w:rFonts w:ascii="Arial" w:cs="Arial" w:eastAsia="Arial" w:hAnsi="Arial"/>
                <w:sz w:val="20"/>
                <w:szCs w:val="20"/>
                <w:color w:val="1E1E1E"/>
                <w:w w:val="91"/>
              </w:rPr>
              <w:t>Change in benefit obligation:</w:t>
            </w:r>
          </w:p>
        </w:tc>
        <w:tc>
          <w:tcPr>
            <w:tcW w:w="2720" w:type="dxa"/>
            <w:vAlign w:val="bottom"/>
            <w:tcBorders>
              <w:bottom w:val="single" w:sz="8" w:color="E4E4E4"/>
            </w:tcBorders>
            <w:gridSpan w:val="3"/>
            <w:shd w:val="clear" w:color="auto" w:fill="E4E4E4"/>
          </w:tcPr>
          <w:p>
            <w:pPr>
              <w:spacing w:after="0"/>
              <w:rPr>
                <w:sz w:val="18"/>
                <w:szCs w:val="18"/>
                <w:color w:val="auto"/>
              </w:rPr>
            </w:pPr>
          </w:p>
        </w:tc>
        <w:tc>
          <w:tcPr>
            <w:tcW w:w="120" w:type="dxa"/>
            <w:vAlign w:val="bottom"/>
            <w:tcBorders>
              <w:bottom w:val="single" w:sz="8" w:color="E4E4E4"/>
            </w:tcBorders>
            <w:shd w:val="clear" w:color="auto" w:fill="E4E4E4"/>
          </w:tcPr>
          <w:p>
            <w:pPr>
              <w:spacing w:after="0"/>
              <w:rPr>
                <w:sz w:val="18"/>
                <w:szCs w:val="18"/>
                <w:color w:val="auto"/>
              </w:rPr>
            </w:pPr>
          </w:p>
        </w:tc>
        <w:tc>
          <w:tcPr>
            <w:tcW w:w="20" w:type="dxa"/>
            <w:vAlign w:val="bottom"/>
            <w:tcBorders>
              <w:bottom w:val="single" w:sz="8" w:color="E4E4E4"/>
            </w:tcBorders>
            <w:shd w:val="clear" w:color="auto" w:fill="E4E4E4"/>
          </w:tcPr>
          <w:p>
            <w:pPr>
              <w:spacing w:after="0"/>
              <w:rPr>
                <w:sz w:val="18"/>
                <w:szCs w:val="18"/>
                <w:color w:val="auto"/>
              </w:rPr>
            </w:pPr>
          </w:p>
        </w:tc>
        <w:tc>
          <w:tcPr>
            <w:tcW w:w="100" w:type="dxa"/>
            <w:vAlign w:val="bottom"/>
            <w:tcBorders>
              <w:bottom w:val="single" w:sz="8" w:color="E4E4E4"/>
            </w:tcBorders>
            <w:shd w:val="clear" w:color="auto" w:fill="E4E4E4"/>
          </w:tcPr>
          <w:p>
            <w:pPr>
              <w:spacing w:after="0"/>
              <w:rPr>
                <w:sz w:val="18"/>
                <w:szCs w:val="18"/>
                <w:color w:val="auto"/>
              </w:rPr>
            </w:pPr>
          </w:p>
        </w:tc>
        <w:tc>
          <w:tcPr>
            <w:tcW w:w="940" w:type="dxa"/>
            <w:vAlign w:val="bottom"/>
            <w:tcBorders>
              <w:bottom w:val="single" w:sz="8" w:color="E4E4E4"/>
            </w:tcBorders>
            <w:shd w:val="clear" w:color="auto" w:fill="E4E4E4"/>
          </w:tcPr>
          <w:p>
            <w:pPr>
              <w:spacing w:after="0"/>
              <w:rPr>
                <w:sz w:val="18"/>
                <w:szCs w:val="18"/>
                <w:color w:val="auto"/>
              </w:rPr>
            </w:pPr>
          </w:p>
        </w:tc>
        <w:tc>
          <w:tcPr>
            <w:tcW w:w="20" w:type="dxa"/>
            <w:vAlign w:val="bottom"/>
            <w:tcBorders>
              <w:bottom w:val="single" w:sz="8" w:color="E4E4E4"/>
            </w:tcBorders>
            <w:shd w:val="clear" w:color="auto" w:fill="E4E4E4"/>
          </w:tcPr>
          <w:p>
            <w:pPr>
              <w:spacing w:after="0"/>
              <w:rPr>
                <w:sz w:val="18"/>
                <w:szCs w:val="18"/>
                <w:color w:val="auto"/>
              </w:rPr>
            </w:pPr>
          </w:p>
        </w:tc>
        <w:tc>
          <w:tcPr>
            <w:tcW w:w="160" w:type="dxa"/>
            <w:vAlign w:val="bottom"/>
            <w:tcBorders>
              <w:bottom w:val="single" w:sz="8" w:color="E4E4E4"/>
            </w:tcBorders>
            <w:shd w:val="clear" w:color="auto" w:fill="E4E4E4"/>
          </w:tcPr>
          <w:p>
            <w:pPr>
              <w:spacing w:after="0"/>
              <w:rPr>
                <w:sz w:val="18"/>
                <w:szCs w:val="18"/>
                <w:color w:val="auto"/>
              </w:rPr>
            </w:pPr>
          </w:p>
        </w:tc>
        <w:tc>
          <w:tcPr>
            <w:tcW w:w="20" w:type="dxa"/>
            <w:vAlign w:val="bottom"/>
            <w:tcBorders>
              <w:bottom w:val="single" w:sz="8" w:color="E4E4E4"/>
            </w:tcBorders>
            <w:shd w:val="clear" w:color="auto" w:fill="E4E4E4"/>
          </w:tcPr>
          <w:p>
            <w:pPr>
              <w:spacing w:after="0"/>
              <w:rPr>
                <w:sz w:val="18"/>
                <w:szCs w:val="18"/>
                <w:color w:val="auto"/>
              </w:rPr>
            </w:pPr>
          </w:p>
        </w:tc>
        <w:tc>
          <w:tcPr>
            <w:tcW w:w="120" w:type="dxa"/>
            <w:vAlign w:val="bottom"/>
            <w:tcBorders>
              <w:bottom w:val="single" w:sz="8" w:color="E4E4E4"/>
            </w:tcBorders>
            <w:shd w:val="clear" w:color="auto" w:fill="E4E4E4"/>
          </w:tcPr>
          <w:p>
            <w:pPr>
              <w:spacing w:after="0"/>
              <w:rPr>
                <w:sz w:val="18"/>
                <w:szCs w:val="18"/>
                <w:color w:val="auto"/>
              </w:rPr>
            </w:pPr>
          </w:p>
        </w:tc>
        <w:tc>
          <w:tcPr>
            <w:tcW w:w="920" w:type="dxa"/>
            <w:vAlign w:val="bottom"/>
            <w:tcBorders>
              <w:bottom w:val="single" w:sz="8" w:color="E4E4E4"/>
            </w:tcBorders>
            <w:shd w:val="clear" w:color="auto" w:fill="E4E4E4"/>
          </w:tcPr>
          <w:p>
            <w:pPr>
              <w:spacing w:after="0"/>
              <w:rPr>
                <w:sz w:val="18"/>
                <w:szCs w:val="18"/>
                <w:color w:val="auto"/>
              </w:rPr>
            </w:pPr>
          </w:p>
        </w:tc>
        <w:tc>
          <w:tcPr>
            <w:tcW w:w="80" w:type="dxa"/>
            <w:vAlign w:val="bottom"/>
            <w:tcBorders>
              <w:bottom w:val="single" w:sz="8" w:color="E4E4E4"/>
            </w:tcBorders>
            <w:shd w:val="clear" w:color="auto" w:fill="E4E4E4"/>
          </w:tcPr>
          <w:p>
            <w:pPr>
              <w:spacing w:after="0"/>
              <w:rPr>
                <w:sz w:val="18"/>
                <w:szCs w:val="18"/>
                <w:color w:val="auto"/>
              </w:rPr>
            </w:pPr>
          </w:p>
        </w:tc>
      </w:tr>
      <w:tr>
        <w:trPr>
          <w:trHeight w:val="230"/>
        </w:trPr>
        <w:tc>
          <w:tcPr>
            <w:tcW w:w="5060" w:type="dxa"/>
            <w:vAlign w:val="bottom"/>
            <w:gridSpan w:val="5"/>
          </w:tcPr>
          <w:p>
            <w:pPr>
              <w:spacing w:after="0"/>
              <w:rPr>
                <w:sz w:val="20"/>
                <w:szCs w:val="20"/>
                <w:color w:val="auto"/>
              </w:rPr>
            </w:pPr>
            <w:r>
              <w:rPr>
                <w:rFonts w:ascii="Arial" w:cs="Arial" w:eastAsia="Arial" w:hAnsi="Arial"/>
                <w:sz w:val="20"/>
                <w:szCs w:val="20"/>
                <w:color w:val="1E1E1E"/>
              </w:rPr>
              <w:t>Balance at beginning of period</w:t>
            </w:r>
          </w:p>
        </w:tc>
        <w:tc>
          <w:tcPr>
            <w:tcW w:w="240" w:type="dxa"/>
            <w:vAlign w:val="bottom"/>
            <w:gridSpan w:val="3"/>
          </w:tcPr>
          <w:p>
            <w:pPr>
              <w:jc w:val="right"/>
              <w:spacing w:after="0"/>
              <w:rPr>
                <w:sz w:val="20"/>
                <w:szCs w:val="20"/>
                <w:color w:val="auto"/>
              </w:rPr>
            </w:pPr>
            <w:r>
              <w:rPr>
                <w:rFonts w:ascii="Arial" w:cs="Arial" w:eastAsia="Arial" w:hAnsi="Arial"/>
                <w:sz w:val="20"/>
                <w:szCs w:val="20"/>
                <w:color w:val="1E1E1E"/>
              </w:rPr>
              <w:t>$</w:t>
            </w:r>
          </w:p>
        </w:tc>
        <w:tc>
          <w:tcPr>
            <w:tcW w:w="960" w:type="dxa"/>
            <w:vAlign w:val="bottom"/>
            <w:gridSpan w:val="2"/>
          </w:tcPr>
          <w:p>
            <w:pPr>
              <w:jc w:val="right"/>
              <w:ind w:right="20"/>
              <w:spacing w:after="0"/>
              <w:rPr>
                <w:sz w:val="20"/>
                <w:szCs w:val="20"/>
                <w:color w:val="auto"/>
              </w:rPr>
            </w:pPr>
            <w:r>
              <w:rPr>
                <w:rFonts w:ascii="Arial" w:cs="Arial" w:eastAsia="Arial" w:hAnsi="Arial"/>
                <w:sz w:val="20"/>
                <w:szCs w:val="20"/>
                <w:color w:val="1E1E1E"/>
              </w:rPr>
              <w:t>427</w:t>
            </w:r>
          </w:p>
        </w:tc>
        <w:tc>
          <w:tcPr>
            <w:tcW w:w="1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20"/>
                <w:szCs w:val="20"/>
                <w:color w:val="1E1E1E"/>
                <w:w w:val="71"/>
              </w:rPr>
              <w:t>$</w:t>
            </w:r>
          </w:p>
        </w:tc>
        <w:tc>
          <w:tcPr>
            <w:tcW w:w="920" w:type="dxa"/>
            <w:vAlign w:val="bottom"/>
          </w:tcPr>
          <w:p>
            <w:pPr>
              <w:jc w:val="right"/>
              <w:spacing w:after="0"/>
              <w:rPr>
                <w:sz w:val="20"/>
                <w:szCs w:val="20"/>
                <w:color w:val="auto"/>
              </w:rPr>
            </w:pPr>
            <w:r>
              <w:rPr>
                <w:rFonts w:ascii="Arial" w:cs="Arial" w:eastAsia="Arial" w:hAnsi="Arial"/>
                <w:sz w:val="20"/>
                <w:szCs w:val="20"/>
                <w:color w:val="1E1E1E"/>
              </w:rPr>
              <w:t>514</w:t>
            </w:r>
          </w:p>
        </w:tc>
        <w:tc>
          <w:tcPr>
            <w:tcW w:w="80" w:type="dxa"/>
            <w:vAlign w:val="bottom"/>
          </w:tcPr>
          <w:p>
            <w:pPr>
              <w:spacing w:after="0"/>
              <w:rPr>
                <w:sz w:val="20"/>
                <w:szCs w:val="20"/>
                <w:color w:val="auto"/>
              </w:rPr>
            </w:pPr>
          </w:p>
        </w:tc>
      </w:tr>
      <w:tr>
        <w:trPr>
          <w:trHeight w:val="230"/>
        </w:trPr>
        <w:tc>
          <w:tcPr>
            <w:tcW w:w="5060" w:type="dxa"/>
            <w:vAlign w:val="bottom"/>
            <w:gridSpan w:val="5"/>
            <w:shd w:val="clear" w:color="auto" w:fill="E4E4E4"/>
          </w:tcPr>
          <w:p>
            <w:pPr>
              <w:spacing w:after="0"/>
              <w:rPr>
                <w:sz w:val="20"/>
                <w:szCs w:val="20"/>
                <w:color w:val="auto"/>
              </w:rPr>
            </w:pPr>
            <w:r>
              <w:rPr>
                <w:rFonts w:ascii="Arial" w:cs="Arial" w:eastAsia="Arial" w:hAnsi="Arial"/>
                <w:sz w:val="20"/>
                <w:szCs w:val="20"/>
                <w:color w:val="1E1E1E"/>
              </w:rPr>
              <w:t>Benefits and expenses paid</w:t>
            </w:r>
          </w:p>
        </w:tc>
        <w:tc>
          <w:tcPr>
            <w:tcW w:w="12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20" w:type="dxa"/>
            <w:vAlign w:val="bottom"/>
            <w:gridSpan w:val="3"/>
            <w:shd w:val="clear" w:color="auto" w:fill="E4E4E4"/>
          </w:tcPr>
          <w:p>
            <w:pPr>
              <w:jc w:val="right"/>
              <w:ind w:right="120"/>
              <w:spacing w:after="0"/>
              <w:rPr>
                <w:sz w:val="20"/>
                <w:szCs w:val="20"/>
                <w:color w:val="auto"/>
              </w:rPr>
            </w:pPr>
            <w:r>
              <w:rPr>
                <w:rFonts w:ascii="Arial" w:cs="Arial" w:eastAsia="Arial" w:hAnsi="Arial"/>
                <w:sz w:val="20"/>
                <w:szCs w:val="20"/>
                <w:color w:val="1E1E1E"/>
              </w:rPr>
              <w:t>(27)</w:t>
            </w: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00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(40)</w:t>
            </w:r>
          </w:p>
        </w:tc>
      </w:tr>
      <w:tr>
        <w:trPr>
          <w:trHeight w:val="230"/>
        </w:trPr>
        <w:tc>
          <w:tcPr>
            <w:tcW w:w="5060" w:type="dxa"/>
            <w:vAlign w:val="bottom"/>
            <w:gridSpan w:val="5"/>
          </w:tcPr>
          <w:p>
            <w:pPr>
              <w:spacing w:after="0"/>
              <w:rPr>
                <w:sz w:val="20"/>
                <w:szCs w:val="20"/>
                <w:color w:val="auto"/>
              </w:rPr>
            </w:pPr>
            <w:r>
              <w:rPr>
                <w:rFonts w:ascii="Arial" w:cs="Arial" w:eastAsia="Arial" w:hAnsi="Arial"/>
                <w:sz w:val="20"/>
                <w:szCs w:val="20"/>
                <w:color w:val="1E1E1E"/>
              </w:rPr>
              <w:t>Settlements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20"/>
                <w:szCs w:val="20"/>
                <w:color w:val="1E1E1E"/>
              </w:rPr>
              <w:t>(385)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0"/>
                <w:szCs w:val="20"/>
                <w:color w:val="1E1E1E"/>
              </w:rPr>
              <w:t>—</w:t>
            </w:r>
          </w:p>
        </w:tc>
      </w:tr>
      <w:tr>
        <w:trPr>
          <w:trHeight w:val="230"/>
        </w:trPr>
        <w:tc>
          <w:tcPr>
            <w:tcW w:w="5060" w:type="dxa"/>
            <w:vAlign w:val="bottom"/>
            <w:gridSpan w:val="5"/>
            <w:shd w:val="clear" w:color="auto" w:fill="E4E4E4"/>
          </w:tcPr>
          <w:p>
            <w:pPr>
              <w:spacing w:after="0"/>
              <w:rPr>
                <w:sz w:val="20"/>
                <w:szCs w:val="20"/>
                <w:color w:val="auto"/>
              </w:rPr>
            </w:pPr>
            <w:r>
              <w:rPr>
                <w:rFonts w:ascii="Arial" w:cs="Arial" w:eastAsia="Arial" w:hAnsi="Arial"/>
                <w:sz w:val="20"/>
                <w:szCs w:val="20"/>
                <w:color w:val="1E1E1E"/>
              </w:rPr>
              <w:t>Interest costs</w:t>
            </w:r>
          </w:p>
        </w:tc>
        <w:tc>
          <w:tcPr>
            <w:tcW w:w="12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960" w:type="dxa"/>
            <w:vAlign w:val="bottom"/>
            <w:gridSpan w:val="2"/>
            <w:shd w:val="clear" w:color="auto" w:fill="E4E4E4"/>
          </w:tcPr>
          <w:p>
            <w:pPr>
              <w:jc w:val="right"/>
              <w:ind w:right="20"/>
              <w:spacing w:after="0"/>
              <w:rPr>
                <w:sz w:val="20"/>
                <w:szCs w:val="20"/>
                <w:color w:val="auto"/>
              </w:rPr>
            </w:pPr>
            <w:r>
              <w:rPr>
                <w:rFonts w:ascii="Arial" w:cs="Arial" w:eastAsia="Arial" w:hAnsi="Arial"/>
                <w:sz w:val="20"/>
                <w:szCs w:val="20"/>
                <w:color w:val="1E1E1E"/>
              </w:rPr>
              <w:t>13</w:t>
            </w:r>
          </w:p>
        </w:tc>
        <w:tc>
          <w:tcPr>
            <w:tcW w:w="1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000" w:type="dxa"/>
            <w:vAlign w:val="bottom"/>
            <w:gridSpan w:val="2"/>
            <w:shd w:val="clear" w:color="auto" w:fill="E4E4E4"/>
          </w:tcPr>
          <w:p>
            <w:pPr>
              <w:jc w:val="right"/>
              <w:ind w:right="60"/>
              <w:spacing w:after="0"/>
              <w:rPr>
                <w:sz w:val="20"/>
                <w:szCs w:val="20"/>
                <w:color w:val="auto"/>
              </w:rPr>
            </w:pPr>
            <w:r>
              <w:rPr>
                <w:rFonts w:ascii="Arial" w:cs="Arial" w:eastAsia="Arial" w:hAnsi="Arial"/>
                <w:sz w:val="20"/>
                <w:szCs w:val="20"/>
                <w:color w:val="1E1E1E"/>
              </w:rPr>
              <w:t>14</w:t>
            </w:r>
          </w:p>
        </w:tc>
      </w:tr>
      <w:tr>
        <w:trPr>
          <w:trHeight w:val="228"/>
        </w:trPr>
        <w:tc>
          <w:tcPr>
            <w:tcW w:w="5060" w:type="dxa"/>
            <w:vAlign w:val="bottom"/>
            <w:gridSpan w:val="5"/>
          </w:tcPr>
          <w:p>
            <w:pPr>
              <w:spacing w:after="0" w:line="228" w:lineRule="exact"/>
              <w:rPr>
                <w:sz w:val="20"/>
                <w:szCs w:val="20"/>
                <w:color w:val="auto"/>
              </w:rPr>
            </w:pPr>
            <w:r>
              <w:rPr>
                <w:rFonts w:ascii="Arial" w:cs="Arial" w:eastAsia="Arial" w:hAnsi="Arial"/>
                <w:sz w:val="20"/>
                <w:szCs w:val="20"/>
                <w:color w:val="1E1E1E"/>
              </w:rPr>
              <w:t>Actuarial (gain) loss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120"/>
              <w:spacing w:after="0" w:line="228" w:lineRule="exact"/>
              <w:rPr>
                <w:sz w:val="20"/>
                <w:szCs w:val="20"/>
                <w:color w:val="auto"/>
              </w:rPr>
            </w:pPr>
            <w:r>
              <w:rPr>
                <w:rFonts w:ascii="Arial" w:cs="Arial" w:eastAsia="Arial" w:hAnsi="Arial"/>
                <w:sz w:val="20"/>
                <w:szCs w:val="20"/>
                <w:color w:val="1E1E1E"/>
              </w:rPr>
              <w:t>(28)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line="228" w:lineRule="exact"/>
              <w:rPr>
                <w:sz w:val="20"/>
                <w:szCs w:val="20"/>
                <w:color w:val="auto"/>
              </w:rPr>
            </w:pPr>
            <w:r>
              <w:rPr>
                <w:rFonts w:ascii="Arial" w:cs="Arial" w:eastAsia="Arial" w:hAnsi="Arial"/>
                <w:sz w:val="20"/>
                <w:szCs w:val="20"/>
                <w:color w:val="1E1E1E"/>
              </w:rPr>
              <w:t>(61)</w:t>
            </w:r>
          </w:p>
        </w:tc>
      </w:tr>
      <w:tr>
        <w:trPr>
          <w:trHeight w:val="222"/>
        </w:trPr>
        <w:tc>
          <w:tcPr>
            <w:tcW w:w="5060" w:type="dxa"/>
            <w:vAlign w:val="bottom"/>
            <w:tcBorders>
              <w:top w:val="single" w:sz="8" w:color="E4E4E4"/>
            </w:tcBorders>
            <w:gridSpan w:val="5"/>
            <w:shd w:val="clear" w:color="auto" w:fill="E4E4E4"/>
          </w:tcPr>
          <w:p>
            <w:pPr>
              <w:spacing w:after="0" w:line="220" w:lineRule="exact"/>
              <w:rPr>
                <w:sz w:val="20"/>
                <w:szCs w:val="20"/>
                <w:color w:val="auto"/>
              </w:rPr>
            </w:pPr>
            <w:r>
              <w:rPr>
                <w:rFonts w:ascii="Arial" w:cs="Arial" w:eastAsia="Arial" w:hAnsi="Arial"/>
                <w:sz w:val="20"/>
                <w:szCs w:val="20"/>
                <w:color w:val="1E1E1E"/>
              </w:rPr>
              <w:t>Balance at end of year</w:t>
            </w:r>
          </w:p>
        </w:tc>
        <w:tc>
          <w:tcPr>
            <w:tcW w:w="12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1E1E1E"/>
            </w:tcBorders>
            <w:shd w:val="clear" w:color="auto" w:fill="E4E4E4"/>
          </w:tcPr>
          <w:p>
            <w:pPr>
              <w:spacing w:after="0"/>
              <w:rPr>
                <w:sz w:val="19"/>
                <w:szCs w:val="19"/>
                <w:color w:val="auto"/>
              </w:rPr>
            </w:pPr>
          </w:p>
        </w:tc>
        <w:tc>
          <w:tcPr>
            <w:tcW w:w="100" w:type="dxa"/>
            <w:vAlign w:val="bottom"/>
            <w:tcBorders>
              <w:top w:val="single" w:sz="8" w:color="1E1E1E"/>
            </w:tcBorders>
            <w:shd w:val="clear" w:color="auto" w:fill="E4E4E4"/>
          </w:tcPr>
          <w:p>
            <w:pPr>
              <w:jc w:val="right"/>
              <w:spacing w:after="0"/>
              <w:rPr>
                <w:sz w:val="20"/>
                <w:szCs w:val="20"/>
                <w:color w:val="auto"/>
              </w:rPr>
            </w:pPr>
            <w:r>
              <w:rPr>
                <w:rFonts w:ascii="Arial" w:cs="Arial" w:eastAsia="Arial" w:hAnsi="Arial"/>
                <w:sz w:val="15"/>
                <w:szCs w:val="15"/>
                <w:color w:val="1E1E1E"/>
                <w:w w:val="71"/>
              </w:rPr>
              <w:t>$</w:t>
            </w:r>
          </w:p>
        </w:tc>
        <w:tc>
          <w:tcPr>
            <w:tcW w:w="940" w:type="dxa"/>
            <w:vAlign w:val="bottom"/>
            <w:tcBorders>
              <w:top w:val="single" w:sz="8" w:color="1E1E1E"/>
            </w:tcBorders>
            <w:shd w:val="clear" w:color="auto" w:fill="E4E4E4"/>
          </w:tcPr>
          <w:p>
            <w:pPr>
              <w:jc w:val="right"/>
              <w:spacing w:after="0" w:line="223" w:lineRule="exact"/>
              <w:rPr>
                <w:sz w:val="20"/>
                <w:szCs w:val="20"/>
                <w:color w:val="auto"/>
              </w:rPr>
            </w:pPr>
            <w:r>
              <w:rPr>
                <w:rFonts w:ascii="Arial" w:cs="Arial" w:eastAsia="Arial" w:hAnsi="Arial"/>
                <w:sz w:val="20"/>
                <w:szCs w:val="20"/>
                <w:color w:val="1E1E1E"/>
              </w:rPr>
              <w:t>—</w:t>
            </w:r>
          </w:p>
        </w:tc>
        <w:tc>
          <w:tcPr>
            <w:tcW w:w="20" w:type="dxa"/>
            <w:vAlign w:val="bottom"/>
            <w:tcBorders>
              <w:top w:val="single" w:sz="8" w:color="1E1E1E"/>
            </w:tcBorders>
            <w:shd w:val="clear" w:color="auto" w:fill="E4E4E4"/>
          </w:tcPr>
          <w:p>
            <w:pPr>
              <w:spacing w:after="0"/>
              <w:rPr>
                <w:sz w:val="19"/>
                <w:szCs w:val="19"/>
                <w:color w:val="auto"/>
              </w:rPr>
            </w:pPr>
          </w:p>
        </w:tc>
        <w:tc>
          <w:tcPr>
            <w:tcW w:w="16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1E1E1E"/>
            </w:tcBorders>
            <w:shd w:val="clear" w:color="auto" w:fill="E4E4E4"/>
          </w:tcPr>
          <w:p>
            <w:pPr>
              <w:spacing w:after="0"/>
              <w:rPr>
                <w:sz w:val="19"/>
                <w:szCs w:val="19"/>
                <w:color w:val="auto"/>
              </w:rPr>
            </w:pPr>
          </w:p>
        </w:tc>
        <w:tc>
          <w:tcPr>
            <w:tcW w:w="120" w:type="dxa"/>
            <w:vAlign w:val="bottom"/>
            <w:tcBorders>
              <w:top w:val="single" w:sz="8" w:color="1E1E1E"/>
            </w:tcBorders>
            <w:shd w:val="clear" w:color="auto" w:fill="E4E4E4"/>
          </w:tcPr>
          <w:p>
            <w:pPr>
              <w:jc w:val="right"/>
              <w:spacing w:after="0"/>
              <w:rPr>
                <w:sz w:val="20"/>
                <w:szCs w:val="20"/>
                <w:color w:val="auto"/>
              </w:rPr>
            </w:pPr>
            <w:r>
              <w:rPr>
                <w:rFonts w:ascii="Arial" w:cs="Arial" w:eastAsia="Arial" w:hAnsi="Arial"/>
                <w:sz w:val="15"/>
                <w:szCs w:val="15"/>
                <w:color w:val="1E1E1E"/>
                <w:w w:val="71"/>
              </w:rPr>
              <w:t>$</w:t>
            </w:r>
          </w:p>
        </w:tc>
        <w:tc>
          <w:tcPr>
            <w:tcW w:w="920" w:type="dxa"/>
            <w:vAlign w:val="bottom"/>
            <w:tcBorders>
              <w:top w:val="single" w:sz="8" w:color="1E1E1E"/>
            </w:tcBorders>
            <w:shd w:val="clear" w:color="auto" w:fill="E4E4E4"/>
          </w:tcPr>
          <w:p>
            <w:pPr>
              <w:jc w:val="right"/>
              <w:spacing w:after="0" w:line="223" w:lineRule="exact"/>
              <w:rPr>
                <w:sz w:val="20"/>
                <w:szCs w:val="20"/>
                <w:color w:val="auto"/>
              </w:rPr>
            </w:pPr>
            <w:r>
              <w:rPr>
                <w:rFonts w:ascii="Arial" w:cs="Arial" w:eastAsia="Arial" w:hAnsi="Arial"/>
                <w:sz w:val="20"/>
                <w:szCs w:val="20"/>
                <w:color w:val="1E1E1E"/>
              </w:rPr>
              <w:t>427</w:t>
            </w:r>
          </w:p>
        </w:tc>
        <w:tc>
          <w:tcPr>
            <w:tcW w:w="80" w:type="dxa"/>
            <w:vAlign w:val="bottom"/>
            <w:tcBorders>
              <w:top w:val="single" w:sz="8" w:color="E4E4E4"/>
            </w:tcBorders>
            <w:shd w:val="clear" w:color="auto" w:fill="E4E4E4"/>
          </w:tcPr>
          <w:p>
            <w:pPr>
              <w:spacing w:after="0"/>
              <w:rPr>
                <w:sz w:val="19"/>
                <w:szCs w:val="19"/>
                <w:color w:val="auto"/>
              </w:rPr>
            </w:pPr>
          </w:p>
        </w:tc>
      </w:tr>
      <w:tr>
        <w:trPr>
          <w:trHeight w:val="43"/>
        </w:trPr>
        <w:tc>
          <w:tcPr>
            <w:tcW w:w="226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30"/>
        </w:trPr>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8"/>
        </w:trPr>
        <w:tc>
          <w:tcPr>
            <w:tcW w:w="2820" w:type="dxa"/>
            <w:vAlign w:val="bottom"/>
            <w:tcBorders>
              <w:bottom w:val="single" w:sz="8" w:color="1E1E1E"/>
            </w:tcBorders>
            <w:gridSpan w:val="4"/>
            <w:shd w:val="clear" w:color="auto" w:fill="E4E4E4"/>
          </w:tcPr>
          <w:p>
            <w:pPr>
              <w:spacing w:after="0" w:line="207" w:lineRule="exact"/>
              <w:rPr>
                <w:sz w:val="20"/>
                <w:szCs w:val="20"/>
                <w:color w:val="auto"/>
              </w:rPr>
            </w:pPr>
            <w:r>
              <w:rPr>
                <w:rFonts w:ascii="Arial" w:cs="Arial" w:eastAsia="Arial" w:hAnsi="Arial"/>
                <w:sz w:val="20"/>
                <w:szCs w:val="20"/>
                <w:color w:val="1E1E1E"/>
                <w:w w:val="89"/>
              </w:rPr>
              <w:t>Change in fair value of plan assets:</w:t>
            </w:r>
          </w:p>
        </w:tc>
        <w:tc>
          <w:tcPr>
            <w:tcW w:w="2240" w:type="dxa"/>
            <w:vAlign w:val="bottom"/>
            <w:tcBorders>
              <w:bottom w:val="single" w:sz="8" w:color="E4E4E4"/>
            </w:tcBorders>
            <w:shd w:val="clear" w:color="auto" w:fill="E4E4E4"/>
          </w:tcPr>
          <w:p>
            <w:pPr>
              <w:spacing w:after="0"/>
              <w:rPr>
                <w:sz w:val="19"/>
                <w:szCs w:val="19"/>
                <w:color w:val="auto"/>
              </w:rPr>
            </w:pPr>
          </w:p>
        </w:tc>
        <w:tc>
          <w:tcPr>
            <w:tcW w:w="120" w:type="dxa"/>
            <w:vAlign w:val="bottom"/>
            <w:tcBorders>
              <w:bottom w:val="single" w:sz="8" w:color="E4E4E4"/>
            </w:tcBorders>
            <w:shd w:val="clear" w:color="auto" w:fill="E4E4E4"/>
          </w:tcPr>
          <w:p>
            <w:pPr>
              <w:spacing w:after="0"/>
              <w:rPr>
                <w:sz w:val="19"/>
                <w:szCs w:val="19"/>
                <w:color w:val="auto"/>
              </w:rPr>
            </w:pPr>
          </w:p>
        </w:tc>
        <w:tc>
          <w:tcPr>
            <w:tcW w:w="20" w:type="dxa"/>
            <w:vAlign w:val="bottom"/>
            <w:tcBorders>
              <w:bottom w:val="single" w:sz="8" w:color="E4E4E4"/>
            </w:tcBorders>
            <w:shd w:val="clear" w:color="auto" w:fill="E4E4E4"/>
          </w:tcPr>
          <w:p>
            <w:pPr>
              <w:spacing w:after="0"/>
              <w:rPr>
                <w:sz w:val="19"/>
                <w:szCs w:val="19"/>
                <w:color w:val="auto"/>
              </w:rPr>
            </w:pPr>
          </w:p>
        </w:tc>
        <w:tc>
          <w:tcPr>
            <w:tcW w:w="100" w:type="dxa"/>
            <w:vAlign w:val="bottom"/>
            <w:tcBorders>
              <w:bottom w:val="single" w:sz="8" w:color="E4E4E4"/>
            </w:tcBorders>
            <w:shd w:val="clear" w:color="auto" w:fill="E4E4E4"/>
          </w:tcPr>
          <w:p>
            <w:pPr>
              <w:spacing w:after="0"/>
              <w:rPr>
                <w:sz w:val="19"/>
                <w:szCs w:val="19"/>
                <w:color w:val="auto"/>
              </w:rPr>
            </w:pPr>
          </w:p>
        </w:tc>
        <w:tc>
          <w:tcPr>
            <w:tcW w:w="940" w:type="dxa"/>
            <w:vAlign w:val="bottom"/>
            <w:tcBorders>
              <w:bottom w:val="single" w:sz="8" w:color="E4E4E4"/>
            </w:tcBorders>
            <w:shd w:val="clear" w:color="auto" w:fill="E4E4E4"/>
          </w:tcPr>
          <w:p>
            <w:pPr>
              <w:spacing w:after="0"/>
              <w:rPr>
                <w:sz w:val="19"/>
                <w:szCs w:val="19"/>
                <w:color w:val="auto"/>
              </w:rPr>
            </w:pPr>
          </w:p>
        </w:tc>
        <w:tc>
          <w:tcPr>
            <w:tcW w:w="20" w:type="dxa"/>
            <w:vAlign w:val="bottom"/>
            <w:tcBorders>
              <w:bottom w:val="single" w:sz="8" w:color="E4E4E4"/>
            </w:tcBorders>
            <w:shd w:val="clear" w:color="auto" w:fill="E4E4E4"/>
          </w:tcPr>
          <w:p>
            <w:pPr>
              <w:spacing w:after="0"/>
              <w:rPr>
                <w:sz w:val="19"/>
                <w:szCs w:val="19"/>
                <w:color w:val="auto"/>
              </w:rPr>
            </w:pPr>
          </w:p>
        </w:tc>
        <w:tc>
          <w:tcPr>
            <w:tcW w:w="160" w:type="dxa"/>
            <w:vAlign w:val="bottom"/>
            <w:tcBorders>
              <w:bottom w:val="single" w:sz="8" w:color="E4E4E4"/>
            </w:tcBorders>
            <w:shd w:val="clear" w:color="auto" w:fill="E4E4E4"/>
          </w:tcPr>
          <w:p>
            <w:pPr>
              <w:spacing w:after="0"/>
              <w:rPr>
                <w:sz w:val="19"/>
                <w:szCs w:val="19"/>
                <w:color w:val="auto"/>
              </w:rPr>
            </w:pPr>
          </w:p>
        </w:tc>
        <w:tc>
          <w:tcPr>
            <w:tcW w:w="20" w:type="dxa"/>
            <w:vAlign w:val="bottom"/>
            <w:tcBorders>
              <w:bottom w:val="single" w:sz="8" w:color="E4E4E4"/>
            </w:tcBorders>
            <w:shd w:val="clear" w:color="auto" w:fill="E4E4E4"/>
          </w:tcPr>
          <w:p>
            <w:pPr>
              <w:spacing w:after="0"/>
              <w:rPr>
                <w:sz w:val="19"/>
                <w:szCs w:val="19"/>
                <w:color w:val="auto"/>
              </w:rPr>
            </w:pPr>
          </w:p>
        </w:tc>
        <w:tc>
          <w:tcPr>
            <w:tcW w:w="120" w:type="dxa"/>
            <w:vAlign w:val="bottom"/>
            <w:tcBorders>
              <w:bottom w:val="single" w:sz="8" w:color="E4E4E4"/>
            </w:tcBorders>
            <w:shd w:val="clear" w:color="auto" w:fill="E4E4E4"/>
          </w:tcPr>
          <w:p>
            <w:pPr>
              <w:spacing w:after="0"/>
              <w:rPr>
                <w:sz w:val="19"/>
                <w:szCs w:val="19"/>
                <w:color w:val="auto"/>
              </w:rPr>
            </w:pPr>
          </w:p>
        </w:tc>
        <w:tc>
          <w:tcPr>
            <w:tcW w:w="920" w:type="dxa"/>
            <w:vAlign w:val="bottom"/>
            <w:tcBorders>
              <w:bottom w:val="single" w:sz="8" w:color="E4E4E4"/>
            </w:tcBorders>
            <w:shd w:val="clear" w:color="auto" w:fill="E4E4E4"/>
          </w:tcPr>
          <w:p>
            <w:pPr>
              <w:spacing w:after="0"/>
              <w:rPr>
                <w:sz w:val="19"/>
                <w:szCs w:val="19"/>
                <w:color w:val="auto"/>
              </w:rPr>
            </w:pPr>
          </w:p>
        </w:tc>
        <w:tc>
          <w:tcPr>
            <w:tcW w:w="80" w:type="dxa"/>
            <w:vAlign w:val="bottom"/>
            <w:tcBorders>
              <w:bottom w:val="single" w:sz="8" w:color="E4E4E4"/>
            </w:tcBorders>
            <w:shd w:val="clear" w:color="auto" w:fill="E4E4E4"/>
          </w:tcPr>
          <w:p>
            <w:pPr>
              <w:spacing w:after="0"/>
              <w:rPr>
                <w:sz w:val="19"/>
                <w:szCs w:val="19"/>
                <w:color w:val="auto"/>
              </w:rPr>
            </w:pPr>
          </w:p>
        </w:tc>
      </w:tr>
      <w:tr>
        <w:trPr>
          <w:trHeight w:val="213"/>
        </w:trPr>
        <w:tc>
          <w:tcPr>
            <w:tcW w:w="5060" w:type="dxa"/>
            <w:vAlign w:val="bottom"/>
            <w:gridSpan w:val="5"/>
          </w:tcPr>
          <w:p>
            <w:pPr>
              <w:spacing w:after="0" w:line="213" w:lineRule="exact"/>
              <w:rPr>
                <w:sz w:val="20"/>
                <w:szCs w:val="20"/>
                <w:color w:val="auto"/>
              </w:rPr>
            </w:pPr>
            <w:r>
              <w:rPr>
                <w:rFonts w:ascii="Arial" w:cs="Arial" w:eastAsia="Arial" w:hAnsi="Arial"/>
                <w:sz w:val="20"/>
                <w:szCs w:val="20"/>
                <w:color w:val="1E1E1E"/>
              </w:rPr>
              <w:t>Balance at beginning of period</w:t>
            </w:r>
          </w:p>
        </w:tc>
        <w:tc>
          <w:tcPr>
            <w:tcW w:w="240" w:type="dxa"/>
            <w:vAlign w:val="bottom"/>
            <w:gridSpan w:val="3"/>
          </w:tcPr>
          <w:p>
            <w:pPr>
              <w:jc w:val="right"/>
              <w:spacing w:after="0" w:line="213" w:lineRule="exact"/>
              <w:rPr>
                <w:sz w:val="20"/>
                <w:szCs w:val="20"/>
                <w:color w:val="auto"/>
              </w:rPr>
            </w:pPr>
            <w:r>
              <w:rPr>
                <w:rFonts w:ascii="Arial" w:cs="Arial" w:eastAsia="Arial" w:hAnsi="Arial"/>
                <w:sz w:val="20"/>
                <w:szCs w:val="20"/>
                <w:color w:val="1E1E1E"/>
              </w:rPr>
              <w:t>$</w:t>
            </w:r>
          </w:p>
        </w:tc>
        <w:tc>
          <w:tcPr>
            <w:tcW w:w="1120" w:type="dxa"/>
            <w:vAlign w:val="bottom"/>
            <w:gridSpan w:val="3"/>
          </w:tcPr>
          <w:p>
            <w:pPr>
              <w:jc w:val="right"/>
              <w:ind w:right="180"/>
              <w:spacing w:after="0" w:line="213" w:lineRule="exact"/>
              <w:rPr>
                <w:sz w:val="20"/>
                <w:szCs w:val="20"/>
                <w:color w:val="auto"/>
              </w:rPr>
            </w:pPr>
            <w:r>
              <w:rPr>
                <w:rFonts w:ascii="Arial" w:cs="Arial" w:eastAsia="Arial" w:hAnsi="Arial"/>
                <w:sz w:val="20"/>
                <w:szCs w:val="20"/>
                <w:color w:val="1E1E1E"/>
              </w:rPr>
              <w:t>—</w:t>
            </w:r>
          </w:p>
        </w:tc>
        <w:tc>
          <w:tcPr>
            <w:tcW w:w="140" w:type="dxa"/>
            <w:vAlign w:val="bottom"/>
            <w:gridSpan w:val="2"/>
          </w:tcPr>
          <w:p>
            <w:pPr>
              <w:jc w:val="right"/>
              <w:spacing w:after="0" w:line="213" w:lineRule="exact"/>
              <w:rPr>
                <w:sz w:val="20"/>
                <w:szCs w:val="20"/>
                <w:color w:val="auto"/>
              </w:rPr>
            </w:pPr>
            <w:r>
              <w:rPr>
                <w:rFonts w:ascii="Arial" w:cs="Arial" w:eastAsia="Arial" w:hAnsi="Arial"/>
                <w:sz w:val="20"/>
                <w:szCs w:val="20"/>
                <w:color w:val="1E1E1E"/>
                <w:w w:val="71"/>
              </w:rPr>
              <w:t>$</w:t>
            </w:r>
          </w:p>
        </w:tc>
        <w:tc>
          <w:tcPr>
            <w:tcW w:w="1000" w:type="dxa"/>
            <w:vAlign w:val="bottom"/>
            <w:gridSpan w:val="2"/>
          </w:tcPr>
          <w:p>
            <w:pPr>
              <w:jc w:val="right"/>
              <w:ind w:right="80"/>
              <w:spacing w:after="0" w:line="213" w:lineRule="exact"/>
              <w:rPr>
                <w:sz w:val="20"/>
                <w:szCs w:val="20"/>
                <w:color w:val="auto"/>
              </w:rPr>
            </w:pPr>
            <w:r>
              <w:rPr>
                <w:rFonts w:ascii="Arial" w:cs="Arial" w:eastAsia="Arial" w:hAnsi="Arial"/>
                <w:sz w:val="20"/>
                <w:szCs w:val="20"/>
                <w:color w:val="1E1E1E"/>
              </w:rPr>
              <w:t>—</w:t>
            </w:r>
          </w:p>
        </w:tc>
      </w:tr>
      <w:tr>
        <w:trPr>
          <w:trHeight w:val="228"/>
        </w:trPr>
        <w:tc>
          <w:tcPr>
            <w:tcW w:w="5060" w:type="dxa"/>
            <w:vAlign w:val="bottom"/>
            <w:gridSpan w:val="5"/>
            <w:shd w:val="clear" w:color="auto" w:fill="E4E4E4"/>
          </w:tcPr>
          <w:p>
            <w:pPr>
              <w:spacing w:after="0" w:line="228" w:lineRule="exact"/>
              <w:rPr>
                <w:sz w:val="20"/>
                <w:szCs w:val="20"/>
                <w:color w:val="auto"/>
              </w:rPr>
            </w:pPr>
            <w:r>
              <w:rPr>
                <w:rFonts w:ascii="Arial" w:cs="Arial" w:eastAsia="Arial" w:hAnsi="Arial"/>
                <w:sz w:val="20"/>
                <w:szCs w:val="20"/>
                <w:color w:val="1E1E1E"/>
              </w:rPr>
              <w:t>Employer contributions</w:t>
            </w:r>
          </w:p>
        </w:tc>
        <w:tc>
          <w:tcPr>
            <w:tcW w:w="1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960" w:type="dxa"/>
            <w:vAlign w:val="bottom"/>
            <w:gridSpan w:val="2"/>
            <w:shd w:val="clear" w:color="auto" w:fill="E4E4E4"/>
          </w:tcPr>
          <w:p>
            <w:pPr>
              <w:jc w:val="right"/>
              <w:ind w:right="20"/>
              <w:spacing w:after="0" w:line="228" w:lineRule="exact"/>
              <w:rPr>
                <w:sz w:val="20"/>
                <w:szCs w:val="20"/>
                <w:color w:val="auto"/>
              </w:rPr>
            </w:pPr>
            <w:r>
              <w:rPr>
                <w:rFonts w:ascii="Arial" w:cs="Arial" w:eastAsia="Arial" w:hAnsi="Arial"/>
                <w:sz w:val="20"/>
                <w:szCs w:val="20"/>
                <w:color w:val="1E1E1E"/>
              </w:rPr>
              <w:t>466</w:t>
            </w: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000" w:type="dxa"/>
            <w:vAlign w:val="bottom"/>
            <w:gridSpan w:val="2"/>
            <w:shd w:val="clear" w:color="auto" w:fill="E4E4E4"/>
          </w:tcPr>
          <w:p>
            <w:pPr>
              <w:jc w:val="right"/>
              <w:ind w:right="60"/>
              <w:spacing w:after="0" w:line="228" w:lineRule="exact"/>
              <w:rPr>
                <w:sz w:val="20"/>
                <w:szCs w:val="20"/>
                <w:color w:val="auto"/>
              </w:rPr>
            </w:pPr>
            <w:r>
              <w:rPr>
                <w:rFonts w:ascii="Arial" w:cs="Arial" w:eastAsia="Arial" w:hAnsi="Arial"/>
                <w:sz w:val="20"/>
                <w:szCs w:val="20"/>
                <w:color w:val="1E1E1E"/>
              </w:rPr>
              <w:t>40</w:t>
            </w:r>
          </w:p>
        </w:tc>
      </w:tr>
      <w:tr>
        <w:trPr>
          <w:trHeight w:val="230"/>
        </w:trPr>
        <w:tc>
          <w:tcPr>
            <w:tcW w:w="5060" w:type="dxa"/>
            <w:vAlign w:val="bottom"/>
            <w:gridSpan w:val="5"/>
          </w:tcPr>
          <w:p>
            <w:pPr>
              <w:spacing w:after="0"/>
              <w:rPr>
                <w:sz w:val="20"/>
                <w:szCs w:val="20"/>
                <w:color w:val="auto"/>
              </w:rPr>
            </w:pPr>
            <w:r>
              <w:rPr>
                <w:rFonts w:ascii="Arial" w:cs="Arial" w:eastAsia="Arial" w:hAnsi="Arial"/>
                <w:sz w:val="20"/>
                <w:szCs w:val="20"/>
                <w:color w:val="1E1E1E"/>
              </w:rPr>
              <w:t>Settlements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20"/>
                <w:szCs w:val="20"/>
                <w:color w:val="1E1E1E"/>
              </w:rPr>
              <w:t>(439)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0"/>
                <w:szCs w:val="20"/>
                <w:color w:val="1E1E1E"/>
              </w:rPr>
              <w:t>—</w:t>
            </w:r>
          </w:p>
        </w:tc>
      </w:tr>
      <w:tr>
        <w:trPr>
          <w:trHeight w:val="230"/>
        </w:trPr>
        <w:tc>
          <w:tcPr>
            <w:tcW w:w="5060" w:type="dxa"/>
            <w:vAlign w:val="bottom"/>
            <w:gridSpan w:val="5"/>
            <w:shd w:val="clear" w:color="auto" w:fill="E4E4E4"/>
          </w:tcPr>
          <w:p>
            <w:pPr>
              <w:spacing w:after="0"/>
              <w:rPr>
                <w:sz w:val="20"/>
                <w:szCs w:val="20"/>
                <w:color w:val="auto"/>
              </w:rPr>
            </w:pPr>
            <w:r>
              <w:rPr>
                <w:rFonts w:ascii="Arial" w:cs="Arial" w:eastAsia="Arial" w:hAnsi="Arial"/>
                <w:sz w:val="20"/>
                <w:szCs w:val="20"/>
                <w:color w:val="1E1E1E"/>
              </w:rPr>
              <w:t>Benefits and expenses paid</w:t>
            </w:r>
          </w:p>
        </w:tc>
        <w:tc>
          <w:tcPr>
            <w:tcW w:w="12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20" w:type="dxa"/>
            <w:vAlign w:val="bottom"/>
            <w:gridSpan w:val="3"/>
            <w:shd w:val="clear" w:color="auto" w:fill="E4E4E4"/>
          </w:tcPr>
          <w:p>
            <w:pPr>
              <w:jc w:val="right"/>
              <w:ind w:right="120"/>
              <w:spacing w:after="0"/>
              <w:rPr>
                <w:sz w:val="20"/>
                <w:szCs w:val="20"/>
                <w:color w:val="auto"/>
              </w:rPr>
            </w:pPr>
            <w:r>
              <w:rPr>
                <w:rFonts w:ascii="Arial" w:cs="Arial" w:eastAsia="Arial" w:hAnsi="Arial"/>
                <w:sz w:val="20"/>
                <w:szCs w:val="20"/>
                <w:color w:val="1E1E1E"/>
              </w:rPr>
              <w:t>(27)</w:t>
            </w: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00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(40)</w:t>
            </w:r>
          </w:p>
        </w:tc>
      </w:tr>
      <w:tr>
        <w:trPr>
          <w:trHeight w:val="246"/>
        </w:trPr>
        <w:tc>
          <w:tcPr>
            <w:tcW w:w="5060" w:type="dxa"/>
            <w:vAlign w:val="bottom"/>
            <w:tcBorders>
              <w:bottom w:val="single" w:sz="8" w:color="E4E4E4"/>
            </w:tcBorders>
            <w:gridSpan w:val="5"/>
          </w:tcPr>
          <w:p>
            <w:pPr>
              <w:spacing w:after="0" w:line="220" w:lineRule="exact"/>
              <w:rPr>
                <w:sz w:val="20"/>
                <w:szCs w:val="20"/>
                <w:color w:val="auto"/>
              </w:rPr>
            </w:pPr>
            <w:r>
              <w:rPr>
                <w:rFonts w:ascii="Arial" w:cs="Arial" w:eastAsia="Arial" w:hAnsi="Arial"/>
                <w:sz w:val="20"/>
                <w:szCs w:val="20"/>
                <w:color w:val="1E1E1E"/>
              </w:rPr>
              <w:t>Balance at end of period</w:t>
            </w:r>
          </w:p>
        </w:tc>
        <w:tc>
          <w:tcPr>
            <w:tcW w:w="120" w:type="dxa"/>
            <w:vAlign w:val="bottom"/>
            <w:tcBorders>
              <w:bottom w:val="single" w:sz="8" w:color="E4E4E4"/>
            </w:tcBorders>
          </w:tcPr>
          <w:p>
            <w:pPr>
              <w:spacing w:after="0"/>
              <w:rPr>
                <w:sz w:val="21"/>
                <w:szCs w:val="21"/>
                <w:color w:val="auto"/>
              </w:rPr>
            </w:pPr>
          </w:p>
        </w:tc>
        <w:tc>
          <w:tcPr>
            <w:tcW w:w="20" w:type="dxa"/>
            <w:vAlign w:val="bottom"/>
            <w:tcBorders>
              <w:top w:val="single" w:sz="8" w:color="1E1E1E"/>
              <w:bottom w:val="single" w:sz="8" w:color="E4E4E4"/>
            </w:tcBorders>
          </w:tcPr>
          <w:p>
            <w:pPr>
              <w:spacing w:after="0"/>
              <w:rPr>
                <w:sz w:val="21"/>
                <w:szCs w:val="21"/>
                <w:color w:val="auto"/>
              </w:rPr>
            </w:pPr>
          </w:p>
        </w:tc>
        <w:tc>
          <w:tcPr>
            <w:tcW w:w="100" w:type="dxa"/>
            <w:vAlign w:val="bottom"/>
            <w:tcBorders>
              <w:top w:val="single" w:sz="8" w:color="1E1E1E"/>
            </w:tcBorders>
          </w:tcPr>
          <w:p>
            <w:pPr>
              <w:jc w:val="right"/>
              <w:spacing w:after="0"/>
              <w:rPr>
                <w:sz w:val="20"/>
                <w:szCs w:val="20"/>
                <w:color w:val="auto"/>
              </w:rPr>
            </w:pPr>
            <w:r>
              <w:rPr>
                <w:rFonts w:ascii="Arial" w:cs="Arial" w:eastAsia="Arial" w:hAnsi="Arial"/>
                <w:sz w:val="15"/>
                <w:szCs w:val="15"/>
                <w:color w:val="1E1E1E"/>
                <w:w w:val="71"/>
              </w:rPr>
              <w:t>$</w:t>
            </w:r>
          </w:p>
        </w:tc>
        <w:tc>
          <w:tcPr>
            <w:tcW w:w="94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rPr>
              <w:t>—</w:t>
            </w:r>
          </w:p>
        </w:tc>
        <w:tc>
          <w:tcPr>
            <w:tcW w:w="20" w:type="dxa"/>
            <w:vAlign w:val="bottom"/>
            <w:tcBorders>
              <w:top w:val="single" w:sz="8" w:color="1E1E1E"/>
              <w:bottom w:val="single" w:sz="8" w:color="E4E4E4"/>
            </w:tcBorders>
          </w:tcPr>
          <w:p>
            <w:pPr>
              <w:spacing w:after="0"/>
              <w:rPr>
                <w:sz w:val="21"/>
                <w:szCs w:val="21"/>
                <w:color w:val="auto"/>
              </w:rPr>
            </w:pPr>
          </w:p>
        </w:tc>
        <w:tc>
          <w:tcPr>
            <w:tcW w:w="160" w:type="dxa"/>
            <w:vAlign w:val="bottom"/>
            <w:tcBorders>
              <w:bottom w:val="single" w:sz="8" w:color="E4E4E4"/>
            </w:tcBorders>
          </w:tcPr>
          <w:p>
            <w:pPr>
              <w:spacing w:after="0"/>
              <w:rPr>
                <w:sz w:val="21"/>
                <w:szCs w:val="21"/>
                <w:color w:val="auto"/>
              </w:rPr>
            </w:pPr>
          </w:p>
        </w:tc>
        <w:tc>
          <w:tcPr>
            <w:tcW w:w="20" w:type="dxa"/>
            <w:vAlign w:val="bottom"/>
            <w:tcBorders>
              <w:top w:val="single" w:sz="8" w:color="1E1E1E"/>
              <w:bottom w:val="single" w:sz="8" w:color="E4E4E4"/>
            </w:tcBorders>
          </w:tcPr>
          <w:p>
            <w:pPr>
              <w:spacing w:after="0"/>
              <w:rPr>
                <w:sz w:val="21"/>
                <w:szCs w:val="21"/>
                <w:color w:val="auto"/>
              </w:rPr>
            </w:pPr>
          </w:p>
        </w:tc>
        <w:tc>
          <w:tcPr>
            <w:tcW w:w="120" w:type="dxa"/>
            <w:vAlign w:val="bottom"/>
            <w:tcBorders>
              <w:top w:val="single" w:sz="8" w:color="1E1E1E"/>
            </w:tcBorders>
          </w:tcPr>
          <w:p>
            <w:pPr>
              <w:jc w:val="right"/>
              <w:spacing w:after="0"/>
              <w:rPr>
                <w:sz w:val="20"/>
                <w:szCs w:val="20"/>
                <w:color w:val="auto"/>
              </w:rPr>
            </w:pPr>
            <w:r>
              <w:rPr>
                <w:rFonts w:ascii="Arial" w:cs="Arial" w:eastAsia="Arial" w:hAnsi="Arial"/>
                <w:sz w:val="15"/>
                <w:szCs w:val="15"/>
                <w:color w:val="1E1E1E"/>
                <w:w w:val="71"/>
              </w:rPr>
              <w:t>$</w:t>
            </w:r>
          </w:p>
        </w:tc>
        <w:tc>
          <w:tcPr>
            <w:tcW w:w="920" w:type="dxa"/>
            <w:vAlign w:val="bottom"/>
            <w:tcBorders>
              <w:top w:val="single" w:sz="8" w:color="1E1E1E"/>
            </w:tcBorders>
          </w:tcPr>
          <w:p>
            <w:pPr>
              <w:jc w:val="right"/>
              <w:spacing w:after="0" w:line="220" w:lineRule="exact"/>
              <w:rPr>
                <w:sz w:val="20"/>
                <w:szCs w:val="20"/>
                <w:color w:val="auto"/>
              </w:rPr>
            </w:pPr>
            <w:r>
              <w:rPr>
                <w:rFonts w:ascii="Arial" w:cs="Arial" w:eastAsia="Arial" w:hAnsi="Arial"/>
                <w:sz w:val="20"/>
                <w:szCs w:val="20"/>
                <w:color w:val="1E1E1E"/>
              </w:rPr>
              <w:t>—</w:t>
            </w:r>
          </w:p>
        </w:tc>
        <w:tc>
          <w:tcPr>
            <w:tcW w:w="80" w:type="dxa"/>
            <w:vAlign w:val="bottom"/>
            <w:tcBorders>
              <w:bottom w:val="single" w:sz="8" w:color="E4E4E4"/>
            </w:tcBorders>
          </w:tcPr>
          <w:p>
            <w:pPr>
              <w:spacing w:after="0"/>
              <w:rPr>
                <w:sz w:val="21"/>
                <w:szCs w:val="21"/>
                <w:color w:val="auto"/>
              </w:rPr>
            </w:pPr>
          </w:p>
        </w:tc>
      </w:tr>
      <w:tr>
        <w:trPr>
          <w:trHeight w:val="230"/>
        </w:trPr>
        <w:tc>
          <w:tcPr>
            <w:tcW w:w="226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200" w:type="dxa"/>
            <w:vAlign w:val="bottom"/>
            <w:shd w:val="clear" w:color="auto" w:fill="E4E4E4"/>
          </w:tcPr>
          <w:p>
            <w:pPr>
              <w:spacing w:after="0"/>
              <w:rPr>
                <w:sz w:val="20"/>
                <w:szCs w:val="20"/>
                <w:color w:val="auto"/>
              </w:rPr>
            </w:pPr>
          </w:p>
        </w:tc>
        <w:tc>
          <w:tcPr>
            <w:tcW w:w="280" w:type="dxa"/>
            <w:vAlign w:val="bottom"/>
            <w:shd w:val="clear" w:color="auto" w:fill="E4E4E4"/>
          </w:tcPr>
          <w:p>
            <w:pPr>
              <w:spacing w:after="0"/>
              <w:rPr>
                <w:sz w:val="20"/>
                <w:szCs w:val="20"/>
                <w:color w:val="auto"/>
              </w:rPr>
            </w:pPr>
          </w:p>
        </w:tc>
        <w:tc>
          <w:tcPr>
            <w:tcW w:w="224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9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92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r>
      <w:tr>
        <w:trPr>
          <w:trHeight w:val="228"/>
        </w:trPr>
        <w:tc>
          <w:tcPr>
            <w:tcW w:w="5060" w:type="dxa"/>
            <w:vAlign w:val="bottom"/>
            <w:gridSpan w:val="5"/>
          </w:tcPr>
          <w:p>
            <w:pPr>
              <w:spacing w:after="0" w:line="228" w:lineRule="exact"/>
              <w:rPr>
                <w:sz w:val="20"/>
                <w:szCs w:val="20"/>
                <w:color w:val="auto"/>
              </w:rPr>
            </w:pPr>
            <w:r>
              <w:rPr>
                <w:rFonts w:ascii="Arial" w:cs="Arial" w:eastAsia="Arial" w:hAnsi="Arial"/>
                <w:sz w:val="20"/>
                <w:szCs w:val="20"/>
                <w:color w:val="1E1E1E"/>
              </w:rPr>
              <w:t>Projected benefit obligation</w:t>
            </w:r>
          </w:p>
        </w:tc>
        <w:tc>
          <w:tcPr>
            <w:tcW w:w="14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1E1E1E"/>
                <w:w w:val="71"/>
              </w:rPr>
              <w:t>$</w:t>
            </w:r>
          </w:p>
        </w:tc>
        <w:tc>
          <w:tcPr>
            <w:tcW w:w="960" w:type="dxa"/>
            <w:vAlign w:val="bottom"/>
            <w:gridSpan w:val="2"/>
          </w:tcPr>
          <w:p>
            <w:pPr>
              <w:jc w:val="right"/>
              <w:ind w:right="20"/>
              <w:spacing w:after="0" w:line="228" w:lineRule="exact"/>
              <w:rPr>
                <w:sz w:val="20"/>
                <w:szCs w:val="20"/>
                <w:color w:val="auto"/>
              </w:rPr>
            </w:pPr>
            <w:r>
              <w:rPr>
                <w:rFonts w:ascii="Arial" w:cs="Arial" w:eastAsia="Arial" w:hAnsi="Arial"/>
                <w:sz w:val="20"/>
                <w:szCs w:val="20"/>
                <w:color w:val="1E1E1E"/>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1E1E1E"/>
                <w:w w:val="71"/>
              </w:rPr>
              <w:t>$</w:t>
            </w:r>
          </w:p>
        </w:tc>
        <w:tc>
          <w:tcPr>
            <w:tcW w:w="920" w:type="dxa"/>
            <w:vAlign w:val="bottom"/>
          </w:tcPr>
          <w:p>
            <w:pPr>
              <w:jc w:val="right"/>
              <w:spacing w:after="0" w:line="228" w:lineRule="exact"/>
              <w:rPr>
                <w:sz w:val="20"/>
                <w:szCs w:val="20"/>
                <w:color w:val="auto"/>
              </w:rPr>
            </w:pPr>
            <w:r>
              <w:rPr>
                <w:rFonts w:ascii="Arial" w:cs="Arial" w:eastAsia="Arial" w:hAnsi="Arial"/>
                <w:sz w:val="20"/>
                <w:szCs w:val="20"/>
                <w:color w:val="1E1E1E"/>
              </w:rPr>
              <w:t>427</w:t>
            </w:r>
          </w:p>
        </w:tc>
        <w:tc>
          <w:tcPr>
            <w:tcW w:w="80" w:type="dxa"/>
            <w:vAlign w:val="bottom"/>
          </w:tcPr>
          <w:p>
            <w:pPr>
              <w:spacing w:after="0"/>
              <w:rPr>
                <w:sz w:val="19"/>
                <w:szCs w:val="19"/>
                <w:color w:val="auto"/>
              </w:rPr>
            </w:pPr>
          </w:p>
        </w:tc>
      </w:tr>
      <w:tr>
        <w:trPr>
          <w:trHeight w:val="230"/>
        </w:trPr>
        <w:tc>
          <w:tcPr>
            <w:tcW w:w="2260" w:type="dxa"/>
            <w:vAlign w:val="bottom"/>
            <w:shd w:val="clear" w:color="auto" w:fill="E4E4E4"/>
          </w:tcPr>
          <w:p>
            <w:pPr>
              <w:spacing w:after="0"/>
              <w:rPr>
                <w:sz w:val="20"/>
                <w:szCs w:val="20"/>
                <w:color w:val="auto"/>
              </w:rPr>
            </w:pPr>
          </w:p>
        </w:tc>
        <w:tc>
          <w:tcPr>
            <w:tcW w:w="280" w:type="dxa"/>
            <w:vAlign w:val="bottom"/>
            <w:gridSpan w:val="2"/>
            <w:shd w:val="clear" w:color="auto" w:fill="E4E4E4"/>
          </w:tcPr>
          <w:p>
            <w:pPr>
              <w:spacing w:after="0"/>
              <w:rPr>
                <w:sz w:val="20"/>
                <w:szCs w:val="20"/>
                <w:color w:val="auto"/>
              </w:rPr>
            </w:pPr>
          </w:p>
        </w:tc>
        <w:tc>
          <w:tcPr>
            <w:tcW w:w="2520" w:type="dxa"/>
            <w:vAlign w:val="bottom"/>
            <w:gridSpan w:val="2"/>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9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92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r>
      <w:tr>
        <w:trPr>
          <w:trHeight w:val="210"/>
        </w:trPr>
        <w:tc>
          <w:tcPr>
            <w:tcW w:w="5060" w:type="dxa"/>
            <w:vAlign w:val="bottom"/>
            <w:gridSpan w:val="5"/>
          </w:tcPr>
          <w:p>
            <w:pPr>
              <w:spacing w:after="0" w:line="210" w:lineRule="exact"/>
              <w:rPr>
                <w:sz w:val="20"/>
                <w:szCs w:val="20"/>
                <w:color w:val="auto"/>
              </w:rPr>
            </w:pPr>
            <w:r>
              <w:rPr>
                <w:rFonts w:ascii="Arial" w:cs="Arial" w:eastAsia="Arial" w:hAnsi="Arial"/>
                <w:sz w:val="20"/>
                <w:szCs w:val="20"/>
                <w:color w:val="1E1E1E"/>
              </w:rPr>
              <w:t>Reconciliation of funded status: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540" w:type="dxa"/>
            <w:vAlign w:val="bottom"/>
            <w:tcBorders>
              <w:top w:val="single" w:sz="8" w:color="1E1E1E"/>
            </w:tcBorders>
            <w:gridSpan w:val="3"/>
            <w:shd w:val="clear" w:color="auto" w:fill="E4E4E4"/>
          </w:tcPr>
          <w:p>
            <w:pPr>
              <w:spacing w:after="0"/>
              <w:rPr>
                <w:sz w:val="20"/>
                <w:szCs w:val="20"/>
                <w:color w:val="auto"/>
              </w:rPr>
            </w:pPr>
            <w:r>
              <w:rPr>
                <w:rFonts w:ascii="Arial" w:cs="Arial" w:eastAsia="Arial" w:hAnsi="Arial"/>
                <w:sz w:val="20"/>
                <w:szCs w:val="20"/>
                <w:color w:val="1E1E1E"/>
              </w:rPr>
              <w:t>Projected benefit obligation</w:t>
            </w:r>
          </w:p>
        </w:tc>
        <w:tc>
          <w:tcPr>
            <w:tcW w:w="2520" w:type="dxa"/>
            <w:vAlign w:val="bottom"/>
            <w:gridSpan w:val="2"/>
            <w:shd w:val="clear" w:color="auto" w:fill="E4E4E4"/>
          </w:tcPr>
          <w:p>
            <w:pPr>
              <w:spacing w:after="0"/>
              <w:rPr>
                <w:sz w:val="20"/>
                <w:szCs w:val="20"/>
                <w:color w:val="auto"/>
              </w:rPr>
            </w:pPr>
          </w:p>
        </w:tc>
        <w:tc>
          <w:tcPr>
            <w:tcW w:w="240" w:type="dxa"/>
            <w:vAlign w:val="bottom"/>
            <w:gridSpan w:val="3"/>
            <w:shd w:val="clear" w:color="auto" w:fill="E4E4E4"/>
          </w:tcPr>
          <w:p>
            <w:pPr>
              <w:jc w:val="right"/>
              <w:spacing w:after="0"/>
              <w:rPr>
                <w:sz w:val="20"/>
                <w:szCs w:val="20"/>
                <w:color w:val="auto"/>
              </w:rPr>
            </w:pPr>
            <w:r>
              <w:rPr>
                <w:rFonts w:ascii="Arial" w:cs="Arial" w:eastAsia="Arial" w:hAnsi="Arial"/>
                <w:sz w:val="20"/>
                <w:szCs w:val="20"/>
                <w:color w:val="1E1E1E"/>
              </w:rPr>
              <w:t>$</w:t>
            </w:r>
          </w:p>
        </w:tc>
        <w:tc>
          <w:tcPr>
            <w:tcW w:w="1120" w:type="dxa"/>
            <w:vAlign w:val="bottom"/>
            <w:gridSpan w:val="3"/>
            <w:shd w:val="clear" w:color="auto" w:fill="E4E4E4"/>
          </w:tcPr>
          <w:p>
            <w:pPr>
              <w:jc w:val="right"/>
              <w:ind w:right="180"/>
              <w:spacing w:after="0"/>
              <w:rPr>
                <w:sz w:val="20"/>
                <w:szCs w:val="20"/>
                <w:color w:val="auto"/>
              </w:rPr>
            </w:pPr>
            <w:r>
              <w:rPr>
                <w:rFonts w:ascii="Arial" w:cs="Arial" w:eastAsia="Arial" w:hAnsi="Arial"/>
                <w:sz w:val="20"/>
                <w:szCs w:val="20"/>
                <w:color w:val="1E1E1E"/>
              </w:rPr>
              <w:t>—</w:t>
            </w:r>
          </w:p>
        </w:tc>
        <w:tc>
          <w:tcPr>
            <w:tcW w:w="14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w w:val="71"/>
              </w:rPr>
              <w:t>$</w:t>
            </w:r>
          </w:p>
        </w:tc>
        <w:tc>
          <w:tcPr>
            <w:tcW w:w="92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427</w:t>
            </w:r>
          </w:p>
        </w:tc>
        <w:tc>
          <w:tcPr>
            <w:tcW w:w="80" w:type="dxa"/>
            <w:vAlign w:val="bottom"/>
            <w:shd w:val="clear" w:color="auto" w:fill="E4E4E4"/>
          </w:tcPr>
          <w:p>
            <w:pPr>
              <w:spacing w:after="0"/>
              <w:rPr>
                <w:sz w:val="20"/>
                <w:szCs w:val="20"/>
                <w:color w:val="auto"/>
              </w:rPr>
            </w:pPr>
          </w:p>
        </w:tc>
      </w:tr>
      <w:tr>
        <w:trPr>
          <w:trHeight w:val="229"/>
        </w:trPr>
        <w:tc>
          <w:tcPr>
            <w:tcW w:w="5060" w:type="dxa"/>
            <w:vAlign w:val="bottom"/>
            <w:gridSpan w:val="5"/>
          </w:tcPr>
          <w:p>
            <w:pPr>
              <w:spacing w:after="0"/>
              <w:rPr>
                <w:sz w:val="20"/>
                <w:szCs w:val="20"/>
                <w:color w:val="auto"/>
              </w:rPr>
            </w:pPr>
            <w:r>
              <w:rPr>
                <w:rFonts w:ascii="Arial" w:cs="Arial" w:eastAsia="Arial" w:hAnsi="Arial"/>
                <w:sz w:val="20"/>
                <w:szCs w:val="20"/>
                <w:color w:val="1E1E1E"/>
              </w:rPr>
              <w:t>Fair value of plan assets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20"/>
                <w:szCs w:val="20"/>
                <w:color w:val="1E1E1E"/>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0"/>
                <w:szCs w:val="20"/>
                <w:color w:val="1E1E1E"/>
              </w:rPr>
              <w:t>—</w:t>
            </w:r>
          </w:p>
        </w:tc>
      </w:tr>
      <w:tr>
        <w:trPr>
          <w:trHeight w:val="221"/>
        </w:trPr>
        <w:tc>
          <w:tcPr>
            <w:tcW w:w="5060" w:type="dxa"/>
            <w:vAlign w:val="bottom"/>
            <w:tcBorders>
              <w:top w:val="single" w:sz="8" w:color="E4E4E4"/>
            </w:tcBorders>
            <w:gridSpan w:val="5"/>
            <w:shd w:val="clear" w:color="auto" w:fill="E4E4E4"/>
          </w:tcPr>
          <w:p>
            <w:pPr>
              <w:spacing w:after="0" w:line="221" w:lineRule="exact"/>
              <w:rPr>
                <w:sz w:val="20"/>
                <w:szCs w:val="20"/>
                <w:color w:val="auto"/>
              </w:rPr>
            </w:pPr>
            <w:r>
              <w:rPr>
                <w:rFonts w:ascii="Arial" w:cs="Arial" w:eastAsia="Arial" w:hAnsi="Arial"/>
                <w:sz w:val="20"/>
                <w:szCs w:val="20"/>
                <w:color w:val="1E1E1E"/>
              </w:rPr>
              <w:t>Unfunded Status</w:t>
            </w:r>
          </w:p>
        </w:tc>
        <w:tc>
          <w:tcPr>
            <w:tcW w:w="12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1E1E1E"/>
            </w:tcBorders>
            <w:shd w:val="clear" w:color="auto" w:fill="E4E4E4"/>
          </w:tcPr>
          <w:p>
            <w:pPr>
              <w:spacing w:after="0"/>
              <w:rPr>
                <w:sz w:val="19"/>
                <w:szCs w:val="19"/>
                <w:color w:val="auto"/>
              </w:rPr>
            </w:pPr>
          </w:p>
        </w:tc>
        <w:tc>
          <w:tcPr>
            <w:tcW w:w="100" w:type="dxa"/>
            <w:vAlign w:val="bottom"/>
            <w:tcBorders>
              <w:top w:val="single" w:sz="8" w:color="1E1E1E"/>
            </w:tcBorders>
            <w:shd w:val="clear" w:color="auto" w:fill="E4E4E4"/>
          </w:tcPr>
          <w:p>
            <w:pPr>
              <w:jc w:val="right"/>
              <w:spacing w:after="0"/>
              <w:rPr>
                <w:sz w:val="20"/>
                <w:szCs w:val="20"/>
                <w:color w:val="auto"/>
              </w:rPr>
            </w:pPr>
            <w:r>
              <w:rPr>
                <w:rFonts w:ascii="Arial" w:cs="Arial" w:eastAsia="Arial" w:hAnsi="Arial"/>
                <w:sz w:val="15"/>
                <w:szCs w:val="15"/>
                <w:color w:val="1E1E1E"/>
                <w:w w:val="71"/>
              </w:rPr>
              <w:t>$</w:t>
            </w:r>
          </w:p>
        </w:tc>
        <w:tc>
          <w:tcPr>
            <w:tcW w:w="940" w:type="dxa"/>
            <w:vAlign w:val="bottom"/>
            <w:tcBorders>
              <w:top w:val="single" w:sz="8" w:color="1E1E1E"/>
            </w:tcBorders>
            <w:shd w:val="clear" w:color="auto" w:fill="E4E4E4"/>
          </w:tcPr>
          <w:p>
            <w:pPr>
              <w:jc w:val="right"/>
              <w:spacing w:after="0" w:line="221" w:lineRule="exact"/>
              <w:rPr>
                <w:sz w:val="20"/>
                <w:szCs w:val="20"/>
                <w:color w:val="auto"/>
              </w:rPr>
            </w:pPr>
            <w:r>
              <w:rPr>
                <w:rFonts w:ascii="Arial" w:cs="Arial" w:eastAsia="Arial" w:hAnsi="Arial"/>
                <w:sz w:val="20"/>
                <w:szCs w:val="20"/>
                <w:color w:val="1E1E1E"/>
              </w:rPr>
              <w:t>—</w:t>
            </w:r>
          </w:p>
        </w:tc>
        <w:tc>
          <w:tcPr>
            <w:tcW w:w="20" w:type="dxa"/>
            <w:vAlign w:val="bottom"/>
            <w:tcBorders>
              <w:top w:val="single" w:sz="8" w:color="1E1E1E"/>
            </w:tcBorders>
            <w:shd w:val="clear" w:color="auto" w:fill="E4E4E4"/>
          </w:tcPr>
          <w:p>
            <w:pPr>
              <w:spacing w:after="0"/>
              <w:rPr>
                <w:sz w:val="19"/>
                <w:szCs w:val="19"/>
                <w:color w:val="auto"/>
              </w:rPr>
            </w:pPr>
          </w:p>
        </w:tc>
        <w:tc>
          <w:tcPr>
            <w:tcW w:w="16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1E1E1E"/>
            </w:tcBorders>
            <w:shd w:val="clear" w:color="auto" w:fill="E4E4E4"/>
          </w:tcPr>
          <w:p>
            <w:pPr>
              <w:spacing w:after="0"/>
              <w:rPr>
                <w:sz w:val="19"/>
                <w:szCs w:val="19"/>
                <w:color w:val="auto"/>
              </w:rPr>
            </w:pPr>
          </w:p>
        </w:tc>
        <w:tc>
          <w:tcPr>
            <w:tcW w:w="120" w:type="dxa"/>
            <w:vAlign w:val="bottom"/>
            <w:tcBorders>
              <w:top w:val="single" w:sz="8" w:color="1E1E1E"/>
            </w:tcBorders>
            <w:shd w:val="clear" w:color="auto" w:fill="E4E4E4"/>
          </w:tcPr>
          <w:p>
            <w:pPr>
              <w:jc w:val="right"/>
              <w:spacing w:after="0"/>
              <w:rPr>
                <w:sz w:val="20"/>
                <w:szCs w:val="20"/>
                <w:color w:val="auto"/>
              </w:rPr>
            </w:pPr>
            <w:r>
              <w:rPr>
                <w:rFonts w:ascii="Arial" w:cs="Arial" w:eastAsia="Arial" w:hAnsi="Arial"/>
                <w:sz w:val="15"/>
                <w:szCs w:val="15"/>
                <w:color w:val="1E1E1E"/>
                <w:w w:val="71"/>
              </w:rPr>
              <w:t>$</w:t>
            </w:r>
          </w:p>
        </w:tc>
        <w:tc>
          <w:tcPr>
            <w:tcW w:w="920" w:type="dxa"/>
            <w:vAlign w:val="bottom"/>
            <w:tcBorders>
              <w:top w:val="single" w:sz="8" w:color="1E1E1E"/>
            </w:tcBorders>
            <w:shd w:val="clear" w:color="auto" w:fill="E4E4E4"/>
          </w:tcPr>
          <w:p>
            <w:pPr>
              <w:jc w:val="right"/>
              <w:spacing w:after="0" w:line="221" w:lineRule="exact"/>
              <w:rPr>
                <w:sz w:val="20"/>
                <w:szCs w:val="20"/>
                <w:color w:val="auto"/>
              </w:rPr>
            </w:pPr>
            <w:r>
              <w:rPr>
                <w:rFonts w:ascii="Arial" w:cs="Arial" w:eastAsia="Arial" w:hAnsi="Arial"/>
                <w:sz w:val="20"/>
                <w:szCs w:val="20"/>
                <w:color w:val="1E1E1E"/>
              </w:rPr>
              <w:t>(427)</w:t>
            </w:r>
          </w:p>
        </w:tc>
        <w:tc>
          <w:tcPr>
            <w:tcW w:w="80" w:type="dxa"/>
            <w:vAlign w:val="bottom"/>
            <w:tcBorders>
              <w:top w:val="single" w:sz="8" w:color="E4E4E4"/>
            </w:tcBorders>
            <w:shd w:val="clear" w:color="auto" w:fill="E4E4E4"/>
          </w:tcPr>
          <w:p>
            <w:pPr>
              <w:spacing w:after="0"/>
              <w:rPr>
                <w:sz w:val="19"/>
                <w:szCs w:val="19"/>
                <w:color w:val="auto"/>
              </w:rPr>
            </w:pPr>
          </w:p>
        </w:tc>
      </w:tr>
      <w:tr>
        <w:trPr>
          <w:trHeight w:val="230"/>
        </w:trPr>
        <w:tc>
          <w:tcPr>
            <w:tcW w:w="2260" w:type="dxa"/>
            <w:vAlign w:val="bottom"/>
          </w:tcPr>
          <w:p>
            <w:pPr>
              <w:spacing w:after="0"/>
              <w:rPr>
                <w:sz w:val="20"/>
                <w:szCs w:val="20"/>
                <w:color w:val="auto"/>
              </w:rPr>
            </w:pPr>
          </w:p>
        </w:tc>
        <w:tc>
          <w:tcPr>
            <w:tcW w:w="2800" w:type="dxa"/>
            <w:vAlign w:val="bottom"/>
            <w:gridSpan w:val="4"/>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5060" w:type="dxa"/>
            <w:vAlign w:val="bottom"/>
            <w:gridSpan w:val="5"/>
            <w:shd w:val="clear" w:color="auto" w:fill="E4E4E4"/>
          </w:tcPr>
          <w:p>
            <w:pPr>
              <w:spacing w:after="0" w:line="207" w:lineRule="exact"/>
              <w:rPr>
                <w:sz w:val="20"/>
                <w:szCs w:val="20"/>
                <w:color w:val="auto"/>
              </w:rPr>
            </w:pPr>
            <w:r>
              <w:rPr>
                <w:rFonts w:ascii="Arial" w:cs="Arial" w:eastAsia="Arial" w:hAnsi="Arial"/>
                <w:sz w:val="20"/>
                <w:szCs w:val="20"/>
                <w:color w:val="1E1E1E"/>
              </w:rPr>
              <w:t>Balance sheet classification:</w:t>
            </w:r>
          </w:p>
        </w:tc>
        <w:tc>
          <w:tcPr>
            <w:tcW w:w="1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94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9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r>
      <w:tr>
        <w:trPr>
          <w:trHeight w:val="233"/>
        </w:trPr>
        <w:tc>
          <w:tcPr>
            <w:tcW w:w="2260" w:type="dxa"/>
            <w:vAlign w:val="bottom"/>
            <w:tcBorders>
              <w:top w:val="single" w:sz="8" w:color="1E1E1E"/>
            </w:tcBorders>
          </w:tcPr>
          <w:p>
            <w:pPr>
              <w:spacing w:after="0"/>
              <w:rPr>
                <w:sz w:val="20"/>
                <w:szCs w:val="20"/>
                <w:color w:val="auto"/>
              </w:rPr>
            </w:pPr>
            <w:r>
              <w:rPr>
                <w:rFonts w:ascii="Arial" w:cs="Arial" w:eastAsia="Arial" w:hAnsi="Arial"/>
                <w:sz w:val="20"/>
                <w:szCs w:val="20"/>
                <w:color w:val="1E1E1E"/>
              </w:rPr>
              <w:t>Other long-term liabilities</w:t>
            </w:r>
          </w:p>
        </w:tc>
        <w:tc>
          <w:tcPr>
            <w:tcW w:w="2800" w:type="dxa"/>
            <w:vAlign w:val="bottom"/>
            <w:tcBorders>
              <w:top w:val="single" w:sz="8" w:color="E4E4E4"/>
            </w:tcBorders>
            <w:gridSpan w:val="4"/>
          </w:tcPr>
          <w:p>
            <w:pPr>
              <w:spacing w:after="0"/>
              <w:rPr>
                <w:sz w:val="20"/>
                <w:szCs w:val="20"/>
                <w:color w:val="auto"/>
              </w:rPr>
            </w:pPr>
          </w:p>
        </w:tc>
        <w:tc>
          <w:tcPr>
            <w:tcW w:w="240" w:type="dxa"/>
            <w:vAlign w:val="bottom"/>
            <w:tcBorders>
              <w:top w:val="single" w:sz="8" w:color="E4E4E4"/>
            </w:tcBorders>
            <w:gridSpan w:val="3"/>
          </w:tcPr>
          <w:p>
            <w:pPr>
              <w:jc w:val="right"/>
              <w:spacing w:after="0"/>
              <w:rPr>
                <w:sz w:val="20"/>
                <w:szCs w:val="20"/>
                <w:color w:val="auto"/>
              </w:rPr>
            </w:pPr>
            <w:r>
              <w:rPr>
                <w:rFonts w:ascii="Arial" w:cs="Arial" w:eastAsia="Arial" w:hAnsi="Arial"/>
                <w:sz w:val="20"/>
                <w:szCs w:val="20"/>
                <w:color w:val="1E1E1E"/>
              </w:rPr>
              <w:t>$</w:t>
            </w:r>
          </w:p>
        </w:tc>
        <w:tc>
          <w:tcPr>
            <w:tcW w:w="1120" w:type="dxa"/>
            <w:vAlign w:val="bottom"/>
            <w:tcBorders>
              <w:top w:val="single" w:sz="8" w:color="E4E4E4"/>
            </w:tcBorders>
            <w:gridSpan w:val="3"/>
          </w:tcPr>
          <w:p>
            <w:pPr>
              <w:jc w:val="right"/>
              <w:ind w:right="180"/>
              <w:spacing w:after="0"/>
              <w:rPr>
                <w:sz w:val="20"/>
                <w:szCs w:val="20"/>
                <w:color w:val="auto"/>
              </w:rPr>
            </w:pPr>
            <w:r>
              <w:rPr>
                <w:rFonts w:ascii="Arial" w:cs="Arial" w:eastAsia="Arial" w:hAnsi="Arial"/>
                <w:sz w:val="20"/>
                <w:szCs w:val="20"/>
                <w:color w:val="1E1E1E"/>
              </w:rPr>
              <w:t>—</w:t>
            </w:r>
          </w:p>
        </w:tc>
        <w:tc>
          <w:tcPr>
            <w:tcW w:w="140" w:type="dxa"/>
            <w:vAlign w:val="bottom"/>
            <w:tcBorders>
              <w:top w:val="single" w:sz="8" w:color="E4E4E4"/>
            </w:tcBorders>
            <w:gridSpan w:val="2"/>
          </w:tcPr>
          <w:p>
            <w:pPr>
              <w:jc w:val="right"/>
              <w:spacing w:after="0"/>
              <w:rPr>
                <w:sz w:val="20"/>
                <w:szCs w:val="20"/>
                <w:color w:val="auto"/>
              </w:rPr>
            </w:pPr>
            <w:r>
              <w:rPr>
                <w:rFonts w:ascii="Arial" w:cs="Arial" w:eastAsia="Arial" w:hAnsi="Arial"/>
                <w:sz w:val="20"/>
                <w:szCs w:val="20"/>
                <w:color w:val="1E1E1E"/>
                <w:w w:val="71"/>
              </w:rPr>
              <w:t>$</w:t>
            </w:r>
          </w:p>
        </w:tc>
        <w:tc>
          <w:tcPr>
            <w:tcW w:w="920" w:type="dxa"/>
            <w:vAlign w:val="bottom"/>
            <w:tcBorders>
              <w:top w:val="single" w:sz="8" w:color="E4E4E4"/>
            </w:tcBorders>
          </w:tcPr>
          <w:p>
            <w:pPr>
              <w:jc w:val="right"/>
              <w:spacing w:after="0"/>
              <w:rPr>
                <w:sz w:val="20"/>
                <w:szCs w:val="20"/>
                <w:color w:val="auto"/>
              </w:rPr>
            </w:pPr>
            <w:r>
              <w:rPr>
                <w:rFonts w:ascii="Arial" w:cs="Arial" w:eastAsia="Arial" w:hAnsi="Arial"/>
                <w:sz w:val="20"/>
                <w:szCs w:val="20"/>
                <w:color w:val="1E1E1E"/>
              </w:rPr>
              <w:t>427</w:t>
            </w:r>
          </w:p>
        </w:tc>
        <w:tc>
          <w:tcPr>
            <w:tcW w:w="80" w:type="dxa"/>
            <w:vAlign w:val="bottom"/>
            <w:tcBorders>
              <w:top w:val="single" w:sz="8" w:color="E4E4E4"/>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4298950</wp:posOffset>
            </wp:positionH>
            <wp:positionV relativeFrom="paragraph">
              <wp:posOffset>-2568575</wp:posOffset>
            </wp:positionV>
            <wp:extent cx="1501140" cy="609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01140" cy="60960"/>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-1511300</wp:posOffset>
            </wp:positionV>
            <wp:extent cx="1501140" cy="609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01140" cy="60960"/>
                    </a:xfrm>
                    <a:prstGeom prst="rect">
                      <a:avLst/>
                    </a:prstGeom>
                    <a:noFill/>
                  </pic:spPr>
                </pic:pic>
              </a:graphicData>
            </a:graphic>
          </wp:anchor>
        </w:drawing>
      </w:r>
    </w:p>
    <w:p>
      <w:pPr>
        <w:spacing w:after="0" w:line="320" w:lineRule="exact"/>
        <w:rPr>
          <w:sz w:val="20"/>
          <w:szCs w:val="20"/>
          <w:color w:val="auto"/>
        </w:rPr>
      </w:pPr>
    </w:p>
    <w:p>
      <w:pPr>
        <w:ind w:left="480"/>
        <w:spacing w:after="0"/>
        <w:rPr>
          <w:sz w:val="20"/>
          <w:szCs w:val="20"/>
          <w:color w:val="auto"/>
        </w:rPr>
      </w:pPr>
      <w:r>
        <w:rPr>
          <w:rFonts w:ascii="Arial" w:cs="Arial" w:eastAsia="Arial" w:hAnsi="Arial"/>
          <w:sz w:val="20"/>
          <w:szCs w:val="20"/>
          <w:color w:val="1E1E1E"/>
        </w:rPr>
        <w:t>Other changes recognized in other comprehensive loss, before taxes (in thousands):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1E1E1E"/>
                <w:w w:val="90"/>
              </w:rPr>
              <w:t>February 3,</w:t>
            </w:r>
          </w:p>
        </w:tc>
        <w:tc>
          <w:tcPr>
            <w:tcW w:w="12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color w:val="1E1E1E"/>
                <w:w w:val="86"/>
              </w:rPr>
              <w:t>January 28,</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1E1E1E"/>
                <w:w w:val="88"/>
              </w:rPr>
              <w:t>January 29,</w:t>
            </w:r>
          </w:p>
        </w:tc>
      </w:tr>
      <w:tr>
        <w:trPr>
          <w:trHeight w:val="202"/>
        </w:trPr>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900" w:type="dxa"/>
            <w:vAlign w:val="bottom"/>
            <w:tcBorders>
              <w:bottom w:val="single" w:sz="8" w:color="1E1E1E"/>
            </w:tcBorders>
          </w:tcPr>
          <w:p>
            <w:pPr>
              <w:jc w:val="right"/>
              <w:ind w:right="245"/>
              <w:spacing w:after="0"/>
              <w:rPr>
                <w:sz w:val="20"/>
                <w:szCs w:val="20"/>
                <w:color w:val="auto"/>
              </w:rPr>
            </w:pPr>
            <w:r>
              <w:rPr>
                <w:rFonts w:ascii="Arial" w:cs="Arial" w:eastAsia="Arial" w:hAnsi="Arial"/>
                <w:sz w:val="16"/>
                <w:szCs w:val="16"/>
                <w:color w:val="1E1E1E"/>
              </w:rPr>
              <w:t>2024</w:t>
            </w:r>
          </w:p>
        </w:tc>
        <w:tc>
          <w:tcPr>
            <w:tcW w:w="200" w:type="dxa"/>
            <w:vAlign w:val="bottom"/>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920" w:type="dxa"/>
            <w:vAlign w:val="bottom"/>
            <w:tcBorders>
              <w:bottom w:val="single" w:sz="8" w:color="1E1E1E"/>
            </w:tcBorders>
          </w:tcPr>
          <w:p>
            <w:pPr>
              <w:jc w:val="center"/>
              <w:ind w:right="27"/>
              <w:spacing w:after="0"/>
              <w:rPr>
                <w:sz w:val="20"/>
                <w:szCs w:val="20"/>
                <w:color w:val="auto"/>
              </w:rPr>
            </w:pPr>
            <w:r>
              <w:rPr>
                <w:rFonts w:ascii="Arial" w:cs="Arial" w:eastAsia="Arial" w:hAnsi="Arial"/>
                <w:sz w:val="16"/>
                <w:szCs w:val="16"/>
                <w:color w:val="1E1E1E"/>
                <w:w w:val="89"/>
              </w:rPr>
              <w:t>2023</w:t>
            </w:r>
          </w:p>
        </w:tc>
        <w:tc>
          <w:tcPr>
            <w:tcW w:w="200" w:type="dxa"/>
            <w:vAlign w:val="bottom"/>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900" w:type="dxa"/>
            <w:vAlign w:val="bottom"/>
            <w:tcBorders>
              <w:bottom w:val="single" w:sz="8" w:color="1E1E1E"/>
            </w:tcBorders>
          </w:tcPr>
          <w:p>
            <w:pPr>
              <w:jc w:val="right"/>
              <w:ind w:right="265"/>
              <w:spacing w:after="0"/>
              <w:rPr>
                <w:sz w:val="20"/>
                <w:szCs w:val="20"/>
                <w:color w:val="auto"/>
              </w:rPr>
            </w:pPr>
            <w:r>
              <w:rPr>
                <w:rFonts w:ascii="Arial" w:cs="Arial" w:eastAsia="Arial" w:hAnsi="Arial"/>
                <w:sz w:val="16"/>
                <w:szCs w:val="16"/>
                <w:color w:val="1E1E1E"/>
              </w:rPr>
              <w:t>2022</w:t>
            </w:r>
          </w:p>
        </w:tc>
        <w:tc>
          <w:tcPr>
            <w:tcW w:w="80" w:type="dxa"/>
            <w:vAlign w:val="bottom"/>
          </w:tcPr>
          <w:p>
            <w:pPr>
              <w:spacing w:after="0"/>
              <w:rPr>
                <w:sz w:val="17"/>
                <w:szCs w:val="17"/>
                <w:color w:val="auto"/>
              </w:rPr>
            </w:pPr>
          </w:p>
        </w:tc>
      </w:tr>
      <w:tr>
        <w:trPr>
          <w:trHeight w:val="173"/>
        </w:trPr>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27"/>
              <w:spacing w:after="0" w:line="173" w:lineRule="exact"/>
              <w:rPr>
                <w:sz w:val="20"/>
                <w:szCs w:val="20"/>
                <w:color w:val="auto"/>
              </w:rPr>
            </w:pPr>
            <w:r>
              <w:rPr>
                <w:rFonts w:ascii="Arial" w:cs="Arial" w:eastAsia="Arial" w:hAnsi="Arial"/>
                <w:sz w:val="16"/>
                <w:szCs w:val="16"/>
                <w:color w:val="1E1E1E"/>
                <w:w w:val="88"/>
              </w:rPr>
              <w:t>in thousands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8"/>
        </w:trPr>
        <w:tc>
          <w:tcPr>
            <w:tcW w:w="4960" w:type="dxa"/>
            <w:vAlign w:val="bottom"/>
            <w:gridSpan w:val="4"/>
            <w:shd w:val="clear" w:color="auto" w:fill="E4E4E4"/>
          </w:tcPr>
          <w:p>
            <w:pPr>
              <w:spacing w:after="0" w:line="207" w:lineRule="exact"/>
              <w:rPr>
                <w:sz w:val="20"/>
                <w:szCs w:val="20"/>
                <w:color w:val="auto"/>
              </w:rPr>
            </w:pPr>
            <w:r>
              <w:rPr>
                <w:rFonts w:ascii="Arial" w:cs="Arial" w:eastAsia="Arial" w:hAnsi="Arial"/>
                <w:sz w:val="20"/>
                <w:szCs w:val="20"/>
                <w:color w:val="1E1E1E"/>
                <w:w w:val="99"/>
              </w:rPr>
              <w:t>Other changes recognized in other comprehensive loss,</w:t>
            </w:r>
          </w:p>
        </w:tc>
        <w:tc>
          <w:tcPr>
            <w:tcW w:w="1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90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92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90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r>
      <w:tr>
        <w:trPr>
          <w:trHeight w:val="230"/>
        </w:trPr>
        <w:tc>
          <w:tcPr>
            <w:tcW w:w="140" w:type="dxa"/>
            <w:vAlign w:val="bottom"/>
            <w:tcBorders>
              <w:top w:val="single" w:sz="8" w:color="1E1E1E"/>
              <w:bottom w:val="single" w:sz="8" w:color="E4E4E4"/>
            </w:tcBorders>
            <w:shd w:val="clear" w:color="auto" w:fill="E4E4E4"/>
          </w:tcPr>
          <w:p>
            <w:pPr>
              <w:spacing w:after="0"/>
              <w:rPr>
                <w:sz w:val="20"/>
                <w:szCs w:val="20"/>
                <w:color w:val="auto"/>
              </w:rPr>
            </w:pPr>
          </w:p>
        </w:tc>
        <w:tc>
          <w:tcPr>
            <w:tcW w:w="1040" w:type="dxa"/>
            <w:vAlign w:val="bottom"/>
            <w:tcBorders>
              <w:top w:val="single" w:sz="8" w:color="1E1E1E"/>
              <w:bottom w:val="single" w:sz="8" w:color="1E1E1E"/>
            </w:tcBorders>
            <w:shd w:val="clear" w:color="auto" w:fill="E4E4E4"/>
          </w:tcPr>
          <w:p>
            <w:pPr>
              <w:ind w:left="20"/>
              <w:spacing w:after="0" w:line="210" w:lineRule="exact"/>
              <w:rPr>
                <w:sz w:val="20"/>
                <w:szCs w:val="20"/>
                <w:color w:val="auto"/>
              </w:rPr>
            </w:pPr>
            <w:r>
              <w:rPr>
                <w:rFonts w:ascii="Arial" w:cs="Arial" w:eastAsia="Arial" w:hAnsi="Arial"/>
                <w:sz w:val="20"/>
                <w:szCs w:val="20"/>
                <w:color w:val="1E1E1E"/>
                <w:w w:val="86"/>
              </w:rPr>
              <w:t>before taxes:</w:t>
            </w:r>
          </w:p>
        </w:tc>
        <w:tc>
          <w:tcPr>
            <w:tcW w:w="3240" w:type="dxa"/>
            <w:vAlign w:val="bottom"/>
            <w:tcBorders>
              <w:top w:val="single" w:sz="8" w:color="1E1E1E"/>
              <w:bottom w:val="single" w:sz="8" w:color="E4E4E4"/>
            </w:tcBorders>
            <w:shd w:val="clear" w:color="auto" w:fill="E4E4E4"/>
          </w:tcPr>
          <w:p>
            <w:pPr>
              <w:spacing w:after="0"/>
              <w:rPr>
                <w:sz w:val="20"/>
                <w:szCs w:val="20"/>
                <w:color w:val="auto"/>
              </w:rPr>
            </w:pPr>
          </w:p>
        </w:tc>
        <w:tc>
          <w:tcPr>
            <w:tcW w:w="540" w:type="dxa"/>
            <w:vAlign w:val="bottom"/>
            <w:tcBorders>
              <w:top w:val="single" w:sz="8" w:color="E4E4E4"/>
              <w:bottom w:val="single" w:sz="8" w:color="E4E4E4"/>
            </w:tcBorders>
            <w:shd w:val="clear" w:color="auto" w:fill="E4E4E4"/>
          </w:tcPr>
          <w:p>
            <w:pPr>
              <w:spacing w:after="0"/>
              <w:rPr>
                <w:sz w:val="20"/>
                <w:szCs w:val="20"/>
                <w:color w:val="auto"/>
              </w:rPr>
            </w:pPr>
          </w:p>
        </w:tc>
        <w:tc>
          <w:tcPr>
            <w:tcW w:w="120" w:type="dxa"/>
            <w:vAlign w:val="bottom"/>
            <w:tcBorders>
              <w:top w:val="single" w:sz="8" w:color="E4E4E4"/>
              <w:bottom w:val="single" w:sz="8" w:color="E4E4E4"/>
            </w:tcBorders>
            <w:shd w:val="clear" w:color="auto" w:fill="E4E4E4"/>
          </w:tcPr>
          <w:p>
            <w:pPr>
              <w:spacing w:after="0"/>
              <w:rPr>
                <w:sz w:val="20"/>
                <w:szCs w:val="20"/>
                <w:color w:val="auto"/>
              </w:rPr>
            </w:pPr>
          </w:p>
        </w:tc>
        <w:tc>
          <w:tcPr>
            <w:tcW w:w="120" w:type="dxa"/>
            <w:vAlign w:val="bottom"/>
            <w:tcBorders>
              <w:top w:val="single" w:sz="8" w:color="E4E4E4"/>
              <w:bottom w:val="single" w:sz="8" w:color="E4E4E4"/>
            </w:tcBorders>
            <w:shd w:val="clear" w:color="auto" w:fill="E4E4E4"/>
          </w:tcPr>
          <w:p>
            <w:pPr>
              <w:spacing w:after="0"/>
              <w:rPr>
                <w:sz w:val="20"/>
                <w:szCs w:val="20"/>
                <w:color w:val="auto"/>
              </w:rPr>
            </w:pPr>
          </w:p>
        </w:tc>
        <w:tc>
          <w:tcPr>
            <w:tcW w:w="900" w:type="dxa"/>
            <w:vAlign w:val="bottom"/>
            <w:tcBorders>
              <w:top w:val="single" w:sz="8" w:color="E4E4E4"/>
              <w:bottom w:val="single" w:sz="8" w:color="E4E4E4"/>
            </w:tcBorders>
            <w:shd w:val="clear" w:color="auto" w:fill="E4E4E4"/>
          </w:tcPr>
          <w:p>
            <w:pPr>
              <w:spacing w:after="0"/>
              <w:rPr>
                <w:sz w:val="20"/>
                <w:szCs w:val="20"/>
                <w:color w:val="auto"/>
              </w:rPr>
            </w:pPr>
          </w:p>
        </w:tc>
        <w:tc>
          <w:tcPr>
            <w:tcW w:w="200" w:type="dxa"/>
            <w:vAlign w:val="bottom"/>
            <w:tcBorders>
              <w:top w:val="single" w:sz="8" w:color="E4E4E4"/>
              <w:bottom w:val="single" w:sz="8" w:color="E4E4E4"/>
            </w:tcBorders>
            <w:shd w:val="clear" w:color="auto" w:fill="E4E4E4"/>
          </w:tcPr>
          <w:p>
            <w:pPr>
              <w:spacing w:after="0"/>
              <w:rPr>
                <w:sz w:val="20"/>
                <w:szCs w:val="20"/>
                <w:color w:val="auto"/>
              </w:rPr>
            </w:pPr>
          </w:p>
        </w:tc>
        <w:tc>
          <w:tcPr>
            <w:tcW w:w="120" w:type="dxa"/>
            <w:vAlign w:val="bottom"/>
            <w:tcBorders>
              <w:top w:val="single" w:sz="8" w:color="E4E4E4"/>
              <w:bottom w:val="single" w:sz="8" w:color="E4E4E4"/>
            </w:tcBorders>
            <w:shd w:val="clear" w:color="auto" w:fill="E4E4E4"/>
          </w:tcPr>
          <w:p>
            <w:pPr>
              <w:spacing w:after="0"/>
              <w:rPr>
                <w:sz w:val="20"/>
                <w:szCs w:val="20"/>
                <w:color w:val="auto"/>
              </w:rPr>
            </w:pPr>
          </w:p>
        </w:tc>
        <w:tc>
          <w:tcPr>
            <w:tcW w:w="920" w:type="dxa"/>
            <w:vAlign w:val="bottom"/>
            <w:tcBorders>
              <w:top w:val="single" w:sz="8" w:color="E4E4E4"/>
              <w:bottom w:val="single" w:sz="8" w:color="E4E4E4"/>
            </w:tcBorders>
            <w:shd w:val="clear" w:color="auto" w:fill="E4E4E4"/>
          </w:tcPr>
          <w:p>
            <w:pPr>
              <w:spacing w:after="0"/>
              <w:rPr>
                <w:sz w:val="20"/>
                <w:szCs w:val="20"/>
                <w:color w:val="auto"/>
              </w:rPr>
            </w:pPr>
          </w:p>
        </w:tc>
        <w:tc>
          <w:tcPr>
            <w:tcW w:w="200" w:type="dxa"/>
            <w:vAlign w:val="bottom"/>
            <w:tcBorders>
              <w:top w:val="single" w:sz="8" w:color="E4E4E4"/>
              <w:bottom w:val="single" w:sz="8" w:color="E4E4E4"/>
            </w:tcBorders>
            <w:shd w:val="clear" w:color="auto" w:fill="E4E4E4"/>
          </w:tcPr>
          <w:p>
            <w:pPr>
              <w:spacing w:after="0"/>
              <w:rPr>
                <w:sz w:val="20"/>
                <w:szCs w:val="20"/>
                <w:color w:val="auto"/>
              </w:rPr>
            </w:pPr>
          </w:p>
        </w:tc>
        <w:tc>
          <w:tcPr>
            <w:tcW w:w="120" w:type="dxa"/>
            <w:vAlign w:val="bottom"/>
            <w:tcBorders>
              <w:top w:val="single" w:sz="8" w:color="E4E4E4"/>
              <w:bottom w:val="single" w:sz="8" w:color="E4E4E4"/>
            </w:tcBorders>
            <w:shd w:val="clear" w:color="auto" w:fill="E4E4E4"/>
          </w:tcPr>
          <w:p>
            <w:pPr>
              <w:spacing w:after="0"/>
              <w:rPr>
                <w:sz w:val="20"/>
                <w:szCs w:val="20"/>
                <w:color w:val="auto"/>
              </w:rPr>
            </w:pPr>
          </w:p>
        </w:tc>
        <w:tc>
          <w:tcPr>
            <w:tcW w:w="900" w:type="dxa"/>
            <w:vAlign w:val="bottom"/>
            <w:tcBorders>
              <w:top w:val="single" w:sz="8" w:color="E4E4E4"/>
              <w:bottom w:val="single" w:sz="8" w:color="E4E4E4"/>
            </w:tcBorders>
            <w:shd w:val="clear" w:color="auto" w:fill="E4E4E4"/>
          </w:tcPr>
          <w:p>
            <w:pPr>
              <w:spacing w:after="0"/>
              <w:rPr>
                <w:sz w:val="20"/>
                <w:szCs w:val="20"/>
                <w:color w:val="auto"/>
              </w:rPr>
            </w:pPr>
          </w:p>
        </w:tc>
        <w:tc>
          <w:tcPr>
            <w:tcW w:w="80" w:type="dxa"/>
            <w:vAlign w:val="bottom"/>
            <w:tcBorders>
              <w:top w:val="single" w:sz="8" w:color="E4E4E4"/>
              <w:bottom w:val="single" w:sz="8" w:color="E4E4E4"/>
            </w:tcBorders>
            <w:shd w:val="clear" w:color="auto" w:fill="E4E4E4"/>
          </w:tcPr>
          <w:p>
            <w:pPr>
              <w:spacing w:after="0"/>
              <w:rPr>
                <w:sz w:val="20"/>
                <w:szCs w:val="20"/>
                <w:color w:val="auto"/>
              </w:rPr>
            </w:pPr>
          </w:p>
        </w:tc>
      </w:tr>
      <w:tr>
        <w:trPr>
          <w:trHeight w:val="213"/>
        </w:trPr>
        <w:tc>
          <w:tcPr>
            <w:tcW w:w="4960" w:type="dxa"/>
            <w:vAlign w:val="bottom"/>
            <w:gridSpan w:val="4"/>
          </w:tcPr>
          <w:p>
            <w:pPr>
              <w:spacing w:after="0" w:line="213" w:lineRule="exact"/>
              <w:rPr>
                <w:sz w:val="20"/>
                <w:szCs w:val="20"/>
                <w:color w:val="auto"/>
              </w:rPr>
            </w:pPr>
            <w:r>
              <w:rPr>
                <w:rFonts w:ascii="Arial" w:cs="Arial" w:eastAsia="Arial" w:hAnsi="Arial"/>
                <w:sz w:val="20"/>
                <w:szCs w:val="20"/>
                <w:color w:val="1E1E1E"/>
              </w:rPr>
              <w:t>Unrecognized losses at the beginning of the year</w:t>
            </w:r>
          </w:p>
        </w:tc>
        <w:tc>
          <w:tcPr>
            <w:tcW w:w="240" w:type="dxa"/>
            <w:vAlign w:val="bottom"/>
            <w:gridSpan w:val="2"/>
          </w:tcPr>
          <w:p>
            <w:pPr>
              <w:jc w:val="right"/>
              <w:spacing w:after="0" w:line="213" w:lineRule="exact"/>
              <w:rPr>
                <w:sz w:val="20"/>
                <w:szCs w:val="20"/>
                <w:color w:val="auto"/>
              </w:rPr>
            </w:pPr>
            <w:r>
              <w:rPr>
                <w:rFonts w:ascii="Arial" w:cs="Arial" w:eastAsia="Arial" w:hAnsi="Arial"/>
                <w:sz w:val="20"/>
                <w:szCs w:val="20"/>
                <w:color w:val="1E1E1E"/>
              </w:rPr>
              <w:t>$</w:t>
            </w:r>
          </w:p>
        </w:tc>
        <w:tc>
          <w:tcPr>
            <w:tcW w:w="900" w:type="dxa"/>
            <w:vAlign w:val="bottom"/>
          </w:tcPr>
          <w:p>
            <w:pPr>
              <w:jc w:val="right"/>
              <w:spacing w:after="0" w:line="213" w:lineRule="exact"/>
              <w:rPr>
                <w:sz w:val="20"/>
                <w:szCs w:val="20"/>
                <w:color w:val="auto"/>
              </w:rPr>
            </w:pPr>
            <w:r>
              <w:rPr>
                <w:rFonts w:ascii="Arial" w:cs="Arial" w:eastAsia="Arial" w:hAnsi="Arial"/>
                <w:sz w:val="20"/>
                <w:szCs w:val="20"/>
                <w:color w:val="1E1E1E"/>
              </w:rPr>
              <w:t>31</w:t>
            </w:r>
          </w:p>
        </w:tc>
        <w:tc>
          <w:tcPr>
            <w:tcW w:w="200" w:type="dxa"/>
            <w:vAlign w:val="bottom"/>
          </w:tcPr>
          <w:p>
            <w:pPr>
              <w:spacing w:after="0"/>
              <w:rPr>
                <w:sz w:val="18"/>
                <w:szCs w:val="18"/>
                <w:color w:val="auto"/>
              </w:rPr>
            </w:pPr>
          </w:p>
        </w:tc>
        <w:tc>
          <w:tcPr>
            <w:tcW w:w="120" w:type="dxa"/>
            <w:vAlign w:val="bottom"/>
          </w:tcPr>
          <w:p>
            <w:pPr>
              <w:jc w:val="right"/>
              <w:spacing w:after="0" w:line="213" w:lineRule="exact"/>
              <w:rPr>
                <w:sz w:val="20"/>
                <w:szCs w:val="20"/>
                <w:color w:val="auto"/>
              </w:rPr>
            </w:pPr>
            <w:r>
              <w:rPr>
                <w:rFonts w:ascii="Arial" w:cs="Arial" w:eastAsia="Arial" w:hAnsi="Arial"/>
                <w:sz w:val="20"/>
                <w:szCs w:val="20"/>
                <w:color w:val="1E1E1E"/>
                <w:w w:val="71"/>
              </w:rPr>
              <w:t>$</w:t>
            </w:r>
          </w:p>
        </w:tc>
        <w:tc>
          <w:tcPr>
            <w:tcW w:w="1120" w:type="dxa"/>
            <w:vAlign w:val="bottom"/>
            <w:gridSpan w:val="2"/>
          </w:tcPr>
          <w:p>
            <w:pPr>
              <w:jc w:val="right"/>
              <w:ind w:right="200"/>
              <w:spacing w:after="0" w:line="213" w:lineRule="exact"/>
              <w:rPr>
                <w:sz w:val="20"/>
                <w:szCs w:val="20"/>
                <w:color w:val="auto"/>
              </w:rPr>
            </w:pPr>
            <w:r>
              <w:rPr>
                <w:rFonts w:ascii="Arial" w:cs="Arial" w:eastAsia="Arial" w:hAnsi="Arial"/>
                <w:sz w:val="20"/>
                <w:szCs w:val="20"/>
                <w:color w:val="1E1E1E"/>
              </w:rPr>
              <w:t>95</w:t>
            </w:r>
          </w:p>
        </w:tc>
        <w:tc>
          <w:tcPr>
            <w:tcW w:w="120" w:type="dxa"/>
            <w:vAlign w:val="bottom"/>
          </w:tcPr>
          <w:p>
            <w:pPr>
              <w:jc w:val="right"/>
              <w:spacing w:after="0" w:line="213" w:lineRule="exact"/>
              <w:rPr>
                <w:sz w:val="20"/>
                <w:szCs w:val="20"/>
                <w:color w:val="auto"/>
              </w:rPr>
            </w:pPr>
            <w:r>
              <w:rPr>
                <w:rFonts w:ascii="Arial" w:cs="Arial" w:eastAsia="Arial" w:hAnsi="Arial"/>
                <w:sz w:val="20"/>
                <w:szCs w:val="20"/>
                <w:color w:val="1E1E1E"/>
                <w:w w:val="71"/>
              </w:rPr>
              <w:t>$</w:t>
            </w:r>
          </w:p>
        </w:tc>
        <w:tc>
          <w:tcPr>
            <w:tcW w:w="900" w:type="dxa"/>
            <w:vAlign w:val="bottom"/>
          </w:tcPr>
          <w:p>
            <w:pPr>
              <w:jc w:val="right"/>
              <w:spacing w:after="0" w:line="213" w:lineRule="exact"/>
              <w:rPr>
                <w:sz w:val="20"/>
                <w:szCs w:val="20"/>
                <w:color w:val="auto"/>
              </w:rPr>
            </w:pPr>
            <w:r>
              <w:rPr>
                <w:rFonts w:ascii="Arial" w:cs="Arial" w:eastAsia="Arial" w:hAnsi="Arial"/>
                <w:sz w:val="20"/>
                <w:szCs w:val="20"/>
                <w:color w:val="1E1E1E"/>
              </w:rPr>
              <w:t>120</w:t>
            </w:r>
          </w:p>
        </w:tc>
        <w:tc>
          <w:tcPr>
            <w:tcW w:w="80" w:type="dxa"/>
            <w:vAlign w:val="bottom"/>
          </w:tcPr>
          <w:p>
            <w:pPr>
              <w:spacing w:after="0"/>
              <w:rPr>
                <w:sz w:val="18"/>
                <w:szCs w:val="18"/>
                <w:color w:val="auto"/>
              </w:rPr>
            </w:pPr>
          </w:p>
        </w:tc>
      </w:tr>
      <w:tr>
        <w:trPr>
          <w:trHeight w:val="228"/>
        </w:trPr>
        <w:tc>
          <w:tcPr>
            <w:tcW w:w="4960" w:type="dxa"/>
            <w:vAlign w:val="bottom"/>
            <w:gridSpan w:val="4"/>
            <w:shd w:val="clear" w:color="auto" w:fill="E4E4E4"/>
          </w:tcPr>
          <w:p>
            <w:pPr>
              <w:spacing w:after="0" w:line="228" w:lineRule="exact"/>
              <w:rPr>
                <w:sz w:val="20"/>
                <w:szCs w:val="20"/>
                <w:color w:val="auto"/>
              </w:rPr>
            </w:pPr>
            <w:r>
              <w:rPr>
                <w:rFonts w:ascii="Arial" w:cs="Arial" w:eastAsia="Arial" w:hAnsi="Arial"/>
                <w:sz w:val="20"/>
                <w:szCs w:val="20"/>
                <w:color w:val="1E1E1E"/>
              </w:rPr>
              <w:t>Net periodic pension cost</w:t>
            </w:r>
          </w:p>
        </w:tc>
        <w:tc>
          <w:tcPr>
            <w:tcW w:w="1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100" w:type="dxa"/>
            <w:vAlign w:val="bottom"/>
            <w:gridSpan w:val="2"/>
            <w:shd w:val="clear" w:color="auto" w:fill="E4E4E4"/>
          </w:tcPr>
          <w:p>
            <w:pPr>
              <w:jc w:val="right"/>
              <w:ind w:right="120"/>
              <w:spacing w:after="0" w:line="228" w:lineRule="exact"/>
              <w:rPr>
                <w:sz w:val="20"/>
                <w:szCs w:val="20"/>
                <w:color w:val="auto"/>
              </w:rPr>
            </w:pPr>
            <w:r>
              <w:rPr>
                <w:rFonts w:ascii="Arial" w:cs="Arial" w:eastAsia="Arial" w:hAnsi="Arial"/>
                <w:sz w:val="20"/>
                <w:szCs w:val="20"/>
                <w:color w:val="1E1E1E"/>
              </w:rPr>
              <w:t>(13)</w:t>
            </w:r>
          </w:p>
        </w:tc>
        <w:tc>
          <w:tcPr>
            <w:tcW w:w="120" w:type="dxa"/>
            <w:vAlign w:val="bottom"/>
            <w:shd w:val="clear" w:color="auto" w:fill="E4E4E4"/>
          </w:tcPr>
          <w:p>
            <w:pPr>
              <w:spacing w:after="0"/>
              <w:rPr>
                <w:sz w:val="19"/>
                <w:szCs w:val="19"/>
                <w:color w:val="auto"/>
              </w:rPr>
            </w:pPr>
          </w:p>
        </w:tc>
        <w:tc>
          <w:tcPr>
            <w:tcW w:w="1120" w:type="dxa"/>
            <w:vAlign w:val="bottom"/>
            <w:gridSpan w:val="2"/>
            <w:shd w:val="clear" w:color="auto" w:fill="E4E4E4"/>
          </w:tcPr>
          <w:p>
            <w:pPr>
              <w:jc w:val="right"/>
              <w:ind w:right="140"/>
              <w:spacing w:after="0" w:line="228" w:lineRule="exact"/>
              <w:rPr>
                <w:sz w:val="20"/>
                <w:szCs w:val="20"/>
                <w:color w:val="auto"/>
              </w:rPr>
            </w:pPr>
            <w:r>
              <w:rPr>
                <w:rFonts w:ascii="Arial" w:cs="Arial" w:eastAsia="Arial" w:hAnsi="Arial"/>
                <w:sz w:val="20"/>
                <w:szCs w:val="20"/>
                <w:color w:val="1E1E1E"/>
              </w:rPr>
              <w:t>(17)</w:t>
            </w:r>
          </w:p>
        </w:tc>
        <w:tc>
          <w:tcPr>
            <w:tcW w:w="120" w:type="dxa"/>
            <w:vAlign w:val="bottom"/>
            <w:shd w:val="clear" w:color="auto" w:fill="E4E4E4"/>
          </w:tcPr>
          <w:p>
            <w:pPr>
              <w:spacing w:after="0"/>
              <w:rPr>
                <w:sz w:val="19"/>
                <w:szCs w:val="19"/>
                <w:color w:val="auto"/>
              </w:rPr>
            </w:pPr>
          </w:p>
        </w:tc>
        <w:tc>
          <w:tcPr>
            <w:tcW w:w="980" w:type="dxa"/>
            <w:vAlign w:val="bottom"/>
            <w:gridSpan w:val="2"/>
            <w:shd w:val="clear" w:color="auto" w:fill="E4E4E4"/>
          </w:tcPr>
          <w:p>
            <w:pPr>
              <w:jc w:val="right"/>
              <w:ind w:right="20"/>
              <w:spacing w:after="0" w:line="228" w:lineRule="exact"/>
              <w:rPr>
                <w:sz w:val="20"/>
                <w:szCs w:val="20"/>
                <w:color w:val="auto"/>
              </w:rPr>
            </w:pPr>
            <w:r>
              <w:rPr>
                <w:rFonts w:ascii="Arial" w:cs="Arial" w:eastAsia="Arial" w:hAnsi="Arial"/>
                <w:sz w:val="20"/>
                <w:szCs w:val="20"/>
                <w:color w:val="1E1E1E"/>
              </w:rPr>
              <w:t>(16)</w:t>
            </w:r>
          </w:p>
        </w:tc>
      </w:tr>
      <w:tr>
        <w:trPr>
          <w:trHeight w:val="230"/>
        </w:trPr>
        <w:tc>
          <w:tcPr>
            <w:tcW w:w="4960" w:type="dxa"/>
            <w:vAlign w:val="bottom"/>
            <w:gridSpan w:val="4"/>
          </w:tcPr>
          <w:p>
            <w:pPr>
              <w:spacing w:after="0"/>
              <w:rPr>
                <w:sz w:val="20"/>
                <w:szCs w:val="20"/>
                <w:color w:val="auto"/>
              </w:rPr>
            </w:pPr>
            <w:r>
              <w:rPr>
                <w:rFonts w:ascii="Arial" w:cs="Arial" w:eastAsia="Arial" w:hAnsi="Arial"/>
                <w:sz w:val="20"/>
                <w:szCs w:val="20"/>
                <w:color w:val="1E1E1E"/>
              </w:rPr>
              <w:t>Recognized loss from settlement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20"/>
                <w:szCs w:val="20"/>
                <w:color w:val="1E1E1E"/>
              </w:rPr>
              <w:t>(57)</w:t>
            </w: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20"/>
                <w:szCs w:val="20"/>
                <w:color w:val="1E1E1E"/>
              </w:rPr>
              <w:t>—</w:t>
            </w: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20"/>
                <w:szCs w:val="20"/>
                <w:color w:val="1E1E1E"/>
              </w:rPr>
              <w:t>—</w:t>
            </w:r>
          </w:p>
        </w:tc>
      </w:tr>
      <w:tr>
        <w:trPr>
          <w:trHeight w:val="230"/>
        </w:trPr>
        <w:tc>
          <w:tcPr>
            <w:tcW w:w="4960" w:type="dxa"/>
            <w:vAlign w:val="bottom"/>
            <w:gridSpan w:val="4"/>
            <w:shd w:val="clear" w:color="auto" w:fill="E4E4E4"/>
          </w:tcPr>
          <w:p>
            <w:pPr>
              <w:spacing w:after="0"/>
              <w:rPr>
                <w:sz w:val="20"/>
                <w:szCs w:val="20"/>
                <w:color w:val="auto"/>
              </w:rPr>
            </w:pPr>
            <w:r>
              <w:rPr>
                <w:rFonts w:ascii="Arial" w:cs="Arial" w:eastAsia="Arial" w:hAnsi="Arial"/>
                <w:sz w:val="20"/>
                <w:szCs w:val="20"/>
                <w:color w:val="1E1E1E"/>
              </w:rPr>
              <w:t>Employer contribution</w:t>
            </w:r>
          </w:p>
        </w:tc>
        <w:tc>
          <w:tcPr>
            <w:tcW w:w="1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90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466</w:t>
            </w:r>
          </w:p>
        </w:tc>
        <w:tc>
          <w:tcPr>
            <w:tcW w:w="20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120" w:type="dxa"/>
            <w:vAlign w:val="bottom"/>
            <w:gridSpan w:val="2"/>
            <w:shd w:val="clear" w:color="auto" w:fill="E4E4E4"/>
          </w:tcPr>
          <w:p>
            <w:pPr>
              <w:jc w:val="right"/>
              <w:ind w:right="200"/>
              <w:spacing w:after="0"/>
              <w:rPr>
                <w:sz w:val="20"/>
                <w:szCs w:val="20"/>
                <w:color w:val="auto"/>
              </w:rPr>
            </w:pPr>
            <w:r>
              <w:rPr>
                <w:rFonts w:ascii="Arial" w:cs="Arial" w:eastAsia="Arial" w:hAnsi="Arial"/>
                <w:sz w:val="20"/>
                <w:szCs w:val="20"/>
                <w:color w:val="1E1E1E"/>
              </w:rPr>
              <w:t>40</w:t>
            </w:r>
          </w:p>
        </w:tc>
        <w:tc>
          <w:tcPr>
            <w:tcW w:w="120" w:type="dxa"/>
            <w:vAlign w:val="bottom"/>
            <w:shd w:val="clear" w:color="auto" w:fill="E4E4E4"/>
          </w:tcPr>
          <w:p>
            <w:pPr>
              <w:spacing w:after="0"/>
              <w:rPr>
                <w:sz w:val="20"/>
                <w:szCs w:val="20"/>
                <w:color w:val="auto"/>
              </w:rPr>
            </w:pPr>
          </w:p>
        </w:tc>
        <w:tc>
          <w:tcPr>
            <w:tcW w:w="90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40</w:t>
            </w:r>
          </w:p>
        </w:tc>
        <w:tc>
          <w:tcPr>
            <w:tcW w:w="80" w:type="dxa"/>
            <w:vAlign w:val="bottom"/>
            <w:shd w:val="clear" w:color="auto" w:fill="E4E4E4"/>
          </w:tcPr>
          <w:p>
            <w:pPr>
              <w:spacing w:after="0"/>
              <w:rPr>
                <w:sz w:val="20"/>
                <w:szCs w:val="20"/>
                <w:color w:val="auto"/>
              </w:rPr>
            </w:pPr>
          </w:p>
        </w:tc>
      </w:tr>
      <w:tr>
        <w:trPr>
          <w:trHeight w:val="229"/>
        </w:trPr>
        <w:tc>
          <w:tcPr>
            <w:tcW w:w="4960" w:type="dxa"/>
            <w:vAlign w:val="bottom"/>
            <w:gridSpan w:val="4"/>
          </w:tcPr>
          <w:p>
            <w:pPr>
              <w:spacing w:after="0"/>
              <w:rPr>
                <w:sz w:val="20"/>
                <w:szCs w:val="20"/>
                <w:color w:val="auto"/>
              </w:rPr>
            </w:pPr>
            <w:r>
              <w:rPr>
                <w:rFonts w:ascii="Arial" w:cs="Arial" w:eastAsia="Arial" w:hAnsi="Arial"/>
                <w:sz w:val="20"/>
                <w:szCs w:val="20"/>
                <w:color w:val="1E1E1E"/>
              </w:rPr>
              <w:t>Change in benefit obligations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20"/>
                <w:szCs w:val="20"/>
                <w:color w:val="1E1E1E"/>
              </w:rPr>
              <w:t>(427)</w:t>
            </w: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1E1E1E"/>
              </w:rPr>
              <w:t>(87)</w:t>
            </w: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20"/>
                <w:szCs w:val="20"/>
                <w:color w:val="1E1E1E"/>
              </w:rPr>
              <w:t>(49)</w:t>
            </w:r>
          </w:p>
        </w:tc>
      </w:tr>
      <w:tr>
        <w:trPr>
          <w:trHeight w:val="224"/>
        </w:trPr>
        <w:tc>
          <w:tcPr>
            <w:tcW w:w="4960" w:type="dxa"/>
            <w:vAlign w:val="bottom"/>
            <w:tcBorders>
              <w:top w:val="single" w:sz="8" w:color="E4E4E4"/>
            </w:tcBorders>
            <w:gridSpan w:val="4"/>
            <w:shd w:val="clear" w:color="auto" w:fill="E4E4E4"/>
          </w:tcPr>
          <w:p>
            <w:pPr>
              <w:spacing w:after="0" w:line="224" w:lineRule="exact"/>
              <w:rPr>
                <w:sz w:val="20"/>
                <w:szCs w:val="20"/>
                <w:color w:val="auto"/>
              </w:rPr>
            </w:pPr>
            <w:r>
              <w:rPr>
                <w:rFonts w:ascii="Arial" w:cs="Arial" w:eastAsia="Arial" w:hAnsi="Arial"/>
                <w:sz w:val="20"/>
                <w:szCs w:val="20"/>
                <w:color w:val="1E1E1E"/>
              </w:rPr>
              <w:t>Unrecognized losses at the end of year</w:t>
            </w:r>
          </w:p>
        </w:tc>
        <w:tc>
          <w:tcPr>
            <w:tcW w:w="120" w:type="dxa"/>
            <w:vAlign w:val="bottom"/>
            <w:tcBorders>
              <w:top w:val="single" w:sz="8" w:color="E4E4E4"/>
            </w:tcBorders>
            <w:shd w:val="clear" w:color="auto" w:fill="E4E4E4"/>
          </w:tcPr>
          <w:p>
            <w:pPr>
              <w:spacing w:after="0"/>
              <w:rPr>
                <w:sz w:val="19"/>
                <w:szCs w:val="19"/>
                <w:color w:val="auto"/>
              </w:rPr>
            </w:pPr>
          </w:p>
        </w:tc>
        <w:tc>
          <w:tcPr>
            <w:tcW w:w="120" w:type="dxa"/>
            <w:vAlign w:val="bottom"/>
            <w:tcBorders>
              <w:top w:val="single" w:sz="8" w:color="1E1E1E"/>
            </w:tcBorders>
            <w:shd w:val="clear" w:color="auto" w:fill="E4E4E4"/>
          </w:tcPr>
          <w:p>
            <w:pPr>
              <w:jc w:val="right"/>
              <w:spacing w:after="0" w:line="224" w:lineRule="exact"/>
              <w:rPr>
                <w:sz w:val="20"/>
                <w:szCs w:val="20"/>
                <w:color w:val="auto"/>
              </w:rPr>
            </w:pPr>
            <w:r>
              <w:rPr>
                <w:rFonts w:ascii="Arial" w:cs="Arial" w:eastAsia="Arial" w:hAnsi="Arial"/>
                <w:sz w:val="20"/>
                <w:szCs w:val="20"/>
                <w:color w:val="1E1E1E"/>
                <w:w w:val="71"/>
              </w:rPr>
              <w:t>$</w:t>
            </w:r>
          </w:p>
        </w:tc>
        <w:tc>
          <w:tcPr>
            <w:tcW w:w="900" w:type="dxa"/>
            <w:vAlign w:val="bottom"/>
            <w:tcBorders>
              <w:top w:val="single" w:sz="8" w:color="1E1E1E"/>
            </w:tcBorders>
            <w:shd w:val="clear" w:color="auto" w:fill="E4E4E4"/>
          </w:tcPr>
          <w:p>
            <w:pPr>
              <w:jc w:val="right"/>
              <w:spacing w:after="0" w:line="224" w:lineRule="exact"/>
              <w:rPr>
                <w:sz w:val="20"/>
                <w:szCs w:val="20"/>
                <w:color w:val="auto"/>
              </w:rPr>
            </w:pPr>
            <w:r>
              <w:rPr>
                <w:rFonts w:ascii="Arial" w:cs="Arial" w:eastAsia="Arial" w:hAnsi="Arial"/>
                <w:sz w:val="20"/>
                <w:szCs w:val="20"/>
                <w:color w:val="1E1E1E"/>
              </w:rPr>
              <w:t>-</w:t>
            </w:r>
          </w:p>
        </w:tc>
        <w:tc>
          <w:tcPr>
            <w:tcW w:w="200" w:type="dxa"/>
            <w:vAlign w:val="bottom"/>
            <w:tcBorders>
              <w:top w:val="single" w:sz="8" w:color="E4E4E4"/>
            </w:tcBorders>
            <w:shd w:val="clear" w:color="auto" w:fill="E4E4E4"/>
          </w:tcPr>
          <w:p>
            <w:pPr>
              <w:spacing w:after="0"/>
              <w:rPr>
                <w:sz w:val="19"/>
                <w:szCs w:val="19"/>
                <w:color w:val="auto"/>
              </w:rPr>
            </w:pPr>
          </w:p>
        </w:tc>
        <w:tc>
          <w:tcPr>
            <w:tcW w:w="120" w:type="dxa"/>
            <w:vAlign w:val="bottom"/>
            <w:tcBorders>
              <w:top w:val="single" w:sz="8" w:color="1E1E1E"/>
            </w:tcBorders>
            <w:shd w:val="clear" w:color="auto" w:fill="E4E4E4"/>
          </w:tcPr>
          <w:p>
            <w:pPr>
              <w:jc w:val="right"/>
              <w:spacing w:after="0" w:line="224" w:lineRule="exact"/>
              <w:rPr>
                <w:sz w:val="20"/>
                <w:szCs w:val="20"/>
                <w:color w:val="auto"/>
              </w:rPr>
            </w:pPr>
            <w:r>
              <w:rPr>
                <w:rFonts w:ascii="Arial" w:cs="Arial" w:eastAsia="Arial" w:hAnsi="Arial"/>
                <w:sz w:val="20"/>
                <w:szCs w:val="20"/>
                <w:color w:val="1E1E1E"/>
                <w:w w:val="71"/>
              </w:rPr>
              <w:t>$</w:t>
            </w:r>
          </w:p>
        </w:tc>
        <w:tc>
          <w:tcPr>
            <w:tcW w:w="920" w:type="dxa"/>
            <w:vAlign w:val="bottom"/>
            <w:tcBorders>
              <w:top w:val="single" w:sz="8" w:color="1E1E1E"/>
            </w:tcBorders>
            <w:shd w:val="clear" w:color="auto" w:fill="E4E4E4"/>
          </w:tcPr>
          <w:p>
            <w:pPr>
              <w:jc w:val="right"/>
              <w:spacing w:after="0" w:line="224" w:lineRule="exact"/>
              <w:rPr>
                <w:sz w:val="20"/>
                <w:szCs w:val="20"/>
                <w:color w:val="auto"/>
              </w:rPr>
            </w:pPr>
            <w:r>
              <w:rPr>
                <w:rFonts w:ascii="Arial" w:cs="Arial" w:eastAsia="Arial" w:hAnsi="Arial"/>
                <w:sz w:val="20"/>
                <w:szCs w:val="20"/>
                <w:color w:val="1E1E1E"/>
              </w:rPr>
              <w:t>31</w:t>
            </w:r>
          </w:p>
        </w:tc>
        <w:tc>
          <w:tcPr>
            <w:tcW w:w="200" w:type="dxa"/>
            <w:vAlign w:val="bottom"/>
            <w:tcBorders>
              <w:top w:val="single" w:sz="8" w:color="E4E4E4"/>
            </w:tcBorders>
            <w:shd w:val="clear" w:color="auto" w:fill="E4E4E4"/>
          </w:tcPr>
          <w:p>
            <w:pPr>
              <w:spacing w:after="0"/>
              <w:rPr>
                <w:sz w:val="19"/>
                <w:szCs w:val="19"/>
                <w:color w:val="auto"/>
              </w:rPr>
            </w:pPr>
          </w:p>
        </w:tc>
        <w:tc>
          <w:tcPr>
            <w:tcW w:w="120" w:type="dxa"/>
            <w:vAlign w:val="bottom"/>
            <w:tcBorders>
              <w:top w:val="single" w:sz="8" w:color="1E1E1E"/>
            </w:tcBorders>
            <w:shd w:val="clear" w:color="auto" w:fill="E4E4E4"/>
          </w:tcPr>
          <w:p>
            <w:pPr>
              <w:jc w:val="right"/>
              <w:spacing w:after="0" w:line="224" w:lineRule="exact"/>
              <w:rPr>
                <w:sz w:val="20"/>
                <w:szCs w:val="20"/>
                <w:color w:val="auto"/>
              </w:rPr>
            </w:pPr>
            <w:r>
              <w:rPr>
                <w:rFonts w:ascii="Arial" w:cs="Arial" w:eastAsia="Arial" w:hAnsi="Arial"/>
                <w:sz w:val="20"/>
                <w:szCs w:val="20"/>
                <w:color w:val="1E1E1E"/>
                <w:w w:val="71"/>
              </w:rPr>
              <w:t>$</w:t>
            </w:r>
          </w:p>
        </w:tc>
        <w:tc>
          <w:tcPr>
            <w:tcW w:w="900" w:type="dxa"/>
            <w:vAlign w:val="bottom"/>
            <w:tcBorders>
              <w:top w:val="single" w:sz="8" w:color="1E1E1E"/>
            </w:tcBorders>
            <w:shd w:val="clear" w:color="auto" w:fill="E4E4E4"/>
          </w:tcPr>
          <w:p>
            <w:pPr>
              <w:jc w:val="right"/>
              <w:spacing w:after="0" w:line="224" w:lineRule="exact"/>
              <w:rPr>
                <w:sz w:val="20"/>
                <w:szCs w:val="20"/>
                <w:color w:val="auto"/>
              </w:rPr>
            </w:pPr>
            <w:r>
              <w:rPr>
                <w:rFonts w:ascii="Arial" w:cs="Arial" w:eastAsia="Arial" w:hAnsi="Arial"/>
                <w:sz w:val="20"/>
                <w:szCs w:val="20"/>
                <w:color w:val="1E1E1E"/>
              </w:rPr>
              <w:t>95</w:t>
            </w:r>
          </w:p>
        </w:tc>
        <w:tc>
          <w:tcPr>
            <w:tcW w:w="80" w:type="dxa"/>
            <w:vAlign w:val="bottom"/>
            <w:tcBorders>
              <w:top w:val="single" w:sz="8" w:color="E4E4E4"/>
            </w:tcBorders>
            <w:shd w:val="clear" w:color="auto" w:fill="E4E4E4"/>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-15875</wp:posOffset>
            </wp:positionV>
            <wp:extent cx="2240280" cy="609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40280" cy="60960"/>
                    </a:xfrm>
                    <a:prstGeom prst="rect">
                      <a:avLst/>
                    </a:prstGeom>
                    <a:noFill/>
                  </pic:spPr>
                </pic:pic>
              </a:graphicData>
            </a:graphic>
          </wp:anchor>
        </w:drawing>
      </w:r>
    </w:p>
    <w:p>
      <w:pPr>
        <w:spacing w:after="0" w:line="243" w:lineRule="exact"/>
        <w:rPr>
          <w:sz w:val="20"/>
          <w:szCs w:val="20"/>
          <w:color w:val="auto"/>
        </w:rPr>
      </w:pPr>
    </w:p>
    <w:p>
      <w:pPr>
        <w:spacing w:after="0" w:line="252" w:lineRule="auto"/>
        <w:rPr>
          <w:sz w:val="20"/>
          <w:szCs w:val="20"/>
          <w:color w:val="auto"/>
        </w:rPr>
      </w:pPr>
      <w:r>
        <w:rPr>
          <w:rFonts w:ascii="Arial" w:cs="Arial" w:eastAsia="Arial" w:hAnsi="Arial"/>
          <w:sz w:val="20"/>
          <w:szCs w:val="20"/>
          <w:color w:val="1E1E1E"/>
        </w:rPr>
        <w:t>Assumptions used to determine the benefit obligations as of February 3, 2024 and January 28, 2023 included a discount rate of 5.76% for fiscal 2023 and 4.75% for fiscal 2022. Assumptions used to determine the net periodic benefit cost for the years ended February 3, 2024, January 28, 2023 and January 29, 2022 included a discount rate of 4.75% for fiscal 2023, 2.90% for fiscal 2022 and 2.24% for fiscal 2021.</w:t>
      </w:r>
    </w:p>
    <w:p>
      <w:pPr>
        <w:sectPr>
          <w:pgSz w:w="11880" w:h="15480" w:orient="portrait"/>
          <w:cols w:equalWidth="0" w:num="1">
            <w:col w:w="10720"/>
          </w:cols>
          <w:pgMar w:left="540" w:top="656" w:right="62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1E1E1E"/>
        </w:rPr>
        <w:t>59</w:t>
      </w:r>
    </w:p>
    <w:p>
      <w:pPr>
        <w:sectPr>
          <w:pgSz w:w="11880" w:h="15480" w:orient="portrait"/>
          <w:cols w:equalWidth="0" w:num="1">
            <w:col w:w="10720"/>
          </w:cols>
          <w:pgMar w:left="540" w:top="656" w:right="620" w:bottom="31" w:gutter="0" w:footer="0" w:header="0"/>
          <w:type w:val="continuous"/>
        </w:sectPr>
      </w:pPr>
    </w:p>
    <w:bookmarkStart w:id="61" w:name="page62"/>
    <w:bookmarkEnd w:id="61"/>
    <w:p>
      <w:pPr>
        <w:ind w:left="240"/>
        <w:spacing w:after="0"/>
        <w:rPr>
          <w:sz w:val="20"/>
          <w:szCs w:val="20"/>
          <w:color w:val="auto"/>
        </w:rPr>
      </w:pPr>
      <w:r>
        <w:rPr>
          <w:rFonts w:ascii="Arial" w:cs="Arial" w:eastAsia="Arial" w:hAnsi="Arial"/>
          <w:sz w:val="20"/>
          <w:szCs w:val="20"/>
          <w:color w:val="1E1E1E"/>
        </w:rPr>
        <w:t>Defined Contribution Plan</w:t>
      </w:r>
    </w:p>
    <w:p>
      <w:pPr>
        <w:spacing w:after="0" w:line="11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1E1E1E"/>
        </w:rPr>
        <w:t>The Company has one defined contribution plan, the Destination XL Group, Inc. 401(k) Savings Plan (the “401(k) Plan”). Under the 401(k) Plan, the Company offers a qualified automatic contribution arrangement (“QACA”) with the Company matching 100% of the first 1% of deferred compensation and 50% of the next 5% (with a maximum contribution of 3.5% of eligible compensation). Employees who are 21 years of age or older are eligible to make deferrals after 6 months of employment and are eligible to receive a Company match after one year of employment and 1,000 hours.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1E1E1E"/>
        </w:rPr>
        <w:t>The Company recognized $2.4 million, $2.1 million and $2.0 million of expense under the 401(k) Plan in fiscal 2023, 2022 and 2021,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1E1E1E"/>
        </w:rPr>
        <w:t>K. FAIR VALUE MEASUREMENT</w:t>
      </w:r>
    </w:p>
    <w:p>
      <w:pPr>
        <w:spacing w:after="0" w:line="124" w:lineRule="exact"/>
        <w:rPr>
          <w:sz w:val="20"/>
          <w:szCs w:val="20"/>
          <w:color w:val="auto"/>
        </w:rPr>
      </w:pPr>
    </w:p>
    <w:p>
      <w:pPr>
        <w:ind w:right="80"/>
        <w:spacing w:after="0" w:line="279" w:lineRule="auto"/>
        <w:rPr>
          <w:sz w:val="20"/>
          <w:szCs w:val="20"/>
          <w:color w:val="auto"/>
        </w:rPr>
      </w:pPr>
      <w:r>
        <w:rPr>
          <w:rFonts w:ascii="Arial" w:cs="Arial" w:eastAsia="Arial" w:hAnsi="Arial"/>
          <w:sz w:val="20"/>
          <w:szCs w:val="20"/>
          <w:color w:val="1E1E1E"/>
        </w:rPr>
        <w:t>At February 3, 2024 and January 28, 2023, the Company held U.S. treasury bills which were classified as held-to maturity and carried at amortized cost.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9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Borders>
              <w:bottom w:val="single" w:sz="8" w:color="1E1E1E"/>
            </w:tcBorders>
          </w:tcPr>
          <w:p>
            <w:pPr>
              <w:spacing w:after="0"/>
              <w:rPr>
                <w:sz w:val="21"/>
                <w:szCs w:val="21"/>
                <w:color w:val="auto"/>
              </w:rPr>
            </w:pPr>
          </w:p>
        </w:tc>
        <w:tc>
          <w:tcPr>
            <w:tcW w:w="260" w:type="dxa"/>
            <w:vAlign w:val="bottom"/>
            <w:tcBorders>
              <w:bottom w:val="single" w:sz="8" w:color="1E1E1E"/>
            </w:tcBorders>
          </w:tcPr>
          <w:p>
            <w:pPr>
              <w:spacing w:after="0"/>
              <w:rPr>
                <w:sz w:val="21"/>
                <w:szCs w:val="21"/>
                <w:color w:val="auto"/>
              </w:rPr>
            </w:pPr>
          </w:p>
        </w:tc>
        <w:tc>
          <w:tcPr>
            <w:tcW w:w="1520" w:type="dxa"/>
            <w:vAlign w:val="bottom"/>
            <w:tcBorders>
              <w:bottom w:val="single" w:sz="8" w:color="1E1E1E"/>
            </w:tcBorders>
          </w:tcPr>
          <w:p>
            <w:pPr>
              <w:ind w:left="160"/>
              <w:spacing w:after="0"/>
              <w:rPr>
                <w:sz w:val="20"/>
                <w:szCs w:val="20"/>
                <w:color w:val="auto"/>
              </w:rPr>
            </w:pPr>
            <w:r>
              <w:rPr>
                <w:rFonts w:ascii="Arial" w:cs="Arial" w:eastAsia="Arial" w:hAnsi="Arial"/>
                <w:sz w:val="20"/>
                <w:szCs w:val="20"/>
                <w:color w:val="1E1E1E"/>
              </w:rPr>
              <w:t>Fair Value</w:t>
            </w:r>
          </w:p>
        </w:tc>
        <w:tc>
          <w:tcPr>
            <w:tcW w:w="220" w:type="dxa"/>
            <w:vAlign w:val="bottom"/>
            <w:tcBorders>
              <w:bottom w:val="single" w:sz="8" w:color="1E1E1E"/>
            </w:tcBorders>
          </w:tcPr>
          <w:p>
            <w:pPr>
              <w:spacing w:after="0"/>
              <w:rPr>
                <w:sz w:val="21"/>
                <w:szCs w:val="21"/>
                <w:color w:val="auto"/>
              </w:rPr>
            </w:pPr>
          </w:p>
        </w:tc>
        <w:tc>
          <w:tcPr>
            <w:tcW w:w="1460" w:type="dxa"/>
            <w:vAlign w:val="bottom"/>
            <w:tcBorders>
              <w:bottom w:val="single" w:sz="8" w:color="1E1E1E"/>
            </w:tcBorders>
          </w:tcPr>
          <w:p>
            <w:pPr>
              <w:spacing w:after="0"/>
              <w:rPr>
                <w:sz w:val="21"/>
                <w:szCs w:val="21"/>
                <w:color w:val="auto"/>
              </w:rPr>
            </w:pPr>
          </w:p>
        </w:tc>
        <w:tc>
          <w:tcPr>
            <w:tcW w:w="100" w:type="dxa"/>
            <w:vAlign w:val="bottom"/>
          </w:tcPr>
          <w:p>
            <w:pPr>
              <w:spacing w:after="0"/>
              <w:rPr>
                <w:sz w:val="21"/>
                <w:szCs w:val="21"/>
                <w:color w:val="auto"/>
              </w:rPr>
            </w:pPr>
          </w:p>
        </w:tc>
      </w:tr>
      <w:tr>
        <w:trPr>
          <w:trHeight w:val="201"/>
        </w:trPr>
        <w:tc>
          <w:tcPr>
            <w:tcW w:w="3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jc w:val="center"/>
              <w:spacing w:after="0" w:line="201" w:lineRule="exact"/>
              <w:rPr>
                <w:sz w:val="20"/>
                <w:szCs w:val="20"/>
                <w:color w:val="auto"/>
              </w:rPr>
            </w:pPr>
            <w:r>
              <w:rPr>
                <w:rFonts w:ascii="Arial" w:cs="Arial" w:eastAsia="Arial" w:hAnsi="Arial"/>
                <w:sz w:val="20"/>
                <w:szCs w:val="20"/>
                <w:color w:val="1E1E1E"/>
                <w:w w:val="88"/>
              </w:rPr>
              <w:t>Quoted Prices</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9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20"/>
                <w:szCs w:val="20"/>
                <w:color w:val="1E1E1E"/>
                <w:w w:val="97"/>
              </w:rPr>
              <w:t>in Active</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20"/>
                <w:szCs w:val="20"/>
                <w:color w:val="1E1E1E"/>
                <w:w w:val="95"/>
              </w:rPr>
              <w:t>Significant</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39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20"/>
                <w:szCs w:val="20"/>
                <w:color w:val="1E1E1E"/>
                <w:w w:val="91"/>
              </w:rPr>
              <w:t>Markets for</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20"/>
                <w:szCs w:val="20"/>
                <w:color w:val="1E1E1E"/>
                <w:w w:val="89"/>
              </w:rPr>
              <w:t>Observable</w:t>
            </w:r>
          </w:p>
        </w:tc>
        <w:tc>
          <w:tcPr>
            <w:tcW w:w="2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20"/>
                <w:szCs w:val="20"/>
                <w:color w:val="1E1E1E"/>
                <w:w w:val="95"/>
              </w:rPr>
              <w:t>Significant</w:t>
            </w:r>
          </w:p>
        </w:tc>
        <w:tc>
          <w:tcPr>
            <w:tcW w:w="100" w:type="dxa"/>
            <w:vAlign w:val="bottom"/>
          </w:tcPr>
          <w:p>
            <w:pPr>
              <w:spacing w:after="0"/>
              <w:rPr>
                <w:sz w:val="20"/>
                <w:szCs w:val="20"/>
                <w:color w:val="auto"/>
              </w:rPr>
            </w:pPr>
          </w:p>
        </w:tc>
      </w:tr>
      <w:tr>
        <w:trPr>
          <w:trHeight w:val="228"/>
        </w:trPr>
        <w:tc>
          <w:tcPr>
            <w:tcW w:w="39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center"/>
              <w:spacing w:after="0" w:line="228" w:lineRule="exact"/>
              <w:rPr>
                <w:sz w:val="20"/>
                <w:szCs w:val="20"/>
                <w:color w:val="auto"/>
              </w:rPr>
            </w:pPr>
            <w:r>
              <w:rPr>
                <w:rFonts w:ascii="Arial" w:cs="Arial" w:eastAsia="Arial" w:hAnsi="Arial"/>
                <w:sz w:val="20"/>
                <w:szCs w:val="20"/>
                <w:color w:val="1E1E1E"/>
                <w:w w:val="91"/>
              </w:rPr>
              <w:t>Identical Assets</w:t>
            </w:r>
          </w:p>
        </w:tc>
        <w:tc>
          <w:tcPr>
            <w:tcW w:w="260" w:type="dxa"/>
            <w:vAlign w:val="bottom"/>
          </w:tcPr>
          <w:p>
            <w:pPr>
              <w:spacing w:after="0"/>
              <w:rPr>
                <w:sz w:val="19"/>
                <w:szCs w:val="19"/>
                <w:color w:val="auto"/>
              </w:rPr>
            </w:pPr>
          </w:p>
        </w:tc>
        <w:tc>
          <w:tcPr>
            <w:tcW w:w="1520" w:type="dxa"/>
            <w:vAlign w:val="bottom"/>
          </w:tcPr>
          <w:p>
            <w:pPr>
              <w:jc w:val="center"/>
              <w:spacing w:after="0" w:line="228" w:lineRule="exact"/>
              <w:rPr>
                <w:sz w:val="20"/>
                <w:szCs w:val="20"/>
                <w:color w:val="auto"/>
              </w:rPr>
            </w:pPr>
            <w:r>
              <w:rPr>
                <w:rFonts w:ascii="Arial" w:cs="Arial" w:eastAsia="Arial" w:hAnsi="Arial"/>
                <w:sz w:val="20"/>
                <w:szCs w:val="20"/>
                <w:color w:val="1E1E1E"/>
                <w:w w:val="91"/>
              </w:rPr>
              <w:t>Inputs</w:t>
            </w:r>
          </w:p>
        </w:tc>
        <w:tc>
          <w:tcPr>
            <w:tcW w:w="220" w:type="dxa"/>
            <w:vAlign w:val="bottom"/>
          </w:tcPr>
          <w:p>
            <w:pPr>
              <w:spacing w:after="0"/>
              <w:rPr>
                <w:sz w:val="19"/>
                <w:szCs w:val="19"/>
                <w:color w:val="auto"/>
              </w:rPr>
            </w:pPr>
          </w:p>
        </w:tc>
        <w:tc>
          <w:tcPr>
            <w:tcW w:w="1460" w:type="dxa"/>
            <w:vAlign w:val="bottom"/>
          </w:tcPr>
          <w:p>
            <w:pPr>
              <w:jc w:val="center"/>
              <w:spacing w:after="0" w:line="228" w:lineRule="exact"/>
              <w:rPr>
                <w:sz w:val="20"/>
                <w:szCs w:val="20"/>
                <w:color w:val="auto"/>
              </w:rPr>
            </w:pPr>
            <w:r>
              <w:rPr>
                <w:rFonts w:ascii="Arial" w:cs="Arial" w:eastAsia="Arial" w:hAnsi="Arial"/>
                <w:sz w:val="20"/>
                <w:szCs w:val="20"/>
                <w:color w:val="1E1E1E"/>
                <w:w w:val="89"/>
              </w:rPr>
              <w:t>Unobservable</w:t>
            </w:r>
          </w:p>
        </w:tc>
        <w:tc>
          <w:tcPr>
            <w:tcW w:w="100" w:type="dxa"/>
            <w:vAlign w:val="bottom"/>
          </w:tcPr>
          <w:p>
            <w:pPr>
              <w:spacing w:after="0"/>
              <w:rPr>
                <w:sz w:val="19"/>
                <w:szCs w:val="19"/>
                <w:color w:val="auto"/>
              </w:rPr>
            </w:pPr>
          </w:p>
        </w:tc>
      </w:tr>
      <w:tr>
        <w:trPr>
          <w:trHeight w:val="250"/>
        </w:trPr>
        <w:tc>
          <w:tcPr>
            <w:tcW w:w="3960" w:type="dxa"/>
            <w:vAlign w:val="bottom"/>
            <w:tcBorders>
              <w:bottom w:val="single" w:sz="8" w:color="E4E4E4"/>
            </w:tcBorders>
          </w:tcPr>
          <w:p>
            <w:pPr>
              <w:spacing w:after="0"/>
              <w:rPr>
                <w:sz w:val="20"/>
                <w:szCs w:val="20"/>
                <w:color w:val="auto"/>
              </w:rPr>
            </w:pPr>
            <w:r>
              <w:rPr>
                <w:rFonts w:ascii="Arial" w:cs="Arial" w:eastAsia="Arial" w:hAnsi="Arial"/>
                <w:sz w:val="20"/>
                <w:szCs w:val="20"/>
                <w:color w:val="1E1E1E"/>
              </w:rPr>
              <w:t>(in thousands)</w:t>
            </w:r>
          </w:p>
        </w:tc>
        <w:tc>
          <w:tcPr>
            <w:tcW w:w="1300" w:type="dxa"/>
            <w:vAlign w:val="bottom"/>
            <w:tcBorders>
              <w:bottom w:val="single" w:sz="8" w:color="1E1E1E"/>
            </w:tcBorders>
          </w:tcPr>
          <w:p>
            <w:pPr>
              <w:jc w:val="right"/>
              <w:spacing w:after="0"/>
              <w:rPr>
                <w:sz w:val="20"/>
                <w:szCs w:val="20"/>
                <w:color w:val="auto"/>
              </w:rPr>
            </w:pPr>
            <w:r>
              <w:rPr>
                <w:rFonts w:ascii="Arial" w:cs="Arial" w:eastAsia="Arial" w:hAnsi="Arial"/>
                <w:sz w:val="20"/>
                <w:szCs w:val="20"/>
                <w:color w:val="1E1E1E"/>
                <w:w w:val="94"/>
              </w:rPr>
              <w:t>Carrying value</w:t>
            </w:r>
          </w:p>
        </w:tc>
        <w:tc>
          <w:tcPr>
            <w:tcW w:w="220" w:type="dxa"/>
            <w:vAlign w:val="bottom"/>
            <w:tcBorders>
              <w:bottom w:val="single" w:sz="8" w:color="E4E4E4"/>
            </w:tcBorders>
          </w:tcPr>
          <w:p>
            <w:pPr>
              <w:spacing w:after="0"/>
              <w:rPr>
                <w:sz w:val="21"/>
                <w:szCs w:val="21"/>
                <w:color w:val="auto"/>
              </w:rPr>
            </w:pPr>
          </w:p>
        </w:tc>
        <w:tc>
          <w:tcPr>
            <w:tcW w:w="1760" w:type="dxa"/>
            <w:vAlign w:val="bottom"/>
            <w:tcBorders>
              <w:bottom w:val="single" w:sz="8" w:color="1E1E1E"/>
            </w:tcBorders>
          </w:tcPr>
          <w:p>
            <w:pPr>
              <w:jc w:val="center"/>
              <w:spacing w:after="0"/>
              <w:rPr>
                <w:sz w:val="20"/>
                <w:szCs w:val="20"/>
                <w:color w:val="auto"/>
              </w:rPr>
            </w:pPr>
            <w:r>
              <w:rPr>
                <w:rFonts w:ascii="Arial" w:cs="Arial" w:eastAsia="Arial" w:hAnsi="Arial"/>
                <w:sz w:val="20"/>
                <w:szCs w:val="20"/>
                <w:color w:val="1E1E1E"/>
                <w:w w:val="92"/>
              </w:rPr>
              <w:t>(Level 1)</w:t>
            </w:r>
          </w:p>
        </w:tc>
        <w:tc>
          <w:tcPr>
            <w:tcW w:w="260" w:type="dxa"/>
            <w:vAlign w:val="bottom"/>
            <w:tcBorders>
              <w:bottom w:val="single" w:sz="8" w:color="E4E4E4"/>
            </w:tcBorders>
          </w:tcPr>
          <w:p>
            <w:pPr>
              <w:spacing w:after="0"/>
              <w:rPr>
                <w:sz w:val="21"/>
                <w:szCs w:val="21"/>
                <w:color w:val="auto"/>
              </w:rPr>
            </w:pPr>
          </w:p>
        </w:tc>
        <w:tc>
          <w:tcPr>
            <w:tcW w:w="1520" w:type="dxa"/>
            <w:vAlign w:val="bottom"/>
            <w:tcBorders>
              <w:bottom w:val="single" w:sz="8" w:color="1E1E1E"/>
            </w:tcBorders>
          </w:tcPr>
          <w:p>
            <w:pPr>
              <w:jc w:val="center"/>
              <w:spacing w:after="0"/>
              <w:rPr>
                <w:sz w:val="20"/>
                <w:szCs w:val="20"/>
                <w:color w:val="auto"/>
              </w:rPr>
            </w:pPr>
            <w:r>
              <w:rPr>
                <w:rFonts w:ascii="Arial" w:cs="Arial" w:eastAsia="Arial" w:hAnsi="Arial"/>
                <w:sz w:val="20"/>
                <w:szCs w:val="20"/>
                <w:color w:val="1E1E1E"/>
                <w:w w:val="92"/>
              </w:rPr>
              <w:t>(Level 2)</w:t>
            </w:r>
          </w:p>
        </w:tc>
        <w:tc>
          <w:tcPr>
            <w:tcW w:w="220" w:type="dxa"/>
            <w:vAlign w:val="bottom"/>
            <w:tcBorders>
              <w:bottom w:val="single" w:sz="8" w:color="E4E4E4"/>
            </w:tcBorders>
          </w:tcPr>
          <w:p>
            <w:pPr>
              <w:spacing w:after="0"/>
              <w:rPr>
                <w:sz w:val="21"/>
                <w:szCs w:val="21"/>
                <w:color w:val="auto"/>
              </w:rPr>
            </w:pPr>
          </w:p>
        </w:tc>
        <w:tc>
          <w:tcPr>
            <w:tcW w:w="1460" w:type="dxa"/>
            <w:vAlign w:val="bottom"/>
            <w:tcBorders>
              <w:bottom w:val="single" w:sz="8" w:color="1E1E1E"/>
            </w:tcBorders>
          </w:tcPr>
          <w:p>
            <w:pPr>
              <w:jc w:val="center"/>
              <w:spacing w:after="0"/>
              <w:rPr>
                <w:sz w:val="20"/>
                <w:szCs w:val="20"/>
                <w:color w:val="auto"/>
              </w:rPr>
            </w:pPr>
            <w:r>
              <w:rPr>
                <w:rFonts w:ascii="Arial" w:cs="Arial" w:eastAsia="Arial" w:hAnsi="Arial"/>
                <w:sz w:val="20"/>
                <w:szCs w:val="20"/>
                <w:color w:val="1E1E1E"/>
                <w:w w:val="92"/>
              </w:rPr>
              <w:t>Inputs (Level 3)</w:t>
            </w:r>
          </w:p>
        </w:tc>
        <w:tc>
          <w:tcPr>
            <w:tcW w:w="100" w:type="dxa"/>
            <w:vAlign w:val="bottom"/>
            <w:tcBorders>
              <w:bottom w:val="single" w:sz="8" w:color="E4E4E4"/>
            </w:tcBorders>
          </w:tcPr>
          <w:p>
            <w:pPr>
              <w:spacing w:after="0"/>
              <w:rPr>
                <w:sz w:val="21"/>
                <w:szCs w:val="21"/>
                <w:color w:val="auto"/>
              </w:rPr>
            </w:pPr>
          </w:p>
        </w:tc>
      </w:tr>
      <w:tr>
        <w:trPr>
          <w:trHeight w:val="220"/>
        </w:trPr>
        <w:tc>
          <w:tcPr>
            <w:tcW w:w="3960" w:type="dxa"/>
            <w:vAlign w:val="bottom"/>
            <w:shd w:val="clear" w:color="auto" w:fill="E4E4E4"/>
          </w:tcPr>
          <w:p>
            <w:pPr>
              <w:spacing w:after="0" w:line="220" w:lineRule="exact"/>
              <w:rPr>
                <w:sz w:val="20"/>
                <w:szCs w:val="20"/>
                <w:color w:val="auto"/>
              </w:rPr>
            </w:pPr>
            <w:r>
              <w:rPr>
                <w:rFonts w:ascii="Arial" w:cs="Arial" w:eastAsia="Arial" w:hAnsi="Arial"/>
                <w:sz w:val="20"/>
                <w:szCs w:val="20"/>
                <w:color w:val="1E1E1E"/>
              </w:rPr>
              <w:t>At February 3, 2024:</w:t>
            </w:r>
          </w:p>
        </w:tc>
        <w:tc>
          <w:tcPr>
            <w:tcW w:w="130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76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52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4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30"/>
        </w:trPr>
        <w:tc>
          <w:tcPr>
            <w:tcW w:w="3960" w:type="dxa"/>
            <w:vAlign w:val="bottom"/>
          </w:tcPr>
          <w:p>
            <w:pPr>
              <w:ind w:left="100"/>
              <w:spacing w:after="0"/>
              <w:rPr>
                <w:sz w:val="20"/>
                <w:szCs w:val="20"/>
                <w:color w:val="auto"/>
              </w:rPr>
            </w:pPr>
            <w:r>
              <w:rPr>
                <w:rFonts w:ascii="Arial" w:cs="Arial" w:eastAsia="Arial" w:hAnsi="Arial"/>
                <w:sz w:val="20"/>
                <w:szCs w:val="20"/>
                <w:color w:val="1E1E1E"/>
              </w:rPr>
              <w:t>Cash equivalents</w:t>
            </w:r>
          </w:p>
        </w:tc>
        <w:tc>
          <w:tcPr>
            <w:tcW w:w="1300" w:type="dxa"/>
            <w:vAlign w:val="bottom"/>
          </w:tcPr>
          <w:p>
            <w:pPr>
              <w:jc w:val="right"/>
              <w:spacing w:after="0"/>
              <w:rPr>
                <w:sz w:val="20"/>
                <w:szCs w:val="20"/>
                <w:color w:val="auto"/>
              </w:rPr>
            </w:pPr>
            <w:r>
              <w:rPr>
                <w:rFonts w:ascii="Arial" w:cs="Arial" w:eastAsia="Arial" w:hAnsi="Arial"/>
                <w:sz w:val="20"/>
                <w:szCs w:val="20"/>
                <w:color w:val="1E1E1E"/>
              </w:rPr>
              <w:t>6,047</w:t>
            </w: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1E1E1E"/>
              </w:rPr>
              <w:t>6,052</w:t>
            </w:r>
          </w:p>
        </w:tc>
        <w:tc>
          <w:tcPr>
            <w:tcW w:w="260" w:type="dxa"/>
            <w:vAlign w:val="bottom"/>
          </w:tcPr>
          <w:p>
            <w:pPr>
              <w:spacing w:after="0"/>
              <w:rPr>
                <w:sz w:val="20"/>
                <w:szCs w:val="20"/>
                <w:color w:val="auto"/>
              </w:rPr>
            </w:pPr>
          </w:p>
        </w:tc>
        <w:tc>
          <w:tcPr>
            <w:tcW w:w="1520" w:type="dxa"/>
            <w:vAlign w:val="bottom"/>
          </w:tcPr>
          <w:p>
            <w:pPr>
              <w:ind w:left="1320"/>
              <w:spacing w:after="0"/>
              <w:rPr>
                <w:sz w:val="20"/>
                <w:szCs w:val="20"/>
                <w:color w:val="auto"/>
              </w:rPr>
            </w:pPr>
            <w:r>
              <w:rPr>
                <w:rFonts w:ascii="Arial" w:cs="Arial" w:eastAsia="Arial" w:hAnsi="Arial"/>
                <w:sz w:val="20"/>
                <w:szCs w:val="20"/>
                <w:color w:val="1E1E1E"/>
                <w:w w:val="89"/>
              </w:rPr>
              <w:t>—</w:t>
            </w:r>
          </w:p>
        </w:tc>
        <w:tc>
          <w:tcPr>
            <w:tcW w:w="220" w:type="dxa"/>
            <w:vAlign w:val="bottom"/>
          </w:tcPr>
          <w:p>
            <w:pPr>
              <w:spacing w:after="0"/>
              <w:rPr>
                <w:sz w:val="20"/>
                <w:szCs w:val="20"/>
                <w:color w:val="auto"/>
              </w:rPr>
            </w:pPr>
          </w:p>
        </w:tc>
        <w:tc>
          <w:tcPr>
            <w:tcW w:w="1460" w:type="dxa"/>
            <w:vAlign w:val="bottom"/>
          </w:tcPr>
          <w:p>
            <w:pPr>
              <w:ind w:left="1260"/>
              <w:spacing w:after="0"/>
              <w:rPr>
                <w:sz w:val="20"/>
                <w:szCs w:val="20"/>
                <w:color w:val="auto"/>
              </w:rPr>
            </w:pPr>
            <w:r>
              <w:rPr>
                <w:rFonts w:ascii="Arial" w:cs="Arial" w:eastAsia="Arial" w:hAnsi="Arial"/>
                <w:sz w:val="20"/>
                <w:szCs w:val="20"/>
                <w:color w:val="1E1E1E"/>
                <w:w w:val="89"/>
              </w:rPr>
              <w:t>—</w:t>
            </w:r>
          </w:p>
        </w:tc>
        <w:tc>
          <w:tcPr>
            <w:tcW w:w="100" w:type="dxa"/>
            <w:vAlign w:val="bottom"/>
          </w:tcPr>
          <w:p>
            <w:pPr>
              <w:spacing w:after="0"/>
              <w:rPr>
                <w:sz w:val="20"/>
                <w:szCs w:val="20"/>
                <w:color w:val="auto"/>
              </w:rPr>
            </w:pPr>
          </w:p>
        </w:tc>
      </w:tr>
      <w:tr>
        <w:trPr>
          <w:trHeight w:val="230"/>
        </w:trPr>
        <w:tc>
          <w:tcPr>
            <w:tcW w:w="3960" w:type="dxa"/>
            <w:vAlign w:val="bottom"/>
            <w:shd w:val="clear" w:color="auto" w:fill="E4E4E4"/>
          </w:tcPr>
          <w:p>
            <w:pPr>
              <w:ind w:left="100"/>
              <w:spacing w:after="0"/>
              <w:rPr>
                <w:sz w:val="20"/>
                <w:szCs w:val="20"/>
                <w:color w:val="auto"/>
              </w:rPr>
            </w:pPr>
            <w:r>
              <w:rPr>
                <w:rFonts w:ascii="Arial" w:cs="Arial" w:eastAsia="Arial" w:hAnsi="Arial"/>
                <w:sz w:val="20"/>
                <w:szCs w:val="20"/>
                <w:color w:val="1E1E1E"/>
              </w:rPr>
              <w:t>Short-term investments</w:t>
            </w:r>
          </w:p>
        </w:tc>
        <w:tc>
          <w:tcPr>
            <w:tcW w:w="1300" w:type="dxa"/>
            <w:vAlign w:val="bottom"/>
            <w:shd w:val="clear" w:color="auto" w:fill="E4E4E4"/>
          </w:tcPr>
          <w:p>
            <w:pPr>
              <w:jc w:val="right"/>
              <w:spacing w:after="0"/>
              <w:rPr>
                <w:sz w:val="20"/>
                <w:szCs w:val="20"/>
                <w:color w:val="auto"/>
              </w:rPr>
            </w:pPr>
            <w:r>
              <w:rPr>
                <w:rFonts w:ascii="Arial" w:cs="Arial" w:eastAsia="Arial" w:hAnsi="Arial"/>
                <w:sz w:val="20"/>
                <w:szCs w:val="20"/>
                <w:color w:val="1E1E1E"/>
              </w:rPr>
              <w:t>32,459</w:t>
            </w:r>
          </w:p>
        </w:tc>
        <w:tc>
          <w:tcPr>
            <w:tcW w:w="1980" w:type="dxa"/>
            <w:vAlign w:val="bottom"/>
            <w:gridSpan w:val="2"/>
            <w:shd w:val="clear" w:color="auto" w:fill="E4E4E4"/>
          </w:tcPr>
          <w:p>
            <w:pPr>
              <w:jc w:val="right"/>
              <w:spacing w:after="0"/>
              <w:rPr>
                <w:sz w:val="20"/>
                <w:szCs w:val="20"/>
                <w:color w:val="auto"/>
              </w:rPr>
            </w:pPr>
            <w:r>
              <w:rPr>
                <w:rFonts w:ascii="Arial" w:cs="Arial" w:eastAsia="Arial" w:hAnsi="Arial"/>
                <w:sz w:val="20"/>
                <w:szCs w:val="20"/>
                <w:color w:val="1E1E1E"/>
              </w:rPr>
              <w:t>32,479</w:t>
            </w:r>
          </w:p>
        </w:tc>
        <w:tc>
          <w:tcPr>
            <w:tcW w:w="260" w:type="dxa"/>
            <w:vAlign w:val="bottom"/>
            <w:shd w:val="clear" w:color="auto" w:fill="E4E4E4"/>
          </w:tcPr>
          <w:p>
            <w:pPr>
              <w:spacing w:after="0"/>
              <w:rPr>
                <w:sz w:val="20"/>
                <w:szCs w:val="20"/>
                <w:color w:val="auto"/>
              </w:rPr>
            </w:pPr>
          </w:p>
        </w:tc>
        <w:tc>
          <w:tcPr>
            <w:tcW w:w="1520" w:type="dxa"/>
            <w:vAlign w:val="bottom"/>
            <w:shd w:val="clear" w:color="auto" w:fill="E4E4E4"/>
          </w:tcPr>
          <w:p>
            <w:pPr>
              <w:ind w:left="1320"/>
              <w:spacing w:after="0"/>
              <w:rPr>
                <w:sz w:val="20"/>
                <w:szCs w:val="20"/>
                <w:color w:val="auto"/>
              </w:rPr>
            </w:pPr>
            <w:r>
              <w:rPr>
                <w:rFonts w:ascii="Arial" w:cs="Arial" w:eastAsia="Arial" w:hAnsi="Arial"/>
                <w:sz w:val="20"/>
                <w:szCs w:val="20"/>
                <w:color w:val="1E1E1E"/>
                <w:w w:val="89"/>
              </w:rPr>
              <w:t>—</w:t>
            </w:r>
          </w:p>
        </w:tc>
        <w:tc>
          <w:tcPr>
            <w:tcW w:w="220" w:type="dxa"/>
            <w:vAlign w:val="bottom"/>
            <w:shd w:val="clear" w:color="auto" w:fill="E4E4E4"/>
          </w:tcPr>
          <w:p>
            <w:pPr>
              <w:spacing w:after="0"/>
              <w:rPr>
                <w:sz w:val="20"/>
                <w:szCs w:val="20"/>
                <w:color w:val="auto"/>
              </w:rPr>
            </w:pPr>
          </w:p>
        </w:tc>
        <w:tc>
          <w:tcPr>
            <w:tcW w:w="1460" w:type="dxa"/>
            <w:vAlign w:val="bottom"/>
            <w:shd w:val="clear" w:color="auto" w:fill="E4E4E4"/>
          </w:tcPr>
          <w:p>
            <w:pPr>
              <w:ind w:left="1260"/>
              <w:spacing w:after="0"/>
              <w:rPr>
                <w:sz w:val="20"/>
                <w:szCs w:val="20"/>
                <w:color w:val="auto"/>
              </w:rPr>
            </w:pPr>
            <w:r>
              <w:rPr>
                <w:rFonts w:ascii="Arial" w:cs="Arial" w:eastAsia="Arial" w:hAnsi="Arial"/>
                <w:sz w:val="20"/>
                <w:szCs w:val="20"/>
                <w:color w:val="1E1E1E"/>
                <w:w w:val="89"/>
              </w:rPr>
              <w:t>—</w:t>
            </w:r>
          </w:p>
        </w:tc>
        <w:tc>
          <w:tcPr>
            <w:tcW w:w="100" w:type="dxa"/>
            <w:vAlign w:val="bottom"/>
            <w:shd w:val="clear" w:color="auto" w:fill="E4E4E4"/>
          </w:tcPr>
          <w:p>
            <w:pPr>
              <w:spacing w:after="0"/>
              <w:rPr>
                <w:sz w:val="20"/>
                <w:szCs w:val="20"/>
                <w:color w:val="auto"/>
              </w:rPr>
            </w:pPr>
          </w:p>
        </w:tc>
      </w:tr>
      <w:tr>
        <w:trPr>
          <w:trHeight w:val="228"/>
        </w:trPr>
        <w:tc>
          <w:tcPr>
            <w:tcW w:w="39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960" w:type="dxa"/>
            <w:vAlign w:val="bottom"/>
            <w:shd w:val="clear" w:color="auto" w:fill="E4E4E4"/>
          </w:tcPr>
          <w:p>
            <w:pPr>
              <w:spacing w:after="0"/>
              <w:rPr>
                <w:sz w:val="20"/>
                <w:szCs w:val="20"/>
                <w:color w:val="auto"/>
              </w:rPr>
            </w:pPr>
            <w:r>
              <w:rPr>
                <w:rFonts w:ascii="Arial" w:cs="Arial" w:eastAsia="Arial" w:hAnsi="Arial"/>
                <w:sz w:val="20"/>
                <w:szCs w:val="20"/>
                <w:color w:val="1E1E1E"/>
              </w:rPr>
              <w:t>At January 28, 2023</w:t>
            </w:r>
          </w:p>
        </w:tc>
        <w:tc>
          <w:tcPr>
            <w:tcW w:w="1300" w:type="dxa"/>
            <w:vAlign w:val="bottom"/>
            <w:shd w:val="clear" w:color="auto" w:fill="E4E4E4"/>
          </w:tcPr>
          <w:p>
            <w:pPr>
              <w:spacing w:after="0"/>
              <w:rPr>
                <w:sz w:val="20"/>
                <w:szCs w:val="20"/>
                <w:color w:val="auto"/>
              </w:rPr>
            </w:pPr>
          </w:p>
        </w:tc>
        <w:tc>
          <w:tcPr>
            <w:tcW w:w="220" w:type="dxa"/>
            <w:vAlign w:val="bottom"/>
            <w:shd w:val="clear" w:color="auto" w:fill="E4E4E4"/>
          </w:tcPr>
          <w:p>
            <w:pPr>
              <w:spacing w:after="0"/>
              <w:rPr>
                <w:sz w:val="20"/>
                <w:szCs w:val="20"/>
                <w:color w:val="auto"/>
              </w:rPr>
            </w:pPr>
          </w:p>
        </w:tc>
        <w:tc>
          <w:tcPr>
            <w:tcW w:w="1760" w:type="dxa"/>
            <w:vAlign w:val="bottom"/>
            <w:shd w:val="clear" w:color="auto" w:fill="E4E4E4"/>
          </w:tcPr>
          <w:p>
            <w:pPr>
              <w:spacing w:after="0"/>
              <w:rPr>
                <w:sz w:val="20"/>
                <w:szCs w:val="20"/>
                <w:color w:val="auto"/>
              </w:rPr>
            </w:pPr>
          </w:p>
        </w:tc>
        <w:tc>
          <w:tcPr>
            <w:tcW w:w="260" w:type="dxa"/>
            <w:vAlign w:val="bottom"/>
            <w:shd w:val="clear" w:color="auto" w:fill="E4E4E4"/>
          </w:tcPr>
          <w:p>
            <w:pPr>
              <w:spacing w:after="0"/>
              <w:rPr>
                <w:sz w:val="20"/>
                <w:szCs w:val="20"/>
                <w:color w:val="auto"/>
              </w:rPr>
            </w:pPr>
          </w:p>
        </w:tc>
        <w:tc>
          <w:tcPr>
            <w:tcW w:w="1520" w:type="dxa"/>
            <w:vAlign w:val="bottom"/>
            <w:shd w:val="clear" w:color="auto" w:fill="E4E4E4"/>
          </w:tcPr>
          <w:p>
            <w:pPr>
              <w:ind w:left="1320"/>
              <w:spacing w:after="0"/>
              <w:rPr>
                <w:sz w:val="20"/>
                <w:szCs w:val="20"/>
                <w:color w:val="auto"/>
              </w:rPr>
            </w:pPr>
            <w:r>
              <w:rPr>
                <w:rFonts w:ascii="Arial" w:cs="Arial" w:eastAsia="Arial" w:hAnsi="Arial"/>
                <w:sz w:val="20"/>
                <w:szCs w:val="20"/>
                <w:color w:val="1E1E1E"/>
                <w:w w:val="89"/>
              </w:rPr>
              <w:t>—</w:t>
            </w:r>
          </w:p>
        </w:tc>
        <w:tc>
          <w:tcPr>
            <w:tcW w:w="220" w:type="dxa"/>
            <w:vAlign w:val="bottom"/>
            <w:shd w:val="clear" w:color="auto" w:fill="E4E4E4"/>
          </w:tcPr>
          <w:p>
            <w:pPr>
              <w:spacing w:after="0"/>
              <w:rPr>
                <w:sz w:val="20"/>
                <w:szCs w:val="20"/>
                <w:color w:val="auto"/>
              </w:rPr>
            </w:pPr>
          </w:p>
        </w:tc>
        <w:tc>
          <w:tcPr>
            <w:tcW w:w="1460" w:type="dxa"/>
            <w:vAlign w:val="bottom"/>
            <w:shd w:val="clear" w:color="auto" w:fill="E4E4E4"/>
          </w:tcPr>
          <w:p>
            <w:pPr>
              <w:ind w:left="1260"/>
              <w:spacing w:after="0"/>
              <w:rPr>
                <w:sz w:val="20"/>
                <w:szCs w:val="20"/>
                <w:color w:val="auto"/>
              </w:rPr>
            </w:pPr>
            <w:r>
              <w:rPr>
                <w:rFonts w:ascii="Arial" w:cs="Arial" w:eastAsia="Arial" w:hAnsi="Arial"/>
                <w:sz w:val="20"/>
                <w:szCs w:val="20"/>
                <w:color w:val="1E1E1E"/>
                <w:w w:val="89"/>
              </w:rPr>
              <w:t>—</w:t>
            </w:r>
          </w:p>
        </w:tc>
        <w:tc>
          <w:tcPr>
            <w:tcW w:w="100" w:type="dxa"/>
            <w:vAlign w:val="bottom"/>
            <w:shd w:val="clear" w:color="auto" w:fill="E4E4E4"/>
          </w:tcPr>
          <w:p>
            <w:pPr>
              <w:spacing w:after="0"/>
              <w:rPr>
                <w:sz w:val="20"/>
                <w:szCs w:val="20"/>
                <w:color w:val="auto"/>
              </w:rPr>
            </w:pPr>
          </w:p>
        </w:tc>
      </w:tr>
      <w:tr>
        <w:trPr>
          <w:trHeight w:val="233"/>
        </w:trPr>
        <w:tc>
          <w:tcPr>
            <w:tcW w:w="3960" w:type="dxa"/>
            <w:vAlign w:val="bottom"/>
          </w:tcPr>
          <w:p>
            <w:pPr>
              <w:ind w:left="100"/>
              <w:spacing w:after="0"/>
              <w:rPr>
                <w:sz w:val="20"/>
                <w:szCs w:val="20"/>
                <w:color w:val="auto"/>
              </w:rPr>
            </w:pPr>
            <w:r>
              <w:rPr>
                <w:rFonts w:ascii="Arial" w:cs="Arial" w:eastAsia="Arial" w:hAnsi="Arial"/>
                <w:sz w:val="20"/>
                <w:szCs w:val="20"/>
                <w:color w:val="1E1E1E"/>
              </w:rPr>
              <w:t>Cash equivalents</w:t>
            </w:r>
          </w:p>
        </w:tc>
        <w:tc>
          <w:tcPr>
            <w:tcW w:w="1300" w:type="dxa"/>
            <w:vAlign w:val="bottom"/>
          </w:tcPr>
          <w:p>
            <w:pPr>
              <w:jc w:val="right"/>
              <w:spacing w:after="0"/>
              <w:rPr>
                <w:sz w:val="20"/>
                <w:szCs w:val="20"/>
                <w:color w:val="auto"/>
              </w:rPr>
            </w:pPr>
            <w:r>
              <w:rPr>
                <w:rFonts w:ascii="Arial" w:cs="Arial" w:eastAsia="Arial" w:hAnsi="Arial"/>
                <w:sz w:val="20"/>
                <w:szCs w:val="20"/>
                <w:color w:val="1E1E1E"/>
              </w:rPr>
              <w:t>29,077</w:t>
            </w:r>
          </w:p>
        </w:tc>
        <w:tc>
          <w:tcPr>
            <w:tcW w:w="1980" w:type="dxa"/>
            <w:vAlign w:val="bottom"/>
            <w:gridSpan w:val="2"/>
          </w:tcPr>
          <w:p>
            <w:pPr>
              <w:jc w:val="right"/>
              <w:spacing w:after="0"/>
              <w:rPr>
                <w:sz w:val="20"/>
                <w:szCs w:val="20"/>
                <w:color w:val="auto"/>
              </w:rPr>
            </w:pPr>
            <w:r>
              <w:rPr>
                <w:rFonts w:ascii="Arial" w:cs="Arial" w:eastAsia="Arial" w:hAnsi="Arial"/>
                <w:sz w:val="20"/>
                <w:szCs w:val="20"/>
                <w:color w:val="1E1E1E"/>
              </w:rPr>
              <w:t>29,071</w:t>
            </w:r>
          </w:p>
        </w:tc>
        <w:tc>
          <w:tcPr>
            <w:tcW w:w="260" w:type="dxa"/>
            <w:vAlign w:val="bottom"/>
          </w:tcPr>
          <w:p>
            <w:pPr>
              <w:spacing w:after="0"/>
              <w:rPr>
                <w:sz w:val="20"/>
                <w:szCs w:val="20"/>
                <w:color w:val="auto"/>
              </w:rPr>
            </w:pPr>
          </w:p>
        </w:tc>
        <w:tc>
          <w:tcPr>
            <w:tcW w:w="1520" w:type="dxa"/>
            <w:vAlign w:val="bottom"/>
          </w:tcPr>
          <w:p>
            <w:pPr>
              <w:ind w:left="1320"/>
              <w:spacing w:after="0"/>
              <w:rPr>
                <w:sz w:val="20"/>
                <w:szCs w:val="20"/>
                <w:color w:val="auto"/>
              </w:rPr>
            </w:pPr>
            <w:r>
              <w:rPr>
                <w:rFonts w:ascii="Arial" w:cs="Arial" w:eastAsia="Arial" w:hAnsi="Arial"/>
                <w:sz w:val="20"/>
                <w:szCs w:val="20"/>
                <w:color w:val="1E1E1E"/>
                <w:w w:val="89"/>
              </w:rPr>
              <w:t>—</w:t>
            </w:r>
          </w:p>
        </w:tc>
        <w:tc>
          <w:tcPr>
            <w:tcW w:w="220" w:type="dxa"/>
            <w:vAlign w:val="bottom"/>
          </w:tcPr>
          <w:p>
            <w:pPr>
              <w:spacing w:after="0"/>
              <w:rPr>
                <w:sz w:val="20"/>
                <w:szCs w:val="20"/>
                <w:color w:val="auto"/>
              </w:rPr>
            </w:pPr>
          </w:p>
        </w:tc>
        <w:tc>
          <w:tcPr>
            <w:tcW w:w="1460" w:type="dxa"/>
            <w:vAlign w:val="bottom"/>
          </w:tcPr>
          <w:p>
            <w:pPr>
              <w:ind w:left="1260"/>
              <w:spacing w:after="0"/>
              <w:rPr>
                <w:sz w:val="20"/>
                <w:szCs w:val="20"/>
                <w:color w:val="auto"/>
              </w:rPr>
            </w:pPr>
            <w:r>
              <w:rPr>
                <w:rFonts w:ascii="Arial" w:cs="Arial" w:eastAsia="Arial" w:hAnsi="Arial"/>
                <w:sz w:val="20"/>
                <w:szCs w:val="20"/>
                <w:color w:val="1E1E1E"/>
                <w:w w:val="89"/>
              </w:rPr>
              <w:t>—</w:t>
            </w:r>
          </w:p>
        </w:tc>
        <w:tc>
          <w:tcPr>
            <w:tcW w:w="100" w:type="dxa"/>
            <w:vAlign w:val="bottom"/>
          </w:tcPr>
          <w:p>
            <w:pPr>
              <w:spacing w:after="0"/>
              <w:rPr>
                <w:sz w:val="20"/>
                <w:szCs w:val="20"/>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1E1E1E"/>
        </w:rPr>
        <w:t>L. STOCK REPURCHASE PROGRAM</w:t>
      </w:r>
    </w:p>
    <w:p>
      <w:pPr>
        <w:spacing w:after="0" w:line="124"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1E1E1E"/>
        </w:rPr>
        <w:t>On March 14, 2023, the Company's Board of Directors (“Board”) approved a stock repurchase program, effective March 16, 2023. Under the program, the Company was initially authorized to repurchase up to $15.0 million of its common stock, including excise tax, through open market and privately negotiated transactions. The Company completed the initial authorization during the third quarter of fiscal 2023. On November 15, 2023, the Board approved an amendment to the stock repurchase program to increase the amount authorized under the program from $15.0 million to $25.0 million. Subsequent to the end of fiscal 2023, the stock repurchase program was completed.</w:t>
      </w:r>
    </w:p>
    <w:p>
      <w:pPr>
        <w:spacing w:after="0" w:line="80" w:lineRule="exact"/>
        <w:rPr>
          <w:sz w:val="20"/>
          <w:szCs w:val="20"/>
          <w:color w:val="auto"/>
        </w:rPr>
      </w:pPr>
    </w:p>
    <w:p>
      <w:pPr>
        <w:ind w:right="80"/>
        <w:spacing w:after="0" w:line="261" w:lineRule="auto"/>
        <w:rPr>
          <w:sz w:val="20"/>
          <w:szCs w:val="20"/>
          <w:color w:val="auto"/>
        </w:rPr>
      </w:pPr>
      <w:r>
        <w:rPr>
          <w:rFonts w:ascii="Arial" w:cs="Arial" w:eastAsia="Arial" w:hAnsi="Arial"/>
          <w:sz w:val="19"/>
          <w:szCs w:val="19"/>
          <w:color w:val="1E1E1E"/>
        </w:rPr>
        <w:t>During fiscal 2023, the Company repurchased 5.4 million shares at an aggregate cost, plus fees, of $24.5 million, excluding excise taxes. The Inflation Reduction Act of 2022 imposed a nondeductible 1% excise tax on the net value of certain share repurchases made after December 31, 2022. Beginning in fiscal year 2023, the applicable excise tax is being charged to additional paid-in capital in the Company's Consolidated Balance Sheet as part of the cost basis of the shares repurchased, with the corresponding liability for the excise tax payable recorded in accrued expenses and other current liabilities until paid. This liability is partially offset by a 1% credit permitted under the rules for the fair value of shares issued by the Company. At February 3, 2024, the Company has accrued $0.2 million for the payment of excise taxes.</w:t>
      </w:r>
    </w:p>
    <w:p>
      <w:pPr>
        <w:sectPr>
          <w:pgSz w:w="11880" w:h="15480" w:orient="portrait"/>
          <w:cols w:equalWidth="0" w:num="1">
            <w:col w:w="10800"/>
          </w:cols>
          <w:pgMar w:left="540" w:top="658"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60</w:t>
      </w:r>
    </w:p>
    <w:p>
      <w:pPr>
        <w:sectPr>
          <w:pgSz w:w="11880" w:h="15480" w:orient="portrait"/>
          <w:cols w:equalWidth="0" w:num="1">
            <w:col w:w="10800"/>
          </w:cols>
          <w:pgMar w:left="540" w:top="658" w:right="540" w:bottom="31" w:gutter="0" w:footer="0" w:header="0"/>
          <w:type w:val="continuous"/>
        </w:sectPr>
      </w:pPr>
    </w:p>
    <w:bookmarkStart w:id="62" w:name="page63"/>
    <w:bookmarkEnd w:id="62"/>
    <w:p>
      <w:pPr>
        <w:ind w:right="2580"/>
        <w:spacing w:after="0" w:line="407" w:lineRule="auto"/>
        <w:rPr>
          <w:sz w:val="20"/>
          <w:szCs w:val="20"/>
          <w:color w:val="auto"/>
        </w:rPr>
      </w:pPr>
      <w:r>
        <w:rPr>
          <w:rFonts w:ascii="Arial" w:cs="Arial" w:eastAsia="Arial" w:hAnsi="Arial"/>
          <w:sz w:val="20"/>
          <w:szCs w:val="20"/>
          <w:color w:val="1E1E1E"/>
        </w:rPr>
        <w:t>Item 9. Changes in and Disagreements with Accountants on Accounting and Financial Disclosure None.</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1E1E1E"/>
        </w:rPr>
        <w:t>Item 9A. Controls and Procedures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Management’s Conclusions Regarding the Effectiveness of Disclosure Controls and Procedures</w:t>
      </w:r>
    </w:p>
    <w:p>
      <w:pPr>
        <w:spacing w:after="0" w:line="119"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color w:val="1E1E1E"/>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February 3, 2024. Based on this evaluation, our Chief Executive Officer and Chief Financial Officer concluded that, as of February 3, 2024, our disclosure controls and procedures were effective.</w:t>
      </w:r>
    </w:p>
    <w:p>
      <w:pPr>
        <w:spacing w:after="0" w:line="318" w:lineRule="exact"/>
        <w:rPr>
          <w:sz w:val="20"/>
          <w:szCs w:val="20"/>
          <w:color w:val="auto"/>
        </w:rPr>
      </w:pPr>
    </w:p>
    <w:p>
      <w:pPr>
        <w:ind w:left="240"/>
        <w:spacing w:after="0"/>
        <w:rPr>
          <w:sz w:val="20"/>
          <w:szCs w:val="20"/>
          <w:color w:val="auto"/>
        </w:rPr>
      </w:pPr>
      <w:r>
        <w:rPr>
          <w:rFonts w:ascii="Arial" w:cs="Arial" w:eastAsia="Arial" w:hAnsi="Arial"/>
          <w:sz w:val="20"/>
          <w:szCs w:val="20"/>
          <w:color w:val="1E1E1E"/>
        </w:rPr>
        <w:t>Management’s Annual Report on Internal Control Over Financial Reporting</w:t>
      </w:r>
    </w:p>
    <w:p>
      <w:pPr>
        <w:spacing w:after="0" w:line="119" w:lineRule="exact"/>
        <w:rPr>
          <w:sz w:val="20"/>
          <w:szCs w:val="20"/>
          <w:color w:val="auto"/>
        </w:rPr>
      </w:pPr>
    </w:p>
    <w:p>
      <w:pPr>
        <w:ind w:right="60"/>
        <w:spacing w:after="0" w:line="265" w:lineRule="auto"/>
        <w:rPr>
          <w:sz w:val="20"/>
          <w:szCs w:val="20"/>
          <w:color w:val="auto"/>
        </w:rPr>
      </w:pPr>
      <w:r>
        <w:rPr>
          <w:rFonts w:ascii="Arial" w:cs="Arial" w:eastAsia="Arial" w:hAnsi="Arial"/>
          <w:sz w:val="19"/>
          <w:szCs w:val="19"/>
          <w:color w:val="1E1E1E"/>
        </w:rPr>
        <w:t>Our management is responsible for establishing and maintaining adequate internal control over financial reporting as defined in Rule 13a-15(f) under the Exchange Act. Our internal control over financial reporting is a process designed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63" w:lineRule="exact"/>
        <w:rPr>
          <w:sz w:val="20"/>
          <w:szCs w:val="20"/>
          <w:color w:val="auto"/>
        </w:rPr>
      </w:pPr>
    </w:p>
    <w:p>
      <w:pPr>
        <w:ind w:left="480" w:right="560" w:firstLine="499"/>
        <w:spacing w:after="0" w:line="276" w:lineRule="auto"/>
        <w:tabs>
          <w:tab w:leader="none" w:pos="1207" w:val="left"/>
        </w:tabs>
        <w:numPr>
          <w:ilvl w:val="0"/>
          <w:numId w:val="6"/>
        </w:numPr>
        <w:rPr>
          <w:rFonts w:ascii="Arial" w:cs="Arial" w:eastAsia="Arial" w:hAnsi="Arial"/>
          <w:sz w:val="20"/>
          <w:szCs w:val="20"/>
          <w:color w:val="1E1E1E"/>
        </w:rPr>
      </w:pPr>
      <w:r>
        <w:rPr>
          <w:rFonts w:ascii="Arial" w:cs="Arial" w:eastAsia="Arial" w:hAnsi="Arial"/>
          <w:sz w:val="20"/>
          <w:szCs w:val="20"/>
          <w:color w:val="1E1E1E"/>
        </w:rPr>
        <w:t>pertain to the maintenance of records that, in reasonable detail, accurately and fairly reflect the transactions and dispositions of our assets;</w:t>
      </w:r>
    </w:p>
    <w:p>
      <w:pPr>
        <w:spacing w:after="0" w:line="49" w:lineRule="exact"/>
        <w:rPr>
          <w:rFonts w:ascii="Arial" w:cs="Arial" w:eastAsia="Arial" w:hAnsi="Arial"/>
          <w:sz w:val="20"/>
          <w:szCs w:val="20"/>
          <w:color w:val="1E1E1E"/>
        </w:rPr>
      </w:pPr>
    </w:p>
    <w:p>
      <w:pPr>
        <w:ind w:left="480" w:right="40" w:firstLine="499"/>
        <w:spacing w:after="0" w:line="259" w:lineRule="auto"/>
        <w:tabs>
          <w:tab w:leader="none" w:pos="1264" w:val="left"/>
        </w:tabs>
        <w:numPr>
          <w:ilvl w:val="0"/>
          <w:numId w:val="6"/>
        </w:numPr>
        <w:rPr>
          <w:rFonts w:ascii="Arial" w:cs="Arial" w:eastAsia="Arial" w:hAnsi="Arial"/>
          <w:sz w:val="20"/>
          <w:szCs w:val="20"/>
          <w:color w:val="1E1E1E"/>
        </w:rPr>
      </w:pPr>
      <w:r>
        <w:rPr>
          <w:rFonts w:ascii="Arial" w:cs="Arial" w:eastAsia="Arial" w:hAnsi="Arial"/>
          <w:sz w:val="20"/>
          <w:szCs w:val="20"/>
          <w:color w:val="1E1E1E"/>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66" w:lineRule="exact"/>
        <w:rPr>
          <w:rFonts w:ascii="Arial" w:cs="Arial" w:eastAsia="Arial" w:hAnsi="Arial"/>
          <w:sz w:val="20"/>
          <w:szCs w:val="20"/>
          <w:color w:val="1E1E1E"/>
        </w:rPr>
      </w:pPr>
    </w:p>
    <w:p>
      <w:pPr>
        <w:ind w:left="480" w:firstLine="499"/>
        <w:spacing w:after="0" w:line="279" w:lineRule="auto"/>
        <w:tabs>
          <w:tab w:leader="none" w:pos="1320" w:val="left"/>
        </w:tabs>
        <w:numPr>
          <w:ilvl w:val="0"/>
          <w:numId w:val="6"/>
        </w:numPr>
        <w:rPr>
          <w:rFonts w:ascii="Arial" w:cs="Arial" w:eastAsia="Arial" w:hAnsi="Arial"/>
          <w:sz w:val="20"/>
          <w:szCs w:val="20"/>
          <w:color w:val="1E1E1E"/>
        </w:rPr>
      </w:pPr>
      <w:r>
        <w:rPr>
          <w:rFonts w:ascii="Arial" w:cs="Arial" w:eastAsia="Arial" w:hAnsi="Arial"/>
          <w:sz w:val="20"/>
          <w:szCs w:val="20"/>
          <w:color w:val="1E1E1E"/>
        </w:rPr>
        <w:t>provide reasonable assurance regarding prevention or timely detection of unauthorized acquisition, use or disposition of assets that could have a material effect on the financial statements.</w:t>
      </w:r>
    </w:p>
    <w:p>
      <w:pPr>
        <w:spacing w:after="0" w:line="164"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1E1E1E"/>
        </w:rPr>
        <w:t>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jc w:val="both"/>
        <w:ind w:right="60"/>
        <w:spacing w:after="0" w:line="258" w:lineRule="auto"/>
        <w:rPr>
          <w:sz w:val="20"/>
          <w:szCs w:val="20"/>
          <w:color w:val="auto"/>
        </w:rPr>
      </w:pPr>
      <w:r>
        <w:rPr>
          <w:rFonts w:ascii="Arial" w:cs="Arial" w:eastAsia="Arial" w:hAnsi="Arial"/>
          <w:sz w:val="20"/>
          <w:szCs w:val="20"/>
          <w:color w:val="1E1E1E"/>
        </w:rPr>
        <w:t>Management assessed the design and effectiveness of our internal control over financial reporting as of February 3, 2024. In making this assessment, management used the criteria set forth by the Committee of Sponsoring Organizations of the Treadway Commission (COSO) in Internal Control-Integrated Framework (2013).</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20"/>
          <w:szCs w:val="20"/>
          <w:color w:val="1E1E1E"/>
        </w:rPr>
        <w:t>Based on management’s assessment and the above mentioned criteria, management determined that we maintained effective internal control over financial reporting as of February 3, 2024.</w:t>
      </w:r>
    </w:p>
    <w:p>
      <w:pPr>
        <w:spacing w:after="0" w:line="166" w:lineRule="exact"/>
        <w:rPr>
          <w:sz w:val="20"/>
          <w:szCs w:val="20"/>
          <w:color w:val="auto"/>
        </w:rPr>
      </w:pPr>
    </w:p>
    <w:p>
      <w:pPr>
        <w:ind w:right="480"/>
        <w:spacing w:after="0" w:line="279" w:lineRule="auto"/>
        <w:rPr>
          <w:sz w:val="20"/>
          <w:szCs w:val="20"/>
          <w:color w:val="auto"/>
        </w:rPr>
      </w:pPr>
      <w:r>
        <w:rPr>
          <w:rFonts w:ascii="Arial" w:cs="Arial" w:eastAsia="Arial" w:hAnsi="Arial"/>
          <w:sz w:val="20"/>
          <w:szCs w:val="20"/>
          <w:color w:val="1E1E1E"/>
        </w:rPr>
        <w:t>KPMG LLP, our independent registered public accounting firm, has issued an audit report on our internal control over financial reporting as of February 3, 2024, which appears below.</w:t>
      </w:r>
    </w:p>
    <w:p>
      <w:pPr>
        <w:sectPr>
          <w:pgSz w:w="11880" w:h="15480" w:orient="portrait"/>
          <w:cols w:equalWidth="0" w:num="1">
            <w:col w:w="10700"/>
          </w:cols>
          <w:pgMar w:left="540" w:top="653" w:right="6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1E1E1E"/>
        </w:rPr>
        <w:t>61</w:t>
      </w:r>
    </w:p>
    <w:p>
      <w:pPr>
        <w:sectPr>
          <w:pgSz w:w="11880" w:h="15480" w:orient="portrait"/>
          <w:cols w:equalWidth="0" w:num="1">
            <w:col w:w="10700"/>
          </w:cols>
          <w:pgMar w:left="540" w:top="653" w:right="640" w:bottom="31" w:gutter="0" w:footer="0" w:header="0"/>
          <w:type w:val="continuous"/>
        </w:sectPr>
      </w:pPr>
    </w:p>
    <w:bookmarkStart w:id="63" w:name="page64"/>
    <w:bookmarkEnd w:id="63"/>
    <w:p>
      <w:pPr>
        <w:ind w:left="1980"/>
        <w:spacing w:after="0"/>
        <w:rPr>
          <w:sz w:val="20"/>
          <w:szCs w:val="20"/>
          <w:color w:val="auto"/>
        </w:rPr>
      </w:pPr>
      <w:r>
        <w:rPr>
          <w:rFonts w:ascii="Arial" w:cs="Arial" w:eastAsia="Arial" w:hAnsi="Arial"/>
          <w:sz w:val="20"/>
          <w:szCs w:val="20"/>
          <w:color w:val="1E1E1E"/>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1E1E1E"/>
        </w:rPr>
        <w:t>To the Stockholders and Board of Directors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1E1E1E"/>
        </w:rPr>
        <w:t>Destination XL Group, Inc.:</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1E1E1E"/>
        </w:rPr>
        <w:t>Opinion on Internal Control Over Financial Reporting</w:t>
      </w:r>
    </w:p>
    <w:p>
      <w:pPr>
        <w:spacing w:after="0" w:line="127" w:lineRule="exact"/>
        <w:rPr>
          <w:sz w:val="20"/>
          <w:szCs w:val="20"/>
          <w:color w:val="auto"/>
        </w:rPr>
      </w:pPr>
    </w:p>
    <w:p>
      <w:pPr>
        <w:ind w:right="240"/>
        <w:spacing w:after="0" w:line="276" w:lineRule="auto"/>
        <w:rPr>
          <w:sz w:val="20"/>
          <w:szCs w:val="20"/>
          <w:color w:val="auto"/>
        </w:rPr>
      </w:pPr>
      <w:r>
        <w:rPr>
          <w:rFonts w:ascii="Arial" w:cs="Arial" w:eastAsia="Arial" w:hAnsi="Arial"/>
          <w:sz w:val="19"/>
          <w:szCs w:val="19"/>
          <w:color w:val="1E1E1E"/>
        </w:rPr>
        <w:t>We have audited Destination XL Group, Inc. and subsidiaries' (the Company) internal control over financial reporting as of February 3, 2024, based on criteria established in Internal Control – Integrated Framework (2013) issued by the Committee of Sponsoring Organizations of the Treadway Commission. In our opinion, the Company maintained, in all material respects, effective internal control over financial reporting as of February 3, 2024, based on criteria established in Internal Control – Integrated Framework (2013) issued by the Committee of Sponsoring Organizations of the Treadway Commission.</w:t>
      </w:r>
    </w:p>
    <w:p>
      <w:pPr>
        <w:spacing w:after="0" w:line="64" w:lineRule="exact"/>
        <w:rPr>
          <w:sz w:val="20"/>
          <w:szCs w:val="20"/>
          <w:color w:val="auto"/>
        </w:rPr>
      </w:pPr>
    </w:p>
    <w:p>
      <w:pPr>
        <w:ind w:right="140"/>
        <w:spacing w:after="0" w:line="295" w:lineRule="auto"/>
        <w:rPr>
          <w:sz w:val="20"/>
          <w:szCs w:val="20"/>
          <w:color w:val="auto"/>
        </w:rPr>
      </w:pPr>
      <w:r>
        <w:rPr>
          <w:rFonts w:ascii="Arial" w:cs="Arial" w:eastAsia="Arial" w:hAnsi="Arial"/>
          <w:sz w:val="18"/>
          <w:szCs w:val="18"/>
          <w:color w:val="1E1E1E"/>
        </w:rPr>
        <w:t>We also have audited, in accordance with the standards of the Public Company Accounting Oversight Board (United States) (PCAOB), the consolidated balance sheets of the Company as of February 3, 2024 and January 28, 2023, the related consolidated statements of operations, comprehensive income, changes in stockholders’ equity (deficit), and cash flows for each of the fiscal years in the three-year period ended February 3, 2024, and the related notes (collectively, the consolidated financial statements), and our report dated March 21, 2024 expressed an unqualified opinion on those consolidated financial statements.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1E1E1E"/>
        </w:rPr>
        <w:t>Basis for Opinion</w:t>
      </w:r>
    </w:p>
    <w:p>
      <w:pPr>
        <w:spacing w:after="0" w:line="127" w:lineRule="exact"/>
        <w:rPr>
          <w:sz w:val="20"/>
          <w:szCs w:val="20"/>
          <w:color w:val="auto"/>
        </w:rPr>
      </w:pPr>
    </w:p>
    <w:p>
      <w:pPr>
        <w:ind w:right="40"/>
        <w:spacing w:after="0" w:line="258" w:lineRule="auto"/>
        <w:rPr>
          <w:sz w:val="20"/>
          <w:szCs w:val="20"/>
          <w:color w:val="auto"/>
        </w:rPr>
      </w:pPr>
      <w:r>
        <w:rPr>
          <w:rFonts w:ascii="Arial" w:cs="Arial" w:eastAsia="Arial" w:hAnsi="Arial"/>
          <w:sz w:val="20"/>
          <w:szCs w:val="20"/>
          <w:color w:val="1E1E1E"/>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spacing w:after="0" w:line="274" w:lineRule="auto"/>
        <w:rPr>
          <w:sz w:val="20"/>
          <w:szCs w:val="20"/>
          <w:color w:val="auto"/>
        </w:rPr>
      </w:pPr>
      <w:r>
        <w:rPr>
          <w:rFonts w:ascii="Arial" w:cs="Arial" w:eastAsia="Arial" w:hAnsi="Arial"/>
          <w:sz w:val="19"/>
          <w:szCs w:val="19"/>
          <w:color w:val="1E1E1E"/>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1E1E1E"/>
        </w:rPr>
        <w:t>Definition and Limitations of Internal Control Over Financial Reporting</w:t>
      </w:r>
    </w:p>
    <w:p>
      <w:pPr>
        <w:spacing w:after="0" w:line="127" w:lineRule="exact"/>
        <w:rPr>
          <w:sz w:val="20"/>
          <w:szCs w:val="20"/>
          <w:color w:val="auto"/>
        </w:rPr>
      </w:pPr>
    </w:p>
    <w:p>
      <w:pPr>
        <w:spacing w:after="0" w:line="270" w:lineRule="auto"/>
        <w:rPr>
          <w:sz w:val="20"/>
          <w:szCs w:val="20"/>
          <w:color w:val="auto"/>
        </w:rPr>
      </w:pPr>
      <w:r>
        <w:rPr>
          <w:rFonts w:ascii="Arial" w:cs="Arial" w:eastAsia="Arial" w:hAnsi="Arial"/>
          <w:sz w:val="19"/>
          <w:szCs w:val="19"/>
          <w:color w:val="1E1E1E"/>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8" w:lineRule="exact"/>
        <w:rPr>
          <w:sz w:val="20"/>
          <w:szCs w:val="20"/>
          <w:color w:val="auto"/>
        </w:rPr>
      </w:pPr>
    </w:p>
    <w:p>
      <w:pPr>
        <w:jc w:val="both"/>
        <w:ind w:right="60"/>
        <w:spacing w:after="0" w:line="290" w:lineRule="auto"/>
        <w:rPr>
          <w:sz w:val="20"/>
          <w:szCs w:val="20"/>
          <w:color w:val="auto"/>
        </w:rPr>
      </w:pPr>
      <w:r>
        <w:rPr>
          <w:rFonts w:ascii="Arial" w:cs="Arial" w:eastAsia="Arial" w:hAnsi="Arial"/>
          <w:sz w:val="19"/>
          <w:szCs w:val="19"/>
          <w:color w:val="1E1E1E"/>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1E1E1E"/>
        </w:rPr>
        <w:t>/s/ KPMG LLP</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1E1E1E"/>
        </w:rPr>
        <w:t>Boston, Massachusetts</w:t>
      </w:r>
    </w:p>
    <w:p>
      <w:pPr>
        <w:spacing w:after="0"/>
        <w:rPr>
          <w:sz w:val="20"/>
          <w:szCs w:val="20"/>
          <w:color w:val="auto"/>
        </w:rPr>
      </w:pPr>
      <w:r>
        <w:rPr>
          <w:rFonts w:ascii="Arial" w:cs="Arial" w:eastAsia="Arial" w:hAnsi="Arial"/>
          <w:sz w:val="20"/>
          <w:szCs w:val="20"/>
          <w:color w:val="1E1E1E"/>
        </w:rPr>
        <w:t>March 21, 2024</w:t>
      </w:r>
    </w:p>
    <w:p>
      <w:pPr>
        <w:sectPr>
          <w:pgSz w:w="11880" w:h="15480" w:orient="portrait"/>
          <w:cols w:equalWidth="0" w:num="1">
            <w:col w:w="10800"/>
          </w:cols>
          <w:pgMar w:left="540" w:top="653" w:right="5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62</w:t>
      </w:r>
    </w:p>
    <w:p>
      <w:pPr>
        <w:sectPr>
          <w:pgSz w:w="11880" w:h="15480" w:orient="portrait"/>
          <w:cols w:equalWidth="0" w:num="1">
            <w:col w:w="10800"/>
          </w:cols>
          <w:pgMar w:left="540" w:top="653" w:right="540" w:bottom="31" w:gutter="0" w:footer="0" w:header="0"/>
          <w:type w:val="continuous"/>
        </w:sectPr>
      </w:pPr>
    </w:p>
    <w:bookmarkStart w:id="64" w:name="page65"/>
    <w:bookmarkEnd w:id="64"/>
    <w:p>
      <w:pPr>
        <w:spacing w:after="0"/>
        <w:rPr>
          <w:sz w:val="20"/>
          <w:szCs w:val="20"/>
          <w:color w:val="auto"/>
        </w:rPr>
      </w:pPr>
      <w:r>
        <w:rPr>
          <w:rFonts w:ascii="Arial" w:cs="Arial" w:eastAsia="Arial" w:hAnsi="Arial"/>
          <w:sz w:val="20"/>
          <w:szCs w:val="20"/>
          <w:color w:val="1E1E1E"/>
        </w:rPr>
        <w:t>Changes in Internal Control Over Financial Reporting</w:t>
      </w:r>
    </w:p>
    <w:p>
      <w:pPr>
        <w:spacing w:after="0" w:line="119"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color w:val="1E1E1E"/>
        </w:rPr>
        <w:t>There were no changes in our internal control over financial reporting (as defined in Rules 13a-15(f) and 15d-15(f) under the Exchange Act) that occurred during the fourth quarter of fiscal 2023 that has materially affected, or is reasonably likely to materially affect, our internal control over financial reporting.</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1E1E1E"/>
        </w:rPr>
        <w:t>Item 9B. Other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1E1E1E"/>
        </w:rPr>
        <w:t>(a) Non-Employee Director Compensation Plan</w:t>
      </w:r>
    </w:p>
    <w:p>
      <w:pPr>
        <w:spacing w:after="0" w:line="280" w:lineRule="auto"/>
        <w:rPr>
          <w:sz w:val="20"/>
          <w:szCs w:val="20"/>
          <w:color w:val="auto"/>
        </w:rPr>
      </w:pPr>
      <w:r>
        <w:rPr>
          <w:rFonts w:ascii="Arial" w:cs="Arial" w:eastAsia="Arial" w:hAnsi="Arial"/>
          <w:sz w:val="18"/>
          <w:szCs w:val="18"/>
          <w:color w:val="1E1E1E"/>
        </w:rPr>
        <w:t>On November 2, 2023, the Board of Directors approved the Seventh Amended and Restated Non-Employee Director Compensation Plan, which will be effective for board compensation in fiscal 2024. The plan was amended to, among other things, add the ability for non-employee directors to make an annual election to receive a portion or all of their quarterly board compensation in shares of deferred stock. Shares of deferred stock vest based on the irrevocable election of each director, either (1) three years from the date of grant or separation of service, if earlier or (2) separation of service. Any grant of deferred stock will be granted under the Company's 2016 Incentive Stock Compensation Plan. The Director Plan was also amended to clarify certain administrative language.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1E1E1E"/>
        </w:rPr>
        <w:t>(b) Rule 10b5-1 Trading Plans</w:t>
      </w:r>
    </w:p>
    <w:p>
      <w:pPr>
        <w:ind w:right="540"/>
        <w:spacing w:after="0" w:line="300" w:lineRule="auto"/>
        <w:rPr>
          <w:sz w:val="20"/>
          <w:szCs w:val="20"/>
          <w:color w:val="auto"/>
        </w:rPr>
      </w:pPr>
      <w:r>
        <w:rPr>
          <w:rFonts w:ascii="Arial" w:cs="Arial" w:eastAsia="Arial" w:hAnsi="Arial"/>
          <w:sz w:val="18"/>
          <w:szCs w:val="18"/>
          <w:color w:val="1E1E1E"/>
        </w:rPr>
        <w:t>During the three months ended February 3, 2024, none of our directors or officers (as defined in Rule 16a-1(f) of the Securities Exchange Act of 1934, as amended) adopted or terminated a Rule 10b5-1 trading arrangement or non-Rule 10b5-1 trading arrangement (as such terms are defined in Item 408 of Regulation S-K of the Securities Act of 1933, as amended).</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1E1E1E"/>
        </w:rPr>
        <w:t>Item 9C. Disclosure Regarding Foreign Jurisdictions that Prevent Inspections.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1E1E1E"/>
        </w:rPr>
        <w:t>Not applicable.</w:t>
      </w:r>
    </w:p>
    <w:p>
      <w:pPr>
        <w:sectPr>
          <w:pgSz w:w="11880" w:h="15480" w:orient="portrait"/>
          <w:cols w:equalWidth="0" w:num="1">
            <w:col w:w="10700"/>
          </w:cols>
          <w:pgMar w:left="540" w:top="658" w:right="64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1E1E1E"/>
        </w:rPr>
        <w:t>63</w:t>
      </w:r>
    </w:p>
    <w:p>
      <w:pPr>
        <w:sectPr>
          <w:pgSz w:w="11880" w:h="15480" w:orient="portrait"/>
          <w:cols w:equalWidth="0" w:num="1">
            <w:col w:w="10700"/>
          </w:cols>
          <w:pgMar w:left="540" w:top="658" w:right="640" w:bottom="31" w:gutter="0" w:footer="0" w:header="0"/>
          <w:type w:val="continuous"/>
        </w:sectPr>
      </w:pPr>
    </w:p>
    <w:bookmarkStart w:id="65" w:name="page66"/>
    <w:bookmarkEnd w:id="65"/>
    <w:p>
      <w:pPr>
        <w:jc w:val="center"/>
        <w:ind w:right="-159"/>
        <w:spacing w:after="0"/>
        <w:rPr>
          <w:sz w:val="20"/>
          <w:szCs w:val="20"/>
          <w:color w:val="auto"/>
        </w:rPr>
      </w:pPr>
      <w:r>
        <w:rPr>
          <w:rFonts w:ascii="Arial" w:cs="Arial" w:eastAsia="Arial" w:hAnsi="Arial"/>
          <w:sz w:val="20"/>
          <w:szCs w:val="20"/>
          <w:color w:val="1E1E1E"/>
        </w:rPr>
        <w:t>PART III.</w:t>
      </w:r>
    </w:p>
    <w:p>
      <w:pPr>
        <w:spacing w:after="0" w:line="24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1E1E1E"/>
        </w:rPr>
        <w:t>Pursuant to Paragraph G(3) of the General Instructions to Form 10-K, the information required by Part III (Items 10, 11, 12, 13 and</w:t>
      </w:r>
    </w:p>
    <w:p>
      <w:pPr>
        <w:spacing w:after="0" w:line="23" w:lineRule="exact"/>
        <w:rPr>
          <w:sz w:val="20"/>
          <w:szCs w:val="20"/>
          <w:color w:val="auto"/>
        </w:rPr>
      </w:pPr>
    </w:p>
    <w:p>
      <w:pPr>
        <w:spacing w:after="0" w:line="259" w:lineRule="auto"/>
        <w:tabs>
          <w:tab w:leader="none" w:pos="317" w:val="left"/>
        </w:tabs>
        <w:numPr>
          <w:ilvl w:val="0"/>
          <w:numId w:val="7"/>
        </w:numPr>
        <w:rPr>
          <w:rFonts w:ascii="Arial" w:cs="Arial" w:eastAsia="Arial" w:hAnsi="Arial"/>
          <w:sz w:val="20"/>
          <w:szCs w:val="20"/>
          <w:color w:val="1E1E1E"/>
        </w:rPr>
      </w:pPr>
      <w:r>
        <w:rPr>
          <w:rFonts w:ascii="Arial" w:cs="Arial" w:eastAsia="Arial" w:hAnsi="Arial"/>
          <w:sz w:val="20"/>
          <w:szCs w:val="20"/>
          <w:color w:val="1E1E1E"/>
        </w:rPr>
        <w:t>is being incorporated by reference herein from our definitive proxy statement (or an amendment to this Annual Report on Form 10-K) to be filed with the Securities and Exchange Commission within 120 days of the end of the fiscal year ended February 3, 2024 in connection with our 2024 Annual Meeting of Stockholders.</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color w:val="1E1E1E"/>
        </w:rPr>
        <w:t>Item 10. Directors, Executive Officers and Corporate Governance</w:t>
      </w:r>
    </w:p>
    <w:p>
      <w:pPr>
        <w:spacing w:after="0" w:line="124" w:lineRule="exact"/>
        <w:rPr>
          <w:sz w:val="20"/>
          <w:szCs w:val="20"/>
          <w:color w:val="auto"/>
        </w:rPr>
      </w:pPr>
    </w:p>
    <w:p>
      <w:pPr>
        <w:ind w:right="80"/>
        <w:spacing w:after="0" w:line="306" w:lineRule="auto"/>
        <w:rPr>
          <w:sz w:val="20"/>
          <w:szCs w:val="20"/>
          <w:color w:val="auto"/>
        </w:rPr>
      </w:pPr>
      <w:r>
        <w:rPr>
          <w:rFonts w:ascii="Arial" w:cs="Arial" w:eastAsia="Arial" w:hAnsi="Arial"/>
          <w:sz w:val="19"/>
          <w:szCs w:val="19"/>
          <w:color w:val="1E1E1E"/>
        </w:rPr>
        <w:t>Information with respect to this item is incorporated by reference from our definitive proxy statement (or amendment to this Annual Report on Form 10-K) to be filed with the SEC within 120 days of the end of the fiscal year ended February 3, 2024.</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1E1E1E"/>
        </w:rPr>
        <w:t>Item 11. Executive Compensation</w:t>
      </w:r>
    </w:p>
    <w:p>
      <w:pPr>
        <w:spacing w:after="0" w:line="124" w:lineRule="exact"/>
        <w:rPr>
          <w:sz w:val="20"/>
          <w:szCs w:val="20"/>
          <w:color w:val="auto"/>
        </w:rPr>
      </w:pPr>
    </w:p>
    <w:p>
      <w:pPr>
        <w:ind w:right="80"/>
        <w:spacing w:after="0" w:line="306" w:lineRule="auto"/>
        <w:rPr>
          <w:sz w:val="20"/>
          <w:szCs w:val="20"/>
          <w:color w:val="auto"/>
        </w:rPr>
      </w:pPr>
      <w:r>
        <w:rPr>
          <w:rFonts w:ascii="Arial" w:cs="Arial" w:eastAsia="Arial" w:hAnsi="Arial"/>
          <w:sz w:val="19"/>
          <w:szCs w:val="19"/>
          <w:color w:val="1E1E1E"/>
        </w:rPr>
        <w:t>Information with respect to this item is incorporated by reference from our definitive proxy statement (or amendment to this Annual Report on Form 10-K) to be filed with the SEC within 120 days of the end of the fiscal year ended February 3, 2024.</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1E1E1E"/>
        </w:rPr>
        <w:t>Item 12. Security Ownership of Certain Beneficial Owners and Management and Related Stockholder Matters</w:t>
      </w:r>
    </w:p>
    <w:p>
      <w:pPr>
        <w:spacing w:after="0" w:line="124" w:lineRule="exact"/>
        <w:rPr>
          <w:sz w:val="20"/>
          <w:szCs w:val="20"/>
          <w:color w:val="auto"/>
        </w:rPr>
      </w:pPr>
    </w:p>
    <w:p>
      <w:pPr>
        <w:ind w:right="80"/>
        <w:spacing w:after="0" w:line="306" w:lineRule="auto"/>
        <w:rPr>
          <w:sz w:val="20"/>
          <w:szCs w:val="20"/>
          <w:color w:val="auto"/>
        </w:rPr>
      </w:pPr>
      <w:r>
        <w:rPr>
          <w:rFonts w:ascii="Arial" w:cs="Arial" w:eastAsia="Arial" w:hAnsi="Arial"/>
          <w:sz w:val="19"/>
          <w:szCs w:val="19"/>
          <w:color w:val="1E1E1E"/>
        </w:rPr>
        <w:t>Information with respect to this item is incorporated by reference from our definitive proxy statement (or amendment to this Annual Report on Form 10-K) to be filed with the SEC within 120 days of the end of the fiscal year ended February 3, 2024.</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1E1E1E"/>
        </w:rPr>
        <w:t>Item 13. Certain Relationships and Related Transactions, and Director Independence</w:t>
      </w:r>
    </w:p>
    <w:p>
      <w:pPr>
        <w:spacing w:after="0" w:line="124" w:lineRule="exact"/>
        <w:rPr>
          <w:sz w:val="20"/>
          <w:szCs w:val="20"/>
          <w:color w:val="auto"/>
        </w:rPr>
      </w:pPr>
    </w:p>
    <w:p>
      <w:pPr>
        <w:ind w:right="80"/>
        <w:spacing w:after="0" w:line="303" w:lineRule="auto"/>
        <w:rPr>
          <w:sz w:val="20"/>
          <w:szCs w:val="20"/>
          <w:color w:val="auto"/>
        </w:rPr>
      </w:pPr>
      <w:r>
        <w:rPr>
          <w:rFonts w:ascii="Arial" w:cs="Arial" w:eastAsia="Arial" w:hAnsi="Arial"/>
          <w:sz w:val="19"/>
          <w:szCs w:val="19"/>
          <w:color w:val="1E1E1E"/>
        </w:rPr>
        <w:t>Information with respect to this item is incorporated by reference from our definitive proxy statement (or amendment to this Annual Report on Form 10-K) to be filed with the SEC within 120 days of the end of the fiscal year ended February 3, 2024.</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1E1E1E"/>
        </w:rPr>
        <w:t>Item 14. Principal Accountant Fees and Services</w:t>
      </w:r>
    </w:p>
    <w:p>
      <w:pPr>
        <w:spacing w:after="0" w:line="124" w:lineRule="exact"/>
        <w:rPr>
          <w:sz w:val="20"/>
          <w:szCs w:val="20"/>
          <w:color w:val="auto"/>
        </w:rPr>
      </w:pPr>
    </w:p>
    <w:p>
      <w:pPr>
        <w:ind w:right="80"/>
        <w:spacing w:after="0" w:line="306" w:lineRule="auto"/>
        <w:rPr>
          <w:sz w:val="20"/>
          <w:szCs w:val="20"/>
          <w:color w:val="auto"/>
        </w:rPr>
      </w:pPr>
      <w:r>
        <w:rPr>
          <w:rFonts w:ascii="Arial" w:cs="Arial" w:eastAsia="Arial" w:hAnsi="Arial"/>
          <w:sz w:val="19"/>
          <w:szCs w:val="19"/>
          <w:color w:val="1E1E1E"/>
        </w:rPr>
        <w:t>Information with respect to this item is incorporated by reference from our definitive proxy statement (or amendment to this Annual Report on Form 10-K) to be filed with the SEC within 120 days of the end of the fiscal year ended February 3, 2024.</w:t>
      </w:r>
    </w:p>
    <w:p>
      <w:pPr>
        <w:spacing w:after="0" w:line="200" w:lineRule="exact"/>
        <w:rPr>
          <w:sz w:val="20"/>
          <w:szCs w:val="20"/>
          <w:color w:val="auto"/>
        </w:rPr>
      </w:pP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1E1E1E"/>
        </w:rPr>
        <w:t>PART IV.</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1E1E1E"/>
        </w:rPr>
        <w:t>Item 15. Exhibits and Financial Statement Schedules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20"/>
          <w:szCs w:val="20"/>
          <w:u w:val="single" w:color="auto"/>
          <w:color w:val="1E1E1E"/>
        </w:rPr>
        <w:t>15(a)(1) Financial Statements</w:t>
      </w:r>
    </w:p>
    <w:p>
      <w:pPr>
        <w:spacing w:after="0" w:line="119" w:lineRule="exact"/>
        <w:rPr>
          <w:sz w:val="20"/>
          <w:szCs w:val="20"/>
          <w:color w:val="auto"/>
        </w:rPr>
      </w:pPr>
    </w:p>
    <w:p>
      <w:pPr>
        <w:ind w:right="580"/>
        <w:spacing w:after="0" w:line="279" w:lineRule="auto"/>
        <w:rPr>
          <w:sz w:val="20"/>
          <w:szCs w:val="20"/>
          <w:color w:val="auto"/>
        </w:rPr>
      </w:pPr>
      <w:r>
        <w:rPr>
          <w:rFonts w:ascii="Arial" w:cs="Arial" w:eastAsia="Arial" w:hAnsi="Arial"/>
          <w:sz w:val="20"/>
          <w:szCs w:val="20"/>
          <w:color w:val="1E1E1E"/>
        </w:rPr>
        <w:t>The list of consolidated financial statements and notes required by this Item 15(a)(1) is set forth in the “Index to Consolidated Financial Statements” on page 35 of this Annual Report.</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20"/>
          <w:szCs w:val="20"/>
          <w:u w:val="single" w:color="auto"/>
          <w:color w:val="1E1E1E"/>
        </w:rPr>
        <w:t>15(a)(2) Financial Statement Schedules</w:t>
      </w:r>
    </w:p>
    <w:p>
      <w:pPr>
        <w:spacing w:after="0" w:line="119" w:lineRule="exact"/>
        <w:rPr>
          <w:sz w:val="20"/>
          <w:szCs w:val="20"/>
          <w:color w:val="auto"/>
        </w:rPr>
      </w:pPr>
    </w:p>
    <w:p>
      <w:pPr>
        <w:ind w:right="100"/>
        <w:spacing w:after="0" w:line="336" w:lineRule="auto"/>
        <w:rPr>
          <w:sz w:val="20"/>
          <w:szCs w:val="20"/>
          <w:color w:val="auto"/>
        </w:rPr>
      </w:pPr>
      <w:r>
        <w:rPr>
          <w:rFonts w:ascii="Arial" w:cs="Arial" w:eastAsia="Arial" w:hAnsi="Arial"/>
          <w:sz w:val="18"/>
          <w:szCs w:val="18"/>
          <w:color w:val="1E1E1E"/>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243" w:lineRule="exact"/>
        <w:rPr>
          <w:sz w:val="20"/>
          <w:szCs w:val="20"/>
          <w:color w:val="auto"/>
        </w:rPr>
      </w:pPr>
    </w:p>
    <w:p>
      <w:pPr>
        <w:ind w:left="240"/>
        <w:spacing w:after="0"/>
        <w:rPr>
          <w:sz w:val="20"/>
          <w:szCs w:val="20"/>
          <w:color w:val="auto"/>
        </w:rPr>
      </w:pPr>
      <w:r>
        <w:rPr>
          <w:rFonts w:ascii="Arial" w:cs="Arial" w:eastAsia="Arial" w:hAnsi="Arial"/>
          <w:sz w:val="20"/>
          <w:szCs w:val="20"/>
          <w:u w:val="single" w:color="auto"/>
          <w:color w:val="1E1E1E"/>
        </w:rPr>
        <w:t>15(a)(3) Exhibits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1E1E1E"/>
        </w:rPr>
        <w:t>The list of exhibits required by this Item 15(a)(3) is set forth in the “Index to Exhibits” beginning on page 65 of this Annual Report.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1E1E1E"/>
        </w:rPr>
        <w:t>Item 16. Form 10-K Summary</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1E1E1E"/>
        </w:rPr>
        <w:t>Omitted at registrant’s option.</w:t>
      </w:r>
    </w:p>
    <w:p>
      <w:pPr>
        <w:sectPr>
          <w:pgSz w:w="11880" w:h="15480" w:orient="portrait"/>
          <w:cols w:equalWidth="0" w:num="1">
            <w:col w:w="10640"/>
          </w:cols>
          <w:pgMar w:left="540" w:top="653" w:right="70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1E1E1E"/>
        </w:rPr>
        <w:t>64</w:t>
      </w:r>
    </w:p>
    <w:p>
      <w:pPr>
        <w:sectPr>
          <w:pgSz w:w="11880" w:h="15480" w:orient="portrait"/>
          <w:cols w:equalWidth="0" w:num="1">
            <w:col w:w="10640"/>
          </w:cols>
          <w:pgMar w:left="540" w:top="653" w:right="700" w:bottom="31" w:gutter="0" w:footer="0" w:header="0"/>
          <w:type w:val="continuous"/>
        </w:sectPr>
      </w:pPr>
    </w:p>
    <w:bookmarkStart w:id="66" w:name="page67"/>
    <w:bookmarkEnd w:id="66"/>
    <w:p>
      <w:pPr>
        <w:jc w:val="center"/>
        <w:ind w:right="-159"/>
        <w:spacing w:after="0"/>
        <w:rPr>
          <w:sz w:val="20"/>
          <w:szCs w:val="20"/>
          <w:color w:val="auto"/>
        </w:rPr>
      </w:pPr>
      <w:r>
        <w:rPr>
          <w:rFonts w:ascii="Arial" w:cs="Arial" w:eastAsia="Arial" w:hAnsi="Arial"/>
          <w:sz w:val="20"/>
          <w:szCs w:val="20"/>
          <w:color w:val="1E1E1E"/>
        </w:rPr>
        <w:t>Index to Exhibits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6"/>
          <w:szCs w:val="16"/>
          <w:color w:val="1E1E1E"/>
        </w:rPr>
        <w:t>Exhibits</w:t>
      </w:r>
    </w:p>
    <w:p>
      <w:pPr>
        <w:sectPr>
          <w:pgSz w:w="11880" w:h="15480" w:orient="portrait"/>
          <w:cols w:equalWidth="0" w:num="1">
            <w:col w:w="10640"/>
          </w:cols>
          <w:pgMar w:left="540" w:top="864" w:right="700" w:bottom="31" w:gutter="0" w:footer="0" w:header="0"/>
        </w:sect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1E1E1E"/>
        </w:rPr>
        <w:t>3.1</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1E1E1E"/>
        </w:rPr>
        <w:t>3.2</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580"/>
        <w:spacing w:after="0" w:line="259" w:lineRule="auto"/>
        <w:rPr>
          <w:sz w:val="20"/>
          <w:szCs w:val="20"/>
          <w:color w:val="auto"/>
        </w:rPr>
      </w:pPr>
      <w:r>
        <w:rPr>
          <w:rFonts w:ascii="Arial" w:cs="Arial" w:eastAsia="Arial" w:hAnsi="Arial"/>
          <w:sz w:val="20"/>
          <w:szCs w:val="20"/>
          <w:color w:val="1E1E1E"/>
        </w:rPr>
        <w:t>Certificate of Amendment to Restated Certificate of Incorporation, effective as of August 6, 2021 (included as Exhibit 3.1 to the Company's Quarterly Report on Form 10-Q filed on August 31, 2021, and incorporated herein by reference).</w:t>
      </w:r>
    </w:p>
    <w:p>
      <w:pPr>
        <w:spacing w:after="0" w:line="103" w:lineRule="exact"/>
        <w:rPr>
          <w:sz w:val="20"/>
          <w:szCs w:val="20"/>
          <w:color w:val="auto"/>
        </w:rPr>
      </w:pPr>
    </w:p>
    <w:p>
      <w:pPr>
        <w:jc w:val="both"/>
        <w:ind w:right="740"/>
        <w:spacing w:after="0" w:line="257" w:lineRule="auto"/>
        <w:rPr>
          <w:sz w:val="20"/>
          <w:szCs w:val="20"/>
          <w:color w:val="auto"/>
        </w:rPr>
      </w:pPr>
      <w:r>
        <w:rPr>
          <w:rFonts w:ascii="Arial" w:cs="Arial" w:eastAsia="Arial" w:hAnsi="Arial"/>
          <w:sz w:val="20"/>
          <w:szCs w:val="20"/>
          <w:color w:val="1E1E1E"/>
        </w:rPr>
        <w:t>Restated Certificate of Incorporation of the Company (conformed copy incorporating all amendments through August 6, 2021 (included as Exhibit 3.2 to the Company's Quarterly Report on Form 10-Q filed on August 31, 2021, and incorporated herein by reference)</w:t>
      </w:r>
    </w:p>
    <w:p>
      <w:pPr>
        <w:spacing w:after="0" w:line="99" w:lineRule="exact"/>
        <w:rPr>
          <w:sz w:val="20"/>
          <w:szCs w:val="20"/>
          <w:color w:val="auto"/>
        </w:rPr>
      </w:pPr>
    </w:p>
    <w:p>
      <w:pPr>
        <w:sectPr>
          <w:pgSz w:w="11880" w:h="15480" w:orient="portrait"/>
          <w:cols w:equalWidth="0" w:num="2">
            <w:col w:w="360" w:space="720"/>
            <w:col w:w="9560"/>
          </w:cols>
          <w:pgMar w:left="540" w:top="864" w:right="700" w:bottom="31"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20"/>
                <w:szCs w:val="20"/>
                <w:color w:val="1E1E1E"/>
              </w:rPr>
              <w:t>3.3</w:t>
            </w:r>
          </w:p>
        </w:tc>
        <w:tc>
          <w:tcPr>
            <w:tcW w:w="9520" w:type="dxa"/>
            <w:vAlign w:val="bottom"/>
          </w:tcPr>
          <w:p>
            <w:pPr>
              <w:ind w:left="320"/>
              <w:spacing w:after="0"/>
              <w:rPr>
                <w:sz w:val="20"/>
                <w:szCs w:val="20"/>
                <w:color w:val="auto"/>
              </w:rPr>
            </w:pPr>
            <w:r>
              <w:rPr>
                <w:rFonts w:ascii="Arial" w:cs="Arial" w:eastAsia="Arial" w:hAnsi="Arial"/>
                <w:sz w:val="20"/>
                <w:szCs w:val="20"/>
                <w:color w:val="1E1E1E"/>
                <w:w w:val="93"/>
              </w:rPr>
              <w:t>Fourth Amended and Restated By-Laws (included as Exhibit 3.1 to the Company’s Current Report on Form 8-K</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760" w:type="dxa"/>
            <w:vAlign w:val="bottom"/>
          </w:tcPr>
          <w:p>
            <w:pPr>
              <w:spacing w:after="0"/>
              <w:rPr>
                <w:sz w:val="23"/>
                <w:szCs w:val="23"/>
                <w:color w:val="auto"/>
              </w:rPr>
            </w:pPr>
          </w:p>
        </w:tc>
        <w:tc>
          <w:tcPr>
            <w:tcW w:w="9520" w:type="dxa"/>
            <w:vAlign w:val="bottom"/>
          </w:tcPr>
          <w:p>
            <w:pPr>
              <w:ind w:left="320"/>
              <w:spacing w:after="0"/>
              <w:rPr>
                <w:sz w:val="20"/>
                <w:szCs w:val="20"/>
                <w:color w:val="auto"/>
              </w:rPr>
            </w:pPr>
            <w:r>
              <w:rPr>
                <w:rFonts w:ascii="Arial" w:cs="Arial" w:eastAsia="Arial" w:hAnsi="Arial"/>
                <w:sz w:val="20"/>
                <w:szCs w:val="20"/>
                <w:color w:val="1E1E1E"/>
              </w:rPr>
              <w:t>filed on June 18, 2015, and incorporated herein by reference).</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6"/>
        </w:trPr>
        <w:tc>
          <w:tcPr>
            <w:tcW w:w="760" w:type="dxa"/>
            <w:vAlign w:val="bottom"/>
          </w:tcPr>
          <w:p>
            <w:pPr>
              <w:spacing w:after="0"/>
              <w:rPr>
                <w:sz w:val="20"/>
                <w:szCs w:val="20"/>
                <w:color w:val="auto"/>
              </w:rPr>
            </w:pPr>
            <w:r>
              <w:rPr>
                <w:rFonts w:ascii="Arial" w:cs="Arial" w:eastAsia="Arial" w:hAnsi="Arial"/>
                <w:sz w:val="20"/>
                <w:szCs w:val="20"/>
                <w:color w:val="1E1E1E"/>
              </w:rPr>
              <w:t>4.1</w:t>
            </w:r>
          </w:p>
        </w:tc>
        <w:tc>
          <w:tcPr>
            <w:tcW w:w="9520" w:type="dxa"/>
            <w:vAlign w:val="bottom"/>
          </w:tcPr>
          <w:p>
            <w:pPr>
              <w:ind w:left="320"/>
              <w:spacing w:after="0"/>
              <w:rPr>
                <w:sz w:val="20"/>
                <w:szCs w:val="20"/>
                <w:color w:val="auto"/>
              </w:rPr>
            </w:pPr>
            <w:r>
              <w:rPr>
                <w:rFonts w:ascii="Arial" w:cs="Arial" w:eastAsia="Arial" w:hAnsi="Arial"/>
                <w:sz w:val="20"/>
                <w:szCs w:val="20"/>
                <w:color w:val="1E1E1E"/>
                <w:w w:val="93"/>
              </w:rPr>
              <w:t>Description of Securities (included as Exhibit 4.1 to the Company's Annual Report on Form 10-K filed on March</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760" w:type="dxa"/>
            <w:vAlign w:val="bottom"/>
          </w:tcPr>
          <w:p>
            <w:pPr>
              <w:spacing w:after="0"/>
              <w:rPr>
                <w:sz w:val="23"/>
                <w:szCs w:val="23"/>
                <w:color w:val="auto"/>
              </w:rPr>
            </w:pPr>
          </w:p>
        </w:tc>
        <w:tc>
          <w:tcPr>
            <w:tcW w:w="9520" w:type="dxa"/>
            <w:vAlign w:val="bottom"/>
          </w:tcPr>
          <w:p>
            <w:pPr>
              <w:ind w:left="320"/>
              <w:spacing w:after="0"/>
              <w:rPr>
                <w:sz w:val="20"/>
                <w:szCs w:val="20"/>
                <w:color w:val="auto"/>
              </w:rPr>
            </w:pPr>
            <w:r>
              <w:rPr>
                <w:rFonts w:ascii="Arial" w:cs="Arial" w:eastAsia="Arial" w:hAnsi="Arial"/>
                <w:sz w:val="20"/>
                <w:szCs w:val="20"/>
                <w:color w:val="1E1E1E"/>
              </w:rPr>
              <w:t>17, 2022, and incorporated herein by reference).</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5"/>
        </w:trPr>
        <w:tc>
          <w:tcPr>
            <w:tcW w:w="760" w:type="dxa"/>
            <w:vAlign w:val="bottom"/>
          </w:tcPr>
          <w:p>
            <w:pPr>
              <w:spacing w:after="0"/>
              <w:rPr>
                <w:sz w:val="20"/>
                <w:szCs w:val="20"/>
                <w:color w:val="auto"/>
              </w:rPr>
            </w:pPr>
            <w:r>
              <w:rPr>
                <w:rFonts w:ascii="Arial" w:cs="Arial" w:eastAsia="Arial" w:hAnsi="Arial"/>
                <w:sz w:val="20"/>
                <w:szCs w:val="20"/>
                <w:color w:val="1E1E1E"/>
              </w:rPr>
              <w:t>10.1</w:t>
            </w:r>
          </w:p>
        </w:tc>
        <w:tc>
          <w:tcPr>
            <w:tcW w:w="9520" w:type="dxa"/>
            <w:vAlign w:val="bottom"/>
          </w:tcPr>
          <w:p>
            <w:pPr>
              <w:ind w:left="320"/>
              <w:spacing w:after="0"/>
              <w:rPr>
                <w:sz w:val="20"/>
                <w:szCs w:val="20"/>
                <w:color w:val="auto"/>
              </w:rPr>
            </w:pPr>
            <w:r>
              <w:rPr>
                <w:rFonts w:ascii="Arial" w:cs="Arial" w:eastAsia="Arial" w:hAnsi="Arial"/>
                <w:sz w:val="20"/>
                <w:szCs w:val="20"/>
                <w:color w:val="1E1E1E"/>
                <w:w w:val="92"/>
              </w:rPr>
              <w:t>Company’s 2006 Incentive Compensation Plan, as amended (included as Exhibit 10.3 to the Company’s Annual</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760" w:type="dxa"/>
            <w:vAlign w:val="bottom"/>
          </w:tcPr>
          <w:p>
            <w:pPr>
              <w:spacing w:after="0"/>
              <w:rPr>
                <w:sz w:val="23"/>
                <w:szCs w:val="23"/>
                <w:color w:val="auto"/>
              </w:rPr>
            </w:pPr>
          </w:p>
        </w:tc>
        <w:tc>
          <w:tcPr>
            <w:tcW w:w="9520" w:type="dxa"/>
            <w:vAlign w:val="bottom"/>
          </w:tcPr>
          <w:p>
            <w:pPr>
              <w:ind w:left="320"/>
              <w:spacing w:after="0"/>
              <w:rPr>
                <w:sz w:val="20"/>
                <w:szCs w:val="20"/>
                <w:color w:val="auto"/>
              </w:rPr>
            </w:pPr>
            <w:r>
              <w:rPr>
                <w:rFonts w:ascii="Arial" w:cs="Arial" w:eastAsia="Arial" w:hAnsi="Arial"/>
                <w:sz w:val="20"/>
                <w:szCs w:val="20"/>
                <w:color w:val="1E1E1E"/>
              </w:rPr>
              <w:t>Report on Form 10-K filed March 17, 2014 (File No. 001-34219), and incorporated herein by reference).</w:t>
            </w:r>
          </w:p>
        </w:tc>
        <w:tc>
          <w:tcPr>
            <w:tcW w:w="360" w:type="dxa"/>
            <w:vAlign w:val="bottom"/>
          </w:tcPr>
          <w:p>
            <w:pPr>
              <w:jc w:val="center"/>
              <w:ind w:left="40"/>
              <w:spacing w:after="0"/>
              <w:rPr>
                <w:sz w:val="20"/>
                <w:szCs w:val="20"/>
                <w:color w:val="auto"/>
              </w:rPr>
            </w:pPr>
            <w:r>
              <w:rPr>
                <w:rFonts w:ascii="Arial" w:cs="Arial" w:eastAsia="Arial" w:hAnsi="Arial"/>
                <w:sz w:val="20"/>
                <w:szCs w:val="20"/>
                <w:color w:val="1E1E1E"/>
                <w:w w:val="89"/>
              </w:rPr>
              <w:t>†</w:t>
            </w:r>
          </w:p>
        </w:tc>
        <w:tc>
          <w:tcPr>
            <w:tcW w:w="0" w:type="dxa"/>
            <w:vAlign w:val="bottom"/>
          </w:tcPr>
          <w:p>
            <w:pPr>
              <w:spacing w:after="0"/>
              <w:rPr>
                <w:sz w:val="1"/>
                <w:szCs w:val="1"/>
                <w:color w:val="auto"/>
              </w:rPr>
            </w:pPr>
          </w:p>
        </w:tc>
      </w:tr>
      <w:tr>
        <w:trPr>
          <w:trHeight w:val="406"/>
        </w:trPr>
        <w:tc>
          <w:tcPr>
            <w:tcW w:w="760" w:type="dxa"/>
            <w:vAlign w:val="bottom"/>
          </w:tcPr>
          <w:p>
            <w:pPr>
              <w:spacing w:after="0"/>
              <w:rPr>
                <w:sz w:val="20"/>
                <w:szCs w:val="20"/>
                <w:color w:val="auto"/>
              </w:rPr>
            </w:pPr>
            <w:r>
              <w:rPr>
                <w:rFonts w:ascii="Arial" w:cs="Arial" w:eastAsia="Arial" w:hAnsi="Arial"/>
                <w:sz w:val="20"/>
                <w:szCs w:val="20"/>
                <w:color w:val="1E1E1E"/>
              </w:rPr>
              <w:t>10.2</w:t>
            </w:r>
          </w:p>
        </w:tc>
        <w:tc>
          <w:tcPr>
            <w:tcW w:w="9520" w:type="dxa"/>
            <w:vAlign w:val="bottom"/>
            <w:vMerge w:val="restart"/>
          </w:tcPr>
          <w:p>
            <w:pPr>
              <w:ind w:left="320"/>
              <w:spacing w:after="0"/>
              <w:rPr>
                <w:sz w:val="20"/>
                <w:szCs w:val="20"/>
                <w:color w:val="auto"/>
              </w:rPr>
            </w:pPr>
            <w:r>
              <w:rPr>
                <w:rFonts w:ascii="Arial" w:cs="Arial" w:eastAsia="Arial" w:hAnsi="Arial"/>
                <w:sz w:val="20"/>
                <w:szCs w:val="20"/>
                <w:color w:val="1E1E1E"/>
              </w:rPr>
              <w:t>Company’s 2016 Incentive Compensation Plan, as amended November 2, 2023.</w:t>
            </w:r>
          </w:p>
        </w:tc>
        <w:tc>
          <w:tcPr>
            <w:tcW w:w="360" w:type="dxa"/>
            <w:vAlign w:val="bottom"/>
            <w:vMerge w:val="restart"/>
          </w:tcPr>
          <w:p>
            <w:pPr>
              <w:jc w:val="center"/>
              <w:ind w:left="60"/>
              <w:spacing w:after="0"/>
              <w:rPr>
                <w:sz w:val="20"/>
                <w:szCs w:val="20"/>
                <w:color w:val="auto"/>
              </w:rPr>
            </w:pPr>
            <w:r>
              <w:rPr>
                <w:rFonts w:ascii="Arial" w:cs="Arial" w:eastAsia="Arial" w:hAnsi="Arial"/>
                <w:sz w:val="20"/>
                <w:szCs w:val="20"/>
                <w:color w:val="1E1E1E"/>
              </w:rPr>
              <w:t>†*</w:t>
            </w:r>
          </w:p>
        </w:tc>
        <w:tc>
          <w:tcPr>
            <w:tcW w:w="0" w:type="dxa"/>
            <w:vAlign w:val="bottom"/>
          </w:tcPr>
          <w:p>
            <w:pPr>
              <w:spacing w:after="0"/>
              <w:rPr>
                <w:sz w:val="1"/>
                <w:szCs w:val="1"/>
                <w:color w:val="auto"/>
              </w:rPr>
            </w:pPr>
          </w:p>
        </w:tc>
      </w:tr>
      <w:tr>
        <w:trPr>
          <w:trHeight w:val="120"/>
        </w:trPr>
        <w:tc>
          <w:tcPr>
            <w:tcW w:w="760" w:type="dxa"/>
            <w:vAlign w:val="bottom"/>
          </w:tcPr>
          <w:p>
            <w:pPr>
              <w:spacing w:after="0"/>
              <w:rPr>
                <w:sz w:val="10"/>
                <w:szCs w:val="10"/>
                <w:color w:val="auto"/>
              </w:rPr>
            </w:pPr>
          </w:p>
        </w:tc>
        <w:tc>
          <w:tcPr>
            <w:tcW w:w="952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6"/>
        </w:trPr>
        <w:tc>
          <w:tcPr>
            <w:tcW w:w="760" w:type="dxa"/>
            <w:vAlign w:val="bottom"/>
          </w:tcPr>
          <w:p>
            <w:pPr>
              <w:spacing w:after="0"/>
              <w:rPr>
                <w:sz w:val="20"/>
                <w:szCs w:val="20"/>
                <w:color w:val="auto"/>
              </w:rPr>
            </w:pPr>
            <w:r>
              <w:rPr>
                <w:rFonts w:ascii="Arial" w:cs="Arial" w:eastAsia="Arial" w:hAnsi="Arial"/>
                <w:sz w:val="20"/>
                <w:szCs w:val="20"/>
                <w:color w:val="1E1E1E"/>
              </w:rPr>
              <w:t>10.3</w:t>
            </w:r>
          </w:p>
        </w:tc>
        <w:tc>
          <w:tcPr>
            <w:tcW w:w="9520" w:type="dxa"/>
            <w:vAlign w:val="bottom"/>
          </w:tcPr>
          <w:p>
            <w:pPr>
              <w:ind w:left="320"/>
              <w:spacing w:after="0"/>
              <w:rPr>
                <w:sz w:val="20"/>
                <w:szCs w:val="20"/>
                <w:color w:val="auto"/>
              </w:rPr>
            </w:pPr>
            <w:r>
              <w:rPr>
                <w:rFonts w:ascii="Arial" w:cs="Arial" w:eastAsia="Arial" w:hAnsi="Arial"/>
                <w:sz w:val="20"/>
                <w:szCs w:val="20"/>
                <w:color w:val="1E1E1E"/>
                <w:w w:val="96"/>
              </w:rPr>
              <w:t>Form of Non-Qualified Option Agreement for Associates (included as Exhibit 10.3 to the Company’s Annual</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760" w:type="dxa"/>
            <w:vAlign w:val="bottom"/>
          </w:tcPr>
          <w:p>
            <w:pPr>
              <w:spacing w:after="0"/>
              <w:rPr>
                <w:sz w:val="23"/>
                <w:szCs w:val="23"/>
                <w:color w:val="auto"/>
              </w:rPr>
            </w:pPr>
          </w:p>
        </w:tc>
        <w:tc>
          <w:tcPr>
            <w:tcW w:w="9520" w:type="dxa"/>
            <w:vAlign w:val="bottom"/>
          </w:tcPr>
          <w:p>
            <w:pPr>
              <w:ind w:left="320"/>
              <w:spacing w:after="0"/>
              <w:rPr>
                <w:sz w:val="20"/>
                <w:szCs w:val="20"/>
                <w:color w:val="auto"/>
              </w:rPr>
            </w:pPr>
            <w:r>
              <w:rPr>
                <w:rFonts w:ascii="Arial" w:cs="Arial" w:eastAsia="Arial" w:hAnsi="Arial"/>
                <w:sz w:val="20"/>
                <w:szCs w:val="20"/>
                <w:color w:val="1E1E1E"/>
              </w:rPr>
              <w:t>Report on Form 10-K filed March 20, 2017, and incorporated herein by reference).</w:t>
            </w:r>
          </w:p>
        </w:tc>
        <w:tc>
          <w:tcPr>
            <w:tcW w:w="360" w:type="dxa"/>
            <w:vAlign w:val="bottom"/>
          </w:tcPr>
          <w:p>
            <w:pPr>
              <w:jc w:val="center"/>
              <w:ind w:left="40"/>
              <w:spacing w:after="0"/>
              <w:rPr>
                <w:sz w:val="20"/>
                <w:szCs w:val="20"/>
                <w:color w:val="auto"/>
              </w:rPr>
            </w:pPr>
            <w:r>
              <w:rPr>
                <w:rFonts w:ascii="Arial" w:cs="Arial" w:eastAsia="Arial" w:hAnsi="Arial"/>
                <w:sz w:val="20"/>
                <w:szCs w:val="20"/>
                <w:color w:val="1E1E1E"/>
                <w:w w:val="89"/>
              </w:rPr>
              <w:t>†</w:t>
            </w:r>
          </w:p>
        </w:tc>
        <w:tc>
          <w:tcPr>
            <w:tcW w:w="0" w:type="dxa"/>
            <w:vAlign w:val="bottom"/>
          </w:tcPr>
          <w:p>
            <w:pPr>
              <w:spacing w:after="0"/>
              <w:rPr>
                <w:sz w:val="1"/>
                <w:szCs w:val="1"/>
                <w:color w:val="auto"/>
              </w:rPr>
            </w:pPr>
          </w:p>
        </w:tc>
      </w:tr>
      <w:tr>
        <w:trPr>
          <w:trHeight w:val="347"/>
        </w:trPr>
        <w:tc>
          <w:tcPr>
            <w:tcW w:w="760" w:type="dxa"/>
            <w:vAlign w:val="bottom"/>
          </w:tcPr>
          <w:p>
            <w:pPr>
              <w:spacing w:after="0"/>
              <w:rPr>
                <w:sz w:val="20"/>
                <w:szCs w:val="20"/>
                <w:color w:val="auto"/>
              </w:rPr>
            </w:pPr>
            <w:r>
              <w:rPr>
                <w:rFonts w:ascii="Arial" w:cs="Arial" w:eastAsia="Arial" w:hAnsi="Arial"/>
                <w:sz w:val="20"/>
                <w:szCs w:val="20"/>
                <w:color w:val="1E1E1E"/>
              </w:rPr>
              <w:t>10.4</w:t>
            </w:r>
          </w:p>
        </w:tc>
        <w:tc>
          <w:tcPr>
            <w:tcW w:w="9520" w:type="dxa"/>
            <w:vAlign w:val="bottom"/>
          </w:tcPr>
          <w:p>
            <w:pPr>
              <w:ind w:left="320"/>
              <w:spacing w:after="0"/>
              <w:rPr>
                <w:sz w:val="20"/>
                <w:szCs w:val="20"/>
                <w:color w:val="auto"/>
              </w:rPr>
            </w:pPr>
            <w:r>
              <w:rPr>
                <w:rFonts w:ascii="Arial" w:cs="Arial" w:eastAsia="Arial" w:hAnsi="Arial"/>
                <w:sz w:val="20"/>
                <w:szCs w:val="20"/>
                <w:color w:val="1E1E1E"/>
                <w:w w:val="98"/>
              </w:rPr>
              <w:t>Form of Non-Qualified Option Agreement for Associates (pursuant to the Company’s Long-Term Incentive</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60" w:type="dxa"/>
            <w:vAlign w:val="bottom"/>
          </w:tcPr>
          <w:p>
            <w:pPr>
              <w:spacing w:after="0"/>
              <w:rPr>
                <w:sz w:val="19"/>
                <w:szCs w:val="19"/>
                <w:color w:val="auto"/>
              </w:rPr>
            </w:pPr>
          </w:p>
        </w:tc>
        <w:tc>
          <w:tcPr>
            <w:tcW w:w="9520" w:type="dxa"/>
            <w:vAlign w:val="bottom"/>
          </w:tcPr>
          <w:p>
            <w:pPr>
              <w:ind w:left="320"/>
              <w:spacing w:after="0" w:line="228" w:lineRule="exact"/>
              <w:rPr>
                <w:sz w:val="20"/>
                <w:szCs w:val="20"/>
                <w:color w:val="auto"/>
              </w:rPr>
            </w:pPr>
            <w:r>
              <w:rPr>
                <w:rFonts w:ascii="Arial" w:cs="Arial" w:eastAsia="Arial" w:hAnsi="Arial"/>
                <w:sz w:val="20"/>
                <w:szCs w:val="20"/>
                <w:color w:val="1E1E1E"/>
                <w:w w:val="93"/>
              </w:rPr>
              <w:t>Plan, as amended) (included as Exhibit 10.3 to the Company’s Quarterly Report on Form 10-Q filed August 27,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760" w:type="dxa"/>
            <w:vAlign w:val="bottom"/>
          </w:tcPr>
          <w:p>
            <w:pPr>
              <w:spacing w:after="0"/>
              <w:rPr>
                <w:sz w:val="24"/>
                <w:szCs w:val="24"/>
                <w:color w:val="auto"/>
              </w:rPr>
            </w:pPr>
          </w:p>
        </w:tc>
        <w:tc>
          <w:tcPr>
            <w:tcW w:w="9520" w:type="dxa"/>
            <w:vAlign w:val="bottom"/>
          </w:tcPr>
          <w:p>
            <w:pPr>
              <w:ind w:left="320"/>
              <w:spacing w:after="0"/>
              <w:rPr>
                <w:sz w:val="20"/>
                <w:szCs w:val="20"/>
                <w:color w:val="auto"/>
              </w:rPr>
            </w:pPr>
            <w:r>
              <w:rPr>
                <w:rFonts w:ascii="Arial" w:cs="Arial" w:eastAsia="Arial" w:hAnsi="Arial"/>
                <w:sz w:val="20"/>
                <w:szCs w:val="20"/>
                <w:color w:val="1E1E1E"/>
              </w:rPr>
              <w:t>2020, and incorporated herein by reference).</w:t>
            </w:r>
          </w:p>
        </w:tc>
        <w:tc>
          <w:tcPr>
            <w:tcW w:w="360" w:type="dxa"/>
            <w:vAlign w:val="bottom"/>
          </w:tcPr>
          <w:p>
            <w:pPr>
              <w:jc w:val="center"/>
              <w:ind w:left="40"/>
              <w:spacing w:after="0"/>
              <w:rPr>
                <w:sz w:val="20"/>
                <w:szCs w:val="20"/>
                <w:color w:val="auto"/>
              </w:rPr>
            </w:pPr>
            <w:r>
              <w:rPr>
                <w:rFonts w:ascii="Arial" w:cs="Arial" w:eastAsia="Arial" w:hAnsi="Arial"/>
                <w:sz w:val="20"/>
                <w:szCs w:val="20"/>
                <w:color w:val="1E1E1E"/>
                <w:w w:val="89"/>
              </w:rPr>
              <w:t>†</w:t>
            </w:r>
          </w:p>
        </w:tc>
        <w:tc>
          <w:tcPr>
            <w:tcW w:w="0" w:type="dxa"/>
            <w:vAlign w:val="bottom"/>
          </w:tcPr>
          <w:p>
            <w:pPr>
              <w:spacing w:after="0"/>
              <w:rPr>
                <w:sz w:val="1"/>
                <w:szCs w:val="1"/>
                <w:color w:val="auto"/>
              </w:rPr>
            </w:pPr>
          </w:p>
        </w:tc>
      </w:tr>
      <w:tr>
        <w:trPr>
          <w:trHeight w:val="345"/>
        </w:trPr>
        <w:tc>
          <w:tcPr>
            <w:tcW w:w="760" w:type="dxa"/>
            <w:vAlign w:val="bottom"/>
          </w:tcPr>
          <w:p>
            <w:pPr>
              <w:spacing w:after="0"/>
              <w:rPr>
                <w:sz w:val="20"/>
                <w:szCs w:val="20"/>
                <w:color w:val="auto"/>
              </w:rPr>
            </w:pPr>
            <w:r>
              <w:rPr>
                <w:rFonts w:ascii="Arial" w:cs="Arial" w:eastAsia="Arial" w:hAnsi="Arial"/>
                <w:sz w:val="20"/>
                <w:szCs w:val="20"/>
                <w:color w:val="1E1E1E"/>
              </w:rPr>
              <w:t>10.5</w:t>
            </w:r>
          </w:p>
        </w:tc>
        <w:tc>
          <w:tcPr>
            <w:tcW w:w="9520" w:type="dxa"/>
            <w:vAlign w:val="bottom"/>
          </w:tcPr>
          <w:p>
            <w:pPr>
              <w:ind w:left="320"/>
              <w:spacing w:after="0"/>
              <w:rPr>
                <w:sz w:val="20"/>
                <w:szCs w:val="20"/>
                <w:color w:val="auto"/>
              </w:rPr>
            </w:pPr>
            <w:r>
              <w:rPr>
                <w:rFonts w:ascii="Arial" w:cs="Arial" w:eastAsia="Arial" w:hAnsi="Arial"/>
                <w:sz w:val="20"/>
                <w:szCs w:val="20"/>
                <w:color w:val="1E1E1E"/>
                <w:w w:val="94"/>
              </w:rPr>
              <w:t>Form of Restricted Stock Agreement for Associates (included as Exhibit 10.5 to the Company’s Annual Report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760" w:type="dxa"/>
            <w:vAlign w:val="bottom"/>
          </w:tcPr>
          <w:p>
            <w:pPr>
              <w:spacing w:after="0"/>
              <w:rPr>
                <w:sz w:val="24"/>
                <w:szCs w:val="24"/>
                <w:color w:val="auto"/>
              </w:rPr>
            </w:pPr>
          </w:p>
        </w:tc>
        <w:tc>
          <w:tcPr>
            <w:tcW w:w="9520" w:type="dxa"/>
            <w:vAlign w:val="bottom"/>
          </w:tcPr>
          <w:p>
            <w:pPr>
              <w:ind w:left="320"/>
              <w:spacing w:after="0"/>
              <w:rPr>
                <w:sz w:val="20"/>
                <w:szCs w:val="20"/>
                <w:color w:val="auto"/>
              </w:rPr>
            </w:pPr>
            <w:r>
              <w:rPr>
                <w:rFonts w:ascii="Arial" w:cs="Arial" w:eastAsia="Arial" w:hAnsi="Arial"/>
                <w:sz w:val="20"/>
                <w:szCs w:val="20"/>
                <w:color w:val="1E1E1E"/>
              </w:rPr>
              <w:t>on Form 10-K filed March 20, 2017, and incorporated herein by reference).</w:t>
            </w:r>
          </w:p>
        </w:tc>
        <w:tc>
          <w:tcPr>
            <w:tcW w:w="360" w:type="dxa"/>
            <w:vAlign w:val="bottom"/>
          </w:tcPr>
          <w:p>
            <w:pPr>
              <w:jc w:val="center"/>
              <w:ind w:left="40"/>
              <w:spacing w:after="0"/>
              <w:rPr>
                <w:sz w:val="20"/>
                <w:szCs w:val="20"/>
                <w:color w:val="auto"/>
              </w:rPr>
            </w:pPr>
            <w:r>
              <w:rPr>
                <w:rFonts w:ascii="Arial" w:cs="Arial" w:eastAsia="Arial" w:hAnsi="Arial"/>
                <w:sz w:val="20"/>
                <w:szCs w:val="20"/>
                <w:color w:val="1E1E1E"/>
                <w:w w:val="89"/>
              </w:rPr>
              <w:t>†</w:t>
            </w:r>
          </w:p>
        </w:tc>
        <w:tc>
          <w:tcPr>
            <w:tcW w:w="0" w:type="dxa"/>
            <w:vAlign w:val="bottom"/>
          </w:tcPr>
          <w:p>
            <w:pPr>
              <w:spacing w:after="0"/>
              <w:rPr>
                <w:sz w:val="1"/>
                <w:szCs w:val="1"/>
                <w:color w:val="auto"/>
              </w:rPr>
            </w:pPr>
          </w:p>
        </w:tc>
      </w:tr>
      <w:tr>
        <w:trPr>
          <w:trHeight w:val="364"/>
        </w:trPr>
        <w:tc>
          <w:tcPr>
            <w:tcW w:w="760" w:type="dxa"/>
            <w:vAlign w:val="bottom"/>
          </w:tcPr>
          <w:p>
            <w:pPr>
              <w:spacing w:after="0"/>
              <w:rPr>
                <w:sz w:val="20"/>
                <w:szCs w:val="20"/>
                <w:color w:val="auto"/>
              </w:rPr>
            </w:pPr>
            <w:r>
              <w:rPr>
                <w:rFonts w:ascii="Arial" w:cs="Arial" w:eastAsia="Arial" w:hAnsi="Arial"/>
                <w:sz w:val="20"/>
                <w:szCs w:val="20"/>
                <w:color w:val="1E1E1E"/>
              </w:rPr>
              <w:t>10.6</w:t>
            </w:r>
          </w:p>
        </w:tc>
        <w:tc>
          <w:tcPr>
            <w:tcW w:w="9520" w:type="dxa"/>
            <w:vAlign w:val="bottom"/>
          </w:tcPr>
          <w:p>
            <w:pPr>
              <w:ind w:left="320"/>
              <w:spacing w:after="0"/>
              <w:rPr>
                <w:sz w:val="20"/>
                <w:szCs w:val="20"/>
                <w:color w:val="auto"/>
              </w:rPr>
            </w:pPr>
            <w:r>
              <w:rPr>
                <w:rFonts w:ascii="Arial" w:cs="Arial" w:eastAsia="Arial" w:hAnsi="Arial"/>
                <w:sz w:val="20"/>
                <w:szCs w:val="20"/>
                <w:color w:val="1E1E1E"/>
                <w:w w:val="96"/>
              </w:rPr>
              <w:t>Form of Restricted Stock Agreement for Associates (pursuant to the Company’s Long-Term Incentive Plan)</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60" w:type="dxa"/>
            <w:vAlign w:val="bottom"/>
          </w:tcPr>
          <w:p>
            <w:pPr>
              <w:spacing w:after="0"/>
              <w:rPr>
                <w:sz w:val="19"/>
                <w:szCs w:val="19"/>
                <w:color w:val="auto"/>
              </w:rPr>
            </w:pPr>
          </w:p>
        </w:tc>
        <w:tc>
          <w:tcPr>
            <w:tcW w:w="9520" w:type="dxa"/>
            <w:vAlign w:val="bottom"/>
          </w:tcPr>
          <w:p>
            <w:pPr>
              <w:ind w:left="320"/>
              <w:spacing w:after="0" w:line="228" w:lineRule="exact"/>
              <w:rPr>
                <w:sz w:val="20"/>
                <w:szCs w:val="20"/>
                <w:color w:val="auto"/>
              </w:rPr>
            </w:pPr>
            <w:r>
              <w:rPr>
                <w:rFonts w:ascii="Arial" w:cs="Arial" w:eastAsia="Arial" w:hAnsi="Arial"/>
                <w:sz w:val="20"/>
                <w:szCs w:val="20"/>
                <w:color w:val="1E1E1E"/>
              </w:rPr>
              <w:t>(included as Exhibit 10.6 to the Company’s Annual Report on Form 10-K filed March 20, 2017, and</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760" w:type="dxa"/>
            <w:vAlign w:val="bottom"/>
          </w:tcPr>
          <w:p>
            <w:pPr>
              <w:spacing w:after="0"/>
              <w:rPr>
                <w:sz w:val="24"/>
                <w:szCs w:val="24"/>
                <w:color w:val="auto"/>
              </w:rPr>
            </w:pPr>
          </w:p>
        </w:tc>
        <w:tc>
          <w:tcPr>
            <w:tcW w:w="9520" w:type="dxa"/>
            <w:vAlign w:val="bottom"/>
          </w:tcPr>
          <w:p>
            <w:pPr>
              <w:ind w:left="320"/>
              <w:spacing w:after="0"/>
              <w:rPr>
                <w:sz w:val="20"/>
                <w:szCs w:val="20"/>
                <w:color w:val="auto"/>
              </w:rPr>
            </w:pPr>
            <w:r>
              <w:rPr>
                <w:rFonts w:ascii="Arial" w:cs="Arial" w:eastAsia="Arial" w:hAnsi="Arial"/>
                <w:sz w:val="20"/>
                <w:szCs w:val="20"/>
                <w:color w:val="1E1E1E"/>
              </w:rPr>
              <w:t>incorporated herein by reference).</w:t>
            </w:r>
          </w:p>
        </w:tc>
        <w:tc>
          <w:tcPr>
            <w:tcW w:w="360" w:type="dxa"/>
            <w:vAlign w:val="bottom"/>
          </w:tcPr>
          <w:p>
            <w:pPr>
              <w:jc w:val="center"/>
              <w:ind w:left="40"/>
              <w:spacing w:after="0"/>
              <w:rPr>
                <w:sz w:val="20"/>
                <w:szCs w:val="20"/>
                <w:color w:val="auto"/>
              </w:rPr>
            </w:pPr>
            <w:r>
              <w:rPr>
                <w:rFonts w:ascii="Arial" w:cs="Arial" w:eastAsia="Arial" w:hAnsi="Arial"/>
                <w:sz w:val="20"/>
                <w:szCs w:val="20"/>
                <w:color w:val="1E1E1E"/>
                <w:w w:val="89"/>
              </w:rPr>
              <w:t>†</w:t>
            </w:r>
          </w:p>
        </w:tc>
        <w:tc>
          <w:tcPr>
            <w:tcW w:w="0" w:type="dxa"/>
            <w:vAlign w:val="bottom"/>
          </w:tcPr>
          <w:p>
            <w:pPr>
              <w:spacing w:after="0"/>
              <w:rPr>
                <w:sz w:val="1"/>
                <w:szCs w:val="1"/>
                <w:color w:val="auto"/>
              </w:rPr>
            </w:pPr>
          </w:p>
        </w:tc>
      </w:tr>
      <w:tr>
        <w:trPr>
          <w:trHeight w:val="364"/>
        </w:trPr>
        <w:tc>
          <w:tcPr>
            <w:tcW w:w="760" w:type="dxa"/>
            <w:vAlign w:val="bottom"/>
          </w:tcPr>
          <w:p>
            <w:pPr>
              <w:spacing w:after="0"/>
              <w:rPr>
                <w:sz w:val="20"/>
                <w:szCs w:val="20"/>
                <w:color w:val="auto"/>
              </w:rPr>
            </w:pPr>
            <w:r>
              <w:rPr>
                <w:rFonts w:ascii="Arial" w:cs="Arial" w:eastAsia="Arial" w:hAnsi="Arial"/>
                <w:sz w:val="20"/>
                <w:szCs w:val="20"/>
                <w:color w:val="1E1E1E"/>
              </w:rPr>
              <w:t>10.7</w:t>
            </w:r>
          </w:p>
        </w:tc>
        <w:tc>
          <w:tcPr>
            <w:tcW w:w="9520" w:type="dxa"/>
            <w:vAlign w:val="bottom"/>
          </w:tcPr>
          <w:p>
            <w:pPr>
              <w:ind w:left="320"/>
              <w:spacing w:after="0"/>
              <w:rPr>
                <w:sz w:val="20"/>
                <w:szCs w:val="20"/>
                <w:color w:val="auto"/>
              </w:rPr>
            </w:pPr>
            <w:r>
              <w:rPr>
                <w:rFonts w:ascii="Arial" w:cs="Arial" w:eastAsia="Arial" w:hAnsi="Arial"/>
                <w:sz w:val="20"/>
                <w:szCs w:val="20"/>
                <w:color w:val="1E1E1E"/>
                <w:w w:val="96"/>
              </w:rPr>
              <w:t>Form of Restricted Stock Unit Agreement for Associates (included as Exhibit 10.7 to the Company’s Annual</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760" w:type="dxa"/>
            <w:vAlign w:val="bottom"/>
          </w:tcPr>
          <w:p>
            <w:pPr>
              <w:spacing w:after="0"/>
              <w:rPr>
                <w:sz w:val="23"/>
                <w:szCs w:val="23"/>
                <w:color w:val="auto"/>
              </w:rPr>
            </w:pPr>
          </w:p>
        </w:tc>
        <w:tc>
          <w:tcPr>
            <w:tcW w:w="9520" w:type="dxa"/>
            <w:vAlign w:val="bottom"/>
          </w:tcPr>
          <w:p>
            <w:pPr>
              <w:ind w:left="320"/>
              <w:spacing w:after="0"/>
              <w:rPr>
                <w:sz w:val="20"/>
                <w:szCs w:val="20"/>
                <w:color w:val="auto"/>
              </w:rPr>
            </w:pPr>
            <w:r>
              <w:rPr>
                <w:rFonts w:ascii="Arial" w:cs="Arial" w:eastAsia="Arial" w:hAnsi="Arial"/>
                <w:sz w:val="20"/>
                <w:szCs w:val="20"/>
                <w:color w:val="1E1E1E"/>
              </w:rPr>
              <w:t>Report on Form 10-K filed March 20, 2017, and incorporated herein by reference).</w:t>
            </w:r>
          </w:p>
        </w:tc>
        <w:tc>
          <w:tcPr>
            <w:tcW w:w="360" w:type="dxa"/>
            <w:vAlign w:val="bottom"/>
          </w:tcPr>
          <w:p>
            <w:pPr>
              <w:jc w:val="center"/>
              <w:ind w:left="40"/>
              <w:spacing w:after="0"/>
              <w:rPr>
                <w:sz w:val="20"/>
                <w:szCs w:val="20"/>
                <w:color w:val="auto"/>
              </w:rPr>
            </w:pPr>
            <w:r>
              <w:rPr>
                <w:rFonts w:ascii="Arial" w:cs="Arial" w:eastAsia="Arial" w:hAnsi="Arial"/>
                <w:sz w:val="20"/>
                <w:szCs w:val="20"/>
                <w:color w:val="1E1E1E"/>
                <w:w w:val="89"/>
              </w:rPr>
              <w:t>†</w:t>
            </w:r>
          </w:p>
        </w:tc>
        <w:tc>
          <w:tcPr>
            <w:tcW w:w="0" w:type="dxa"/>
            <w:vAlign w:val="bottom"/>
          </w:tcPr>
          <w:p>
            <w:pPr>
              <w:spacing w:after="0"/>
              <w:rPr>
                <w:sz w:val="1"/>
                <w:szCs w:val="1"/>
                <w:color w:val="auto"/>
              </w:rPr>
            </w:pPr>
          </w:p>
        </w:tc>
      </w:tr>
      <w:tr>
        <w:trPr>
          <w:trHeight w:val="347"/>
        </w:trPr>
        <w:tc>
          <w:tcPr>
            <w:tcW w:w="760" w:type="dxa"/>
            <w:vAlign w:val="bottom"/>
          </w:tcPr>
          <w:p>
            <w:pPr>
              <w:spacing w:after="0"/>
              <w:rPr>
                <w:sz w:val="20"/>
                <w:szCs w:val="20"/>
                <w:color w:val="auto"/>
              </w:rPr>
            </w:pPr>
            <w:r>
              <w:rPr>
                <w:rFonts w:ascii="Arial" w:cs="Arial" w:eastAsia="Arial" w:hAnsi="Arial"/>
                <w:sz w:val="20"/>
                <w:szCs w:val="20"/>
                <w:color w:val="1E1E1E"/>
              </w:rPr>
              <w:t>10.8</w:t>
            </w:r>
          </w:p>
        </w:tc>
        <w:tc>
          <w:tcPr>
            <w:tcW w:w="9520" w:type="dxa"/>
            <w:vAlign w:val="bottom"/>
          </w:tcPr>
          <w:p>
            <w:pPr>
              <w:ind w:left="320"/>
              <w:spacing w:after="0"/>
              <w:rPr>
                <w:sz w:val="20"/>
                <w:szCs w:val="20"/>
                <w:color w:val="auto"/>
              </w:rPr>
            </w:pPr>
            <w:r>
              <w:rPr>
                <w:rFonts w:ascii="Arial" w:cs="Arial" w:eastAsia="Arial" w:hAnsi="Arial"/>
                <w:sz w:val="20"/>
                <w:szCs w:val="20"/>
                <w:color w:val="1E1E1E"/>
                <w:w w:val="92"/>
              </w:rPr>
              <w:t>Form of Restricted Stock Unit Agreement for Associates (pursuant to the Company’s Long-Term Incentive Plan)</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60" w:type="dxa"/>
            <w:vAlign w:val="bottom"/>
          </w:tcPr>
          <w:p>
            <w:pPr>
              <w:spacing w:after="0"/>
              <w:rPr>
                <w:sz w:val="19"/>
                <w:szCs w:val="19"/>
                <w:color w:val="auto"/>
              </w:rPr>
            </w:pPr>
          </w:p>
        </w:tc>
        <w:tc>
          <w:tcPr>
            <w:tcW w:w="9520" w:type="dxa"/>
            <w:vAlign w:val="bottom"/>
          </w:tcPr>
          <w:p>
            <w:pPr>
              <w:ind w:left="320"/>
              <w:spacing w:after="0" w:line="229" w:lineRule="exact"/>
              <w:rPr>
                <w:sz w:val="20"/>
                <w:szCs w:val="20"/>
                <w:color w:val="auto"/>
              </w:rPr>
            </w:pPr>
            <w:r>
              <w:rPr>
                <w:rFonts w:ascii="Arial" w:cs="Arial" w:eastAsia="Arial" w:hAnsi="Arial"/>
                <w:sz w:val="20"/>
                <w:szCs w:val="20"/>
                <w:color w:val="1E1E1E"/>
              </w:rPr>
              <w:t>(included as Exhibit 10.8 to the Company’s Annual Report on Form 10-K filed March 20, 2017, and</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760" w:type="dxa"/>
            <w:vAlign w:val="bottom"/>
          </w:tcPr>
          <w:p>
            <w:pPr>
              <w:spacing w:after="0"/>
              <w:rPr>
                <w:sz w:val="23"/>
                <w:szCs w:val="23"/>
                <w:color w:val="auto"/>
              </w:rPr>
            </w:pPr>
          </w:p>
        </w:tc>
        <w:tc>
          <w:tcPr>
            <w:tcW w:w="9520" w:type="dxa"/>
            <w:vAlign w:val="bottom"/>
          </w:tcPr>
          <w:p>
            <w:pPr>
              <w:ind w:left="320"/>
              <w:spacing w:after="0"/>
              <w:rPr>
                <w:sz w:val="20"/>
                <w:szCs w:val="20"/>
                <w:color w:val="auto"/>
              </w:rPr>
            </w:pPr>
            <w:r>
              <w:rPr>
                <w:rFonts w:ascii="Arial" w:cs="Arial" w:eastAsia="Arial" w:hAnsi="Arial"/>
                <w:sz w:val="20"/>
                <w:szCs w:val="20"/>
                <w:color w:val="1E1E1E"/>
              </w:rPr>
              <w:t>incorporated herein by reference).</w:t>
            </w:r>
          </w:p>
        </w:tc>
        <w:tc>
          <w:tcPr>
            <w:tcW w:w="360" w:type="dxa"/>
            <w:vAlign w:val="bottom"/>
          </w:tcPr>
          <w:p>
            <w:pPr>
              <w:jc w:val="center"/>
              <w:ind w:left="40"/>
              <w:spacing w:after="0"/>
              <w:rPr>
                <w:sz w:val="20"/>
                <w:szCs w:val="20"/>
                <w:color w:val="auto"/>
              </w:rPr>
            </w:pPr>
            <w:r>
              <w:rPr>
                <w:rFonts w:ascii="Arial" w:cs="Arial" w:eastAsia="Arial" w:hAnsi="Arial"/>
                <w:sz w:val="20"/>
                <w:szCs w:val="20"/>
                <w:color w:val="1E1E1E"/>
                <w:w w:val="89"/>
              </w:rPr>
              <w:t>†</w:t>
            </w:r>
          </w:p>
        </w:tc>
        <w:tc>
          <w:tcPr>
            <w:tcW w:w="0" w:type="dxa"/>
            <w:vAlign w:val="bottom"/>
          </w:tcPr>
          <w:p>
            <w:pPr>
              <w:spacing w:after="0"/>
              <w:rPr>
                <w:sz w:val="1"/>
                <w:szCs w:val="1"/>
                <w:color w:val="auto"/>
              </w:rPr>
            </w:pPr>
          </w:p>
        </w:tc>
      </w:tr>
      <w:tr>
        <w:trPr>
          <w:trHeight w:val="326"/>
        </w:trPr>
        <w:tc>
          <w:tcPr>
            <w:tcW w:w="760" w:type="dxa"/>
            <w:vAlign w:val="bottom"/>
          </w:tcPr>
          <w:p>
            <w:pPr>
              <w:spacing w:after="0"/>
              <w:rPr>
                <w:sz w:val="20"/>
                <w:szCs w:val="20"/>
                <w:color w:val="auto"/>
              </w:rPr>
            </w:pPr>
            <w:r>
              <w:rPr>
                <w:rFonts w:ascii="Arial" w:cs="Arial" w:eastAsia="Arial" w:hAnsi="Arial"/>
                <w:sz w:val="20"/>
                <w:szCs w:val="20"/>
                <w:color w:val="1E1E1E"/>
              </w:rPr>
              <w:t>10.9</w:t>
            </w:r>
          </w:p>
        </w:tc>
        <w:tc>
          <w:tcPr>
            <w:tcW w:w="9520" w:type="dxa"/>
            <w:vAlign w:val="bottom"/>
          </w:tcPr>
          <w:p>
            <w:pPr>
              <w:ind w:left="320"/>
              <w:spacing w:after="0"/>
              <w:rPr>
                <w:sz w:val="20"/>
                <w:szCs w:val="20"/>
                <w:color w:val="auto"/>
              </w:rPr>
            </w:pPr>
            <w:r>
              <w:rPr>
                <w:rFonts w:ascii="Arial" w:cs="Arial" w:eastAsia="Arial" w:hAnsi="Arial"/>
                <w:sz w:val="20"/>
                <w:szCs w:val="20"/>
                <w:color w:val="1E1E1E"/>
              </w:rPr>
              <w:t>Form of Deferred Stock Award Agreement for Non-Employee Directors (included as Exhibit 10.9 to the</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760" w:type="dxa"/>
            <w:vAlign w:val="bottom"/>
          </w:tcPr>
          <w:p>
            <w:pPr>
              <w:spacing w:after="0"/>
              <w:rPr>
                <w:sz w:val="23"/>
                <w:szCs w:val="23"/>
                <w:color w:val="auto"/>
              </w:rPr>
            </w:pPr>
          </w:p>
        </w:tc>
        <w:tc>
          <w:tcPr>
            <w:tcW w:w="9520" w:type="dxa"/>
            <w:vAlign w:val="bottom"/>
          </w:tcPr>
          <w:p>
            <w:pPr>
              <w:ind w:left="320"/>
              <w:spacing w:after="0"/>
              <w:rPr>
                <w:sz w:val="20"/>
                <w:szCs w:val="20"/>
                <w:color w:val="auto"/>
              </w:rPr>
            </w:pPr>
            <w:r>
              <w:rPr>
                <w:rFonts w:ascii="Arial" w:cs="Arial" w:eastAsia="Arial" w:hAnsi="Arial"/>
                <w:sz w:val="20"/>
                <w:szCs w:val="20"/>
                <w:color w:val="1E1E1E"/>
              </w:rPr>
              <w:t>Company’s Annual Report on Form 10-K filed March 20, 2017, and incorporated herein by reference).</w:t>
            </w:r>
          </w:p>
        </w:tc>
        <w:tc>
          <w:tcPr>
            <w:tcW w:w="360" w:type="dxa"/>
            <w:vAlign w:val="bottom"/>
          </w:tcPr>
          <w:p>
            <w:pPr>
              <w:jc w:val="center"/>
              <w:ind w:left="40"/>
              <w:spacing w:after="0"/>
              <w:rPr>
                <w:sz w:val="20"/>
                <w:szCs w:val="20"/>
                <w:color w:val="auto"/>
              </w:rPr>
            </w:pPr>
            <w:r>
              <w:rPr>
                <w:rFonts w:ascii="Arial" w:cs="Arial" w:eastAsia="Arial" w:hAnsi="Arial"/>
                <w:sz w:val="20"/>
                <w:szCs w:val="20"/>
                <w:color w:val="1E1E1E"/>
                <w:w w:val="89"/>
              </w:rPr>
              <w:t>†</w:t>
            </w:r>
          </w:p>
        </w:tc>
        <w:tc>
          <w:tcPr>
            <w:tcW w:w="0" w:type="dxa"/>
            <w:vAlign w:val="bottom"/>
          </w:tcPr>
          <w:p>
            <w:pPr>
              <w:spacing w:after="0"/>
              <w:rPr>
                <w:sz w:val="1"/>
                <w:szCs w:val="1"/>
                <w:color w:val="auto"/>
              </w:rPr>
            </w:pPr>
          </w:p>
        </w:tc>
      </w:tr>
      <w:tr>
        <w:trPr>
          <w:trHeight w:val="326"/>
        </w:trPr>
        <w:tc>
          <w:tcPr>
            <w:tcW w:w="760" w:type="dxa"/>
            <w:vAlign w:val="bottom"/>
          </w:tcPr>
          <w:p>
            <w:pPr>
              <w:spacing w:after="0"/>
              <w:rPr>
                <w:sz w:val="20"/>
                <w:szCs w:val="20"/>
                <w:color w:val="auto"/>
              </w:rPr>
            </w:pPr>
            <w:r>
              <w:rPr>
                <w:rFonts w:ascii="Arial" w:cs="Arial" w:eastAsia="Arial" w:hAnsi="Arial"/>
                <w:sz w:val="20"/>
                <w:szCs w:val="20"/>
                <w:color w:val="1E1E1E"/>
              </w:rPr>
              <w:t>10.10</w:t>
            </w:r>
          </w:p>
        </w:tc>
        <w:tc>
          <w:tcPr>
            <w:tcW w:w="9520" w:type="dxa"/>
            <w:vAlign w:val="bottom"/>
          </w:tcPr>
          <w:p>
            <w:pPr>
              <w:ind w:left="320"/>
              <w:spacing w:after="0"/>
              <w:rPr>
                <w:sz w:val="20"/>
                <w:szCs w:val="20"/>
                <w:color w:val="auto"/>
              </w:rPr>
            </w:pPr>
            <w:r>
              <w:rPr>
                <w:rFonts w:ascii="Arial" w:cs="Arial" w:eastAsia="Arial" w:hAnsi="Arial"/>
                <w:sz w:val="20"/>
                <w:szCs w:val="20"/>
                <w:color w:val="1E1E1E"/>
                <w:w w:val="97"/>
              </w:rPr>
              <w:t>Sixth Amended and Restated Non-Employee Director Compensation Plan (included as Exhibit 10.11 to the</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760" w:type="dxa"/>
            <w:vAlign w:val="bottom"/>
          </w:tcPr>
          <w:p>
            <w:pPr>
              <w:spacing w:after="0"/>
              <w:rPr>
                <w:sz w:val="23"/>
                <w:szCs w:val="23"/>
                <w:color w:val="auto"/>
              </w:rPr>
            </w:pPr>
          </w:p>
        </w:tc>
        <w:tc>
          <w:tcPr>
            <w:tcW w:w="9520" w:type="dxa"/>
            <w:vAlign w:val="bottom"/>
          </w:tcPr>
          <w:p>
            <w:pPr>
              <w:ind w:left="320"/>
              <w:spacing w:after="0"/>
              <w:rPr>
                <w:sz w:val="20"/>
                <w:szCs w:val="20"/>
                <w:color w:val="auto"/>
              </w:rPr>
            </w:pPr>
            <w:r>
              <w:rPr>
                <w:rFonts w:ascii="Arial" w:cs="Arial" w:eastAsia="Arial" w:hAnsi="Arial"/>
                <w:sz w:val="20"/>
                <w:szCs w:val="20"/>
                <w:color w:val="1E1E1E"/>
              </w:rPr>
              <w:t>Company’s Annual Report on Form 10-K filed March 17, 2022, and incorporated herein by reference).</w:t>
            </w:r>
          </w:p>
        </w:tc>
        <w:tc>
          <w:tcPr>
            <w:tcW w:w="360" w:type="dxa"/>
            <w:vAlign w:val="bottom"/>
          </w:tcPr>
          <w:p>
            <w:pPr>
              <w:jc w:val="center"/>
              <w:ind w:left="40"/>
              <w:spacing w:after="0"/>
              <w:rPr>
                <w:sz w:val="20"/>
                <w:szCs w:val="20"/>
                <w:color w:val="auto"/>
              </w:rPr>
            </w:pPr>
            <w:r>
              <w:rPr>
                <w:rFonts w:ascii="Arial" w:cs="Arial" w:eastAsia="Arial" w:hAnsi="Arial"/>
                <w:sz w:val="20"/>
                <w:szCs w:val="20"/>
                <w:color w:val="1E1E1E"/>
                <w:w w:val="89"/>
              </w:rPr>
              <w:t>†</w:t>
            </w:r>
          </w:p>
        </w:tc>
        <w:tc>
          <w:tcPr>
            <w:tcW w:w="0" w:type="dxa"/>
            <w:vAlign w:val="bottom"/>
          </w:tcPr>
          <w:p>
            <w:pPr>
              <w:spacing w:after="0"/>
              <w:rPr>
                <w:sz w:val="1"/>
                <w:szCs w:val="1"/>
                <w:color w:val="auto"/>
              </w:rPr>
            </w:pPr>
          </w:p>
        </w:tc>
      </w:tr>
      <w:tr>
        <w:trPr>
          <w:trHeight w:val="365"/>
        </w:trPr>
        <w:tc>
          <w:tcPr>
            <w:tcW w:w="760" w:type="dxa"/>
            <w:vAlign w:val="bottom"/>
          </w:tcPr>
          <w:p>
            <w:pPr>
              <w:spacing w:after="0"/>
              <w:rPr>
                <w:sz w:val="20"/>
                <w:szCs w:val="20"/>
                <w:color w:val="auto"/>
              </w:rPr>
            </w:pPr>
            <w:r>
              <w:rPr>
                <w:rFonts w:ascii="Arial" w:cs="Arial" w:eastAsia="Arial" w:hAnsi="Arial"/>
                <w:sz w:val="20"/>
                <w:szCs w:val="20"/>
                <w:color w:val="1E1E1E"/>
              </w:rPr>
              <w:t>10.11</w:t>
            </w:r>
          </w:p>
        </w:tc>
        <w:tc>
          <w:tcPr>
            <w:tcW w:w="9520" w:type="dxa"/>
            <w:vAlign w:val="bottom"/>
          </w:tcPr>
          <w:p>
            <w:pPr>
              <w:ind w:left="320"/>
              <w:spacing w:after="0"/>
              <w:rPr>
                <w:sz w:val="20"/>
                <w:szCs w:val="20"/>
                <w:color w:val="auto"/>
              </w:rPr>
            </w:pPr>
            <w:r>
              <w:rPr>
                <w:rFonts w:ascii="Arial" w:cs="Arial" w:eastAsia="Arial" w:hAnsi="Arial"/>
                <w:sz w:val="20"/>
                <w:szCs w:val="20"/>
                <w:color w:val="1E1E1E"/>
              </w:rPr>
              <w:t>Seventh Amended and Restated Non-Employee Director Compensation Plan.</w:t>
            </w:r>
          </w:p>
        </w:tc>
        <w:tc>
          <w:tcPr>
            <w:tcW w:w="360" w:type="dxa"/>
            <w:vAlign w:val="bottom"/>
          </w:tcPr>
          <w:p>
            <w:pPr>
              <w:jc w:val="center"/>
              <w:ind w:left="60"/>
              <w:spacing w:after="0"/>
              <w:rPr>
                <w:sz w:val="20"/>
                <w:szCs w:val="20"/>
                <w:color w:val="auto"/>
              </w:rPr>
            </w:pPr>
            <w:r>
              <w:rPr>
                <w:rFonts w:ascii="Arial" w:cs="Arial" w:eastAsia="Arial" w:hAnsi="Arial"/>
                <w:sz w:val="20"/>
                <w:szCs w:val="20"/>
                <w:color w:val="1E1E1E"/>
              </w:rPr>
              <w:t>†*</w:t>
            </w:r>
          </w:p>
        </w:tc>
        <w:tc>
          <w:tcPr>
            <w:tcW w:w="0" w:type="dxa"/>
            <w:vAlign w:val="bottom"/>
          </w:tcPr>
          <w:p>
            <w:pPr>
              <w:spacing w:after="0"/>
              <w:rPr>
                <w:sz w:val="1"/>
                <w:szCs w:val="1"/>
                <w:color w:val="auto"/>
              </w:rPr>
            </w:pPr>
          </w:p>
        </w:tc>
      </w:tr>
      <w:tr>
        <w:trPr>
          <w:trHeight w:val="347"/>
        </w:trPr>
        <w:tc>
          <w:tcPr>
            <w:tcW w:w="760" w:type="dxa"/>
            <w:vAlign w:val="bottom"/>
          </w:tcPr>
          <w:p>
            <w:pPr>
              <w:spacing w:after="0"/>
              <w:rPr>
                <w:sz w:val="20"/>
                <w:szCs w:val="20"/>
                <w:color w:val="auto"/>
              </w:rPr>
            </w:pPr>
            <w:r>
              <w:rPr>
                <w:rFonts w:ascii="Arial" w:cs="Arial" w:eastAsia="Arial" w:hAnsi="Arial"/>
                <w:sz w:val="20"/>
                <w:szCs w:val="20"/>
                <w:color w:val="1E1E1E"/>
              </w:rPr>
              <w:t>10.12</w:t>
            </w:r>
          </w:p>
        </w:tc>
        <w:tc>
          <w:tcPr>
            <w:tcW w:w="9520" w:type="dxa"/>
            <w:vAlign w:val="bottom"/>
          </w:tcPr>
          <w:p>
            <w:pPr>
              <w:ind w:left="320"/>
              <w:spacing w:after="0"/>
              <w:rPr>
                <w:sz w:val="20"/>
                <w:szCs w:val="20"/>
                <w:color w:val="auto"/>
              </w:rPr>
            </w:pPr>
            <w:r>
              <w:rPr>
                <w:rFonts w:ascii="Arial" w:cs="Arial" w:eastAsia="Arial" w:hAnsi="Arial"/>
                <w:sz w:val="20"/>
                <w:szCs w:val="20"/>
                <w:color w:val="1E1E1E"/>
                <w:w w:val="96"/>
              </w:rPr>
              <w:t>Credit Agreement dated October 28, 2021, by and among Citizens Bank, N.A., as Administrative Agent and</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60" w:type="dxa"/>
            <w:vAlign w:val="bottom"/>
          </w:tcPr>
          <w:p>
            <w:pPr>
              <w:spacing w:after="0"/>
              <w:rPr>
                <w:sz w:val="19"/>
                <w:szCs w:val="19"/>
                <w:color w:val="auto"/>
              </w:rPr>
            </w:pPr>
          </w:p>
        </w:tc>
        <w:tc>
          <w:tcPr>
            <w:tcW w:w="9520" w:type="dxa"/>
            <w:vAlign w:val="bottom"/>
          </w:tcPr>
          <w:p>
            <w:pPr>
              <w:ind w:left="320"/>
              <w:spacing w:after="0" w:line="228" w:lineRule="exact"/>
              <w:rPr>
                <w:sz w:val="20"/>
                <w:szCs w:val="20"/>
                <w:color w:val="auto"/>
              </w:rPr>
            </w:pPr>
            <w:r>
              <w:rPr>
                <w:rFonts w:ascii="Arial" w:cs="Arial" w:eastAsia="Arial" w:hAnsi="Arial"/>
                <w:sz w:val="20"/>
                <w:szCs w:val="20"/>
                <w:color w:val="1E1E1E"/>
                <w:w w:val="97"/>
              </w:rPr>
              <w:t>Collateral Agent, Other Lenders identified therein, the Company, as lead borrower, and the Borrowers and</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60" w:type="dxa"/>
            <w:vAlign w:val="bottom"/>
          </w:tcPr>
          <w:p>
            <w:pPr>
              <w:spacing w:after="0"/>
              <w:rPr>
                <w:sz w:val="19"/>
                <w:szCs w:val="19"/>
                <w:color w:val="auto"/>
              </w:rPr>
            </w:pPr>
          </w:p>
        </w:tc>
        <w:tc>
          <w:tcPr>
            <w:tcW w:w="9520" w:type="dxa"/>
            <w:vAlign w:val="bottom"/>
          </w:tcPr>
          <w:p>
            <w:pPr>
              <w:ind w:left="320"/>
              <w:spacing w:after="0" w:line="228" w:lineRule="exact"/>
              <w:rPr>
                <w:sz w:val="20"/>
                <w:szCs w:val="20"/>
                <w:color w:val="auto"/>
              </w:rPr>
            </w:pPr>
            <w:r>
              <w:rPr>
                <w:rFonts w:ascii="Arial" w:cs="Arial" w:eastAsia="Arial" w:hAnsi="Arial"/>
                <w:sz w:val="20"/>
                <w:szCs w:val="20"/>
                <w:color w:val="1E1E1E"/>
                <w:w w:val="95"/>
              </w:rPr>
              <w:t>Guarantors identified therein (included as Exhibit 10.1 to the Company's Current Report on Form 8-K filed on</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760" w:type="dxa"/>
            <w:vAlign w:val="bottom"/>
          </w:tcPr>
          <w:p>
            <w:pPr>
              <w:spacing w:after="0"/>
              <w:rPr>
                <w:sz w:val="23"/>
                <w:szCs w:val="23"/>
                <w:color w:val="auto"/>
              </w:rPr>
            </w:pPr>
          </w:p>
        </w:tc>
        <w:tc>
          <w:tcPr>
            <w:tcW w:w="9520" w:type="dxa"/>
            <w:vAlign w:val="bottom"/>
          </w:tcPr>
          <w:p>
            <w:pPr>
              <w:ind w:left="320"/>
              <w:spacing w:after="0"/>
              <w:rPr>
                <w:sz w:val="20"/>
                <w:szCs w:val="20"/>
                <w:color w:val="auto"/>
              </w:rPr>
            </w:pPr>
            <w:r>
              <w:rPr>
                <w:rFonts w:ascii="Arial" w:cs="Arial" w:eastAsia="Arial" w:hAnsi="Arial"/>
                <w:sz w:val="20"/>
                <w:szCs w:val="20"/>
                <w:color w:val="1E1E1E"/>
              </w:rPr>
              <w:t>November 2, 2021, and incorporated herein by reference).</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760" w:type="dxa"/>
            <w:vAlign w:val="bottom"/>
          </w:tcPr>
          <w:p>
            <w:pPr>
              <w:spacing w:after="0"/>
              <w:rPr>
                <w:sz w:val="20"/>
                <w:szCs w:val="20"/>
                <w:color w:val="auto"/>
              </w:rPr>
            </w:pPr>
            <w:r>
              <w:rPr>
                <w:rFonts w:ascii="Arial" w:cs="Arial" w:eastAsia="Arial" w:hAnsi="Arial"/>
                <w:sz w:val="20"/>
                <w:szCs w:val="20"/>
                <w:color w:val="1E1E1E"/>
              </w:rPr>
              <w:t>10.13</w:t>
            </w:r>
          </w:p>
        </w:tc>
        <w:tc>
          <w:tcPr>
            <w:tcW w:w="9520" w:type="dxa"/>
            <w:vAlign w:val="bottom"/>
          </w:tcPr>
          <w:p>
            <w:pPr>
              <w:ind w:left="320"/>
              <w:spacing w:after="0"/>
              <w:rPr>
                <w:sz w:val="20"/>
                <w:szCs w:val="20"/>
                <w:color w:val="auto"/>
              </w:rPr>
            </w:pPr>
            <w:r>
              <w:rPr>
                <w:rFonts w:ascii="Arial" w:cs="Arial" w:eastAsia="Arial" w:hAnsi="Arial"/>
                <w:sz w:val="20"/>
                <w:szCs w:val="20"/>
                <w:color w:val="1E1E1E"/>
                <w:w w:val="92"/>
              </w:rPr>
              <w:t>First Amendment dated April 20, 2023 to the Credit Agreement dated October 28, 2021, by and among Citizens,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60" w:type="dxa"/>
            <w:vAlign w:val="bottom"/>
          </w:tcPr>
          <w:p>
            <w:pPr>
              <w:spacing w:after="0"/>
              <w:rPr>
                <w:sz w:val="19"/>
                <w:szCs w:val="19"/>
                <w:color w:val="auto"/>
              </w:rPr>
            </w:pPr>
          </w:p>
        </w:tc>
        <w:tc>
          <w:tcPr>
            <w:tcW w:w="9520" w:type="dxa"/>
            <w:vAlign w:val="bottom"/>
          </w:tcPr>
          <w:p>
            <w:pPr>
              <w:ind w:left="320"/>
              <w:spacing w:after="0" w:line="228" w:lineRule="exact"/>
              <w:rPr>
                <w:sz w:val="20"/>
                <w:szCs w:val="20"/>
                <w:color w:val="auto"/>
              </w:rPr>
            </w:pPr>
            <w:r>
              <w:rPr>
                <w:rFonts w:ascii="Arial" w:cs="Arial" w:eastAsia="Arial" w:hAnsi="Arial"/>
                <w:sz w:val="20"/>
                <w:szCs w:val="20"/>
                <w:color w:val="1E1E1E"/>
                <w:w w:val="97"/>
              </w:rPr>
              <w:t>N.A., as Administrative Agent and Collateral Agent, Other Lenders identified therein, the Company, as lead</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60" w:type="dxa"/>
            <w:vAlign w:val="bottom"/>
          </w:tcPr>
          <w:p>
            <w:pPr>
              <w:spacing w:after="0"/>
              <w:rPr>
                <w:sz w:val="19"/>
                <w:szCs w:val="19"/>
                <w:color w:val="auto"/>
              </w:rPr>
            </w:pPr>
          </w:p>
        </w:tc>
        <w:tc>
          <w:tcPr>
            <w:tcW w:w="9520" w:type="dxa"/>
            <w:vAlign w:val="bottom"/>
          </w:tcPr>
          <w:p>
            <w:pPr>
              <w:ind w:left="320"/>
              <w:spacing w:after="0" w:line="228" w:lineRule="exact"/>
              <w:rPr>
                <w:sz w:val="20"/>
                <w:szCs w:val="20"/>
                <w:color w:val="auto"/>
              </w:rPr>
            </w:pPr>
            <w:r>
              <w:rPr>
                <w:rFonts w:ascii="Arial" w:cs="Arial" w:eastAsia="Arial" w:hAnsi="Arial"/>
                <w:sz w:val="20"/>
                <w:szCs w:val="20"/>
                <w:color w:val="1E1E1E"/>
                <w:w w:val="98"/>
              </w:rPr>
              <w:t>borrower, and the Borrowers and Guarantors identified therein (included as Exhibit 10.1 to the Company's</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760" w:type="dxa"/>
            <w:vAlign w:val="bottom"/>
          </w:tcPr>
          <w:p>
            <w:pPr>
              <w:spacing w:after="0"/>
              <w:rPr>
                <w:sz w:val="23"/>
                <w:szCs w:val="23"/>
                <w:color w:val="auto"/>
              </w:rPr>
            </w:pPr>
          </w:p>
        </w:tc>
        <w:tc>
          <w:tcPr>
            <w:tcW w:w="9520" w:type="dxa"/>
            <w:vAlign w:val="bottom"/>
          </w:tcPr>
          <w:p>
            <w:pPr>
              <w:ind w:left="320"/>
              <w:spacing w:after="0"/>
              <w:rPr>
                <w:sz w:val="20"/>
                <w:szCs w:val="20"/>
                <w:color w:val="auto"/>
              </w:rPr>
            </w:pPr>
            <w:r>
              <w:rPr>
                <w:rFonts w:ascii="Arial" w:cs="Arial" w:eastAsia="Arial" w:hAnsi="Arial"/>
                <w:sz w:val="20"/>
                <w:szCs w:val="20"/>
                <w:color w:val="1E1E1E"/>
              </w:rPr>
              <w:t>Current Report on Form 8-K filed April 24, 2023 and incorporated herein by reference).</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640"/>
          </w:cols>
          <w:pgMar w:left="540" w:top="864" w:right="700" w:bottom="3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1E1E1E"/>
        </w:rPr>
        <w:t>65</w:t>
      </w:r>
    </w:p>
    <w:p>
      <w:pPr>
        <w:sectPr>
          <w:pgSz w:w="11880" w:h="15480" w:orient="portrait"/>
          <w:cols w:equalWidth="0" w:num="1">
            <w:col w:w="10640"/>
          </w:cols>
          <w:pgMar w:left="540" w:top="864" w:right="700" w:bottom="31" w:gutter="0" w:footer="0" w:header="0"/>
          <w:type w:val="continuous"/>
        </w:sectPr>
      </w:pPr>
    </w:p>
    <w:bookmarkStart w:id="67" w:name="page68"/>
    <w:bookmarkEnd w:id="67"/>
    <w:p>
      <w:pPr>
        <w:ind w:left="1080" w:right="120" w:hanging="1079"/>
        <w:spacing w:after="0" w:line="257" w:lineRule="auto"/>
        <w:tabs>
          <w:tab w:leader="none" w:pos="1060" w:val="left"/>
        </w:tabs>
        <w:rPr>
          <w:sz w:val="20"/>
          <w:szCs w:val="20"/>
          <w:color w:val="auto"/>
        </w:rPr>
      </w:pPr>
      <w:r>
        <w:rPr>
          <w:rFonts w:ascii="Arial" w:cs="Arial" w:eastAsia="Arial" w:hAnsi="Arial"/>
          <w:sz w:val="20"/>
          <w:szCs w:val="20"/>
          <w:color w:val="1E1E1E"/>
        </w:rPr>
        <w:t>10.14</w:t>
      </w:r>
      <w:r>
        <w:rPr>
          <w:sz w:val="20"/>
          <w:szCs w:val="20"/>
          <w:color w:val="auto"/>
        </w:rPr>
        <w:tab/>
      </w:r>
      <w:r>
        <w:rPr>
          <w:rFonts w:ascii="Arial" w:cs="Arial" w:eastAsia="Arial" w:hAnsi="Arial"/>
          <w:sz w:val="20"/>
          <w:szCs w:val="20"/>
          <w:color w:val="1E1E1E"/>
        </w:rPr>
        <w:t>Amended and Restated Employment Agreement between the Company and Harvey S. Kanter effective April 1, 2022 (included as Exhibit 10.1 to the Company's Current Report on Form 8-K filed April 5, 2022, and incorporated herein by reference).</w:t>
      </w:r>
    </w:p>
    <w:p>
      <w:pPr>
        <w:spacing w:after="0" w:line="120" w:lineRule="exact"/>
        <w:rPr>
          <w:sz w:val="20"/>
          <w:szCs w:val="20"/>
          <w:color w:val="auto"/>
        </w:rPr>
      </w:pPr>
    </w:p>
    <w:p>
      <w:pPr>
        <w:jc w:val="both"/>
        <w:ind w:left="1080" w:right="160" w:hanging="1079"/>
        <w:spacing w:after="0" w:line="251" w:lineRule="auto"/>
        <w:tabs>
          <w:tab w:leader="none" w:pos="1060" w:val="left"/>
        </w:tabs>
        <w:rPr>
          <w:sz w:val="20"/>
          <w:szCs w:val="20"/>
          <w:color w:val="auto"/>
        </w:rPr>
      </w:pPr>
      <w:r>
        <w:rPr>
          <w:rFonts w:ascii="Arial" w:cs="Arial" w:eastAsia="Arial" w:hAnsi="Arial"/>
          <w:sz w:val="20"/>
          <w:szCs w:val="20"/>
          <w:color w:val="1E1E1E"/>
        </w:rPr>
        <w:t>10.15</w:t>
      </w:r>
      <w:r>
        <w:rPr>
          <w:sz w:val="20"/>
          <w:szCs w:val="20"/>
          <w:color w:val="auto"/>
        </w:rPr>
        <w:tab/>
      </w:r>
      <w:r>
        <w:rPr>
          <w:rFonts w:ascii="Arial" w:cs="Arial" w:eastAsia="Arial" w:hAnsi="Arial"/>
          <w:sz w:val="20"/>
          <w:szCs w:val="20"/>
          <w:color w:val="1E1E1E"/>
        </w:rPr>
        <w:t>First Amendment to the Amended and Restated Employment Agreement between the Company and Harvey S. Kanter, dated August 11, 2023, which includes the Form of Performance Share Award Agreement (included as Exhibit 10.1 to the Company's Current Report on Form 8-K filed August 15, 2023, and incorporated herein by reference).</w:t>
      </w:r>
    </w:p>
    <w:p>
      <w:pPr>
        <w:spacing w:after="0" w:line="127" w:lineRule="exact"/>
        <w:rPr>
          <w:sz w:val="20"/>
          <w:szCs w:val="20"/>
          <w:color w:val="auto"/>
        </w:rPr>
      </w:pPr>
    </w:p>
    <w:p>
      <w:pPr>
        <w:ind w:left="1080" w:right="180" w:hanging="1079"/>
        <w:spacing w:after="0" w:line="257" w:lineRule="auto"/>
        <w:tabs>
          <w:tab w:leader="none" w:pos="1060" w:val="left"/>
        </w:tabs>
        <w:rPr>
          <w:sz w:val="20"/>
          <w:szCs w:val="20"/>
          <w:color w:val="auto"/>
        </w:rPr>
      </w:pPr>
      <w:r>
        <w:rPr>
          <w:rFonts w:ascii="Arial" w:cs="Arial" w:eastAsia="Arial" w:hAnsi="Arial"/>
          <w:sz w:val="20"/>
          <w:szCs w:val="20"/>
          <w:color w:val="1E1E1E"/>
        </w:rPr>
        <w:t>10.16</w:t>
      </w:r>
      <w:r>
        <w:rPr>
          <w:sz w:val="20"/>
          <w:szCs w:val="20"/>
          <w:color w:val="auto"/>
        </w:rPr>
        <w:tab/>
      </w:r>
      <w:r>
        <w:rPr>
          <w:rFonts w:ascii="Arial" w:cs="Arial" w:eastAsia="Arial" w:hAnsi="Arial"/>
          <w:sz w:val="20"/>
          <w:szCs w:val="20"/>
          <w:color w:val="1E1E1E"/>
        </w:rPr>
        <w:t>Second Amended and Restated Employment Agreement between the Company and Peter H. Stratton, Jr. dated as of November 27, 2017 (included at Exhibit 10.32 to the Company’s Annual Report on Form 10-K filed on March 23, 2018, and incorporated herein by reference).</w:t>
      </w:r>
    </w:p>
    <w:p>
      <w:pPr>
        <w:spacing w:after="0" w:line="123" w:lineRule="exact"/>
        <w:rPr>
          <w:sz w:val="20"/>
          <w:szCs w:val="20"/>
          <w:color w:val="auto"/>
        </w:rPr>
      </w:pPr>
    </w:p>
    <w:p>
      <w:pPr>
        <w:ind w:left="1080" w:hanging="1079"/>
        <w:spacing w:after="0" w:line="257" w:lineRule="auto"/>
        <w:tabs>
          <w:tab w:leader="none" w:pos="1060" w:val="left"/>
        </w:tabs>
        <w:rPr>
          <w:sz w:val="20"/>
          <w:szCs w:val="20"/>
          <w:color w:val="auto"/>
        </w:rPr>
      </w:pPr>
      <w:r>
        <w:rPr>
          <w:rFonts w:ascii="Arial" w:cs="Arial" w:eastAsia="Arial" w:hAnsi="Arial"/>
          <w:sz w:val="20"/>
          <w:szCs w:val="20"/>
          <w:color w:val="1E1E1E"/>
        </w:rPr>
        <w:t>10.17</w:t>
      </w:r>
      <w:r>
        <w:rPr>
          <w:sz w:val="20"/>
          <w:szCs w:val="20"/>
          <w:color w:val="auto"/>
        </w:rPr>
        <w:tab/>
      </w:r>
      <w:r>
        <w:rPr>
          <w:rFonts w:ascii="Arial" w:cs="Arial" w:eastAsia="Arial" w:hAnsi="Arial"/>
          <w:sz w:val="20"/>
          <w:szCs w:val="20"/>
          <w:color w:val="1E1E1E"/>
        </w:rPr>
        <w:t>Employment Agreement between the Company and Robert S. Molloy dated as of January 7, 2010 (included as Exhibit 10.2 to the Company’s Current Report on Form 8-K filed on January 11, 2010 (File No. 001-34219), and incorporated herein by reference).</w:t>
      </w:r>
    </w:p>
    <w:p>
      <w:pPr>
        <w:spacing w:after="0" w:line="123"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color w:val="1E1E1E"/>
        </w:rPr>
        <w:t>10.18</w:t>
      </w:r>
      <w:r>
        <w:rPr>
          <w:sz w:val="20"/>
          <w:szCs w:val="20"/>
          <w:color w:val="auto"/>
        </w:rPr>
        <w:tab/>
      </w:r>
      <w:r>
        <w:rPr>
          <w:rFonts w:ascii="Arial" w:cs="Arial" w:eastAsia="Arial" w:hAnsi="Arial"/>
          <w:sz w:val="18"/>
          <w:szCs w:val="18"/>
          <w:color w:val="1E1E1E"/>
        </w:rPr>
        <w:t>Employment Agreement between the Company and Robert Bogan dated as of November 27, 2023.</w:t>
      </w:r>
    </w:p>
    <w:p>
      <w:pPr>
        <w:spacing w:after="0" w:line="176" w:lineRule="exact"/>
        <w:rPr>
          <w:sz w:val="20"/>
          <w:szCs w:val="20"/>
          <w:color w:val="auto"/>
        </w:rPr>
      </w:pPr>
    </w:p>
    <w:p>
      <w:pPr>
        <w:ind w:left="1080" w:right="40" w:hanging="1079"/>
        <w:spacing w:after="0" w:line="257" w:lineRule="auto"/>
        <w:tabs>
          <w:tab w:leader="none" w:pos="1060" w:val="left"/>
        </w:tabs>
        <w:rPr>
          <w:sz w:val="20"/>
          <w:szCs w:val="20"/>
          <w:color w:val="auto"/>
        </w:rPr>
      </w:pPr>
      <w:r>
        <w:rPr>
          <w:rFonts w:ascii="Arial" w:cs="Arial" w:eastAsia="Arial" w:hAnsi="Arial"/>
          <w:sz w:val="20"/>
          <w:szCs w:val="20"/>
          <w:color w:val="1E1E1E"/>
        </w:rPr>
        <w:t>10.19</w:t>
      </w:r>
      <w:r>
        <w:rPr>
          <w:sz w:val="20"/>
          <w:szCs w:val="20"/>
          <w:color w:val="auto"/>
        </w:rPr>
        <w:tab/>
      </w:r>
      <w:r>
        <w:rPr>
          <w:rFonts w:ascii="Arial" w:cs="Arial" w:eastAsia="Arial" w:hAnsi="Arial"/>
          <w:sz w:val="20"/>
          <w:szCs w:val="20"/>
          <w:color w:val="1E1E1E"/>
        </w:rPr>
        <w:t>Second Amended and Restated Employment Agreement between the Company and Antony Gaeta dated as of April 16, 2023 (included as Exhibit 10.1 to the Company's Current Report on Form 8-K filed April 14, 2023 and incorporated herein by reference).</w:t>
      </w:r>
    </w:p>
    <w:p>
      <w:pPr>
        <w:spacing w:after="0" w:line="120" w:lineRule="exact"/>
        <w:rPr>
          <w:sz w:val="20"/>
          <w:szCs w:val="20"/>
          <w:color w:val="auto"/>
        </w:rPr>
      </w:pPr>
    </w:p>
    <w:p>
      <w:pPr>
        <w:jc w:val="both"/>
        <w:ind w:left="1080" w:right="200" w:hanging="1079"/>
        <w:spacing w:after="0" w:line="257" w:lineRule="auto"/>
        <w:tabs>
          <w:tab w:leader="none" w:pos="1060" w:val="left"/>
        </w:tabs>
        <w:rPr>
          <w:sz w:val="20"/>
          <w:szCs w:val="20"/>
          <w:color w:val="auto"/>
        </w:rPr>
      </w:pPr>
      <w:r>
        <w:rPr>
          <w:rFonts w:ascii="Arial" w:cs="Arial" w:eastAsia="Arial" w:hAnsi="Arial"/>
          <w:sz w:val="20"/>
          <w:szCs w:val="20"/>
          <w:color w:val="1E1E1E"/>
        </w:rPr>
        <w:t>10.19</w:t>
      </w:r>
      <w:r>
        <w:rPr>
          <w:sz w:val="20"/>
          <w:szCs w:val="20"/>
          <w:color w:val="auto"/>
        </w:rPr>
        <w:tab/>
      </w:r>
      <w:r>
        <w:rPr>
          <w:rFonts w:ascii="Arial" w:cs="Arial" w:eastAsia="Arial" w:hAnsi="Arial"/>
          <w:sz w:val="20"/>
          <w:szCs w:val="20"/>
          <w:color w:val="1E1E1E"/>
        </w:rPr>
        <w:t>Employment Agreement between the Company and Francis C. Chane dated as of January 8, 2010 (included as Exhibit 10.34 to the Company’s Annual Report on Form 10-K filed on March 19, 2010 (File No. 001-34219), and incorporated herein by reference).</w:t>
      </w:r>
    </w:p>
    <w:p>
      <w:pPr>
        <w:spacing w:after="0" w:line="123" w:lineRule="exact"/>
        <w:rPr>
          <w:sz w:val="20"/>
          <w:szCs w:val="20"/>
          <w:color w:val="auto"/>
        </w:rPr>
      </w:pPr>
    </w:p>
    <w:p>
      <w:pPr>
        <w:ind w:left="1080" w:right="160" w:hanging="1079"/>
        <w:spacing w:after="0" w:line="257" w:lineRule="auto"/>
        <w:tabs>
          <w:tab w:leader="none" w:pos="1060" w:val="left"/>
        </w:tabs>
        <w:rPr>
          <w:sz w:val="20"/>
          <w:szCs w:val="20"/>
          <w:color w:val="auto"/>
        </w:rPr>
      </w:pPr>
      <w:r>
        <w:rPr>
          <w:rFonts w:ascii="Arial" w:cs="Arial" w:eastAsia="Arial" w:hAnsi="Arial"/>
          <w:sz w:val="20"/>
          <w:szCs w:val="20"/>
          <w:color w:val="1E1E1E"/>
        </w:rPr>
        <w:t>10.20</w:t>
      </w:r>
      <w:r>
        <w:rPr>
          <w:sz w:val="20"/>
          <w:szCs w:val="20"/>
          <w:color w:val="auto"/>
        </w:rPr>
        <w:tab/>
      </w:r>
      <w:r>
        <w:rPr>
          <w:rFonts w:ascii="Arial" w:cs="Arial" w:eastAsia="Arial" w:hAnsi="Arial"/>
          <w:sz w:val="20"/>
          <w:szCs w:val="20"/>
          <w:color w:val="1E1E1E"/>
        </w:rPr>
        <w:t>Amended and Restated Employment Agreement between the Company and John F. Cooney effective March 6, 2022 (included as Exhibit 10.6 to the Company’s Quarterly Report on Form 10-Q filed on May 26, 2022, and incorporated herein by reference).</w:t>
      </w:r>
    </w:p>
    <w:p>
      <w:pPr>
        <w:spacing w:after="0" w:line="123" w:lineRule="exact"/>
        <w:rPr>
          <w:sz w:val="20"/>
          <w:szCs w:val="20"/>
          <w:color w:val="auto"/>
        </w:rPr>
      </w:pPr>
    </w:p>
    <w:p>
      <w:pPr>
        <w:ind w:left="1080" w:right="180" w:hanging="1079"/>
        <w:spacing w:after="0" w:line="257" w:lineRule="auto"/>
        <w:tabs>
          <w:tab w:leader="none" w:pos="1060" w:val="left"/>
        </w:tabs>
        <w:rPr>
          <w:sz w:val="20"/>
          <w:szCs w:val="20"/>
          <w:color w:val="auto"/>
        </w:rPr>
      </w:pPr>
      <w:r>
        <w:rPr>
          <w:rFonts w:ascii="Arial" w:cs="Arial" w:eastAsia="Arial" w:hAnsi="Arial"/>
          <w:sz w:val="20"/>
          <w:szCs w:val="20"/>
          <w:color w:val="1E1E1E"/>
        </w:rPr>
        <w:t>10.21</w:t>
      </w:r>
      <w:r>
        <w:rPr>
          <w:sz w:val="20"/>
          <w:szCs w:val="20"/>
          <w:color w:val="auto"/>
        </w:rPr>
        <w:tab/>
      </w:r>
      <w:r>
        <w:rPr>
          <w:rFonts w:ascii="Arial" w:cs="Arial" w:eastAsia="Arial" w:hAnsi="Arial"/>
          <w:sz w:val="20"/>
          <w:szCs w:val="20"/>
          <w:color w:val="1E1E1E"/>
        </w:rPr>
        <w:t>Employment Agreement between the Company and Stacey Jones effective February 19, 2021 (included as Exhibit 10.1 to the Company's Quarterly Report on Form 10-Q filed on May 27, 2021, and incorporated herein by reference).</w:t>
      </w:r>
    </w:p>
    <w:p>
      <w:pPr>
        <w:spacing w:after="0" w:line="123" w:lineRule="exact"/>
        <w:rPr>
          <w:sz w:val="20"/>
          <w:szCs w:val="20"/>
          <w:color w:val="auto"/>
        </w:rPr>
      </w:pPr>
    </w:p>
    <w:p>
      <w:pPr>
        <w:ind w:left="1080" w:right="100" w:hanging="1079"/>
        <w:spacing w:after="0" w:line="257" w:lineRule="auto"/>
        <w:tabs>
          <w:tab w:leader="none" w:pos="1060" w:val="left"/>
        </w:tabs>
        <w:rPr>
          <w:sz w:val="20"/>
          <w:szCs w:val="20"/>
          <w:color w:val="auto"/>
        </w:rPr>
      </w:pPr>
      <w:r>
        <w:rPr>
          <w:rFonts w:ascii="Arial" w:cs="Arial" w:eastAsia="Arial" w:hAnsi="Arial"/>
          <w:sz w:val="20"/>
          <w:szCs w:val="20"/>
          <w:color w:val="1E1E1E"/>
        </w:rPr>
        <w:t>10.22</w:t>
      </w:r>
      <w:r>
        <w:rPr>
          <w:sz w:val="20"/>
          <w:szCs w:val="20"/>
          <w:color w:val="auto"/>
        </w:rPr>
        <w:tab/>
      </w:r>
      <w:r>
        <w:rPr>
          <w:rFonts w:ascii="Arial" w:cs="Arial" w:eastAsia="Arial" w:hAnsi="Arial"/>
          <w:sz w:val="20"/>
          <w:szCs w:val="20"/>
          <w:color w:val="1E1E1E"/>
        </w:rPr>
        <w:t>Amended and Restated Employment Agreement between the Company and James Reath dated as of May 10, 2023 (included as Exhibit 10.1 to the Company's Quarterly Report on Form 10-Q filed on August 24, 2023, and incorporated herein by reference).</w:t>
      </w:r>
    </w:p>
    <w:p>
      <w:pPr>
        <w:spacing w:after="0" w:line="120" w:lineRule="exact"/>
        <w:rPr>
          <w:sz w:val="20"/>
          <w:szCs w:val="20"/>
          <w:color w:val="auto"/>
        </w:rPr>
      </w:pPr>
    </w:p>
    <w:p>
      <w:pPr>
        <w:jc w:val="both"/>
        <w:ind w:left="1080" w:right="200" w:hanging="1079"/>
        <w:spacing w:after="0" w:line="258" w:lineRule="auto"/>
        <w:tabs>
          <w:tab w:leader="none" w:pos="1060" w:val="left"/>
        </w:tabs>
        <w:rPr>
          <w:sz w:val="20"/>
          <w:szCs w:val="20"/>
          <w:color w:val="auto"/>
        </w:rPr>
      </w:pPr>
      <w:r>
        <w:rPr>
          <w:rFonts w:ascii="Arial" w:cs="Arial" w:eastAsia="Arial" w:hAnsi="Arial"/>
          <w:sz w:val="20"/>
          <w:szCs w:val="20"/>
          <w:color w:val="1E1E1E"/>
        </w:rPr>
        <w:t>10.23</w:t>
      </w:r>
      <w:r>
        <w:rPr>
          <w:sz w:val="20"/>
          <w:szCs w:val="20"/>
          <w:color w:val="auto"/>
        </w:rPr>
        <w:tab/>
      </w:r>
      <w:r>
        <w:rPr>
          <w:rFonts w:ascii="Arial" w:cs="Arial" w:eastAsia="Arial" w:hAnsi="Arial"/>
          <w:sz w:val="20"/>
          <w:szCs w:val="20"/>
          <w:color w:val="1E1E1E"/>
        </w:rPr>
        <w:t>Amended and Restated Employment Agreement between the Company and Allison Surette effective March 6, 2022 (included as Exhibit 10.5 to the Company’s Quarterly Report on Form 10-Q filed on May 26, 2022, and incorporated herein by reference).</w:t>
      </w:r>
    </w:p>
    <w:p>
      <w:pPr>
        <w:spacing w:after="0" w:line="120" w:lineRule="exact"/>
        <w:rPr>
          <w:sz w:val="20"/>
          <w:szCs w:val="20"/>
          <w:color w:val="auto"/>
        </w:rPr>
      </w:pPr>
    </w:p>
    <w:p>
      <w:pPr>
        <w:jc w:val="both"/>
        <w:ind w:left="1080" w:right="80" w:hanging="1079"/>
        <w:spacing w:after="0" w:line="257" w:lineRule="auto"/>
        <w:tabs>
          <w:tab w:leader="none" w:pos="1060" w:val="left"/>
        </w:tabs>
        <w:rPr>
          <w:sz w:val="20"/>
          <w:szCs w:val="20"/>
          <w:color w:val="auto"/>
        </w:rPr>
      </w:pPr>
      <w:r>
        <w:rPr>
          <w:rFonts w:ascii="Arial" w:cs="Arial" w:eastAsia="Arial" w:hAnsi="Arial"/>
          <w:sz w:val="20"/>
          <w:szCs w:val="20"/>
          <w:color w:val="1E1E1E"/>
        </w:rPr>
        <w:t>10.24</w:t>
      </w:r>
      <w:r>
        <w:rPr>
          <w:sz w:val="20"/>
          <w:szCs w:val="20"/>
          <w:color w:val="auto"/>
        </w:rPr>
        <w:tab/>
      </w:r>
      <w:r>
        <w:rPr>
          <w:rFonts w:ascii="Arial" w:cs="Arial" w:eastAsia="Arial" w:hAnsi="Arial"/>
          <w:sz w:val="20"/>
          <w:szCs w:val="20"/>
          <w:color w:val="1E1E1E"/>
        </w:rPr>
        <w:t>Stand-alone Inducement Restricted Stock Unit Award Agreement between the Company and James Reath dated October 7, 2022 (included as Exhibit 10.2 to the Company's Quarterly Report on Form 10-Q filed on November 17, 2022, and incorporated herein by reference).</w:t>
      </w:r>
    </w:p>
    <w:p>
      <w:pPr>
        <w:spacing w:after="0" w:line="123" w:lineRule="exact"/>
        <w:rPr>
          <w:sz w:val="20"/>
          <w:szCs w:val="20"/>
          <w:color w:val="auto"/>
        </w:rPr>
      </w:pPr>
    </w:p>
    <w:p>
      <w:pPr>
        <w:ind w:left="1080" w:hanging="1079"/>
        <w:spacing w:after="0" w:line="257" w:lineRule="auto"/>
        <w:tabs>
          <w:tab w:leader="none" w:pos="1060" w:val="left"/>
        </w:tabs>
        <w:rPr>
          <w:sz w:val="20"/>
          <w:szCs w:val="20"/>
          <w:color w:val="auto"/>
        </w:rPr>
      </w:pPr>
      <w:r>
        <w:rPr>
          <w:rFonts w:ascii="Arial" w:cs="Arial" w:eastAsia="Arial" w:hAnsi="Arial"/>
          <w:sz w:val="20"/>
          <w:szCs w:val="20"/>
          <w:color w:val="1E1E1E"/>
        </w:rPr>
        <w:t>10.25</w:t>
      </w:r>
      <w:r>
        <w:rPr>
          <w:sz w:val="20"/>
          <w:szCs w:val="20"/>
          <w:color w:val="auto"/>
        </w:rPr>
        <w:tab/>
      </w:r>
      <w:r>
        <w:rPr>
          <w:rFonts w:ascii="Arial" w:cs="Arial" w:eastAsia="Arial" w:hAnsi="Arial"/>
          <w:sz w:val="20"/>
          <w:szCs w:val="20"/>
          <w:color w:val="1E1E1E"/>
        </w:rPr>
        <w:t>Stand -alone Inducement Restricted Stock Unit Award Agreement between the Company and Jonathan Sainsbury dated October 26, 2022 (included as Exhibit 10.3 to the Company's Quarterly Report on Form 10-Q filed on November 17, 2022, and incorporated herein by reference).</w:t>
      </w:r>
    </w:p>
    <w:p>
      <w:pPr>
        <w:spacing w:after="0" w:line="123" w:lineRule="exact"/>
        <w:rPr>
          <w:sz w:val="20"/>
          <w:szCs w:val="20"/>
          <w:color w:val="auto"/>
        </w:rPr>
      </w:pPr>
    </w:p>
    <w:p>
      <w:pPr>
        <w:ind w:left="1080" w:right="80" w:hanging="1079"/>
        <w:spacing w:after="0" w:line="276" w:lineRule="auto"/>
        <w:tabs>
          <w:tab w:leader="none" w:pos="1060" w:val="left"/>
        </w:tabs>
        <w:rPr>
          <w:sz w:val="20"/>
          <w:szCs w:val="20"/>
          <w:color w:val="auto"/>
        </w:rPr>
      </w:pPr>
      <w:r>
        <w:rPr>
          <w:rFonts w:ascii="Arial" w:cs="Arial" w:eastAsia="Arial" w:hAnsi="Arial"/>
          <w:sz w:val="20"/>
          <w:szCs w:val="20"/>
          <w:color w:val="1E1E1E"/>
        </w:rPr>
        <w:t>10.26</w:t>
      </w:r>
      <w:r>
        <w:rPr>
          <w:sz w:val="20"/>
          <w:szCs w:val="20"/>
          <w:color w:val="auto"/>
        </w:rPr>
        <w:tab/>
      </w:r>
      <w:r>
        <w:rPr>
          <w:rFonts w:ascii="Arial" w:cs="Arial" w:eastAsia="Arial" w:hAnsi="Arial"/>
          <w:sz w:val="20"/>
          <w:szCs w:val="20"/>
          <w:color w:val="1E1E1E"/>
        </w:rPr>
        <w:t>Sixth Amended and Restated Annual Incentive Plan (included as Exhibit 10.1 to the Company’s Current Report on Form 8-K filed on November 7, 2023, and incorporated herein by reference).</w:t>
      </w:r>
    </w:p>
    <w:p>
      <w:pPr>
        <w:spacing w:after="0" w:line="105" w:lineRule="exact"/>
        <w:rPr>
          <w:sz w:val="20"/>
          <w:szCs w:val="20"/>
          <w:color w:val="auto"/>
        </w:rPr>
      </w:pPr>
    </w:p>
    <w:p>
      <w:pPr>
        <w:ind w:left="1080" w:right="180" w:hanging="1079"/>
        <w:spacing w:after="0" w:line="303" w:lineRule="auto"/>
        <w:tabs>
          <w:tab w:leader="none" w:pos="1060" w:val="left"/>
        </w:tabs>
        <w:rPr>
          <w:sz w:val="20"/>
          <w:szCs w:val="20"/>
          <w:color w:val="auto"/>
        </w:rPr>
      </w:pPr>
      <w:r>
        <w:rPr>
          <w:rFonts w:ascii="Arial" w:cs="Arial" w:eastAsia="Arial" w:hAnsi="Arial"/>
          <w:sz w:val="20"/>
          <w:szCs w:val="20"/>
          <w:color w:val="1E1E1E"/>
        </w:rPr>
        <w:t>10.27</w:t>
      </w:r>
      <w:r>
        <w:rPr>
          <w:sz w:val="20"/>
          <w:szCs w:val="20"/>
          <w:color w:val="auto"/>
        </w:rPr>
        <w:tab/>
      </w:r>
      <w:r>
        <w:rPr>
          <w:rFonts w:ascii="Arial" w:cs="Arial" w:eastAsia="Arial" w:hAnsi="Arial"/>
          <w:sz w:val="19"/>
          <w:szCs w:val="19"/>
          <w:color w:val="1E1E1E"/>
        </w:rPr>
        <w:t>Second Amended and Restated Long-Term Incentive Plan (included as Exhibit 10.1 to the Company’s Current Report on Form 8-K filed on June 22, 2018, and incorporated herein by reference).</w:t>
      </w:r>
    </w:p>
    <w:p>
      <w:pPr>
        <w:spacing w:after="0" w:line="80" w:lineRule="exact"/>
        <w:rPr>
          <w:sz w:val="20"/>
          <w:szCs w:val="20"/>
          <w:color w:val="auto"/>
        </w:rPr>
      </w:pPr>
    </w:p>
    <w:p>
      <w:pPr>
        <w:ind w:left="1080" w:right="160" w:hanging="1079"/>
        <w:spacing w:after="0" w:line="303" w:lineRule="auto"/>
        <w:tabs>
          <w:tab w:leader="none" w:pos="1060" w:val="left"/>
        </w:tabs>
        <w:rPr>
          <w:sz w:val="20"/>
          <w:szCs w:val="20"/>
          <w:color w:val="auto"/>
        </w:rPr>
      </w:pPr>
      <w:r>
        <w:rPr>
          <w:rFonts w:ascii="Arial" w:cs="Arial" w:eastAsia="Arial" w:hAnsi="Arial"/>
          <w:sz w:val="20"/>
          <w:szCs w:val="20"/>
          <w:color w:val="1E1E1E"/>
        </w:rPr>
        <w:t>10.28</w:t>
      </w:r>
      <w:r>
        <w:rPr>
          <w:sz w:val="20"/>
          <w:szCs w:val="20"/>
          <w:color w:val="auto"/>
        </w:rPr>
        <w:tab/>
      </w:r>
      <w:r>
        <w:rPr>
          <w:rFonts w:ascii="Arial" w:cs="Arial" w:eastAsia="Arial" w:hAnsi="Arial"/>
          <w:sz w:val="19"/>
          <w:szCs w:val="19"/>
          <w:color w:val="1E1E1E"/>
        </w:rPr>
        <w:t>First Amendment to the Second Amended and Restated Long-Term Incentive Plan (included as Exhibit 10.1 to the Company’s Form 10-Q filed on November 30, 2018, and incorporated herein by reference).</w:t>
      </w:r>
    </w:p>
    <w:p>
      <w:pPr>
        <w:spacing w:after="0" w:line="82" w:lineRule="exact"/>
        <w:rPr>
          <w:sz w:val="20"/>
          <w:szCs w:val="20"/>
          <w:color w:val="auto"/>
        </w:rPr>
      </w:pPr>
    </w:p>
    <w:p>
      <w:pPr>
        <w:ind w:left="1080" w:right="320" w:hanging="1079"/>
        <w:spacing w:after="0" w:line="303" w:lineRule="auto"/>
        <w:tabs>
          <w:tab w:leader="none" w:pos="1060" w:val="left"/>
        </w:tabs>
        <w:rPr>
          <w:sz w:val="20"/>
          <w:szCs w:val="20"/>
          <w:color w:val="auto"/>
        </w:rPr>
      </w:pPr>
      <w:r>
        <w:rPr>
          <w:rFonts w:ascii="Arial" w:cs="Arial" w:eastAsia="Arial" w:hAnsi="Arial"/>
          <w:sz w:val="20"/>
          <w:szCs w:val="20"/>
          <w:color w:val="1E1E1E"/>
        </w:rPr>
        <w:t>10.29</w:t>
      </w:r>
      <w:r>
        <w:rPr>
          <w:sz w:val="20"/>
          <w:szCs w:val="20"/>
          <w:color w:val="auto"/>
        </w:rPr>
        <w:tab/>
      </w:r>
      <w:r>
        <w:rPr>
          <w:rFonts w:ascii="Arial" w:cs="Arial" w:eastAsia="Arial" w:hAnsi="Arial"/>
          <w:sz w:val="19"/>
          <w:szCs w:val="19"/>
          <w:color w:val="1E1E1E"/>
        </w:rPr>
        <w:t>Third Amended and Restated Long-Term Incentive Plan (included as Exhibit 10.1 to the Company’s Current Report on Form 8-K filed on June 12, 2020, and incorporated herein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1E1E1E"/>
        </w:rPr>
        <w: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274" w:lineRule="exact"/>
        <w:rPr>
          <w:sz w:val="20"/>
          <w:szCs w:val="20"/>
          <w:color w:val="auto"/>
        </w:rPr>
      </w:pPr>
    </w:p>
    <w:p>
      <w:pPr>
        <w:sectPr>
          <w:pgSz w:w="11880" w:h="15480" w:orient="portrait"/>
          <w:cols w:equalWidth="0" w:num="2">
            <w:col w:w="10120" w:space="320"/>
            <w:col w:w="200"/>
          </w:cols>
          <w:pgMar w:left="540" w:top="656" w:right="700" w:bottom="31"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1E1E1E"/>
        </w:rPr>
        <w:t>66</w:t>
      </w:r>
    </w:p>
    <w:p>
      <w:pPr>
        <w:sectPr>
          <w:pgSz w:w="11880" w:h="15480" w:orient="portrait"/>
          <w:cols w:equalWidth="0" w:num="1">
            <w:col w:w="10640"/>
          </w:cols>
          <w:pgMar w:left="540" w:top="656" w:right="700" w:bottom="31"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20"/>
                <w:szCs w:val="20"/>
                <w:color w:val="1E1E1E"/>
              </w:rPr>
              <w:t>10.30</w:t>
            </w:r>
          </w:p>
        </w:tc>
        <w:tc>
          <w:tcPr>
            <w:tcW w:w="9360" w:type="dxa"/>
            <w:vAlign w:val="bottom"/>
          </w:tcPr>
          <w:p>
            <w:pPr>
              <w:ind w:left="320"/>
              <w:spacing w:after="0"/>
              <w:rPr>
                <w:sz w:val="20"/>
                <w:szCs w:val="20"/>
                <w:color w:val="auto"/>
              </w:rPr>
            </w:pPr>
            <w:r>
              <w:rPr>
                <w:rFonts w:ascii="Arial" w:cs="Arial" w:eastAsia="Arial" w:hAnsi="Arial"/>
                <w:sz w:val="20"/>
                <w:szCs w:val="20"/>
                <w:color w:val="1E1E1E"/>
                <w:w w:val="94"/>
              </w:rPr>
              <w:t>Fourth Amended and Restated Long-Term Incentive Plan (included as Exhibit 10.2 to the Company Current</w:t>
            </w:r>
          </w:p>
        </w:tc>
      </w:tr>
      <w:tr>
        <w:trPr>
          <w:trHeight w:val="267"/>
        </w:trPr>
        <w:tc>
          <w:tcPr>
            <w:tcW w:w="760" w:type="dxa"/>
            <w:vAlign w:val="bottom"/>
          </w:tcPr>
          <w:p>
            <w:pPr>
              <w:spacing w:after="0"/>
              <w:rPr>
                <w:sz w:val="23"/>
                <w:szCs w:val="23"/>
                <w:color w:val="auto"/>
              </w:rPr>
            </w:pPr>
          </w:p>
        </w:tc>
        <w:tc>
          <w:tcPr>
            <w:tcW w:w="9360" w:type="dxa"/>
            <w:vAlign w:val="bottom"/>
          </w:tcPr>
          <w:p>
            <w:pPr>
              <w:ind w:left="320"/>
              <w:spacing w:after="0"/>
              <w:rPr>
                <w:sz w:val="20"/>
                <w:szCs w:val="20"/>
                <w:color w:val="auto"/>
              </w:rPr>
            </w:pPr>
            <w:r>
              <w:rPr>
                <w:rFonts w:ascii="Arial" w:cs="Arial" w:eastAsia="Arial" w:hAnsi="Arial"/>
                <w:sz w:val="20"/>
                <w:szCs w:val="20"/>
                <w:color w:val="1E1E1E"/>
              </w:rPr>
              <w:t>Report on Form 8-K filed on April 5, 2022, and incorporated herein by reference).</w:t>
            </w:r>
          </w:p>
        </w:tc>
      </w:tr>
      <w:tr>
        <w:trPr>
          <w:trHeight w:val="364"/>
        </w:trPr>
        <w:tc>
          <w:tcPr>
            <w:tcW w:w="760" w:type="dxa"/>
            <w:vAlign w:val="bottom"/>
          </w:tcPr>
          <w:p>
            <w:pPr>
              <w:spacing w:after="0"/>
              <w:rPr>
                <w:sz w:val="20"/>
                <w:szCs w:val="20"/>
                <w:color w:val="auto"/>
              </w:rPr>
            </w:pPr>
            <w:r>
              <w:rPr>
                <w:rFonts w:ascii="Arial" w:cs="Arial" w:eastAsia="Arial" w:hAnsi="Arial"/>
                <w:sz w:val="20"/>
                <w:szCs w:val="20"/>
                <w:color w:val="1E1E1E"/>
              </w:rPr>
              <w:t>10.31</w:t>
            </w:r>
          </w:p>
        </w:tc>
        <w:tc>
          <w:tcPr>
            <w:tcW w:w="9360" w:type="dxa"/>
            <w:vAlign w:val="bottom"/>
          </w:tcPr>
          <w:p>
            <w:pPr>
              <w:ind w:left="320"/>
              <w:spacing w:after="0"/>
              <w:rPr>
                <w:sz w:val="20"/>
                <w:szCs w:val="20"/>
                <w:color w:val="auto"/>
              </w:rPr>
            </w:pPr>
            <w:r>
              <w:rPr>
                <w:rFonts w:ascii="Arial" w:cs="Arial" w:eastAsia="Arial" w:hAnsi="Arial"/>
                <w:sz w:val="20"/>
                <w:szCs w:val="20"/>
                <w:color w:val="1E1E1E"/>
                <w:w w:val="92"/>
              </w:rPr>
              <w:t>Letter Agreement, dated January 29, 2014, by and between the Company and Red Mountain Capital Partners</w:t>
            </w:r>
          </w:p>
        </w:tc>
      </w:tr>
      <w:tr>
        <w:trPr>
          <w:trHeight w:val="228"/>
        </w:trPr>
        <w:tc>
          <w:tcPr>
            <w:tcW w:w="760" w:type="dxa"/>
            <w:vAlign w:val="bottom"/>
          </w:tcPr>
          <w:p>
            <w:pPr>
              <w:spacing w:after="0"/>
              <w:rPr>
                <w:sz w:val="19"/>
                <w:szCs w:val="19"/>
                <w:color w:val="auto"/>
              </w:rPr>
            </w:pPr>
          </w:p>
        </w:tc>
        <w:tc>
          <w:tcPr>
            <w:tcW w:w="9360" w:type="dxa"/>
            <w:vAlign w:val="bottom"/>
          </w:tcPr>
          <w:p>
            <w:pPr>
              <w:ind w:left="320"/>
              <w:spacing w:after="0" w:line="228" w:lineRule="exact"/>
              <w:rPr>
                <w:sz w:val="20"/>
                <w:szCs w:val="20"/>
                <w:color w:val="auto"/>
              </w:rPr>
            </w:pPr>
            <w:r>
              <w:rPr>
                <w:rFonts w:ascii="Arial" w:cs="Arial" w:eastAsia="Arial" w:hAnsi="Arial"/>
                <w:sz w:val="20"/>
                <w:szCs w:val="20"/>
                <w:color w:val="1E1E1E"/>
                <w:w w:val="93"/>
              </w:rPr>
              <w:t>LLC (included as Exhibit 10.1 to the Company’s Quarterly Report on Form 10-Q filed on November 17, 2017,</w:t>
            </w:r>
          </w:p>
        </w:tc>
      </w:tr>
      <w:tr>
        <w:trPr>
          <w:trHeight w:val="267"/>
        </w:trPr>
        <w:tc>
          <w:tcPr>
            <w:tcW w:w="760" w:type="dxa"/>
            <w:vAlign w:val="bottom"/>
          </w:tcPr>
          <w:p>
            <w:pPr>
              <w:spacing w:after="0"/>
              <w:rPr>
                <w:sz w:val="23"/>
                <w:szCs w:val="23"/>
                <w:color w:val="auto"/>
              </w:rPr>
            </w:pPr>
          </w:p>
        </w:tc>
        <w:tc>
          <w:tcPr>
            <w:tcW w:w="9360" w:type="dxa"/>
            <w:vAlign w:val="bottom"/>
          </w:tcPr>
          <w:p>
            <w:pPr>
              <w:ind w:left="320"/>
              <w:spacing w:after="0"/>
              <w:rPr>
                <w:sz w:val="20"/>
                <w:szCs w:val="20"/>
                <w:color w:val="auto"/>
              </w:rPr>
            </w:pPr>
            <w:r>
              <w:rPr>
                <w:rFonts w:ascii="Arial" w:cs="Arial" w:eastAsia="Arial" w:hAnsi="Arial"/>
                <w:sz w:val="20"/>
                <w:szCs w:val="20"/>
                <w:color w:val="1E1E1E"/>
              </w:rPr>
              <w:t>and incorporated herein by reference).</w:t>
            </w:r>
          </w:p>
        </w:tc>
      </w:tr>
      <w:tr>
        <w:trPr>
          <w:trHeight w:val="366"/>
        </w:trPr>
        <w:tc>
          <w:tcPr>
            <w:tcW w:w="760" w:type="dxa"/>
            <w:vAlign w:val="bottom"/>
          </w:tcPr>
          <w:p>
            <w:pPr>
              <w:spacing w:after="0"/>
              <w:rPr>
                <w:sz w:val="20"/>
                <w:szCs w:val="20"/>
                <w:color w:val="auto"/>
              </w:rPr>
            </w:pPr>
            <w:r>
              <w:rPr>
                <w:rFonts w:ascii="Arial" w:cs="Arial" w:eastAsia="Arial" w:hAnsi="Arial"/>
                <w:sz w:val="20"/>
                <w:szCs w:val="20"/>
                <w:color w:val="1E1E1E"/>
              </w:rPr>
              <w:t>10.32</w:t>
            </w:r>
          </w:p>
        </w:tc>
        <w:tc>
          <w:tcPr>
            <w:tcW w:w="9360" w:type="dxa"/>
            <w:vAlign w:val="bottom"/>
          </w:tcPr>
          <w:p>
            <w:pPr>
              <w:ind w:left="320"/>
              <w:spacing w:after="0"/>
              <w:rPr>
                <w:sz w:val="20"/>
                <w:szCs w:val="20"/>
                <w:color w:val="auto"/>
              </w:rPr>
            </w:pPr>
            <w:r>
              <w:rPr>
                <w:rFonts w:ascii="Arial" w:cs="Arial" w:eastAsia="Arial" w:hAnsi="Arial"/>
                <w:sz w:val="20"/>
                <w:szCs w:val="20"/>
                <w:color w:val="1E1E1E"/>
                <w:w w:val="92"/>
              </w:rPr>
              <w:t>Letter Agreement, dated April 4, 2018, by and between the Company and Red Mountain Capital Partners LLC</w:t>
            </w:r>
          </w:p>
        </w:tc>
      </w:tr>
      <w:tr>
        <w:trPr>
          <w:trHeight w:val="228"/>
        </w:trPr>
        <w:tc>
          <w:tcPr>
            <w:tcW w:w="760" w:type="dxa"/>
            <w:vAlign w:val="bottom"/>
          </w:tcPr>
          <w:p>
            <w:pPr>
              <w:spacing w:after="0"/>
              <w:rPr>
                <w:sz w:val="19"/>
                <w:szCs w:val="19"/>
                <w:color w:val="auto"/>
              </w:rPr>
            </w:pPr>
          </w:p>
        </w:tc>
        <w:tc>
          <w:tcPr>
            <w:tcW w:w="9360" w:type="dxa"/>
            <w:vAlign w:val="bottom"/>
          </w:tcPr>
          <w:p>
            <w:pPr>
              <w:ind w:left="320"/>
              <w:spacing w:after="0" w:line="228" w:lineRule="exact"/>
              <w:rPr>
                <w:sz w:val="20"/>
                <w:szCs w:val="20"/>
                <w:color w:val="auto"/>
              </w:rPr>
            </w:pPr>
            <w:r>
              <w:rPr>
                <w:rFonts w:ascii="Arial" w:cs="Arial" w:eastAsia="Arial" w:hAnsi="Arial"/>
                <w:sz w:val="20"/>
                <w:szCs w:val="20"/>
                <w:color w:val="1E1E1E"/>
                <w:w w:val="99"/>
              </w:rPr>
              <w:t>(included as Exhibit 10.38 to the Company’s Annual Report on Form 10-K filed on March 19, 2020, and</w:t>
            </w:r>
          </w:p>
        </w:tc>
      </w:tr>
      <w:tr>
        <w:trPr>
          <w:trHeight w:val="267"/>
        </w:trPr>
        <w:tc>
          <w:tcPr>
            <w:tcW w:w="760" w:type="dxa"/>
            <w:vAlign w:val="bottom"/>
          </w:tcPr>
          <w:p>
            <w:pPr>
              <w:spacing w:after="0"/>
              <w:rPr>
                <w:sz w:val="23"/>
                <w:szCs w:val="23"/>
                <w:color w:val="auto"/>
              </w:rPr>
            </w:pPr>
          </w:p>
        </w:tc>
        <w:tc>
          <w:tcPr>
            <w:tcW w:w="9360" w:type="dxa"/>
            <w:vAlign w:val="bottom"/>
          </w:tcPr>
          <w:p>
            <w:pPr>
              <w:ind w:left="320"/>
              <w:spacing w:after="0"/>
              <w:rPr>
                <w:sz w:val="20"/>
                <w:szCs w:val="20"/>
                <w:color w:val="auto"/>
              </w:rPr>
            </w:pPr>
            <w:r>
              <w:rPr>
                <w:rFonts w:ascii="Arial" w:cs="Arial" w:eastAsia="Arial" w:hAnsi="Arial"/>
                <w:sz w:val="20"/>
                <w:szCs w:val="20"/>
                <w:color w:val="1E1E1E"/>
              </w:rPr>
              <w:t>incorporated herein by reference).</w:t>
            </w:r>
          </w:p>
        </w:tc>
      </w:tr>
      <w:tr>
        <w:trPr>
          <w:trHeight w:val="386"/>
        </w:trPr>
        <w:tc>
          <w:tcPr>
            <w:tcW w:w="760" w:type="dxa"/>
            <w:vAlign w:val="bottom"/>
          </w:tcPr>
          <w:p>
            <w:pPr>
              <w:spacing w:after="0"/>
              <w:rPr>
                <w:sz w:val="20"/>
                <w:szCs w:val="20"/>
                <w:color w:val="auto"/>
              </w:rPr>
            </w:pPr>
            <w:r>
              <w:rPr>
                <w:rFonts w:ascii="Arial" w:cs="Arial" w:eastAsia="Arial" w:hAnsi="Arial"/>
                <w:sz w:val="20"/>
                <w:szCs w:val="20"/>
                <w:color w:val="1E1E1E"/>
              </w:rPr>
              <w:t>10.33</w:t>
            </w:r>
          </w:p>
        </w:tc>
        <w:tc>
          <w:tcPr>
            <w:tcW w:w="9360" w:type="dxa"/>
            <w:vAlign w:val="bottom"/>
          </w:tcPr>
          <w:p>
            <w:pPr>
              <w:ind w:left="320"/>
              <w:spacing w:after="0"/>
              <w:rPr>
                <w:sz w:val="20"/>
                <w:szCs w:val="20"/>
                <w:color w:val="auto"/>
              </w:rPr>
            </w:pPr>
            <w:r>
              <w:rPr>
                <w:rFonts w:ascii="Arial" w:cs="Arial" w:eastAsia="Arial" w:hAnsi="Arial"/>
                <w:sz w:val="20"/>
                <w:szCs w:val="20"/>
                <w:color w:val="1E1E1E"/>
                <w:w w:val="91"/>
              </w:rPr>
              <w:t>Form of Securities Purchase Agreement (included as Exhibit 10.1 to the Company’s Current Report on Form 8-</w:t>
            </w:r>
          </w:p>
        </w:tc>
      </w:tr>
      <w:tr>
        <w:trPr>
          <w:trHeight w:val="267"/>
        </w:trPr>
        <w:tc>
          <w:tcPr>
            <w:tcW w:w="760" w:type="dxa"/>
            <w:vAlign w:val="bottom"/>
          </w:tcPr>
          <w:p>
            <w:pPr>
              <w:spacing w:after="0"/>
              <w:rPr>
                <w:sz w:val="23"/>
                <w:szCs w:val="23"/>
                <w:color w:val="auto"/>
              </w:rPr>
            </w:pPr>
          </w:p>
        </w:tc>
        <w:tc>
          <w:tcPr>
            <w:tcW w:w="9360" w:type="dxa"/>
            <w:vAlign w:val="bottom"/>
          </w:tcPr>
          <w:p>
            <w:pPr>
              <w:ind w:left="320"/>
              <w:spacing w:after="0"/>
              <w:rPr>
                <w:sz w:val="20"/>
                <w:szCs w:val="20"/>
                <w:color w:val="auto"/>
              </w:rPr>
            </w:pPr>
            <w:r>
              <w:rPr>
                <w:rFonts w:ascii="Arial" w:cs="Arial" w:eastAsia="Arial" w:hAnsi="Arial"/>
                <w:sz w:val="20"/>
                <w:szCs w:val="20"/>
                <w:color w:val="1E1E1E"/>
              </w:rPr>
              <w:t>K/A, filed on February 5, 2021, and incorporated herein by reference).</w:t>
            </w:r>
          </w:p>
        </w:tc>
      </w:tr>
      <w:tr>
        <w:trPr>
          <w:trHeight w:val="366"/>
        </w:trPr>
        <w:tc>
          <w:tcPr>
            <w:tcW w:w="760" w:type="dxa"/>
            <w:vAlign w:val="bottom"/>
          </w:tcPr>
          <w:p>
            <w:pPr>
              <w:spacing w:after="0"/>
              <w:rPr>
                <w:sz w:val="20"/>
                <w:szCs w:val="20"/>
                <w:color w:val="auto"/>
              </w:rPr>
            </w:pPr>
            <w:r>
              <w:rPr>
                <w:rFonts w:ascii="Arial" w:cs="Arial" w:eastAsia="Arial" w:hAnsi="Arial"/>
                <w:sz w:val="20"/>
                <w:szCs w:val="20"/>
                <w:color w:val="1E1E1E"/>
              </w:rPr>
              <w:t>10.34</w:t>
            </w:r>
          </w:p>
        </w:tc>
        <w:tc>
          <w:tcPr>
            <w:tcW w:w="9360" w:type="dxa"/>
            <w:vAlign w:val="bottom"/>
          </w:tcPr>
          <w:p>
            <w:pPr>
              <w:ind w:left="320"/>
              <w:spacing w:after="0"/>
              <w:rPr>
                <w:sz w:val="20"/>
                <w:szCs w:val="20"/>
                <w:color w:val="auto"/>
              </w:rPr>
            </w:pPr>
            <w:r>
              <w:rPr>
                <w:rFonts w:ascii="Arial" w:cs="Arial" w:eastAsia="Arial" w:hAnsi="Arial"/>
                <w:sz w:val="20"/>
                <w:szCs w:val="20"/>
                <w:color w:val="1E1E1E"/>
                <w:w w:val="90"/>
              </w:rPr>
              <w:t>Contribution Agreement dated January 30, 2006 by and among the Company, Spirit SPE Canton, LLC and Spirit</w:t>
            </w:r>
          </w:p>
        </w:tc>
      </w:tr>
      <w:tr>
        <w:trPr>
          <w:trHeight w:val="228"/>
        </w:trPr>
        <w:tc>
          <w:tcPr>
            <w:tcW w:w="760" w:type="dxa"/>
            <w:vAlign w:val="bottom"/>
          </w:tcPr>
          <w:p>
            <w:pPr>
              <w:spacing w:after="0"/>
              <w:rPr>
                <w:sz w:val="19"/>
                <w:szCs w:val="19"/>
                <w:color w:val="auto"/>
              </w:rPr>
            </w:pPr>
          </w:p>
        </w:tc>
        <w:tc>
          <w:tcPr>
            <w:tcW w:w="9360" w:type="dxa"/>
            <w:vAlign w:val="bottom"/>
          </w:tcPr>
          <w:p>
            <w:pPr>
              <w:ind w:left="320"/>
              <w:spacing w:after="0" w:line="228" w:lineRule="exact"/>
              <w:rPr>
                <w:sz w:val="20"/>
                <w:szCs w:val="20"/>
                <w:color w:val="auto"/>
              </w:rPr>
            </w:pPr>
            <w:r>
              <w:rPr>
                <w:rFonts w:ascii="Arial" w:cs="Arial" w:eastAsia="Arial" w:hAnsi="Arial"/>
                <w:sz w:val="20"/>
                <w:szCs w:val="20"/>
                <w:color w:val="1E1E1E"/>
                <w:w w:val="95"/>
              </w:rPr>
              <w:t>Finance Acquisitions, LLC (included as Exhibit 10.1 to the Company’s Current Report on Form 8-K filed on</w:t>
            </w:r>
          </w:p>
        </w:tc>
      </w:tr>
      <w:tr>
        <w:trPr>
          <w:trHeight w:val="267"/>
        </w:trPr>
        <w:tc>
          <w:tcPr>
            <w:tcW w:w="760" w:type="dxa"/>
            <w:vAlign w:val="bottom"/>
          </w:tcPr>
          <w:p>
            <w:pPr>
              <w:spacing w:after="0"/>
              <w:rPr>
                <w:sz w:val="23"/>
                <w:szCs w:val="23"/>
                <w:color w:val="auto"/>
              </w:rPr>
            </w:pPr>
          </w:p>
        </w:tc>
        <w:tc>
          <w:tcPr>
            <w:tcW w:w="9360" w:type="dxa"/>
            <w:vAlign w:val="bottom"/>
          </w:tcPr>
          <w:p>
            <w:pPr>
              <w:ind w:left="320"/>
              <w:spacing w:after="0"/>
              <w:rPr>
                <w:sz w:val="20"/>
                <w:szCs w:val="20"/>
                <w:color w:val="auto"/>
              </w:rPr>
            </w:pPr>
            <w:r>
              <w:rPr>
                <w:rFonts w:ascii="Arial" w:cs="Arial" w:eastAsia="Arial" w:hAnsi="Arial"/>
                <w:sz w:val="20"/>
                <w:szCs w:val="20"/>
                <w:color w:val="1E1E1E"/>
              </w:rPr>
              <w:t>February 3, 2006 (File No. 001-34219), and incorporated herein by reference).</w:t>
            </w:r>
          </w:p>
        </w:tc>
      </w:tr>
      <w:tr>
        <w:trPr>
          <w:trHeight w:val="366"/>
        </w:trPr>
        <w:tc>
          <w:tcPr>
            <w:tcW w:w="760" w:type="dxa"/>
            <w:vAlign w:val="bottom"/>
          </w:tcPr>
          <w:p>
            <w:pPr>
              <w:spacing w:after="0"/>
              <w:rPr>
                <w:sz w:val="20"/>
                <w:szCs w:val="20"/>
                <w:color w:val="auto"/>
              </w:rPr>
            </w:pPr>
            <w:r>
              <w:rPr>
                <w:rFonts w:ascii="Arial" w:cs="Arial" w:eastAsia="Arial" w:hAnsi="Arial"/>
                <w:sz w:val="20"/>
                <w:szCs w:val="20"/>
                <w:color w:val="1E1E1E"/>
              </w:rPr>
              <w:t>10.35</w:t>
            </w:r>
          </w:p>
        </w:tc>
        <w:tc>
          <w:tcPr>
            <w:tcW w:w="9360" w:type="dxa"/>
            <w:vAlign w:val="bottom"/>
          </w:tcPr>
          <w:p>
            <w:pPr>
              <w:ind w:left="320"/>
              <w:spacing w:after="0"/>
              <w:rPr>
                <w:sz w:val="20"/>
                <w:szCs w:val="20"/>
                <w:color w:val="auto"/>
              </w:rPr>
            </w:pPr>
            <w:r>
              <w:rPr>
                <w:rFonts w:ascii="Arial" w:cs="Arial" w:eastAsia="Arial" w:hAnsi="Arial"/>
                <w:sz w:val="20"/>
                <w:szCs w:val="20"/>
                <w:color w:val="1E1E1E"/>
                <w:w w:val="94"/>
              </w:rPr>
              <w:t>Membership Interest Purchase Agreement dated January 30, 2006 by and between the Company and Spirit</w:t>
            </w:r>
          </w:p>
        </w:tc>
      </w:tr>
      <w:tr>
        <w:trPr>
          <w:trHeight w:val="228"/>
        </w:trPr>
        <w:tc>
          <w:tcPr>
            <w:tcW w:w="760" w:type="dxa"/>
            <w:vAlign w:val="bottom"/>
          </w:tcPr>
          <w:p>
            <w:pPr>
              <w:spacing w:after="0"/>
              <w:rPr>
                <w:sz w:val="19"/>
                <w:szCs w:val="19"/>
                <w:color w:val="auto"/>
              </w:rPr>
            </w:pPr>
          </w:p>
        </w:tc>
        <w:tc>
          <w:tcPr>
            <w:tcW w:w="9360" w:type="dxa"/>
            <w:vAlign w:val="bottom"/>
          </w:tcPr>
          <w:p>
            <w:pPr>
              <w:ind w:left="320"/>
              <w:spacing w:after="0" w:line="228" w:lineRule="exact"/>
              <w:rPr>
                <w:sz w:val="20"/>
                <w:szCs w:val="20"/>
                <w:color w:val="auto"/>
              </w:rPr>
            </w:pPr>
            <w:r>
              <w:rPr>
                <w:rFonts w:ascii="Arial" w:cs="Arial" w:eastAsia="Arial" w:hAnsi="Arial"/>
                <w:sz w:val="20"/>
                <w:szCs w:val="20"/>
                <w:color w:val="1E1E1E"/>
                <w:w w:val="95"/>
              </w:rPr>
              <w:t>Finance Acquisitions, LLC (included as Exhibit 10.2 to the Company’s Current Report on Form 8-K filed on</w:t>
            </w:r>
          </w:p>
        </w:tc>
      </w:tr>
      <w:tr>
        <w:trPr>
          <w:trHeight w:val="267"/>
        </w:trPr>
        <w:tc>
          <w:tcPr>
            <w:tcW w:w="760" w:type="dxa"/>
            <w:vAlign w:val="bottom"/>
          </w:tcPr>
          <w:p>
            <w:pPr>
              <w:spacing w:after="0"/>
              <w:rPr>
                <w:sz w:val="23"/>
                <w:szCs w:val="23"/>
                <w:color w:val="auto"/>
              </w:rPr>
            </w:pPr>
          </w:p>
        </w:tc>
        <w:tc>
          <w:tcPr>
            <w:tcW w:w="9360" w:type="dxa"/>
            <w:vAlign w:val="bottom"/>
          </w:tcPr>
          <w:p>
            <w:pPr>
              <w:ind w:left="320"/>
              <w:spacing w:after="0"/>
              <w:rPr>
                <w:sz w:val="20"/>
                <w:szCs w:val="20"/>
                <w:color w:val="auto"/>
              </w:rPr>
            </w:pPr>
            <w:r>
              <w:rPr>
                <w:rFonts w:ascii="Arial" w:cs="Arial" w:eastAsia="Arial" w:hAnsi="Arial"/>
                <w:sz w:val="20"/>
                <w:szCs w:val="20"/>
                <w:color w:val="1E1E1E"/>
              </w:rPr>
              <w:t>February 3, 2006 (File No. 001-34219), and incorporated herein by reference).</w:t>
            </w:r>
          </w:p>
        </w:tc>
      </w:tr>
      <w:tr>
        <w:trPr>
          <w:trHeight w:val="366"/>
        </w:trPr>
        <w:tc>
          <w:tcPr>
            <w:tcW w:w="760" w:type="dxa"/>
            <w:vAlign w:val="bottom"/>
          </w:tcPr>
          <w:p>
            <w:pPr>
              <w:spacing w:after="0"/>
              <w:rPr>
                <w:sz w:val="20"/>
                <w:szCs w:val="20"/>
                <w:color w:val="auto"/>
              </w:rPr>
            </w:pPr>
            <w:r>
              <w:rPr>
                <w:rFonts w:ascii="Arial" w:cs="Arial" w:eastAsia="Arial" w:hAnsi="Arial"/>
                <w:sz w:val="20"/>
                <w:szCs w:val="20"/>
                <w:color w:val="1E1E1E"/>
              </w:rPr>
              <w:t>10.36</w:t>
            </w:r>
          </w:p>
        </w:tc>
        <w:tc>
          <w:tcPr>
            <w:tcW w:w="9360" w:type="dxa"/>
            <w:vAlign w:val="bottom"/>
          </w:tcPr>
          <w:p>
            <w:pPr>
              <w:ind w:left="320"/>
              <w:spacing w:after="0"/>
              <w:rPr>
                <w:sz w:val="20"/>
                <w:szCs w:val="20"/>
                <w:color w:val="auto"/>
              </w:rPr>
            </w:pPr>
            <w:r>
              <w:rPr>
                <w:rFonts w:ascii="Arial" w:cs="Arial" w:eastAsia="Arial" w:hAnsi="Arial"/>
                <w:sz w:val="20"/>
                <w:szCs w:val="20"/>
                <w:color w:val="1E1E1E"/>
                <w:w w:val="91"/>
              </w:rPr>
              <w:t>Lease Agreement dated February 1, 2006 by and between the Company and Spirit SPE Canton, LLC (included</w:t>
            </w:r>
          </w:p>
        </w:tc>
      </w:tr>
      <w:tr>
        <w:trPr>
          <w:trHeight w:val="228"/>
        </w:trPr>
        <w:tc>
          <w:tcPr>
            <w:tcW w:w="760" w:type="dxa"/>
            <w:vAlign w:val="bottom"/>
          </w:tcPr>
          <w:p>
            <w:pPr>
              <w:spacing w:after="0"/>
              <w:rPr>
                <w:sz w:val="19"/>
                <w:szCs w:val="19"/>
                <w:color w:val="auto"/>
              </w:rPr>
            </w:pPr>
          </w:p>
        </w:tc>
        <w:tc>
          <w:tcPr>
            <w:tcW w:w="9360" w:type="dxa"/>
            <w:vAlign w:val="bottom"/>
          </w:tcPr>
          <w:p>
            <w:pPr>
              <w:ind w:left="320"/>
              <w:spacing w:after="0" w:line="229" w:lineRule="exact"/>
              <w:rPr>
                <w:sz w:val="20"/>
                <w:szCs w:val="20"/>
                <w:color w:val="auto"/>
              </w:rPr>
            </w:pPr>
            <w:r>
              <w:rPr>
                <w:rFonts w:ascii="Arial" w:cs="Arial" w:eastAsia="Arial" w:hAnsi="Arial"/>
                <w:sz w:val="20"/>
                <w:szCs w:val="20"/>
                <w:color w:val="1E1E1E"/>
                <w:w w:val="93"/>
              </w:rPr>
              <w:t>as Exhibit 10.3 to the Company’s Current Report on Form 8-K filed on February 3, 2006 (File No. 001-34219),</w:t>
            </w:r>
          </w:p>
        </w:tc>
      </w:tr>
      <w:tr>
        <w:trPr>
          <w:trHeight w:val="267"/>
        </w:trPr>
        <w:tc>
          <w:tcPr>
            <w:tcW w:w="760" w:type="dxa"/>
            <w:vAlign w:val="bottom"/>
          </w:tcPr>
          <w:p>
            <w:pPr>
              <w:spacing w:after="0"/>
              <w:rPr>
                <w:sz w:val="23"/>
                <w:szCs w:val="23"/>
                <w:color w:val="auto"/>
              </w:rPr>
            </w:pPr>
          </w:p>
        </w:tc>
        <w:tc>
          <w:tcPr>
            <w:tcW w:w="9360" w:type="dxa"/>
            <w:vAlign w:val="bottom"/>
          </w:tcPr>
          <w:p>
            <w:pPr>
              <w:ind w:left="320"/>
              <w:spacing w:after="0"/>
              <w:rPr>
                <w:sz w:val="20"/>
                <w:szCs w:val="20"/>
                <w:color w:val="auto"/>
              </w:rPr>
            </w:pPr>
            <w:r>
              <w:rPr>
                <w:rFonts w:ascii="Arial" w:cs="Arial" w:eastAsia="Arial" w:hAnsi="Arial"/>
                <w:sz w:val="20"/>
                <w:szCs w:val="20"/>
                <w:color w:val="1E1E1E"/>
              </w:rPr>
              <w:t>and incorporated herein by reference).</w:t>
            </w:r>
          </w:p>
        </w:tc>
      </w:tr>
      <w:tr>
        <w:trPr>
          <w:trHeight w:val="365"/>
        </w:trPr>
        <w:tc>
          <w:tcPr>
            <w:tcW w:w="760" w:type="dxa"/>
            <w:vAlign w:val="bottom"/>
          </w:tcPr>
          <w:p>
            <w:pPr>
              <w:spacing w:after="0"/>
              <w:rPr>
                <w:sz w:val="20"/>
                <w:szCs w:val="20"/>
                <w:color w:val="auto"/>
              </w:rPr>
            </w:pPr>
            <w:r>
              <w:rPr>
                <w:rFonts w:ascii="Arial" w:cs="Arial" w:eastAsia="Arial" w:hAnsi="Arial"/>
                <w:sz w:val="20"/>
                <w:szCs w:val="20"/>
                <w:color w:val="1E1E1E"/>
              </w:rPr>
              <w:t>21.1</w:t>
            </w:r>
          </w:p>
        </w:tc>
        <w:tc>
          <w:tcPr>
            <w:tcW w:w="9360" w:type="dxa"/>
            <w:vAlign w:val="bottom"/>
          </w:tcPr>
          <w:p>
            <w:pPr>
              <w:ind w:left="320"/>
              <w:spacing w:after="0"/>
              <w:rPr>
                <w:sz w:val="20"/>
                <w:szCs w:val="20"/>
                <w:color w:val="auto"/>
              </w:rPr>
            </w:pPr>
            <w:r>
              <w:rPr>
                <w:rFonts w:ascii="Arial" w:cs="Arial" w:eastAsia="Arial" w:hAnsi="Arial"/>
                <w:sz w:val="20"/>
                <w:szCs w:val="20"/>
                <w:color w:val="1E1E1E"/>
              </w:rPr>
              <w:t>Subsidiaries of the Registrant.</w:t>
            </w:r>
          </w:p>
        </w:tc>
      </w:tr>
      <w:tr>
        <w:trPr>
          <w:trHeight w:val="384"/>
        </w:trPr>
        <w:tc>
          <w:tcPr>
            <w:tcW w:w="760" w:type="dxa"/>
            <w:vAlign w:val="bottom"/>
          </w:tcPr>
          <w:p>
            <w:pPr>
              <w:spacing w:after="0"/>
              <w:rPr>
                <w:sz w:val="20"/>
                <w:szCs w:val="20"/>
                <w:color w:val="auto"/>
              </w:rPr>
            </w:pPr>
            <w:r>
              <w:rPr>
                <w:rFonts w:ascii="Arial" w:cs="Arial" w:eastAsia="Arial" w:hAnsi="Arial"/>
                <w:sz w:val="20"/>
                <w:szCs w:val="20"/>
                <w:color w:val="1E1E1E"/>
              </w:rPr>
              <w:t>23.1</w:t>
            </w:r>
          </w:p>
        </w:tc>
        <w:tc>
          <w:tcPr>
            <w:tcW w:w="9360" w:type="dxa"/>
            <w:vAlign w:val="bottom"/>
          </w:tcPr>
          <w:p>
            <w:pPr>
              <w:ind w:left="320"/>
              <w:spacing w:after="0"/>
              <w:rPr>
                <w:sz w:val="20"/>
                <w:szCs w:val="20"/>
                <w:color w:val="auto"/>
              </w:rPr>
            </w:pPr>
            <w:r>
              <w:rPr>
                <w:rFonts w:ascii="Arial" w:cs="Arial" w:eastAsia="Arial" w:hAnsi="Arial"/>
                <w:sz w:val="20"/>
                <w:szCs w:val="20"/>
                <w:color w:val="1E1E1E"/>
              </w:rPr>
              <w:t>Consent of Independent Registered Public Accounting Firm.</w:t>
            </w:r>
          </w:p>
        </w:tc>
      </w:tr>
      <w:tr>
        <w:trPr>
          <w:trHeight w:val="366"/>
        </w:trPr>
        <w:tc>
          <w:tcPr>
            <w:tcW w:w="760" w:type="dxa"/>
            <w:vAlign w:val="bottom"/>
          </w:tcPr>
          <w:p>
            <w:pPr>
              <w:spacing w:after="0"/>
              <w:rPr>
                <w:sz w:val="20"/>
                <w:szCs w:val="20"/>
                <w:color w:val="auto"/>
              </w:rPr>
            </w:pPr>
            <w:r>
              <w:rPr>
                <w:rFonts w:ascii="Arial" w:cs="Arial" w:eastAsia="Arial" w:hAnsi="Arial"/>
                <w:sz w:val="20"/>
                <w:szCs w:val="20"/>
                <w:color w:val="1E1E1E"/>
              </w:rPr>
              <w:t>31.1</w:t>
            </w:r>
          </w:p>
        </w:tc>
        <w:tc>
          <w:tcPr>
            <w:tcW w:w="9360" w:type="dxa"/>
            <w:vAlign w:val="bottom"/>
          </w:tcPr>
          <w:p>
            <w:pPr>
              <w:ind w:left="320"/>
              <w:spacing w:after="0"/>
              <w:rPr>
                <w:sz w:val="20"/>
                <w:szCs w:val="20"/>
                <w:color w:val="auto"/>
              </w:rPr>
            </w:pPr>
            <w:r>
              <w:rPr>
                <w:rFonts w:ascii="Arial" w:cs="Arial" w:eastAsia="Arial" w:hAnsi="Arial"/>
                <w:sz w:val="20"/>
                <w:szCs w:val="20"/>
                <w:color w:val="1E1E1E"/>
                <w:w w:val="98"/>
              </w:rPr>
              <w:t>Certification of Chief Executive Officer of the Company pursuant to Rule 13a-14(a) under the Securities</w:t>
            </w:r>
          </w:p>
        </w:tc>
      </w:tr>
      <w:tr>
        <w:trPr>
          <w:trHeight w:val="267"/>
        </w:trPr>
        <w:tc>
          <w:tcPr>
            <w:tcW w:w="760" w:type="dxa"/>
            <w:vAlign w:val="bottom"/>
          </w:tcPr>
          <w:p>
            <w:pPr>
              <w:spacing w:after="0"/>
              <w:rPr>
                <w:sz w:val="23"/>
                <w:szCs w:val="23"/>
                <w:color w:val="auto"/>
              </w:rPr>
            </w:pPr>
          </w:p>
        </w:tc>
        <w:tc>
          <w:tcPr>
            <w:tcW w:w="9360" w:type="dxa"/>
            <w:vAlign w:val="bottom"/>
          </w:tcPr>
          <w:p>
            <w:pPr>
              <w:ind w:left="320"/>
              <w:spacing w:after="0"/>
              <w:rPr>
                <w:sz w:val="20"/>
                <w:szCs w:val="20"/>
                <w:color w:val="auto"/>
              </w:rPr>
            </w:pPr>
            <w:r>
              <w:rPr>
                <w:rFonts w:ascii="Arial" w:cs="Arial" w:eastAsia="Arial" w:hAnsi="Arial"/>
                <w:sz w:val="20"/>
                <w:szCs w:val="20"/>
                <w:color w:val="1E1E1E"/>
              </w:rPr>
              <w:t>Exchange Act of 1934.</w:t>
            </w:r>
          </w:p>
        </w:tc>
      </w:tr>
      <w:tr>
        <w:trPr>
          <w:trHeight w:val="417"/>
        </w:trPr>
        <w:tc>
          <w:tcPr>
            <w:tcW w:w="760" w:type="dxa"/>
            <w:vAlign w:val="bottom"/>
          </w:tcPr>
          <w:p>
            <w:pPr>
              <w:spacing w:after="0"/>
              <w:rPr>
                <w:sz w:val="20"/>
                <w:szCs w:val="20"/>
                <w:color w:val="auto"/>
              </w:rPr>
            </w:pPr>
            <w:r>
              <w:rPr>
                <w:rFonts w:ascii="Arial" w:cs="Arial" w:eastAsia="Arial" w:hAnsi="Arial"/>
                <w:sz w:val="20"/>
                <w:szCs w:val="20"/>
                <w:color w:val="1E1E1E"/>
              </w:rPr>
              <w:t>31.2</w:t>
            </w:r>
          </w:p>
        </w:tc>
        <w:tc>
          <w:tcPr>
            <w:tcW w:w="9360" w:type="dxa"/>
            <w:vAlign w:val="bottom"/>
          </w:tcPr>
          <w:p>
            <w:pPr>
              <w:ind w:left="320"/>
              <w:spacing w:after="0"/>
              <w:rPr>
                <w:sz w:val="20"/>
                <w:szCs w:val="20"/>
                <w:color w:val="auto"/>
              </w:rPr>
            </w:pPr>
            <w:r>
              <w:rPr>
                <w:rFonts w:ascii="Arial" w:cs="Arial" w:eastAsia="Arial" w:hAnsi="Arial"/>
                <w:sz w:val="20"/>
                <w:szCs w:val="20"/>
                <w:color w:val="1E1E1E"/>
                <w:w w:val="99"/>
              </w:rPr>
              <w:t>Certification of Chief Financial Officer of the Company pursuant to Rule 13a-14(a) under the Securities</w:t>
            </w:r>
          </w:p>
        </w:tc>
      </w:tr>
      <w:tr>
        <w:trPr>
          <w:trHeight w:val="267"/>
        </w:trPr>
        <w:tc>
          <w:tcPr>
            <w:tcW w:w="760" w:type="dxa"/>
            <w:vAlign w:val="bottom"/>
          </w:tcPr>
          <w:p>
            <w:pPr>
              <w:spacing w:after="0"/>
              <w:rPr>
                <w:sz w:val="23"/>
                <w:szCs w:val="23"/>
                <w:color w:val="auto"/>
              </w:rPr>
            </w:pPr>
          </w:p>
        </w:tc>
        <w:tc>
          <w:tcPr>
            <w:tcW w:w="9360" w:type="dxa"/>
            <w:vAlign w:val="bottom"/>
          </w:tcPr>
          <w:p>
            <w:pPr>
              <w:ind w:left="320"/>
              <w:spacing w:after="0"/>
              <w:rPr>
                <w:sz w:val="20"/>
                <w:szCs w:val="20"/>
                <w:color w:val="auto"/>
              </w:rPr>
            </w:pPr>
            <w:r>
              <w:rPr>
                <w:rFonts w:ascii="Arial" w:cs="Arial" w:eastAsia="Arial" w:hAnsi="Arial"/>
                <w:sz w:val="20"/>
                <w:szCs w:val="20"/>
                <w:color w:val="1E1E1E"/>
              </w:rPr>
              <w:t>Exchange Act of 1934.</w:t>
            </w:r>
          </w:p>
        </w:tc>
      </w:tr>
      <w:tr>
        <w:trPr>
          <w:trHeight w:val="345"/>
        </w:trPr>
        <w:tc>
          <w:tcPr>
            <w:tcW w:w="760" w:type="dxa"/>
            <w:vAlign w:val="bottom"/>
          </w:tcPr>
          <w:p>
            <w:pPr>
              <w:spacing w:after="0"/>
              <w:rPr>
                <w:sz w:val="20"/>
                <w:szCs w:val="20"/>
                <w:color w:val="auto"/>
              </w:rPr>
            </w:pPr>
            <w:r>
              <w:rPr>
                <w:rFonts w:ascii="Arial" w:cs="Arial" w:eastAsia="Arial" w:hAnsi="Arial"/>
                <w:sz w:val="20"/>
                <w:szCs w:val="20"/>
                <w:color w:val="1E1E1E"/>
              </w:rPr>
              <w:t>32.1</w:t>
            </w:r>
          </w:p>
        </w:tc>
        <w:tc>
          <w:tcPr>
            <w:tcW w:w="9360" w:type="dxa"/>
            <w:vAlign w:val="bottom"/>
          </w:tcPr>
          <w:p>
            <w:pPr>
              <w:ind w:left="320"/>
              <w:spacing w:after="0"/>
              <w:rPr>
                <w:sz w:val="20"/>
                <w:szCs w:val="20"/>
                <w:color w:val="auto"/>
              </w:rPr>
            </w:pPr>
            <w:r>
              <w:rPr>
                <w:rFonts w:ascii="Arial" w:cs="Arial" w:eastAsia="Arial" w:hAnsi="Arial"/>
                <w:sz w:val="20"/>
                <w:szCs w:val="20"/>
                <w:color w:val="1E1E1E"/>
                <w:w w:val="91"/>
              </w:rPr>
              <w:t>Certification of Chief Executive Officer pursuant to 18 U.S.C. Section 1350, as adopted pursuant to Section 906</w:t>
            </w:r>
          </w:p>
        </w:tc>
      </w:tr>
      <w:tr>
        <w:trPr>
          <w:trHeight w:val="267"/>
        </w:trPr>
        <w:tc>
          <w:tcPr>
            <w:tcW w:w="760" w:type="dxa"/>
            <w:vAlign w:val="bottom"/>
          </w:tcPr>
          <w:p>
            <w:pPr>
              <w:spacing w:after="0"/>
              <w:rPr>
                <w:sz w:val="23"/>
                <w:szCs w:val="23"/>
                <w:color w:val="auto"/>
              </w:rPr>
            </w:pPr>
          </w:p>
        </w:tc>
        <w:tc>
          <w:tcPr>
            <w:tcW w:w="9360" w:type="dxa"/>
            <w:vAlign w:val="bottom"/>
          </w:tcPr>
          <w:p>
            <w:pPr>
              <w:ind w:left="320"/>
              <w:spacing w:after="0"/>
              <w:rPr>
                <w:sz w:val="20"/>
                <w:szCs w:val="20"/>
                <w:color w:val="auto"/>
              </w:rPr>
            </w:pPr>
            <w:r>
              <w:rPr>
                <w:rFonts w:ascii="Arial" w:cs="Arial" w:eastAsia="Arial" w:hAnsi="Arial"/>
                <w:sz w:val="20"/>
                <w:szCs w:val="20"/>
                <w:color w:val="1E1E1E"/>
              </w:rPr>
              <w:t>of the Sarbanes-Oxley Act of 2002.</w:t>
            </w:r>
          </w:p>
        </w:tc>
      </w:tr>
      <w:tr>
        <w:trPr>
          <w:trHeight w:val="347"/>
        </w:trPr>
        <w:tc>
          <w:tcPr>
            <w:tcW w:w="760" w:type="dxa"/>
            <w:vAlign w:val="bottom"/>
          </w:tcPr>
          <w:p>
            <w:pPr>
              <w:spacing w:after="0"/>
              <w:rPr>
                <w:sz w:val="20"/>
                <w:szCs w:val="20"/>
                <w:color w:val="auto"/>
              </w:rPr>
            </w:pPr>
            <w:r>
              <w:rPr>
                <w:rFonts w:ascii="Arial" w:cs="Arial" w:eastAsia="Arial" w:hAnsi="Arial"/>
                <w:sz w:val="20"/>
                <w:szCs w:val="20"/>
                <w:color w:val="1E1E1E"/>
              </w:rPr>
              <w:t>32.2</w:t>
            </w:r>
          </w:p>
        </w:tc>
        <w:tc>
          <w:tcPr>
            <w:tcW w:w="9360" w:type="dxa"/>
            <w:vAlign w:val="bottom"/>
          </w:tcPr>
          <w:p>
            <w:pPr>
              <w:ind w:left="320"/>
              <w:spacing w:after="0"/>
              <w:rPr>
                <w:sz w:val="20"/>
                <w:szCs w:val="20"/>
                <w:color w:val="auto"/>
              </w:rPr>
            </w:pPr>
            <w:r>
              <w:rPr>
                <w:rFonts w:ascii="Arial" w:cs="Arial" w:eastAsia="Arial" w:hAnsi="Arial"/>
                <w:sz w:val="20"/>
                <w:szCs w:val="20"/>
                <w:color w:val="1E1E1E"/>
                <w:w w:val="92"/>
              </w:rPr>
              <w:t>Certification of Chief Financial Officer pursuant to 18 U.S.C. Section 1350, as adopted pursuant to Section 906</w:t>
            </w:r>
          </w:p>
        </w:tc>
      </w:tr>
      <w:tr>
        <w:trPr>
          <w:trHeight w:val="267"/>
        </w:trPr>
        <w:tc>
          <w:tcPr>
            <w:tcW w:w="760" w:type="dxa"/>
            <w:vAlign w:val="bottom"/>
          </w:tcPr>
          <w:p>
            <w:pPr>
              <w:spacing w:after="0"/>
              <w:rPr>
                <w:sz w:val="23"/>
                <w:szCs w:val="23"/>
                <w:color w:val="auto"/>
              </w:rPr>
            </w:pPr>
          </w:p>
        </w:tc>
        <w:tc>
          <w:tcPr>
            <w:tcW w:w="9360" w:type="dxa"/>
            <w:vAlign w:val="bottom"/>
          </w:tcPr>
          <w:p>
            <w:pPr>
              <w:ind w:left="320"/>
              <w:spacing w:after="0"/>
              <w:rPr>
                <w:sz w:val="20"/>
                <w:szCs w:val="20"/>
                <w:color w:val="auto"/>
              </w:rPr>
            </w:pPr>
            <w:r>
              <w:rPr>
                <w:rFonts w:ascii="Arial" w:cs="Arial" w:eastAsia="Arial" w:hAnsi="Arial"/>
                <w:sz w:val="20"/>
                <w:szCs w:val="20"/>
                <w:color w:val="1E1E1E"/>
              </w:rPr>
              <w:t>of the Sarbanes-Oxley Act of 2002.</w:t>
            </w:r>
          </w:p>
        </w:tc>
      </w:tr>
      <w:tr>
        <w:trPr>
          <w:trHeight w:val="406"/>
        </w:trPr>
        <w:tc>
          <w:tcPr>
            <w:tcW w:w="760" w:type="dxa"/>
            <w:vAlign w:val="bottom"/>
          </w:tcPr>
          <w:p>
            <w:pPr>
              <w:spacing w:after="0"/>
              <w:rPr>
                <w:sz w:val="20"/>
                <w:szCs w:val="20"/>
                <w:color w:val="auto"/>
              </w:rPr>
            </w:pPr>
            <w:r>
              <w:rPr>
                <w:rFonts w:ascii="Arial" w:cs="Arial" w:eastAsia="Arial" w:hAnsi="Arial"/>
                <w:sz w:val="20"/>
                <w:szCs w:val="20"/>
                <w:color w:val="1E1E1E"/>
              </w:rPr>
              <w:t>97.1</w:t>
            </w:r>
          </w:p>
        </w:tc>
        <w:tc>
          <w:tcPr>
            <w:tcW w:w="9360" w:type="dxa"/>
            <w:vAlign w:val="bottom"/>
          </w:tcPr>
          <w:p>
            <w:pPr>
              <w:ind w:left="320"/>
              <w:spacing w:after="0"/>
              <w:rPr>
                <w:sz w:val="20"/>
                <w:szCs w:val="20"/>
                <w:color w:val="auto"/>
              </w:rPr>
            </w:pPr>
            <w:r>
              <w:rPr>
                <w:rFonts w:ascii="Arial" w:cs="Arial" w:eastAsia="Arial" w:hAnsi="Arial"/>
                <w:sz w:val="20"/>
                <w:szCs w:val="20"/>
                <w:color w:val="1E1E1E"/>
              </w:rPr>
              <w:t>Executive Officer Clawback Policy adopted November 2, 2023.</w:t>
            </w:r>
          </w:p>
        </w:tc>
      </w:tr>
    </w:tbl>
    <w:p>
      <w:pPr>
        <w:spacing w:after="0" w:line="136" w:lineRule="exact"/>
        <w:rPr>
          <w:sz w:val="20"/>
          <w:szCs w:val="20"/>
          <w:color w:val="auto"/>
        </w:rPr>
      </w:pPr>
    </w:p>
    <w:p>
      <w:pPr>
        <w:ind w:left="1080" w:right="20" w:hanging="1080"/>
        <w:spacing w:after="0" w:line="263" w:lineRule="auto"/>
        <w:tabs>
          <w:tab w:leader="none" w:pos="1080" w:val="left"/>
        </w:tabs>
        <w:numPr>
          <w:ilvl w:val="0"/>
          <w:numId w:val="8"/>
        </w:numPr>
        <w:rPr>
          <w:rFonts w:ascii="Arial" w:cs="Arial" w:eastAsia="Arial" w:hAnsi="Arial"/>
          <w:sz w:val="19"/>
          <w:szCs w:val="19"/>
          <w:color w:val="1E1E1E"/>
        </w:rPr>
      </w:pPr>
      <w:r>
        <w:rPr>
          <w:rFonts w:ascii="Arial" w:cs="Arial" w:eastAsia="Arial" w:hAnsi="Arial"/>
          <w:sz w:val="19"/>
          <w:szCs w:val="19"/>
          <w:color w:val="1E1E1E"/>
        </w:rPr>
        <w:t>The following materials from the Company’s Annual Report on Form 10-K for the year ended February 3, 2024, formatted in Inline XBRL (eXtensible Business Reporting Language): (i) Consolidated Balance Sheets, (ii) Consolidated Statements of Operations, (iii) Consolidated Statements of Changes in Stockholders’ Equity (Deficit), (iv) Consolidated Statements of Comprehensive Income, (v) Consolidated Statements of Cash Flows, and (vi) Notes to Consolidated Financial Statements.</w:t>
      </w:r>
    </w:p>
    <w:p>
      <w:pPr>
        <w:spacing w:after="0" w:line="123" w:lineRule="exact"/>
        <w:rPr>
          <w:sz w:val="20"/>
          <w:szCs w:val="20"/>
          <w:color w:val="auto"/>
        </w:rPr>
      </w:pPr>
    </w:p>
    <w:p>
      <w:pPr>
        <w:ind w:left="1080" w:hanging="1080"/>
        <w:spacing w:after="0" w:line="279" w:lineRule="auto"/>
        <w:tabs>
          <w:tab w:leader="none" w:pos="1080" w:val="left"/>
        </w:tabs>
        <w:numPr>
          <w:ilvl w:val="0"/>
          <w:numId w:val="9"/>
        </w:numPr>
        <w:rPr>
          <w:rFonts w:ascii="Arial" w:cs="Arial" w:eastAsia="Arial" w:hAnsi="Arial"/>
          <w:sz w:val="20"/>
          <w:szCs w:val="20"/>
          <w:color w:val="1E1E1E"/>
        </w:rPr>
      </w:pPr>
      <w:r>
        <w:rPr>
          <w:rFonts w:ascii="Arial" w:cs="Arial" w:eastAsia="Arial" w:hAnsi="Arial"/>
          <w:sz w:val="20"/>
          <w:szCs w:val="20"/>
          <w:color w:val="1E1E1E"/>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p>
    <w:p>
      <w:pPr>
        <w:ind w:left="540" w:hanging="480"/>
        <w:spacing w:after="0"/>
        <w:tabs>
          <w:tab w:leader="none" w:pos="540" w:val="left"/>
        </w:tabs>
        <w:numPr>
          <w:ilvl w:val="1"/>
          <w:numId w:val="10"/>
        </w:numPr>
        <w:rPr>
          <w:rFonts w:ascii="Arial" w:cs="Arial" w:eastAsia="Arial" w:hAnsi="Arial"/>
          <w:sz w:val="20"/>
          <w:szCs w:val="20"/>
          <w:color w:val="1E1E1E"/>
        </w:rPr>
      </w:pPr>
      <w:r>
        <w:rPr>
          <w:rFonts w:ascii="Arial" w:cs="Arial" w:eastAsia="Arial" w:hAnsi="Arial"/>
          <w:sz w:val="20"/>
          <w:szCs w:val="20"/>
          <w:color w:val="1E1E1E"/>
        </w:rPr>
        <w:t>Filed herewith.</w:t>
      </w:r>
    </w:p>
    <w:p>
      <w:pPr>
        <w:ind w:left="160" w:hanging="160"/>
        <w:spacing w:after="0"/>
        <w:tabs>
          <w:tab w:leader="none" w:pos="160" w:val="left"/>
        </w:tabs>
        <w:numPr>
          <w:ilvl w:val="0"/>
          <w:numId w:val="10"/>
        </w:numPr>
        <w:rPr>
          <w:rFonts w:ascii="Arial" w:cs="Arial" w:eastAsia="Arial" w:hAnsi="Arial"/>
          <w:sz w:val="20"/>
          <w:szCs w:val="20"/>
          <w:color w:val="1E1E1E"/>
        </w:rPr>
      </w:pPr>
      <w:r>
        <w:rPr>
          <w:rFonts w:ascii="Arial" w:cs="Arial" w:eastAsia="Arial" w:hAnsi="Arial"/>
          <w:sz w:val="20"/>
          <w:szCs w:val="20"/>
          <w:color w:val="1E1E1E"/>
        </w:rPr>
        <w:t>Denotes management contract or compensatory plan or arrangement.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384"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382"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1E1E1E"/>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20"/>
          <w:szCs w:val="20"/>
          <w:color w:val="1E1E1E"/>
        </w:rPr>
        <w:t>*</w:t>
      </w:r>
    </w:p>
    <w:p>
      <w:pPr>
        <w:spacing w:after="0" w:line="802" w:lineRule="exact"/>
        <w:rPr>
          <w:sz w:val="20"/>
          <w:szCs w:val="20"/>
          <w:color w:val="auto"/>
        </w:rPr>
      </w:pPr>
    </w:p>
    <w:p>
      <w:pPr>
        <w:sectPr>
          <w:pgSz w:w="11880" w:h="15480" w:orient="portrait"/>
          <w:cols w:equalWidth="0" w:num="2">
            <w:col w:w="10120" w:space="320"/>
            <w:col w:w="200"/>
          </w:cols>
          <w:pgMar w:left="540" w:top="654" w:right="70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1E1E1E"/>
        </w:rPr>
        <w:t>67</w:t>
      </w:r>
    </w:p>
    <w:p>
      <w:pPr>
        <w:sectPr>
          <w:pgSz w:w="11880" w:h="15480" w:orient="portrait"/>
          <w:cols w:equalWidth="0" w:num="1">
            <w:col w:w="10640"/>
          </w:cols>
          <w:pgMar w:left="540" w:top="654" w:right="700" w:bottom="31" w:gutter="0" w:footer="0" w:header="0"/>
          <w:type w:val="continuous"/>
        </w:sectPr>
      </w:pPr>
    </w:p>
    <w:bookmarkStart w:id="69" w:name="page70"/>
    <w:bookmarkEnd w:id="69"/>
    <w:p>
      <w:pPr>
        <w:jc w:val="center"/>
        <w:ind w:right="-159"/>
        <w:spacing w:after="0"/>
        <w:rPr>
          <w:sz w:val="20"/>
          <w:szCs w:val="20"/>
          <w:color w:val="auto"/>
        </w:rPr>
      </w:pPr>
      <w:r>
        <w:rPr>
          <w:rFonts w:ascii="Arial" w:cs="Arial" w:eastAsia="Arial" w:hAnsi="Arial"/>
          <w:sz w:val="20"/>
          <w:szCs w:val="20"/>
          <w:color w:val="1E1E1E"/>
        </w:rPr>
        <w:t>SIGNATURES</w:t>
      </w:r>
    </w:p>
    <w:p>
      <w:pPr>
        <w:spacing w:after="0" w:line="244" w:lineRule="exact"/>
        <w:rPr>
          <w:sz w:val="20"/>
          <w:szCs w:val="20"/>
          <w:color w:val="auto"/>
        </w:rPr>
      </w:pPr>
    </w:p>
    <w:p>
      <w:pPr>
        <w:spacing w:after="0" w:line="279" w:lineRule="auto"/>
        <w:rPr>
          <w:sz w:val="20"/>
          <w:szCs w:val="20"/>
          <w:color w:val="auto"/>
        </w:rPr>
      </w:pPr>
      <w:r>
        <w:rPr>
          <w:rFonts w:ascii="Arial" w:cs="Arial" w:eastAsia="Arial" w:hAnsi="Arial"/>
          <w:sz w:val="20"/>
          <w:szCs w:val="20"/>
          <w:color w:val="1E1E1E"/>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6380"/>
        <w:spacing w:after="0"/>
        <w:rPr>
          <w:sz w:val="20"/>
          <w:szCs w:val="20"/>
          <w:color w:val="auto"/>
        </w:rPr>
      </w:pPr>
      <w:r>
        <w:rPr>
          <w:rFonts w:ascii="Arial" w:cs="Arial" w:eastAsia="Arial" w:hAnsi="Arial"/>
          <w:sz w:val="20"/>
          <w:szCs w:val="20"/>
          <w:color w:val="1E1E1E"/>
        </w:rPr>
        <w:t>D</w:t>
      </w:r>
      <w:r>
        <w:rPr>
          <w:rFonts w:ascii="Arial" w:cs="Arial" w:eastAsia="Arial" w:hAnsi="Arial"/>
          <w:sz w:val="16"/>
          <w:szCs w:val="16"/>
          <w:color w:val="1E1E1E"/>
        </w:rPr>
        <w:t>ESTINATION</w:t>
      </w:r>
      <w:r>
        <w:rPr>
          <w:rFonts w:ascii="Arial" w:cs="Arial" w:eastAsia="Arial" w:hAnsi="Arial"/>
          <w:sz w:val="20"/>
          <w:szCs w:val="20"/>
          <w:color w:val="1E1E1E"/>
        </w:rPr>
        <w:t xml:space="preserve"> XL G</w:t>
      </w:r>
      <w:r>
        <w:rPr>
          <w:rFonts w:ascii="Arial" w:cs="Arial" w:eastAsia="Arial" w:hAnsi="Arial"/>
          <w:sz w:val="16"/>
          <w:szCs w:val="16"/>
          <w:color w:val="1E1E1E"/>
        </w:rPr>
        <w:t>ROUP</w:t>
      </w:r>
      <w:r>
        <w:rPr>
          <w:rFonts w:ascii="Arial" w:cs="Arial" w:eastAsia="Arial" w:hAnsi="Arial"/>
          <w:sz w:val="20"/>
          <w:szCs w:val="20"/>
          <w:color w:val="1E1E1E"/>
        </w:rPr>
        <w:t>, I</w:t>
      </w:r>
      <w:r>
        <w:rPr>
          <w:rFonts w:ascii="Arial" w:cs="Arial" w:eastAsia="Arial" w:hAnsi="Arial"/>
          <w:sz w:val="16"/>
          <w:szCs w:val="16"/>
          <w:color w:val="1E1E1E"/>
        </w:rPr>
        <w:t>NC.</w:t>
      </w:r>
    </w:p>
    <w:p>
      <w:pPr>
        <w:spacing w:after="0"/>
        <w:rPr>
          <w:sz w:val="20"/>
          <w:szCs w:val="20"/>
          <w:color w:val="auto"/>
        </w:rPr>
      </w:pPr>
      <w:r>
        <w:rPr>
          <w:rFonts w:ascii="Arial" w:cs="Arial" w:eastAsia="Arial" w:hAnsi="Arial"/>
          <w:sz w:val="20"/>
          <w:szCs w:val="20"/>
          <w:color w:val="1E1E1E"/>
        </w:rPr>
        <w:t>March 21, 2024</w:t>
      </w:r>
    </w:p>
    <w:p>
      <w:pPr>
        <w:ind w:left="6380"/>
        <w:spacing w:after="0"/>
        <w:tabs>
          <w:tab w:leader="none" w:pos="7840" w:val="left"/>
        </w:tabs>
        <w:rPr>
          <w:sz w:val="20"/>
          <w:szCs w:val="20"/>
          <w:color w:val="auto"/>
        </w:rPr>
      </w:pPr>
      <w:r>
        <w:rPr>
          <w:rFonts w:ascii="Arial" w:cs="Arial" w:eastAsia="Arial" w:hAnsi="Arial"/>
          <w:sz w:val="20"/>
          <w:szCs w:val="20"/>
          <w:color w:val="1E1E1E"/>
        </w:rPr>
        <w:t>By:</w:t>
      </w:r>
      <w:r>
        <w:rPr>
          <w:sz w:val="20"/>
          <w:szCs w:val="20"/>
          <w:color w:val="auto"/>
        </w:rPr>
        <w:tab/>
      </w:r>
      <w:r>
        <w:rPr>
          <w:rFonts w:ascii="Arial" w:cs="Arial" w:eastAsia="Arial" w:hAnsi="Arial"/>
          <w:sz w:val="20"/>
          <w:szCs w:val="20"/>
          <w:color w:val="1E1E1E"/>
        </w:rPr>
        <w:t>/s/  H</w:t>
      </w:r>
      <w:r>
        <w:rPr>
          <w:rFonts w:ascii="Arial" w:cs="Arial" w:eastAsia="Arial" w:hAnsi="Arial"/>
          <w:sz w:val="14"/>
          <w:szCs w:val="14"/>
          <w:color w:val="1E1E1E"/>
        </w:rPr>
        <w:t>ARVEY</w:t>
      </w:r>
      <w:r>
        <w:rPr>
          <w:rFonts w:ascii="Arial" w:cs="Arial" w:eastAsia="Arial" w:hAnsi="Arial"/>
          <w:sz w:val="20"/>
          <w:szCs w:val="20"/>
          <w:color w:val="1E1E1E"/>
        </w:rPr>
        <w:t xml:space="preserve"> S. K</w:t>
      </w:r>
      <w:r>
        <w:rPr>
          <w:rFonts w:ascii="Arial" w:cs="Arial" w:eastAsia="Arial" w:hAnsi="Arial"/>
          <w:sz w:val="14"/>
          <w:szCs w:val="14"/>
          <w:color w:val="1E1E1E"/>
        </w:rPr>
        <w:t>ANTER</w:t>
      </w:r>
    </w:p>
    <w:p>
      <w:pPr>
        <w:spacing w:after="0" w:line="10" w:lineRule="exact"/>
        <w:rPr>
          <w:sz w:val="20"/>
          <w:szCs w:val="20"/>
          <w:color w:val="auto"/>
        </w:rPr>
      </w:pPr>
    </w:p>
    <w:p>
      <w:pPr>
        <w:jc w:val="center"/>
        <w:ind w:left="6840"/>
        <w:spacing w:after="0"/>
        <w:rPr>
          <w:sz w:val="20"/>
          <w:szCs w:val="20"/>
          <w:color w:val="auto"/>
        </w:rPr>
      </w:pPr>
      <w:r>
        <w:rPr>
          <w:rFonts w:ascii="Arial" w:cs="Arial" w:eastAsia="Arial" w:hAnsi="Arial"/>
          <w:sz w:val="16"/>
          <w:szCs w:val="16"/>
          <w:color w:val="1E1E1E"/>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-110490</wp:posOffset>
            </wp:positionV>
            <wp:extent cx="251904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19045" cy="7620"/>
                    </a:xfrm>
                    <a:prstGeom prst="rect">
                      <a:avLst/>
                    </a:prstGeom>
                    <a:noFill/>
                  </pic:spPr>
                </pic:pic>
              </a:graphicData>
            </a:graphic>
          </wp:anchor>
        </w:drawing>
      </w:r>
    </w:p>
    <w:p>
      <w:pPr>
        <w:jc w:val="center"/>
        <w:ind w:left="6840"/>
        <w:spacing w:after="0"/>
        <w:rPr>
          <w:sz w:val="20"/>
          <w:szCs w:val="20"/>
          <w:color w:val="auto"/>
        </w:rPr>
      </w:pPr>
      <w:r>
        <w:rPr>
          <w:rFonts w:ascii="Arial" w:cs="Arial" w:eastAsia="Arial" w:hAnsi="Arial"/>
          <w:sz w:val="16"/>
          <w:szCs w:val="16"/>
          <w:color w:val="1E1E1E"/>
        </w:rPr>
        <w:t>President and Chief Executive Officer</w:t>
      </w:r>
    </w:p>
    <w:p>
      <w:pPr>
        <w:spacing w:after="0" w:line="242" w:lineRule="exact"/>
        <w:rPr>
          <w:sz w:val="20"/>
          <w:szCs w:val="20"/>
          <w:color w:val="auto"/>
        </w:rPr>
      </w:pPr>
    </w:p>
    <w:p>
      <w:pPr>
        <w:ind w:right="100"/>
        <w:spacing w:after="0" w:line="276" w:lineRule="auto"/>
        <w:rPr>
          <w:sz w:val="20"/>
          <w:szCs w:val="20"/>
          <w:color w:val="auto"/>
        </w:rPr>
      </w:pPr>
      <w:r>
        <w:rPr>
          <w:rFonts w:ascii="Arial" w:cs="Arial" w:eastAsia="Arial" w:hAnsi="Arial"/>
          <w:sz w:val="20"/>
          <w:szCs w:val="20"/>
          <w:color w:val="1E1E1E"/>
        </w:rPr>
        <w:t>Pursuant to the requirements of the Securities Exchange Act of 1934, this report has been signed below by the following persons on behalf of the registrant in the capacities and on the dates indicated.</w:t>
      </w:r>
    </w:p>
    <w:p>
      <w:pPr>
        <w:spacing w:after="0" w:line="173" w:lineRule="exact"/>
        <w:rPr>
          <w:sz w:val="20"/>
          <w:szCs w:val="20"/>
          <w:color w:val="auto"/>
        </w:rPr>
      </w:pPr>
    </w:p>
    <w:p>
      <w:pPr>
        <w:ind w:left="1560"/>
        <w:spacing w:after="0"/>
        <w:tabs>
          <w:tab w:leader="none" w:pos="6240" w:val="left"/>
          <w:tab w:leader="none" w:pos="9700" w:val="left"/>
        </w:tabs>
        <w:rPr>
          <w:sz w:val="20"/>
          <w:szCs w:val="20"/>
          <w:color w:val="auto"/>
        </w:rPr>
      </w:pPr>
      <w:r>
        <w:rPr>
          <w:rFonts w:ascii="Arial" w:cs="Arial" w:eastAsia="Arial" w:hAnsi="Arial"/>
          <w:sz w:val="16"/>
          <w:szCs w:val="16"/>
          <w:color w:val="1E1E1E"/>
        </w:rPr>
        <w:t>Signatures</w:t>
      </w:r>
      <w:r>
        <w:rPr>
          <w:sz w:val="20"/>
          <w:szCs w:val="20"/>
          <w:color w:val="auto"/>
        </w:rPr>
        <w:tab/>
      </w:r>
      <w:r>
        <w:rPr>
          <w:rFonts w:ascii="Arial" w:cs="Arial" w:eastAsia="Arial" w:hAnsi="Arial"/>
          <w:sz w:val="16"/>
          <w:szCs w:val="16"/>
          <w:color w:val="1E1E1E"/>
        </w:rPr>
        <w:t>Title</w:t>
      </w:r>
      <w:r>
        <w:rPr>
          <w:sz w:val="20"/>
          <w:szCs w:val="20"/>
          <w:color w:val="auto"/>
        </w:rPr>
        <w:tab/>
      </w:r>
      <w:r>
        <w:rPr>
          <w:rFonts w:ascii="Arial" w:cs="Arial" w:eastAsia="Arial" w:hAnsi="Arial"/>
          <w:sz w:val="15"/>
          <w:szCs w:val="15"/>
          <w:color w:val="1E1E1E"/>
        </w:rPr>
        <w:t>Date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880" w:type="dxa"/>
            <w:vAlign w:val="bottom"/>
            <w:tcBorders>
              <w:bottom w:val="single" w:sz="8" w:color="1E1E1E"/>
            </w:tcBorders>
            <w:gridSpan w:val="2"/>
          </w:tcPr>
          <w:p>
            <w:pPr>
              <w:jc w:val="center"/>
              <w:ind w:right="40"/>
              <w:spacing w:after="0"/>
              <w:rPr>
                <w:sz w:val="20"/>
                <w:szCs w:val="20"/>
                <w:color w:val="auto"/>
              </w:rPr>
            </w:pPr>
            <w:r>
              <w:rPr>
                <w:rFonts w:ascii="Arial" w:cs="Arial" w:eastAsia="Arial" w:hAnsi="Arial"/>
                <w:sz w:val="20"/>
                <w:szCs w:val="20"/>
                <w:color w:val="1E1E1E"/>
              </w:rPr>
              <w:t>/s/ H</w:t>
            </w:r>
            <w:r>
              <w:rPr>
                <w:rFonts w:ascii="Arial" w:cs="Arial" w:eastAsia="Arial" w:hAnsi="Arial"/>
                <w:sz w:val="14"/>
                <w:szCs w:val="14"/>
                <w:color w:val="1E1E1E"/>
              </w:rPr>
              <w:t>ARVEY</w:t>
            </w:r>
            <w:r>
              <w:rPr>
                <w:rFonts w:ascii="Arial" w:cs="Arial" w:eastAsia="Arial" w:hAnsi="Arial"/>
                <w:sz w:val="20"/>
                <w:szCs w:val="20"/>
                <w:color w:val="1E1E1E"/>
              </w:rPr>
              <w:t xml:space="preserve"> S. K</w:t>
            </w:r>
            <w:r>
              <w:rPr>
                <w:rFonts w:ascii="Arial" w:cs="Arial" w:eastAsia="Arial" w:hAnsi="Arial"/>
                <w:sz w:val="14"/>
                <w:szCs w:val="14"/>
                <w:color w:val="1E1E1E"/>
              </w:rPr>
              <w:t>ANTER</w:t>
            </w:r>
          </w:p>
        </w:tc>
        <w:tc>
          <w:tcPr>
            <w:tcW w:w="4980" w:type="dxa"/>
            <w:vAlign w:val="bottom"/>
          </w:tcPr>
          <w:p>
            <w:pPr>
              <w:ind w:left="140"/>
              <w:spacing w:after="0"/>
              <w:rPr>
                <w:sz w:val="20"/>
                <w:szCs w:val="20"/>
                <w:color w:val="auto"/>
              </w:rPr>
            </w:pPr>
            <w:r>
              <w:rPr>
                <w:rFonts w:ascii="Arial" w:cs="Arial" w:eastAsia="Arial" w:hAnsi="Arial"/>
                <w:sz w:val="20"/>
                <w:szCs w:val="20"/>
                <w:color w:val="1E1E1E"/>
                <w:w w:val="93"/>
              </w:rPr>
              <w:t>President and Chief Executive Officer (Principal Executive</w:t>
            </w:r>
          </w:p>
        </w:tc>
        <w:tc>
          <w:tcPr>
            <w:tcW w:w="1380" w:type="dxa"/>
            <w:vAlign w:val="bottom"/>
          </w:tcPr>
          <w:p>
            <w:pPr>
              <w:ind w:left="100"/>
              <w:spacing w:after="0"/>
              <w:rPr>
                <w:sz w:val="20"/>
                <w:szCs w:val="20"/>
                <w:color w:val="auto"/>
              </w:rPr>
            </w:pPr>
            <w:r>
              <w:rPr>
                <w:rFonts w:ascii="Arial" w:cs="Arial" w:eastAsia="Arial" w:hAnsi="Arial"/>
                <w:sz w:val="20"/>
                <w:szCs w:val="20"/>
                <w:color w:val="1E1E1E"/>
                <w:w w:val="90"/>
              </w:rPr>
              <w:t>March 21, 2024</w:t>
            </w:r>
          </w:p>
        </w:tc>
        <w:tc>
          <w:tcPr>
            <w:tcW w:w="0" w:type="dxa"/>
            <w:vAlign w:val="bottom"/>
          </w:tcPr>
          <w:p>
            <w:pPr>
              <w:spacing w:after="0"/>
              <w:rPr>
                <w:sz w:val="1"/>
                <w:szCs w:val="1"/>
                <w:color w:val="auto"/>
              </w:rPr>
            </w:pPr>
          </w:p>
        </w:tc>
      </w:tr>
      <w:tr>
        <w:trPr>
          <w:trHeight w:val="239"/>
        </w:trPr>
        <w:tc>
          <w:tcPr>
            <w:tcW w:w="3880" w:type="dxa"/>
            <w:vAlign w:val="bottom"/>
            <w:gridSpan w:val="2"/>
          </w:tcPr>
          <w:p>
            <w:pPr>
              <w:jc w:val="center"/>
              <w:ind w:right="40"/>
              <w:spacing w:after="0"/>
              <w:rPr>
                <w:sz w:val="20"/>
                <w:szCs w:val="20"/>
                <w:color w:val="auto"/>
              </w:rPr>
            </w:pPr>
            <w:r>
              <w:rPr>
                <w:rFonts w:ascii="Arial" w:cs="Arial" w:eastAsia="Arial" w:hAnsi="Arial"/>
                <w:sz w:val="16"/>
                <w:szCs w:val="16"/>
                <w:color w:val="1E1E1E"/>
                <w:w w:val="98"/>
              </w:rPr>
              <w:t>Harvey S. Kanter</w:t>
            </w:r>
          </w:p>
        </w:tc>
        <w:tc>
          <w:tcPr>
            <w:tcW w:w="4980" w:type="dxa"/>
            <w:vAlign w:val="bottom"/>
          </w:tcPr>
          <w:p>
            <w:pPr>
              <w:ind w:left="140"/>
              <w:spacing w:after="0" w:line="226" w:lineRule="exact"/>
              <w:rPr>
                <w:sz w:val="20"/>
                <w:szCs w:val="20"/>
                <w:color w:val="auto"/>
              </w:rPr>
            </w:pPr>
            <w:r>
              <w:rPr>
                <w:rFonts w:ascii="Arial" w:cs="Arial" w:eastAsia="Arial" w:hAnsi="Arial"/>
                <w:sz w:val="20"/>
                <w:szCs w:val="20"/>
                <w:color w:val="1E1E1E"/>
              </w:rPr>
              <w:t>Officer)</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3"/>
        </w:trPr>
        <w:tc>
          <w:tcPr>
            <w:tcW w:w="3880" w:type="dxa"/>
            <w:vAlign w:val="bottom"/>
            <w:gridSpan w:val="2"/>
          </w:tcPr>
          <w:p>
            <w:pPr>
              <w:jc w:val="center"/>
              <w:ind w:right="40"/>
              <w:spacing w:after="0"/>
              <w:rPr>
                <w:sz w:val="20"/>
                <w:szCs w:val="20"/>
                <w:color w:val="auto"/>
              </w:rPr>
            </w:pPr>
            <w:r>
              <w:rPr>
                <w:rFonts w:ascii="Arial" w:cs="Arial" w:eastAsia="Arial" w:hAnsi="Arial"/>
                <w:sz w:val="20"/>
                <w:szCs w:val="20"/>
                <w:color w:val="1E1E1E"/>
                <w:w w:val="96"/>
              </w:rPr>
              <w:t>/s/ P</w:t>
            </w:r>
            <w:r>
              <w:rPr>
                <w:rFonts w:ascii="Arial" w:cs="Arial" w:eastAsia="Arial" w:hAnsi="Arial"/>
                <w:sz w:val="14"/>
                <w:szCs w:val="14"/>
                <w:color w:val="1E1E1E"/>
                <w:w w:val="96"/>
              </w:rPr>
              <w:t>ETER</w:t>
            </w:r>
            <w:r>
              <w:rPr>
                <w:rFonts w:ascii="Arial" w:cs="Arial" w:eastAsia="Arial" w:hAnsi="Arial"/>
                <w:sz w:val="20"/>
                <w:szCs w:val="20"/>
                <w:color w:val="1E1E1E"/>
                <w:w w:val="96"/>
              </w:rPr>
              <w:t xml:space="preserve"> H. S</w:t>
            </w:r>
            <w:r>
              <w:rPr>
                <w:rFonts w:ascii="Arial" w:cs="Arial" w:eastAsia="Arial" w:hAnsi="Arial"/>
                <w:sz w:val="14"/>
                <w:szCs w:val="14"/>
                <w:color w:val="1E1E1E"/>
                <w:w w:val="96"/>
              </w:rPr>
              <w:t>TRATTON</w:t>
            </w:r>
            <w:r>
              <w:rPr>
                <w:rFonts w:ascii="Arial" w:cs="Arial" w:eastAsia="Arial" w:hAnsi="Arial"/>
                <w:sz w:val="20"/>
                <w:szCs w:val="20"/>
                <w:color w:val="1E1E1E"/>
                <w:w w:val="96"/>
              </w:rPr>
              <w:t>, J</w:t>
            </w:r>
            <w:r>
              <w:rPr>
                <w:rFonts w:ascii="Arial" w:cs="Arial" w:eastAsia="Arial" w:hAnsi="Arial"/>
                <w:sz w:val="14"/>
                <w:szCs w:val="14"/>
                <w:color w:val="1E1E1E"/>
                <w:w w:val="96"/>
              </w:rPr>
              <w:t>R</w:t>
            </w:r>
            <w:r>
              <w:rPr>
                <w:rFonts w:ascii="Arial" w:cs="Arial" w:eastAsia="Arial" w:hAnsi="Arial"/>
                <w:sz w:val="20"/>
                <w:szCs w:val="20"/>
                <w:color w:val="1E1E1E"/>
                <w:w w:val="96"/>
              </w:rPr>
              <w:t>.</w:t>
            </w:r>
          </w:p>
        </w:tc>
        <w:tc>
          <w:tcPr>
            <w:tcW w:w="4980" w:type="dxa"/>
            <w:vAlign w:val="bottom"/>
          </w:tcPr>
          <w:p>
            <w:pPr>
              <w:ind w:left="140"/>
              <w:spacing w:after="0"/>
              <w:rPr>
                <w:sz w:val="20"/>
                <w:szCs w:val="20"/>
                <w:color w:val="auto"/>
              </w:rPr>
            </w:pPr>
            <w:r>
              <w:rPr>
                <w:rFonts w:ascii="Arial" w:cs="Arial" w:eastAsia="Arial" w:hAnsi="Arial"/>
                <w:sz w:val="20"/>
                <w:szCs w:val="20"/>
                <w:color w:val="1E1E1E"/>
              </w:rPr>
              <w:t>Executive Vice President, Chief Financial Officer and</w:t>
            </w:r>
          </w:p>
        </w:tc>
        <w:tc>
          <w:tcPr>
            <w:tcW w:w="1380" w:type="dxa"/>
            <w:vAlign w:val="bottom"/>
          </w:tcPr>
          <w:p>
            <w:pPr>
              <w:ind w:left="100"/>
              <w:spacing w:after="0"/>
              <w:rPr>
                <w:sz w:val="20"/>
                <w:szCs w:val="20"/>
                <w:color w:val="auto"/>
              </w:rPr>
            </w:pPr>
            <w:r>
              <w:rPr>
                <w:rFonts w:ascii="Arial" w:cs="Arial" w:eastAsia="Arial" w:hAnsi="Arial"/>
                <w:sz w:val="20"/>
                <w:szCs w:val="20"/>
                <w:color w:val="1E1E1E"/>
                <w:w w:val="90"/>
              </w:rPr>
              <w:t>March 21, 2024</w:t>
            </w:r>
          </w:p>
        </w:tc>
        <w:tc>
          <w:tcPr>
            <w:tcW w:w="0" w:type="dxa"/>
            <w:vAlign w:val="bottom"/>
          </w:tcPr>
          <w:p>
            <w:pPr>
              <w:spacing w:after="0"/>
              <w:rPr>
                <w:sz w:val="1"/>
                <w:szCs w:val="1"/>
                <w:color w:val="auto"/>
              </w:rPr>
            </w:pPr>
          </w:p>
        </w:tc>
      </w:tr>
      <w:tr>
        <w:trPr>
          <w:trHeight w:val="24"/>
        </w:trPr>
        <w:tc>
          <w:tcPr>
            <w:tcW w:w="3860" w:type="dxa"/>
            <w:vAlign w:val="bottom"/>
            <w:tcBorders>
              <w:bottom w:val="single" w:sz="8" w:color="1E1E1E"/>
            </w:tcBorders>
          </w:tcPr>
          <w:p>
            <w:pPr>
              <w:spacing w:after="0"/>
              <w:rPr>
                <w:sz w:val="2"/>
                <w:szCs w:val="2"/>
                <w:color w:val="auto"/>
              </w:rPr>
            </w:pPr>
          </w:p>
        </w:tc>
        <w:tc>
          <w:tcPr>
            <w:tcW w:w="20" w:type="dxa"/>
            <w:vAlign w:val="bottom"/>
            <w:tcBorders>
              <w:bottom w:val="single" w:sz="8" w:color="1E1E1E"/>
            </w:tcBorders>
          </w:tcPr>
          <w:p>
            <w:pPr>
              <w:spacing w:after="0"/>
              <w:rPr>
                <w:sz w:val="2"/>
                <w:szCs w:val="2"/>
                <w:color w:val="auto"/>
              </w:rPr>
            </w:pPr>
          </w:p>
        </w:tc>
        <w:tc>
          <w:tcPr>
            <w:tcW w:w="4980" w:type="dxa"/>
            <w:vAlign w:val="bottom"/>
            <w:vMerge w:val="restart"/>
          </w:tcPr>
          <w:p>
            <w:pPr>
              <w:ind w:left="140"/>
              <w:spacing w:after="0"/>
              <w:rPr>
                <w:sz w:val="20"/>
                <w:szCs w:val="20"/>
                <w:color w:val="auto"/>
              </w:rPr>
            </w:pPr>
            <w:r>
              <w:rPr>
                <w:rFonts w:ascii="Arial" w:cs="Arial" w:eastAsia="Arial" w:hAnsi="Arial"/>
                <w:sz w:val="20"/>
                <w:szCs w:val="20"/>
                <w:color w:val="1E1E1E"/>
              </w:rPr>
              <w:t>Treasurer (Principal Financial Officer)</w:t>
            </w: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3880" w:type="dxa"/>
            <w:vAlign w:val="bottom"/>
            <w:gridSpan w:val="2"/>
          </w:tcPr>
          <w:p>
            <w:pPr>
              <w:jc w:val="center"/>
              <w:ind w:right="40"/>
              <w:spacing w:after="0"/>
              <w:rPr>
                <w:sz w:val="20"/>
                <w:szCs w:val="20"/>
                <w:color w:val="auto"/>
              </w:rPr>
            </w:pPr>
            <w:r>
              <w:rPr>
                <w:rFonts w:ascii="Arial" w:cs="Arial" w:eastAsia="Arial" w:hAnsi="Arial"/>
                <w:sz w:val="16"/>
                <w:szCs w:val="16"/>
                <w:color w:val="1E1E1E"/>
                <w:w w:val="98"/>
              </w:rPr>
              <w:t>Peter H. Stratton, Jr.</w:t>
            </w:r>
          </w:p>
        </w:tc>
        <w:tc>
          <w:tcPr>
            <w:tcW w:w="498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3"/>
        </w:trPr>
        <w:tc>
          <w:tcPr>
            <w:tcW w:w="3880" w:type="dxa"/>
            <w:vAlign w:val="bottom"/>
            <w:gridSpan w:val="2"/>
            <w:vMerge w:val="restart"/>
          </w:tcPr>
          <w:p>
            <w:pPr>
              <w:jc w:val="center"/>
              <w:ind w:right="40"/>
              <w:spacing w:after="0"/>
              <w:rPr>
                <w:sz w:val="20"/>
                <w:szCs w:val="20"/>
                <w:color w:val="auto"/>
              </w:rPr>
            </w:pPr>
            <w:r>
              <w:rPr>
                <w:rFonts w:ascii="Arial" w:cs="Arial" w:eastAsia="Arial" w:hAnsi="Arial"/>
                <w:sz w:val="20"/>
                <w:szCs w:val="20"/>
                <w:color w:val="1E1E1E"/>
                <w:w w:val="96"/>
              </w:rPr>
              <w:t>/s/ J</w:t>
            </w:r>
            <w:r>
              <w:rPr>
                <w:rFonts w:ascii="Arial" w:cs="Arial" w:eastAsia="Arial" w:hAnsi="Arial"/>
                <w:sz w:val="14"/>
                <w:szCs w:val="14"/>
                <w:color w:val="1E1E1E"/>
                <w:w w:val="96"/>
              </w:rPr>
              <w:t>OHN</w:t>
            </w:r>
            <w:r>
              <w:rPr>
                <w:rFonts w:ascii="Arial" w:cs="Arial" w:eastAsia="Arial" w:hAnsi="Arial"/>
                <w:sz w:val="20"/>
                <w:szCs w:val="20"/>
                <w:color w:val="1E1E1E"/>
                <w:w w:val="96"/>
              </w:rPr>
              <w:t xml:space="preserve"> F. C</w:t>
            </w:r>
            <w:r>
              <w:rPr>
                <w:rFonts w:ascii="Arial" w:cs="Arial" w:eastAsia="Arial" w:hAnsi="Arial"/>
                <w:sz w:val="14"/>
                <w:szCs w:val="14"/>
                <w:color w:val="1E1E1E"/>
                <w:w w:val="96"/>
              </w:rPr>
              <w:t>OONEY</w:t>
            </w:r>
          </w:p>
        </w:tc>
        <w:tc>
          <w:tcPr>
            <w:tcW w:w="4980" w:type="dxa"/>
            <w:vAlign w:val="bottom"/>
          </w:tcPr>
          <w:p>
            <w:pPr>
              <w:ind w:left="140"/>
              <w:spacing w:after="0"/>
              <w:rPr>
                <w:sz w:val="20"/>
                <w:szCs w:val="20"/>
                <w:color w:val="auto"/>
              </w:rPr>
            </w:pPr>
            <w:r>
              <w:rPr>
                <w:rFonts w:ascii="Arial" w:cs="Arial" w:eastAsia="Arial" w:hAnsi="Arial"/>
                <w:sz w:val="20"/>
                <w:szCs w:val="20"/>
                <w:color w:val="1E1E1E"/>
              </w:rPr>
              <w:t>Senior Vice President of Finance, Chief Accounting</w:t>
            </w:r>
          </w:p>
        </w:tc>
        <w:tc>
          <w:tcPr>
            <w:tcW w:w="1380" w:type="dxa"/>
            <w:vAlign w:val="bottom"/>
          </w:tcPr>
          <w:p>
            <w:pPr>
              <w:ind w:left="100"/>
              <w:spacing w:after="0"/>
              <w:rPr>
                <w:sz w:val="20"/>
                <w:szCs w:val="20"/>
                <w:color w:val="auto"/>
              </w:rPr>
            </w:pPr>
            <w:r>
              <w:rPr>
                <w:rFonts w:ascii="Arial" w:cs="Arial" w:eastAsia="Arial" w:hAnsi="Arial"/>
                <w:sz w:val="20"/>
                <w:szCs w:val="20"/>
                <w:color w:val="1E1E1E"/>
                <w:w w:val="90"/>
              </w:rPr>
              <w:t>March 21, 2024</w:t>
            </w:r>
          </w:p>
        </w:tc>
        <w:tc>
          <w:tcPr>
            <w:tcW w:w="0" w:type="dxa"/>
            <w:vAlign w:val="bottom"/>
          </w:tcPr>
          <w:p>
            <w:pPr>
              <w:spacing w:after="0"/>
              <w:rPr>
                <w:sz w:val="1"/>
                <w:szCs w:val="1"/>
                <w:color w:val="auto"/>
              </w:rPr>
            </w:pPr>
          </w:p>
        </w:tc>
      </w:tr>
      <w:tr>
        <w:trPr>
          <w:trHeight w:val="243"/>
        </w:trPr>
        <w:tc>
          <w:tcPr>
            <w:tcW w:w="3880" w:type="dxa"/>
            <w:vAlign w:val="bottom"/>
            <w:tcBorders>
              <w:bottom w:val="single" w:sz="8" w:color="1E1E1E"/>
            </w:tcBorders>
            <w:gridSpan w:val="2"/>
            <w:vMerge w:val="continue"/>
          </w:tcPr>
          <w:p>
            <w:pPr>
              <w:spacing w:after="0"/>
              <w:rPr>
                <w:sz w:val="20"/>
                <w:szCs w:val="20"/>
                <w:color w:val="auto"/>
              </w:rPr>
            </w:pPr>
          </w:p>
        </w:tc>
        <w:tc>
          <w:tcPr>
            <w:tcW w:w="4980" w:type="dxa"/>
            <w:vAlign w:val="bottom"/>
          </w:tcPr>
          <w:p>
            <w:pPr>
              <w:ind w:left="140"/>
              <w:spacing w:after="0"/>
              <w:rPr>
                <w:sz w:val="20"/>
                <w:szCs w:val="20"/>
                <w:color w:val="auto"/>
              </w:rPr>
            </w:pPr>
            <w:r>
              <w:rPr>
                <w:rFonts w:ascii="Arial" w:cs="Arial" w:eastAsia="Arial" w:hAnsi="Arial"/>
                <w:sz w:val="20"/>
                <w:szCs w:val="20"/>
                <w:color w:val="1E1E1E"/>
              </w:rPr>
              <w:t>Officer and Corporate Controller (Principal Accounting</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880" w:type="dxa"/>
            <w:vAlign w:val="bottom"/>
            <w:gridSpan w:val="2"/>
          </w:tcPr>
          <w:p>
            <w:pPr>
              <w:jc w:val="center"/>
              <w:ind w:right="40"/>
              <w:spacing w:after="0"/>
              <w:rPr>
                <w:sz w:val="20"/>
                <w:szCs w:val="20"/>
                <w:color w:val="auto"/>
              </w:rPr>
            </w:pPr>
            <w:r>
              <w:rPr>
                <w:rFonts w:ascii="Arial" w:cs="Arial" w:eastAsia="Arial" w:hAnsi="Arial"/>
                <w:sz w:val="16"/>
                <w:szCs w:val="16"/>
                <w:color w:val="1E1E1E"/>
                <w:w w:val="95"/>
              </w:rPr>
              <w:t>John F. Cooney</w:t>
            </w:r>
          </w:p>
        </w:tc>
        <w:tc>
          <w:tcPr>
            <w:tcW w:w="4980" w:type="dxa"/>
            <w:vAlign w:val="bottom"/>
          </w:tcPr>
          <w:p>
            <w:pPr>
              <w:ind w:left="140"/>
              <w:spacing w:after="0"/>
              <w:rPr>
                <w:sz w:val="20"/>
                <w:szCs w:val="20"/>
                <w:color w:val="auto"/>
              </w:rPr>
            </w:pPr>
            <w:r>
              <w:rPr>
                <w:rFonts w:ascii="Arial" w:cs="Arial" w:eastAsia="Arial" w:hAnsi="Arial"/>
                <w:sz w:val="20"/>
                <w:szCs w:val="20"/>
                <w:color w:val="1E1E1E"/>
              </w:rPr>
              <w:t>Officer)</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3880" w:type="dxa"/>
            <w:vAlign w:val="bottom"/>
            <w:tcBorders>
              <w:bottom w:val="single" w:sz="8" w:color="1E1E1E"/>
            </w:tcBorders>
            <w:gridSpan w:val="2"/>
          </w:tcPr>
          <w:p>
            <w:pPr>
              <w:jc w:val="center"/>
              <w:ind w:right="40"/>
              <w:spacing w:after="0"/>
              <w:rPr>
                <w:sz w:val="20"/>
                <w:szCs w:val="20"/>
                <w:color w:val="auto"/>
              </w:rPr>
            </w:pPr>
            <w:r>
              <w:rPr>
                <w:rFonts w:ascii="Arial" w:cs="Arial" w:eastAsia="Arial" w:hAnsi="Arial"/>
                <w:sz w:val="20"/>
                <w:szCs w:val="20"/>
                <w:color w:val="1E1E1E"/>
                <w:w w:val="99"/>
              </w:rPr>
              <w:t>/s/ L</w:t>
            </w:r>
            <w:r>
              <w:rPr>
                <w:rFonts w:ascii="Arial" w:cs="Arial" w:eastAsia="Arial" w:hAnsi="Arial"/>
                <w:sz w:val="14"/>
                <w:szCs w:val="14"/>
                <w:color w:val="1E1E1E"/>
                <w:w w:val="99"/>
              </w:rPr>
              <w:t>IONEL</w:t>
            </w:r>
            <w:r>
              <w:rPr>
                <w:rFonts w:ascii="Arial" w:cs="Arial" w:eastAsia="Arial" w:hAnsi="Arial"/>
                <w:sz w:val="20"/>
                <w:szCs w:val="20"/>
                <w:color w:val="1E1E1E"/>
                <w:w w:val="99"/>
              </w:rPr>
              <w:t xml:space="preserve"> F. C</w:t>
            </w:r>
            <w:r>
              <w:rPr>
                <w:rFonts w:ascii="Arial" w:cs="Arial" w:eastAsia="Arial" w:hAnsi="Arial"/>
                <w:sz w:val="14"/>
                <w:szCs w:val="14"/>
                <w:color w:val="1E1E1E"/>
                <w:w w:val="99"/>
              </w:rPr>
              <w:t>ONACHER</w:t>
            </w:r>
          </w:p>
        </w:tc>
        <w:tc>
          <w:tcPr>
            <w:tcW w:w="4980" w:type="dxa"/>
            <w:vAlign w:val="bottom"/>
          </w:tcPr>
          <w:p>
            <w:pPr>
              <w:ind w:left="140"/>
              <w:spacing w:after="0"/>
              <w:rPr>
                <w:sz w:val="20"/>
                <w:szCs w:val="20"/>
                <w:color w:val="auto"/>
              </w:rPr>
            </w:pPr>
            <w:r>
              <w:rPr>
                <w:rFonts w:ascii="Arial" w:cs="Arial" w:eastAsia="Arial" w:hAnsi="Arial"/>
                <w:sz w:val="20"/>
                <w:szCs w:val="20"/>
                <w:color w:val="1E1E1E"/>
              </w:rPr>
              <w:t>Chairman of the Board of Directors</w:t>
            </w:r>
          </w:p>
        </w:tc>
        <w:tc>
          <w:tcPr>
            <w:tcW w:w="1380" w:type="dxa"/>
            <w:vAlign w:val="bottom"/>
          </w:tcPr>
          <w:p>
            <w:pPr>
              <w:ind w:left="100"/>
              <w:spacing w:after="0"/>
              <w:rPr>
                <w:sz w:val="20"/>
                <w:szCs w:val="20"/>
                <w:color w:val="auto"/>
              </w:rPr>
            </w:pPr>
            <w:r>
              <w:rPr>
                <w:rFonts w:ascii="Arial" w:cs="Arial" w:eastAsia="Arial" w:hAnsi="Arial"/>
                <w:sz w:val="20"/>
                <w:szCs w:val="20"/>
                <w:color w:val="1E1E1E"/>
                <w:w w:val="90"/>
              </w:rPr>
              <w:t>March 21, 2024</w:t>
            </w:r>
          </w:p>
        </w:tc>
        <w:tc>
          <w:tcPr>
            <w:tcW w:w="0" w:type="dxa"/>
            <w:vAlign w:val="bottom"/>
          </w:tcPr>
          <w:p>
            <w:pPr>
              <w:spacing w:after="0"/>
              <w:rPr>
                <w:sz w:val="1"/>
                <w:szCs w:val="1"/>
                <w:color w:val="auto"/>
              </w:rPr>
            </w:pPr>
          </w:p>
        </w:tc>
      </w:tr>
      <w:tr>
        <w:trPr>
          <w:trHeight w:val="242"/>
        </w:trPr>
        <w:tc>
          <w:tcPr>
            <w:tcW w:w="3880" w:type="dxa"/>
            <w:vAlign w:val="bottom"/>
            <w:gridSpan w:val="2"/>
          </w:tcPr>
          <w:p>
            <w:pPr>
              <w:jc w:val="center"/>
              <w:ind w:right="40"/>
              <w:spacing w:after="0"/>
              <w:rPr>
                <w:sz w:val="20"/>
                <w:szCs w:val="20"/>
                <w:color w:val="auto"/>
              </w:rPr>
            </w:pPr>
            <w:r>
              <w:rPr>
                <w:rFonts w:ascii="Arial" w:cs="Arial" w:eastAsia="Arial" w:hAnsi="Arial"/>
                <w:sz w:val="16"/>
                <w:szCs w:val="16"/>
                <w:color w:val="1E1E1E"/>
                <w:w w:val="97"/>
              </w:rPr>
              <w:t>Lionel F. Conacher</w:t>
            </w:r>
          </w:p>
        </w:tc>
        <w:tc>
          <w:tcPr>
            <w:tcW w:w="49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3880" w:type="dxa"/>
            <w:vAlign w:val="bottom"/>
            <w:gridSpan w:val="2"/>
          </w:tcPr>
          <w:p>
            <w:pPr>
              <w:jc w:val="center"/>
              <w:ind w:right="40"/>
              <w:spacing w:after="0"/>
              <w:rPr>
                <w:sz w:val="20"/>
                <w:szCs w:val="20"/>
                <w:color w:val="auto"/>
              </w:rPr>
            </w:pPr>
            <w:r>
              <w:rPr>
                <w:rFonts w:ascii="Arial" w:cs="Arial" w:eastAsia="Arial" w:hAnsi="Arial"/>
                <w:sz w:val="20"/>
                <w:szCs w:val="20"/>
                <w:color w:val="1E1E1E"/>
              </w:rPr>
              <w:t>/s/ C</w:t>
            </w:r>
            <w:r>
              <w:rPr>
                <w:rFonts w:ascii="Arial" w:cs="Arial" w:eastAsia="Arial" w:hAnsi="Arial"/>
                <w:sz w:val="14"/>
                <w:szCs w:val="14"/>
                <w:color w:val="1E1E1E"/>
              </w:rPr>
              <w:t>ARMEN</w:t>
            </w:r>
            <w:r>
              <w:rPr>
                <w:rFonts w:ascii="Arial" w:cs="Arial" w:eastAsia="Arial" w:hAnsi="Arial"/>
                <w:sz w:val="20"/>
                <w:szCs w:val="20"/>
                <w:color w:val="1E1E1E"/>
              </w:rPr>
              <w:t xml:space="preserve"> B</w:t>
            </w:r>
            <w:r>
              <w:rPr>
                <w:rFonts w:ascii="Arial" w:cs="Arial" w:eastAsia="Arial" w:hAnsi="Arial"/>
                <w:sz w:val="14"/>
                <w:szCs w:val="14"/>
                <w:color w:val="1E1E1E"/>
              </w:rPr>
              <w:t>AUZA</w:t>
            </w:r>
          </w:p>
        </w:tc>
        <w:tc>
          <w:tcPr>
            <w:tcW w:w="4980" w:type="dxa"/>
            <w:vAlign w:val="bottom"/>
          </w:tcPr>
          <w:p>
            <w:pPr>
              <w:ind w:left="140"/>
              <w:spacing w:after="0"/>
              <w:rPr>
                <w:sz w:val="20"/>
                <w:szCs w:val="20"/>
                <w:color w:val="auto"/>
              </w:rPr>
            </w:pPr>
            <w:r>
              <w:rPr>
                <w:rFonts w:ascii="Arial" w:cs="Arial" w:eastAsia="Arial" w:hAnsi="Arial"/>
                <w:sz w:val="20"/>
                <w:szCs w:val="20"/>
                <w:color w:val="1E1E1E"/>
              </w:rPr>
              <w:t>Director</w:t>
            </w:r>
          </w:p>
        </w:tc>
        <w:tc>
          <w:tcPr>
            <w:tcW w:w="1380" w:type="dxa"/>
            <w:vAlign w:val="bottom"/>
          </w:tcPr>
          <w:p>
            <w:pPr>
              <w:ind w:left="100"/>
              <w:spacing w:after="0"/>
              <w:rPr>
                <w:sz w:val="20"/>
                <w:szCs w:val="20"/>
                <w:color w:val="auto"/>
              </w:rPr>
            </w:pPr>
            <w:r>
              <w:rPr>
                <w:rFonts w:ascii="Arial" w:cs="Arial" w:eastAsia="Arial" w:hAnsi="Arial"/>
                <w:sz w:val="20"/>
                <w:szCs w:val="20"/>
                <w:color w:val="1E1E1E"/>
                <w:w w:val="90"/>
              </w:rPr>
              <w:t>March 21, 2024</w:t>
            </w:r>
          </w:p>
        </w:tc>
        <w:tc>
          <w:tcPr>
            <w:tcW w:w="0" w:type="dxa"/>
            <w:vAlign w:val="bottom"/>
          </w:tcPr>
          <w:p>
            <w:pPr>
              <w:spacing w:after="0"/>
              <w:rPr>
                <w:sz w:val="1"/>
                <w:szCs w:val="1"/>
                <w:color w:val="auto"/>
              </w:rPr>
            </w:pPr>
          </w:p>
        </w:tc>
      </w:tr>
      <w:tr>
        <w:trPr>
          <w:trHeight w:val="214"/>
        </w:trPr>
        <w:tc>
          <w:tcPr>
            <w:tcW w:w="3860" w:type="dxa"/>
            <w:vAlign w:val="bottom"/>
            <w:tcBorders>
              <w:top w:val="single" w:sz="8" w:color="1E1E1E"/>
            </w:tcBorders>
          </w:tcPr>
          <w:p>
            <w:pPr>
              <w:jc w:val="center"/>
              <w:spacing w:after="0"/>
              <w:rPr>
                <w:sz w:val="20"/>
                <w:szCs w:val="20"/>
                <w:color w:val="auto"/>
              </w:rPr>
            </w:pPr>
            <w:r>
              <w:rPr>
                <w:rFonts w:ascii="Arial" w:cs="Arial" w:eastAsia="Arial" w:hAnsi="Arial"/>
                <w:sz w:val="16"/>
                <w:szCs w:val="16"/>
                <w:color w:val="1E1E1E"/>
                <w:w w:val="95"/>
              </w:rPr>
              <w:t>Carmen Bauza</w:t>
            </w:r>
          </w:p>
        </w:tc>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3880" w:type="dxa"/>
            <w:vAlign w:val="bottom"/>
            <w:tcBorders>
              <w:bottom w:val="single" w:sz="8" w:color="1E1E1E"/>
            </w:tcBorders>
            <w:gridSpan w:val="2"/>
          </w:tcPr>
          <w:p>
            <w:pPr>
              <w:jc w:val="center"/>
              <w:ind w:right="20"/>
              <w:spacing w:after="0"/>
              <w:rPr>
                <w:sz w:val="20"/>
                <w:szCs w:val="20"/>
                <w:color w:val="auto"/>
              </w:rPr>
            </w:pPr>
            <w:r>
              <w:rPr>
                <w:rFonts w:ascii="Arial" w:cs="Arial" w:eastAsia="Arial" w:hAnsi="Arial"/>
                <w:sz w:val="20"/>
                <w:szCs w:val="20"/>
                <w:color w:val="1E1E1E"/>
              </w:rPr>
              <w:t>/s/ J</w:t>
            </w:r>
            <w:r>
              <w:rPr>
                <w:rFonts w:ascii="Arial" w:cs="Arial" w:eastAsia="Arial" w:hAnsi="Arial"/>
                <w:sz w:val="14"/>
                <w:szCs w:val="14"/>
                <w:color w:val="1E1E1E"/>
              </w:rPr>
              <w:t>ACK</w:t>
            </w:r>
            <w:r>
              <w:rPr>
                <w:rFonts w:ascii="Arial" w:cs="Arial" w:eastAsia="Arial" w:hAnsi="Arial"/>
                <w:sz w:val="20"/>
                <w:szCs w:val="20"/>
                <w:color w:val="1E1E1E"/>
              </w:rPr>
              <w:t xml:space="preserve"> B</w:t>
            </w:r>
            <w:r>
              <w:rPr>
                <w:rFonts w:ascii="Arial" w:cs="Arial" w:eastAsia="Arial" w:hAnsi="Arial"/>
                <w:sz w:val="14"/>
                <w:szCs w:val="14"/>
                <w:color w:val="1E1E1E"/>
              </w:rPr>
              <w:t>OYLE</w:t>
            </w:r>
          </w:p>
        </w:tc>
        <w:tc>
          <w:tcPr>
            <w:tcW w:w="4980" w:type="dxa"/>
            <w:vAlign w:val="bottom"/>
          </w:tcPr>
          <w:p>
            <w:pPr>
              <w:ind w:left="140"/>
              <w:spacing w:after="0"/>
              <w:rPr>
                <w:sz w:val="20"/>
                <w:szCs w:val="20"/>
                <w:color w:val="auto"/>
              </w:rPr>
            </w:pPr>
            <w:r>
              <w:rPr>
                <w:rFonts w:ascii="Arial" w:cs="Arial" w:eastAsia="Arial" w:hAnsi="Arial"/>
                <w:sz w:val="20"/>
                <w:szCs w:val="20"/>
                <w:color w:val="1E1E1E"/>
              </w:rPr>
              <w:t>Director</w:t>
            </w:r>
          </w:p>
        </w:tc>
        <w:tc>
          <w:tcPr>
            <w:tcW w:w="1380" w:type="dxa"/>
            <w:vAlign w:val="bottom"/>
          </w:tcPr>
          <w:p>
            <w:pPr>
              <w:ind w:left="100"/>
              <w:spacing w:after="0"/>
              <w:rPr>
                <w:sz w:val="20"/>
                <w:szCs w:val="20"/>
                <w:color w:val="auto"/>
              </w:rPr>
            </w:pPr>
            <w:r>
              <w:rPr>
                <w:rFonts w:ascii="Arial" w:cs="Arial" w:eastAsia="Arial" w:hAnsi="Arial"/>
                <w:sz w:val="20"/>
                <w:szCs w:val="20"/>
                <w:color w:val="1E1E1E"/>
                <w:w w:val="90"/>
              </w:rPr>
              <w:t>March 21, 2024</w:t>
            </w:r>
          </w:p>
        </w:tc>
        <w:tc>
          <w:tcPr>
            <w:tcW w:w="0" w:type="dxa"/>
            <w:vAlign w:val="bottom"/>
          </w:tcPr>
          <w:p>
            <w:pPr>
              <w:spacing w:after="0"/>
              <w:rPr>
                <w:sz w:val="1"/>
                <w:szCs w:val="1"/>
                <w:color w:val="auto"/>
              </w:rPr>
            </w:pPr>
          </w:p>
        </w:tc>
      </w:tr>
      <w:tr>
        <w:trPr>
          <w:trHeight w:val="242"/>
        </w:trPr>
        <w:tc>
          <w:tcPr>
            <w:tcW w:w="3880" w:type="dxa"/>
            <w:vAlign w:val="bottom"/>
            <w:gridSpan w:val="2"/>
          </w:tcPr>
          <w:p>
            <w:pPr>
              <w:jc w:val="center"/>
              <w:ind w:right="20"/>
              <w:spacing w:after="0"/>
              <w:rPr>
                <w:sz w:val="20"/>
                <w:szCs w:val="20"/>
                <w:color w:val="auto"/>
              </w:rPr>
            </w:pPr>
            <w:r>
              <w:rPr>
                <w:rFonts w:ascii="Arial" w:cs="Arial" w:eastAsia="Arial" w:hAnsi="Arial"/>
                <w:sz w:val="16"/>
                <w:szCs w:val="16"/>
                <w:color w:val="1E1E1E"/>
                <w:w w:val="95"/>
              </w:rPr>
              <w:t>Jack Boyle</w:t>
            </w:r>
          </w:p>
        </w:tc>
        <w:tc>
          <w:tcPr>
            <w:tcW w:w="49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3880" w:type="dxa"/>
            <w:vAlign w:val="bottom"/>
            <w:tcBorders>
              <w:bottom w:val="single" w:sz="8" w:color="1E1E1E"/>
            </w:tcBorders>
            <w:gridSpan w:val="2"/>
          </w:tcPr>
          <w:p>
            <w:pPr>
              <w:jc w:val="center"/>
              <w:ind w:right="20"/>
              <w:spacing w:after="0"/>
              <w:rPr>
                <w:sz w:val="20"/>
                <w:szCs w:val="20"/>
                <w:color w:val="auto"/>
              </w:rPr>
            </w:pPr>
            <w:r>
              <w:rPr>
                <w:rFonts w:ascii="Arial" w:cs="Arial" w:eastAsia="Arial" w:hAnsi="Arial"/>
                <w:sz w:val="20"/>
                <w:szCs w:val="20"/>
                <w:color w:val="1E1E1E"/>
              </w:rPr>
              <w:t>/s/ W</w:t>
            </w:r>
            <w:r>
              <w:rPr>
                <w:rFonts w:ascii="Arial" w:cs="Arial" w:eastAsia="Arial" w:hAnsi="Arial"/>
                <w:sz w:val="14"/>
                <w:szCs w:val="14"/>
                <w:color w:val="1E1E1E"/>
              </w:rPr>
              <w:t>ILLEM</w:t>
            </w:r>
            <w:r>
              <w:rPr>
                <w:rFonts w:ascii="Arial" w:cs="Arial" w:eastAsia="Arial" w:hAnsi="Arial"/>
                <w:sz w:val="20"/>
                <w:szCs w:val="20"/>
                <w:color w:val="1E1E1E"/>
              </w:rPr>
              <w:t xml:space="preserve"> M</w:t>
            </w:r>
            <w:r>
              <w:rPr>
                <w:rFonts w:ascii="Arial" w:cs="Arial" w:eastAsia="Arial" w:hAnsi="Arial"/>
                <w:sz w:val="14"/>
                <w:szCs w:val="14"/>
                <w:color w:val="1E1E1E"/>
              </w:rPr>
              <w:t>ESDAG</w:t>
            </w:r>
          </w:p>
        </w:tc>
        <w:tc>
          <w:tcPr>
            <w:tcW w:w="4980" w:type="dxa"/>
            <w:vAlign w:val="bottom"/>
          </w:tcPr>
          <w:p>
            <w:pPr>
              <w:ind w:left="140"/>
              <w:spacing w:after="0"/>
              <w:rPr>
                <w:sz w:val="20"/>
                <w:szCs w:val="20"/>
                <w:color w:val="auto"/>
              </w:rPr>
            </w:pPr>
            <w:r>
              <w:rPr>
                <w:rFonts w:ascii="Arial" w:cs="Arial" w:eastAsia="Arial" w:hAnsi="Arial"/>
                <w:sz w:val="20"/>
                <w:szCs w:val="20"/>
                <w:color w:val="1E1E1E"/>
              </w:rPr>
              <w:t>Director</w:t>
            </w:r>
          </w:p>
        </w:tc>
        <w:tc>
          <w:tcPr>
            <w:tcW w:w="1380" w:type="dxa"/>
            <w:vAlign w:val="bottom"/>
          </w:tcPr>
          <w:p>
            <w:pPr>
              <w:ind w:left="100"/>
              <w:spacing w:after="0"/>
              <w:rPr>
                <w:sz w:val="20"/>
                <w:szCs w:val="20"/>
                <w:color w:val="auto"/>
              </w:rPr>
            </w:pPr>
            <w:r>
              <w:rPr>
                <w:rFonts w:ascii="Arial" w:cs="Arial" w:eastAsia="Arial" w:hAnsi="Arial"/>
                <w:sz w:val="20"/>
                <w:szCs w:val="20"/>
                <w:color w:val="1E1E1E"/>
                <w:w w:val="90"/>
              </w:rPr>
              <w:t>March 21, 2024</w:t>
            </w:r>
          </w:p>
        </w:tc>
        <w:tc>
          <w:tcPr>
            <w:tcW w:w="0" w:type="dxa"/>
            <w:vAlign w:val="bottom"/>
          </w:tcPr>
          <w:p>
            <w:pPr>
              <w:spacing w:after="0"/>
              <w:rPr>
                <w:sz w:val="1"/>
                <w:szCs w:val="1"/>
                <w:color w:val="auto"/>
              </w:rPr>
            </w:pPr>
          </w:p>
        </w:tc>
      </w:tr>
      <w:tr>
        <w:trPr>
          <w:trHeight w:val="239"/>
        </w:trPr>
        <w:tc>
          <w:tcPr>
            <w:tcW w:w="3880" w:type="dxa"/>
            <w:vAlign w:val="bottom"/>
            <w:gridSpan w:val="2"/>
          </w:tcPr>
          <w:p>
            <w:pPr>
              <w:jc w:val="center"/>
              <w:ind w:right="40"/>
              <w:spacing w:after="0"/>
              <w:rPr>
                <w:sz w:val="20"/>
                <w:szCs w:val="20"/>
                <w:color w:val="auto"/>
              </w:rPr>
            </w:pPr>
            <w:r>
              <w:rPr>
                <w:rFonts w:ascii="Arial" w:cs="Arial" w:eastAsia="Arial" w:hAnsi="Arial"/>
                <w:sz w:val="16"/>
                <w:szCs w:val="16"/>
                <w:color w:val="1E1E1E"/>
                <w:w w:val="98"/>
              </w:rPr>
              <w:t>Willem Mesdag</w:t>
            </w:r>
          </w:p>
        </w:tc>
        <w:tc>
          <w:tcPr>
            <w:tcW w:w="4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3880" w:type="dxa"/>
            <w:vAlign w:val="bottom"/>
            <w:tcBorders>
              <w:bottom w:val="single" w:sz="8" w:color="1E1E1E"/>
            </w:tcBorders>
            <w:gridSpan w:val="2"/>
          </w:tcPr>
          <w:p>
            <w:pPr>
              <w:jc w:val="center"/>
              <w:ind w:right="20"/>
              <w:spacing w:after="0"/>
              <w:rPr>
                <w:sz w:val="20"/>
                <w:szCs w:val="20"/>
                <w:color w:val="auto"/>
              </w:rPr>
            </w:pPr>
            <w:r>
              <w:rPr>
                <w:rFonts w:ascii="Arial" w:cs="Arial" w:eastAsia="Arial" w:hAnsi="Arial"/>
                <w:sz w:val="20"/>
                <w:szCs w:val="20"/>
                <w:color w:val="1E1E1E"/>
                <w:w w:val="97"/>
              </w:rPr>
              <w:t>/s/ I</w:t>
            </w:r>
            <w:r>
              <w:rPr>
                <w:rFonts w:ascii="Arial" w:cs="Arial" w:eastAsia="Arial" w:hAnsi="Arial"/>
                <w:sz w:val="14"/>
                <w:szCs w:val="14"/>
                <w:color w:val="1E1E1E"/>
                <w:w w:val="97"/>
              </w:rPr>
              <w:t>VY</w:t>
            </w:r>
            <w:r>
              <w:rPr>
                <w:rFonts w:ascii="Arial" w:cs="Arial" w:eastAsia="Arial" w:hAnsi="Arial"/>
                <w:sz w:val="20"/>
                <w:szCs w:val="20"/>
                <w:color w:val="1E1E1E"/>
                <w:w w:val="97"/>
              </w:rPr>
              <w:t xml:space="preserve"> R</w:t>
            </w:r>
            <w:r>
              <w:rPr>
                <w:rFonts w:ascii="Arial" w:cs="Arial" w:eastAsia="Arial" w:hAnsi="Arial"/>
                <w:sz w:val="14"/>
                <w:szCs w:val="14"/>
                <w:color w:val="1E1E1E"/>
                <w:w w:val="97"/>
              </w:rPr>
              <w:t>OSS</w:t>
            </w:r>
          </w:p>
        </w:tc>
        <w:tc>
          <w:tcPr>
            <w:tcW w:w="4980" w:type="dxa"/>
            <w:vAlign w:val="bottom"/>
          </w:tcPr>
          <w:p>
            <w:pPr>
              <w:ind w:left="140"/>
              <w:spacing w:after="0"/>
              <w:rPr>
                <w:sz w:val="20"/>
                <w:szCs w:val="20"/>
                <w:color w:val="auto"/>
              </w:rPr>
            </w:pPr>
            <w:r>
              <w:rPr>
                <w:rFonts w:ascii="Arial" w:cs="Arial" w:eastAsia="Arial" w:hAnsi="Arial"/>
                <w:sz w:val="20"/>
                <w:szCs w:val="20"/>
                <w:color w:val="1E1E1E"/>
              </w:rPr>
              <w:t>Director</w:t>
            </w:r>
          </w:p>
        </w:tc>
        <w:tc>
          <w:tcPr>
            <w:tcW w:w="1380" w:type="dxa"/>
            <w:vAlign w:val="bottom"/>
          </w:tcPr>
          <w:p>
            <w:pPr>
              <w:ind w:left="100"/>
              <w:spacing w:after="0"/>
              <w:rPr>
                <w:sz w:val="20"/>
                <w:szCs w:val="20"/>
                <w:color w:val="auto"/>
              </w:rPr>
            </w:pPr>
            <w:r>
              <w:rPr>
                <w:rFonts w:ascii="Arial" w:cs="Arial" w:eastAsia="Arial" w:hAnsi="Arial"/>
                <w:sz w:val="20"/>
                <w:szCs w:val="20"/>
                <w:color w:val="1E1E1E"/>
                <w:w w:val="90"/>
              </w:rPr>
              <w:t>March 21, 2024</w:t>
            </w:r>
          </w:p>
        </w:tc>
        <w:tc>
          <w:tcPr>
            <w:tcW w:w="0" w:type="dxa"/>
            <w:vAlign w:val="bottom"/>
          </w:tcPr>
          <w:p>
            <w:pPr>
              <w:spacing w:after="0"/>
              <w:rPr>
                <w:sz w:val="1"/>
                <w:szCs w:val="1"/>
                <w:color w:val="auto"/>
              </w:rPr>
            </w:pPr>
          </w:p>
        </w:tc>
      </w:tr>
      <w:tr>
        <w:trPr>
          <w:trHeight w:val="239"/>
        </w:trPr>
        <w:tc>
          <w:tcPr>
            <w:tcW w:w="3880" w:type="dxa"/>
            <w:vAlign w:val="bottom"/>
            <w:gridSpan w:val="2"/>
          </w:tcPr>
          <w:p>
            <w:pPr>
              <w:jc w:val="center"/>
              <w:ind w:right="20"/>
              <w:spacing w:after="0"/>
              <w:rPr>
                <w:sz w:val="20"/>
                <w:szCs w:val="20"/>
                <w:color w:val="auto"/>
              </w:rPr>
            </w:pPr>
            <w:r>
              <w:rPr>
                <w:rFonts w:ascii="Arial" w:cs="Arial" w:eastAsia="Arial" w:hAnsi="Arial"/>
                <w:sz w:val="16"/>
                <w:szCs w:val="16"/>
                <w:color w:val="1E1E1E"/>
                <w:w w:val="94"/>
              </w:rPr>
              <w:t>Ivy Ross</w:t>
            </w:r>
          </w:p>
        </w:tc>
        <w:tc>
          <w:tcPr>
            <w:tcW w:w="4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3880" w:type="dxa"/>
            <w:vAlign w:val="bottom"/>
            <w:tcBorders>
              <w:bottom w:val="single" w:sz="8" w:color="1E1E1E"/>
            </w:tcBorders>
            <w:gridSpan w:val="2"/>
          </w:tcPr>
          <w:p>
            <w:pPr>
              <w:jc w:val="center"/>
              <w:ind w:right="40"/>
              <w:spacing w:after="0"/>
              <w:rPr>
                <w:sz w:val="20"/>
                <w:szCs w:val="20"/>
                <w:color w:val="auto"/>
              </w:rPr>
            </w:pPr>
            <w:r>
              <w:rPr>
                <w:rFonts w:ascii="Arial" w:cs="Arial" w:eastAsia="Arial" w:hAnsi="Arial"/>
                <w:sz w:val="20"/>
                <w:szCs w:val="20"/>
                <w:color w:val="1E1E1E"/>
              </w:rPr>
              <w:t>/s/ E</w:t>
            </w:r>
            <w:r>
              <w:rPr>
                <w:rFonts w:ascii="Arial" w:cs="Arial" w:eastAsia="Arial" w:hAnsi="Arial"/>
                <w:sz w:val="14"/>
                <w:szCs w:val="14"/>
                <w:color w:val="1E1E1E"/>
              </w:rPr>
              <w:t>LAINE</w:t>
            </w:r>
            <w:r>
              <w:rPr>
                <w:rFonts w:ascii="Arial" w:cs="Arial" w:eastAsia="Arial" w:hAnsi="Arial"/>
                <w:sz w:val="20"/>
                <w:szCs w:val="20"/>
                <w:color w:val="1E1E1E"/>
              </w:rPr>
              <w:t xml:space="preserve"> R</w:t>
            </w:r>
            <w:r>
              <w:rPr>
                <w:rFonts w:ascii="Arial" w:cs="Arial" w:eastAsia="Arial" w:hAnsi="Arial"/>
                <w:sz w:val="14"/>
                <w:szCs w:val="14"/>
                <w:color w:val="1E1E1E"/>
              </w:rPr>
              <w:t>UBIN</w:t>
            </w:r>
          </w:p>
        </w:tc>
        <w:tc>
          <w:tcPr>
            <w:tcW w:w="4980" w:type="dxa"/>
            <w:vAlign w:val="bottom"/>
          </w:tcPr>
          <w:p>
            <w:pPr>
              <w:ind w:left="140"/>
              <w:spacing w:after="0"/>
              <w:rPr>
                <w:sz w:val="20"/>
                <w:szCs w:val="20"/>
                <w:color w:val="auto"/>
              </w:rPr>
            </w:pPr>
            <w:r>
              <w:rPr>
                <w:rFonts w:ascii="Arial" w:cs="Arial" w:eastAsia="Arial" w:hAnsi="Arial"/>
                <w:sz w:val="20"/>
                <w:szCs w:val="20"/>
                <w:color w:val="1E1E1E"/>
              </w:rPr>
              <w:t>Director</w:t>
            </w:r>
          </w:p>
        </w:tc>
        <w:tc>
          <w:tcPr>
            <w:tcW w:w="1380" w:type="dxa"/>
            <w:vAlign w:val="bottom"/>
          </w:tcPr>
          <w:p>
            <w:pPr>
              <w:ind w:left="100"/>
              <w:spacing w:after="0"/>
              <w:rPr>
                <w:sz w:val="20"/>
                <w:szCs w:val="20"/>
                <w:color w:val="auto"/>
              </w:rPr>
            </w:pPr>
            <w:r>
              <w:rPr>
                <w:rFonts w:ascii="Arial" w:cs="Arial" w:eastAsia="Arial" w:hAnsi="Arial"/>
                <w:sz w:val="20"/>
                <w:szCs w:val="20"/>
                <w:color w:val="1E1E1E"/>
                <w:w w:val="90"/>
              </w:rPr>
              <w:t>March 21, 2024</w:t>
            </w:r>
          </w:p>
        </w:tc>
        <w:tc>
          <w:tcPr>
            <w:tcW w:w="0" w:type="dxa"/>
            <w:vAlign w:val="bottom"/>
          </w:tcPr>
          <w:p>
            <w:pPr>
              <w:spacing w:after="0"/>
              <w:rPr>
                <w:sz w:val="1"/>
                <w:szCs w:val="1"/>
                <w:color w:val="auto"/>
              </w:rPr>
            </w:pPr>
          </w:p>
        </w:tc>
      </w:tr>
      <w:tr>
        <w:trPr>
          <w:trHeight w:val="239"/>
        </w:trPr>
        <w:tc>
          <w:tcPr>
            <w:tcW w:w="3880" w:type="dxa"/>
            <w:vAlign w:val="bottom"/>
            <w:gridSpan w:val="2"/>
          </w:tcPr>
          <w:p>
            <w:pPr>
              <w:jc w:val="center"/>
              <w:ind w:right="20"/>
              <w:spacing w:after="0"/>
              <w:rPr>
                <w:sz w:val="20"/>
                <w:szCs w:val="20"/>
                <w:color w:val="auto"/>
              </w:rPr>
            </w:pPr>
            <w:r>
              <w:rPr>
                <w:rFonts w:ascii="Arial" w:cs="Arial" w:eastAsia="Arial" w:hAnsi="Arial"/>
                <w:sz w:val="16"/>
                <w:szCs w:val="16"/>
                <w:color w:val="1E1E1E"/>
                <w:w w:val="99"/>
              </w:rPr>
              <w:t>Elaine Rubin</w:t>
            </w:r>
          </w:p>
        </w:tc>
        <w:tc>
          <w:tcPr>
            <w:tcW w:w="4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640"/>
          </w:cols>
          <w:pgMar w:left="540" w:top="653" w:right="700" w:bottom="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1E1E1E"/>
        </w:rPr>
        <w:t>68</w:t>
      </w:r>
    </w:p>
    <w:p>
      <w:pPr>
        <w:sectPr>
          <w:pgSz w:w="11880" w:h="15480" w:orient="portrait"/>
          <w:cols w:equalWidth="0" w:num="1">
            <w:col w:w="10640"/>
          </w:cols>
          <w:pgMar w:left="540" w:top="653" w:right="700" w:bottom="31" w:gutter="0" w:footer="0" w:header="0"/>
          <w:type w:val="continuous"/>
        </w:sectPr>
      </w:pPr>
    </w:p>
    <w:bookmarkStart w:id="70" w:name="page71"/>
    <w:bookmarkEnd w:id="70"/>
    <w:p>
      <w:pPr>
        <w:spacing w:after="0" w:line="309" w:lineRule="exact"/>
        <w:rPr>
          <w:sz w:val="20"/>
          <w:szCs w:val="20"/>
          <w:color w:val="auto"/>
        </w:rPr>
      </w:pPr>
    </w:p>
    <w:p>
      <w:pPr>
        <w:ind w:left="20"/>
        <w:spacing w:after="0"/>
        <w:rPr>
          <w:sz w:val="20"/>
          <w:szCs w:val="20"/>
          <w:color w:val="auto"/>
        </w:rPr>
      </w:pPr>
      <w:r>
        <w:rPr>
          <w:rFonts w:ascii="Arial" w:cs="Arial" w:eastAsia="Arial" w:hAnsi="Arial"/>
          <w:sz w:val="28"/>
          <w:szCs w:val="28"/>
          <w:color w:val="auto"/>
        </w:rPr>
        <w:t>OTHER SHAREHOLDER INFORMATION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20"/>
                <w:szCs w:val="20"/>
                <w:color w:val="auto"/>
              </w:rPr>
            </w:pPr>
            <w:r>
              <w:rPr>
                <w:rFonts w:ascii="Arial" w:cs="Arial" w:eastAsia="Arial" w:hAnsi="Arial"/>
                <w:sz w:val="16"/>
                <w:szCs w:val="16"/>
                <w:color w:val="auto"/>
              </w:rPr>
              <w:t>BOARD OF DIRECTORS</w:t>
            </w:r>
          </w:p>
        </w:tc>
        <w:tc>
          <w:tcPr>
            <w:tcW w:w="32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r>
              <w:rPr>
                <w:rFonts w:ascii="Arial" w:cs="Arial" w:eastAsia="Arial" w:hAnsi="Arial"/>
                <w:sz w:val="16"/>
                <w:szCs w:val="16"/>
                <w:color w:val="auto"/>
              </w:rPr>
              <w:t>Lionel F. Conacher</w:t>
            </w:r>
          </w:p>
        </w:tc>
        <w:tc>
          <w:tcPr>
            <w:tcW w:w="3200" w:type="dxa"/>
            <w:vAlign w:val="bottom"/>
          </w:tcPr>
          <w:p>
            <w:pPr>
              <w:ind w:left="200"/>
              <w:spacing w:after="0"/>
              <w:rPr>
                <w:sz w:val="20"/>
                <w:szCs w:val="20"/>
                <w:color w:val="auto"/>
              </w:rPr>
            </w:pPr>
            <w:r>
              <w:rPr>
                <w:rFonts w:ascii="Arial" w:cs="Arial" w:eastAsia="Arial" w:hAnsi="Arial"/>
                <w:sz w:val="16"/>
                <w:szCs w:val="16"/>
                <w:color w:val="auto"/>
              </w:rPr>
              <w:t>Harvey S. Kanter</w:t>
            </w:r>
          </w:p>
        </w:tc>
        <w:tc>
          <w:tcPr>
            <w:tcW w:w="3000" w:type="dxa"/>
            <w:vAlign w:val="bottom"/>
          </w:tcPr>
          <w:p>
            <w:pPr>
              <w:ind w:left="160"/>
              <w:spacing w:after="0"/>
              <w:rPr>
                <w:sz w:val="20"/>
                <w:szCs w:val="20"/>
                <w:color w:val="auto"/>
              </w:rPr>
            </w:pPr>
            <w:r>
              <w:rPr>
                <w:rFonts w:ascii="Arial" w:cs="Arial" w:eastAsia="Arial" w:hAnsi="Arial"/>
                <w:sz w:val="16"/>
                <w:szCs w:val="16"/>
                <w:color w:val="auto"/>
              </w:rPr>
              <w:t>Ivy Ross</w:t>
            </w: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6"/>
                <w:szCs w:val="16"/>
                <w:color w:val="auto"/>
              </w:rPr>
              <w:t>Chairman of the Board</w:t>
            </w:r>
          </w:p>
        </w:tc>
        <w:tc>
          <w:tcPr>
            <w:tcW w:w="3200" w:type="dxa"/>
            <w:vAlign w:val="bottom"/>
          </w:tcPr>
          <w:p>
            <w:pPr>
              <w:ind w:left="200"/>
              <w:spacing w:after="0"/>
              <w:rPr>
                <w:sz w:val="20"/>
                <w:szCs w:val="20"/>
                <w:color w:val="auto"/>
              </w:rPr>
            </w:pPr>
            <w:r>
              <w:rPr>
                <w:rFonts w:ascii="Arial" w:cs="Arial" w:eastAsia="Arial" w:hAnsi="Arial"/>
                <w:sz w:val="16"/>
                <w:szCs w:val="16"/>
                <w:color w:val="auto"/>
              </w:rPr>
              <w:t>President and Chief Executive Officer</w:t>
            </w:r>
          </w:p>
        </w:tc>
        <w:tc>
          <w:tcPr>
            <w:tcW w:w="3000" w:type="dxa"/>
            <w:vAlign w:val="bottom"/>
          </w:tcPr>
          <w:p>
            <w:pPr>
              <w:ind w:left="160"/>
              <w:spacing w:after="0"/>
              <w:rPr>
                <w:sz w:val="20"/>
                <w:szCs w:val="20"/>
                <w:color w:val="auto"/>
              </w:rPr>
            </w:pPr>
            <w:r>
              <w:rPr>
                <w:rFonts w:ascii="Arial" w:cs="Arial" w:eastAsia="Arial" w:hAnsi="Arial"/>
                <w:sz w:val="16"/>
                <w:szCs w:val="16"/>
                <w:color w:val="auto"/>
              </w:rPr>
              <w:t>VP Google Hardware Design</w:t>
            </w:r>
          </w:p>
        </w:tc>
        <w:tc>
          <w:tcPr>
            <w:tcW w:w="0" w:type="dxa"/>
            <w:vAlign w:val="bottom"/>
          </w:tcPr>
          <w:p>
            <w:pPr>
              <w:spacing w:after="0"/>
              <w:rPr>
                <w:sz w:val="1"/>
                <w:szCs w:val="1"/>
                <w:color w:val="auto"/>
              </w:rPr>
            </w:pPr>
          </w:p>
        </w:tc>
      </w:tr>
      <w:tr>
        <w:trPr>
          <w:trHeight w:val="310"/>
        </w:trPr>
        <w:tc>
          <w:tcPr>
            <w:tcW w:w="2960" w:type="dxa"/>
            <w:vAlign w:val="bottom"/>
          </w:tcPr>
          <w:p>
            <w:pPr>
              <w:spacing w:after="0"/>
              <w:rPr>
                <w:sz w:val="20"/>
                <w:szCs w:val="20"/>
                <w:color w:val="auto"/>
              </w:rPr>
            </w:pPr>
            <w:r>
              <w:rPr>
                <w:rFonts w:ascii="Arial" w:cs="Arial" w:eastAsia="Arial" w:hAnsi="Arial"/>
                <w:sz w:val="16"/>
                <w:szCs w:val="16"/>
                <w:color w:val="auto"/>
              </w:rPr>
              <w:t>Carmen R. Bauza</w:t>
            </w:r>
          </w:p>
        </w:tc>
        <w:tc>
          <w:tcPr>
            <w:tcW w:w="3200" w:type="dxa"/>
            <w:vAlign w:val="bottom"/>
          </w:tcPr>
          <w:p>
            <w:pPr>
              <w:ind w:left="200"/>
              <w:spacing w:after="0"/>
              <w:rPr>
                <w:sz w:val="20"/>
                <w:szCs w:val="20"/>
                <w:color w:val="auto"/>
              </w:rPr>
            </w:pPr>
            <w:r>
              <w:rPr>
                <w:rFonts w:ascii="Arial" w:cs="Arial" w:eastAsia="Arial" w:hAnsi="Arial"/>
                <w:sz w:val="16"/>
                <w:szCs w:val="16"/>
                <w:color w:val="auto"/>
              </w:rPr>
              <w:t>Willem Mesdag</w:t>
            </w:r>
          </w:p>
        </w:tc>
        <w:tc>
          <w:tcPr>
            <w:tcW w:w="3000" w:type="dxa"/>
            <w:vAlign w:val="bottom"/>
          </w:tcPr>
          <w:p>
            <w:pPr>
              <w:ind w:left="160"/>
              <w:spacing w:after="0"/>
              <w:rPr>
                <w:sz w:val="20"/>
                <w:szCs w:val="20"/>
                <w:color w:val="auto"/>
              </w:rPr>
            </w:pPr>
            <w:r>
              <w:rPr>
                <w:rFonts w:ascii="Arial" w:cs="Arial" w:eastAsia="Arial" w:hAnsi="Arial"/>
                <w:sz w:val="16"/>
                <w:szCs w:val="16"/>
                <w:color w:val="auto"/>
              </w:rPr>
              <w:t>Elaine K. Rubin</w:t>
            </w: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6"/>
                <w:szCs w:val="16"/>
                <w:color w:val="auto"/>
              </w:rPr>
              <w:t>Director</w:t>
            </w:r>
          </w:p>
        </w:tc>
        <w:tc>
          <w:tcPr>
            <w:tcW w:w="3200" w:type="dxa"/>
            <w:vAlign w:val="bottom"/>
          </w:tcPr>
          <w:p>
            <w:pPr>
              <w:ind w:left="200"/>
              <w:spacing w:after="0"/>
              <w:rPr>
                <w:sz w:val="20"/>
                <w:szCs w:val="20"/>
                <w:color w:val="auto"/>
              </w:rPr>
            </w:pPr>
            <w:r>
              <w:rPr>
                <w:rFonts w:ascii="Arial" w:cs="Arial" w:eastAsia="Arial" w:hAnsi="Arial"/>
                <w:sz w:val="16"/>
                <w:szCs w:val="16"/>
                <w:color w:val="auto"/>
                <w:w w:val="98"/>
              </w:rPr>
              <w:t>Managing Partner of Red Mountain Capital</w:t>
            </w:r>
          </w:p>
        </w:tc>
        <w:tc>
          <w:tcPr>
            <w:tcW w:w="3000" w:type="dxa"/>
            <w:vAlign w:val="bottom"/>
          </w:tcPr>
          <w:p>
            <w:pPr>
              <w:ind w:left="160"/>
              <w:spacing w:after="0"/>
              <w:rPr>
                <w:sz w:val="20"/>
                <w:szCs w:val="20"/>
                <w:color w:val="auto"/>
              </w:rPr>
            </w:pPr>
            <w:r>
              <w:rPr>
                <w:rFonts w:ascii="Arial" w:cs="Arial" w:eastAsia="Arial" w:hAnsi="Arial"/>
                <w:sz w:val="16"/>
                <w:szCs w:val="16"/>
                <w:color w:val="auto"/>
              </w:rPr>
              <w:t>President of Digital Prophets</w:t>
            </w:r>
          </w:p>
        </w:tc>
        <w:tc>
          <w:tcPr>
            <w:tcW w:w="0" w:type="dxa"/>
            <w:vAlign w:val="bottom"/>
          </w:tcPr>
          <w:p>
            <w:pPr>
              <w:spacing w:after="0"/>
              <w:rPr>
                <w:sz w:val="1"/>
                <w:szCs w:val="1"/>
                <w:color w:val="auto"/>
              </w:rPr>
            </w:pPr>
          </w:p>
        </w:tc>
      </w:tr>
      <w:tr>
        <w:trPr>
          <w:trHeight w:val="220"/>
        </w:trPr>
        <w:tc>
          <w:tcPr>
            <w:tcW w:w="2960" w:type="dxa"/>
            <w:vAlign w:val="bottom"/>
            <w:vMerge w:val="restart"/>
          </w:tcPr>
          <w:p>
            <w:pPr>
              <w:spacing w:after="0"/>
              <w:rPr>
                <w:sz w:val="20"/>
                <w:szCs w:val="20"/>
                <w:color w:val="auto"/>
              </w:rPr>
            </w:pPr>
            <w:r>
              <w:rPr>
                <w:rFonts w:ascii="Arial" w:cs="Arial" w:eastAsia="Arial" w:hAnsi="Arial"/>
                <w:sz w:val="16"/>
                <w:szCs w:val="16"/>
                <w:color w:val="auto"/>
              </w:rPr>
              <w:t>Jack Boyle</w:t>
            </w:r>
          </w:p>
        </w:tc>
        <w:tc>
          <w:tcPr>
            <w:tcW w:w="3200" w:type="dxa"/>
            <w:vAlign w:val="bottom"/>
          </w:tcPr>
          <w:p>
            <w:pPr>
              <w:ind w:left="200"/>
              <w:spacing w:after="0"/>
              <w:rPr>
                <w:sz w:val="20"/>
                <w:szCs w:val="20"/>
                <w:color w:val="auto"/>
              </w:rPr>
            </w:pPr>
            <w:r>
              <w:rPr>
                <w:rFonts w:ascii="Arial" w:cs="Arial" w:eastAsia="Arial" w:hAnsi="Arial"/>
                <w:sz w:val="16"/>
                <w:szCs w:val="16"/>
                <w:color w:val="auto"/>
              </w:rPr>
              <w:t>Partners, LLC</w:t>
            </w:r>
          </w:p>
        </w:tc>
        <w:tc>
          <w:tcPr>
            <w:tcW w:w="3000" w:type="dxa"/>
            <w:vAlign w:val="bottom"/>
          </w:tcPr>
          <w:p>
            <w:pPr>
              <w:ind w:left="160"/>
              <w:spacing w:after="0"/>
              <w:rPr>
                <w:sz w:val="20"/>
                <w:szCs w:val="20"/>
                <w:color w:val="auto"/>
              </w:rPr>
            </w:pPr>
            <w:r>
              <w:rPr>
                <w:rFonts w:ascii="Arial" w:cs="Arial" w:eastAsia="Arial" w:hAnsi="Arial"/>
                <w:sz w:val="16"/>
                <w:szCs w:val="16"/>
                <w:color w:val="auto"/>
              </w:rPr>
              <w:t>Network, LLC</w:t>
            </w:r>
          </w:p>
        </w:tc>
        <w:tc>
          <w:tcPr>
            <w:tcW w:w="0" w:type="dxa"/>
            <w:vAlign w:val="bottom"/>
          </w:tcPr>
          <w:p>
            <w:pPr>
              <w:spacing w:after="0"/>
              <w:rPr>
                <w:sz w:val="1"/>
                <w:szCs w:val="1"/>
                <w:color w:val="auto"/>
              </w:rPr>
            </w:pPr>
          </w:p>
        </w:tc>
      </w:tr>
      <w:tr>
        <w:trPr>
          <w:trHeight w:val="90"/>
        </w:trPr>
        <w:tc>
          <w:tcPr>
            <w:tcW w:w="296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6"/>
                <w:szCs w:val="16"/>
                <w:color w:val="auto"/>
              </w:rPr>
              <w:t>President, Buying and</w:t>
            </w:r>
          </w:p>
        </w:tc>
        <w:tc>
          <w:tcPr>
            <w:tcW w:w="32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6"/>
                <w:szCs w:val="16"/>
                <w:color w:val="auto"/>
              </w:rPr>
              <w:t>North America of Fanatics, Inc.</w:t>
            </w:r>
          </w:p>
        </w:tc>
        <w:tc>
          <w:tcPr>
            <w:tcW w:w="32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0"/>
        </w:trPr>
        <w:tc>
          <w:tcPr>
            <w:tcW w:w="2960" w:type="dxa"/>
            <w:vAlign w:val="bottom"/>
          </w:tcPr>
          <w:p>
            <w:pPr>
              <w:spacing w:after="0"/>
              <w:rPr>
                <w:sz w:val="20"/>
                <w:szCs w:val="20"/>
                <w:color w:val="auto"/>
              </w:rPr>
            </w:pPr>
            <w:r>
              <w:rPr>
                <w:rFonts w:ascii="Arial" w:cs="Arial" w:eastAsia="Arial" w:hAnsi="Arial"/>
                <w:sz w:val="16"/>
                <w:szCs w:val="16"/>
                <w:color w:val="auto"/>
              </w:rPr>
              <w:t>EXECUTIVE OFFICER</w:t>
            </w:r>
          </w:p>
        </w:tc>
        <w:tc>
          <w:tcPr>
            <w:tcW w:w="32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r>
              <w:rPr>
                <w:rFonts w:ascii="Arial" w:cs="Arial" w:eastAsia="Arial" w:hAnsi="Arial"/>
                <w:sz w:val="16"/>
                <w:szCs w:val="16"/>
                <w:color w:val="auto"/>
              </w:rPr>
              <w:t>Harvey S. Kanter</w:t>
            </w:r>
          </w:p>
        </w:tc>
        <w:tc>
          <w:tcPr>
            <w:tcW w:w="3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6"/>
                <w:szCs w:val="16"/>
                <w:color w:val="auto"/>
              </w:rPr>
              <w:t>President and Chief Executive Officer</w:t>
            </w:r>
          </w:p>
        </w:tc>
        <w:tc>
          <w:tcPr>
            <w:tcW w:w="32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2960" w:type="dxa"/>
            <w:vAlign w:val="bottom"/>
          </w:tcPr>
          <w:p>
            <w:pPr>
              <w:spacing w:after="0"/>
              <w:rPr>
                <w:sz w:val="20"/>
                <w:szCs w:val="20"/>
                <w:color w:val="auto"/>
              </w:rPr>
            </w:pPr>
            <w:r>
              <w:rPr>
                <w:rFonts w:ascii="Arial" w:cs="Arial" w:eastAsia="Arial" w:hAnsi="Arial"/>
                <w:sz w:val="16"/>
                <w:szCs w:val="16"/>
                <w:color w:val="auto"/>
              </w:rPr>
              <w:t>SENIOR MANAGEMENT</w:t>
            </w:r>
          </w:p>
        </w:tc>
        <w:tc>
          <w:tcPr>
            <w:tcW w:w="32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r>
              <w:rPr>
                <w:rFonts w:ascii="Arial" w:cs="Arial" w:eastAsia="Arial" w:hAnsi="Arial"/>
                <w:sz w:val="16"/>
                <w:szCs w:val="16"/>
                <w:color w:val="auto"/>
              </w:rPr>
              <w:t>Rob Bogan</w:t>
            </w:r>
          </w:p>
        </w:tc>
        <w:tc>
          <w:tcPr>
            <w:tcW w:w="3200" w:type="dxa"/>
            <w:vAlign w:val="bottom"/>
          </w:tcPr>
          <w:p>
            <w:pPr>
              <w:ind w:left="180"/>
              <w:spacing w:after="0"/>
              <w:rPr>
                <w:sz w:val="20"/>
                <w:szCs w:val="20"/>
                <w:color w:val="auto"/>
              </w:rPr>
            </w:pPr>
            <w:r>
              <w:rPr>
                <w:rFonts w:ascii="Arial" w:cs="Arial" w:eastAsia="Arial" w:hAnsi="Arial"/>
                <w:sz w:val="16"/>
                <w:szCs w:val="16"/>
                <w:color w:val="auto"/>
              </w:rPr>
              <w:t>Anthony J. Gaeta</w:t>
            </w:r>
          </w:p>
        </w:tc>
        <w:tc>
          <w:tcPr>
            <w:tcW w:w="3000" w:type="dxa"/>
            <w:vAlign w:val="bottom"/>
          </w:tcPr>
          <w:p>
            <w:pPr>
              <w:ind w:left="100"/>
              <w:spacing w:after="0"/>
              <w:rPr>
                <w:sz w:val="20"/>
                <w:szCs w:val="20"/>
                <w:color w:val="auto"/>
              </w:rPr>
            </w:pPr>
            <w:r>
              <w:rPr>
                <w:rFonts w:ascii="Arial" w:cs="Arial" w:eastAsia="Arial" w:hAnsi="Arial"/>
                <w:sz w:val="16"/>
                <w:szCs w:val="16"/>
                <w:color w:val="auto"/>
              </w:rPr>
              <w:t>Peter H. Stratton, Jr.</w:t>
            </w: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6"/>
                <w:szCs w:val="16"/>
                <w:color w:val="auto"/>
              </w:rPr>
              <w:t>Chief Technology Officer</w:t>
            </w:r>
          </w:p>
        </w:tc>
        <w:tc>
          <w:tcPr>
            <w:tcW w:w="3200" w:type="dxa"/>
            <w:vAlign w:val="bottom"/>
          </w:tcPr>
          <w:p>
            <w:pPr>
              <w:ind w:left="180"/>
              <w:spacing w:after="0"/>
              <w:rPr>
                <w:sz w:val="20"/>
                <w:szCs w:val="20"/>
                <w:color w:val="auto"/>
              </w:rPr>
            </w:pPr>
            <w:r>
              <w:rPr>
                <w:rFonts w:ascii="Arial" w:cs="Arial" w:eastAsia="Arial" w:hAnsi="Arial"/>
                <w:sz w:val="16"/>
                <w:szCs w:val="16"/>
                <w:color w:val="auto"/>
              </w:rPr>
              <w:t>Chief Stores and Real Estate Officer</w:t>
            </w:r>
          </w:p>
        </w:tc>
        <w:tc>
          <w:tcPr>
            <w:tcW w:w="3000" w:type="dxa"/>
            <w:vAlign w:val="bottom"/>
          </w:tcPr>
          <w:p>
            <w:pPr>
              <w:ind w:left="100"/>
              <w:spacing w:after="0"/>
              <w:rPr>
                <w:sz w:val="20"/>
                <w:szCs w:val="20"/>
                <w:color w:val="auto"/>
              </w:rPr>
            </w:pPr>
            <w:r>
              <w:rPr>
                <w:rFonts w:ascii="Arial" w:cs="Arial" w:eastAsia="Arial" w:hAnsi="Arial"/>
                <w:sz w:val="16"/>
                <w:szCs w:val="16"/>
                <w:color w:val="auto"/>
              </w:rPr>
              <w:t>Executive Vice President,</w:t>
            </w:r>
          </w:p>
        </w:tc>
        <w:tc>
          <w:tcPr>
            <w:tcW w:w="0" w:type="dxa"/>
            <w:vAlign w:val="bottom"/>
          </w:tcPr>
          <w:p>
            <w:pPr>
              <w:spacing w:after="0"/>
              <w:rPr>
                <w:sz w:val="1"/>
                <w:szCs w:val="1"/>
                <w:color w:val="auto"/>
              </w:rPr>
            </w:pPr>
          </w:p>
        </w:tc>
      </w:tr>
      <w:tr>
        <w:trPr>
          <w:trHeight w:val="220"/>
        </w:trPr>
        <w:tc>
          <w:tcPr>
            <w:tcW w:w="2960" w:type="dxa"/>
            <w:vAlign w:val="bottom"/>
            <w:vMerge w:val="restart"/>
          </w:tcPr>
          <w:p>
            <w:pPr>
              <w:spacing w:after="0"/>
              <w:rPr>
                <w:sz w:val="20"/>
                <w:szCs w:val="20"/>
                <w:color w:val="auto"/>
              </w:rPr>
            </w:pPr>
            <w:r>
              <w:rPr>
                <w:rFonts w:ascii="Arial" w:cs="Arial" w:eastAsia="Arial" w:hAnsi="Arial"/>
                <w:sz w:val="16"/>
                <w:szCs w:val="16"/>
                <w:color w:val="auto"/>
              </w:rPr>
              <w:t>John F. Cooney</w:t>
            </w:r>
          </w:p>
        </w:tc>
        <w:tc>
          <w:tcPr>
            <w:tcW w:w="3200" w:type="dxa"/>
            <w:vAlign w:val="bottom"/>
            <w:vMerge w:val="restart"/>
          </w:tcPr>
          <w:p>
            <w:pPr>
              <w:ind w:left="180"/>
              <w:spacing w:after="0"/>
              <w:rPr>
                <w:sz w:val="20"/>
                <w:szCs w:val="20"/>
                <w:color w:val="auto"/>
              </w:rPr>
            </w:pPr>
            <w:r>
              <w:rPr>
                <w:rFonts w:ascii="Arial" w:cs="Arial" w:eastAsia="Arial" w:hAnsi="Arial"/>
                <w:sz w:val="16"/>
                <w:szCs w:val="16"/>
                <w:color w:val="auto"/>
              </w:rPr>
              <w:t>Stacey A. Jones</w:t>
            </w:r>
          </w:p>
        </w:tc>
        <w:tc>
          <w:tcPr>
            <w:tcW w:w="3000" w:type="dxa"/>
            <w:vAlign w:val="bottom"/>
          </w:tcPr>
          <w:p>
            <w:pPr>
              <w:ind w:left="100"/>
              <w:spacing w:after="0"/>
              <w:rPr>
                <w:sz w:val="20"/>
                <w:szCs w:val="20"/>
                <w:color w:val="auto"/>
              </w:rPr>
            </w:pPr>
            <w:r>
              <w:rPr>
                <w:rFonts w:ascii="Arial" w:cs="Arial" w:eastAsia="Arial" w:hAnsi="Arial"/>
                <w:sz w:val="16"/>
                <w:szCs w:val="16"/>
                <w:color w:val="auto"/>
              </w:rPr>
              <w:t>Chief Financial Officer and Treasurer</w:t>
            </w:r>
          </w:p>
        </w:tc>
        <w:tc>
          <w:tcPr>
            <w:tcW w:w="0" w:type="dxa"/>
            <w:vAlign w:val="bottom"/>
          </w:tcPr>
          <w:p>
            <w:pPr>
              <w:spacing w:after="0"/>
              <w:rPr>
                <w:sz w:val="1"/>
                <w:szCs w:val="1"/>
                <w:color w:val="auto"/>
              </w:rPr>
            </w:pPr>
          </w:p>
        </w:tc>
      </w:tr>
      <w:tr>
        <w:trPr>
          <w:trHeight w:val="90"/>
        </w:trPr>
        <w:tc>
          <w:tcPr>
            <w:tcW w:w="2960" w:type="dxa"/>
            <w:vAlign w:val="bottom"/>
            <w:vMerge w:val="continue"/>
          </w:tcPr>
          <w:p>
            <w:pPr>
              <w:spacing w:after="0"/>
              <w:rPr>
                <w:sz w:val="7"/>
                <w:szCs w:val="7"/>
                <w:color w:val="auto"/>
              </w:rPr>
            </w:pPr>
          </w:p>
        </w:tc>
        <w:tc>
          <w:tcPr>
            <w:tcW w:w="3200" w:type="dxa"/>
            <w:vAlign w:val="bottom"/>
            <w:vMerge w:val="continue"/>
          </w:tcPr>
          <w:p>
            <w:pPr>
              <w:spacing w:after="0"/>
              <w:rPr>
                <w:sz w:val="7"/>
                <w:szCs w:val="7"/>
                <w:color w:val="auto"/>
              </w:rPr>
            </w:pPr>
          </w:p>
        </w:tc>
        <w:tc>
          <w:tcPr>
            <w:tcW w:w="3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6"/>
                <w:szCs w:val="16"/>
                <w:color w:val="auto"/>
              </w:rPr>
              <w:t>Senior Vice President, Finance, Chief</w:t>
            </w:r>
          </w:p>
        </w:tc>
        <w:tc>
          <w:tcPr>
            <w:tcW w:w="3200" w:type="dxa"/>
            <w:vAlign w:val="bottom"/>
          </w:tcPr>
          <w:p>
            <w:pPr>
              <w:ind w:left="180"/>
              <w:spacing w:after="0"/>
              <w:rPr>
                <w:sz w:val="20"/>
                <w:szCs w:val="20"/>
                <w:color w:val="auto"/>
              </w:rPr>
            </w:pPr>
            <w:r>
              <w:rPr>
                <w:rFonts w:ascii="Arial" w:cs="Arial" w:eastAsia="Arial" w:hAnsi="Arial"/>
                <w:sz w:val="16"/>
                <w:szCs w:val="16"/>
                <w:color w:val="auto"/>
              </w:rPr>
              <w:t>Chief Human Resources Officer</w:t>
            </w:r>
          </w:p>
        </w:tc>
        <w:tc>
          <w:tcPr>
            <w:tcW w:w="3000" w:type="dxa"/>
            <w:vAlign w:val="bottom"/>
          </w:tcPr>
          <w:p>
            <w:pPr>
              <w:ind w:left="100"/>
              <w:spacing w:after="0"/>
              <w:rPr>
                <w:sz w:val="20"/>
                <w:szCs w:val="20"/>
                <w:color w:val="auto"/>
              </w:rPr>
            </w:pPr>
            <w:r>
              <w:rPr>
                <w:rFonts w:ascii="Arial" w:cs="Arial" w:eastAsia="Arial" w:hAnsi="Arial"/>
                <w:sz w:val="16"/>
                <w:szCs w:val="16"/>
                <w:color w:val="auto"/>
              </w:rPr>
              <w:t>Allison Surette</w:t>
            </w: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6"/>
                <w:szCs w:val="16"/>
                <w:color w:val="auto"/>
                <w:w w:val="99"/>
              </w:rPr>
              <w:t>Accounting Officer &amp; Corporate Controller</w:t>
            </w:r>
          </w:p>
        </w:tc>
        <w:tc>
          <w:tcPr>
            <w:tcW w:w="3200" w:type="dxa"/>
            <w:vAlign w:val="bottom"/>
            <w:vMerge w:val="restart"/>
          </w:tcPr>
          <w:p>
            <w:pPr>
              <w:ind w:left="180"/>
              <w:spacing w:after="0"/>
              <w:rPr>
                <w:sz w:val="20"/>
                <w:szCs w:val="20"/>
                <w:color w:val="auto"/>
              </w:rPr>
            </w:pPr>
            <w:r>
              <w:rPr>
                <w:rFonts w:ascii="Arial" w:cs="Arial" w:eastAsia="Arial" w:hAnsi="Arial"/>
                <w:sz w:val="16"/>
                <w:szCs w:val="16"/>
                <w:color w:val="auto"/>
              </w:rPr>
              <w:t>Robert S. Molloy</w:t>
            </w:r>
          </w:p>
        </w:tc>
        <w:tc>
          <w:tcPr>
            <w:tcW w:w="3000" w:type="dxa"/>
            <w:vAlign w:val="bottom"/>
          </w:tcPr>
          <w:p>
            <w:pPr>
              <w:ind w:left="100"/>
              <w:spacing w:after="0"/>
              <w:rPr>
                <w:sz w:val="20"/>
                <w:szCs w:val="20"/>
                <w:color w:val="auto"/>
              </w:rPr>
            </w:pPr>
            <w:r>
              <w:rPr>
                <w:rFonts w:ascii="Arial" w:cs="Arial" w:eastAsia="Arial" w:hAnsi="Arial"/>
                <w:sz w:val="16"/>
                <w:szCs w:val="16"/>
                <w:color w:val="auto"/>
              </w:rPr>
              <w:t>Chief Merchandising Officer</w:t>
            </w:r>
          </w:p>
        </w:tc>
        <w:tc>
          <w:tcPr>
            <w:tcW w:w="0" w:type="dxa"/>
            <w:vAlign w:val="bottom"/>
          </w:tcPr>
          <w:p>
            <w:pPr>
              <w:spacing w:after="0"/>
              <w:rPr>
                <w:sz w:val="1"/>
                <w:szCs w:val="1"/>
                <w:color w:val="auto"/>
              </w:rPr>
            </w:pPr>
          </w:p>
        </w:tc>
      </w:tr>
      <w:tr>
        <w:trPr>
          <w:trHeight w:val="90"/>
        </w:trPr>
        <w:tc>
          <w:tcPr>
            <w:tcW w:w="296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3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6"/>
                <w:szCs w:val="16"/>
                <w:color w:val="auto"/>
              </w:rPr>
              <w:t>James Reath</w:t>
            </w:r>
          </w:p>
        </w:tc>
        <w:tc>
          <w:tcPr>
            <w:tcW w:w="3200" w:type="dxa"/>
            <w:vAlign w:val="bottom"/>
          </w:tcPr>
          <w:p>
            <w:pPr>
              <w:ind w:left="180"/>
              <w:spacing w:after="0"/>
              <w:rPr>
                <w:sz w:val="20"/>
                <w:szCs w:val="20"/>
                <w:color w:val="auto"/>
              </w:rPr>
            </w:pPr>
            <w:r>
              <w:rPr>
                <w:rFonts w:ascii="Arial" w:cs="Arial" w:eastAsia="Arial" w:hAnsi="Arial"/>
                <w:sz w:val="16"/>
                <w:szCs w:val="16"/>
                <w:color w:val="auto"/>
              </w:rPr>
              <w:t>General Counsel and Secretary</w:t>
            </w: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6"/>
                <w:szCs w:val="16"/>
                <w:color w:val="auto"/>
              </w:rPr>
              <w:t>Chief Marketing Officer</w:t>
            </w:r>
          </w:p>
        </w:tc>
        <w:tc>
          <w:tcPr>
            <w:tcW w:w="32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290195</wp:posOffset>
            </wp:positionV>
            <wp:extent cx="58166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166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CORPORATE OFFICES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555 Turnpike Street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Canton, Massachusetts 02021</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781.828.9300</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FINANCIAL INFORMATION</w:t>
      </w:r>
    </w:p>
    <w:p>
      <w:pPr>
        <w:spacing w:after="0" w:line="55" w:lineRule="exact"/>
        <w:rPr>
          <w:sz w:val="20"/>
          <w:szCs w:val="20"/>
          <w:color w:val="auto"/>
        </w:rPr>
      </w:pPr>
    </w:p>
    <w:p>
      <w:pPr>
        <w:ind w:right="1020"/>
        <w:spacing w:after="0" w:line="306" w:lineRule="auto"/>
        <w:rPr>
          <w:sz w:val="20"/>
          <w:szCs w:val="20"/>
          <w:color w:val="auto"/>
        </w:rPr>
      </w:pPr>
      <w:r>
        <w:rPr>
          <w:rFonts w:ascii="Arial" w:cs="Arial" w:eastAsia="Arial" w:hAnsi="Arial"/>
          <w:sz w:val="15"/>
          <w:szCs w:val="15"/>
          <w:color w:val="auto"/>
        </w:rPr>
        <w:t>Requests for financial information should be directed to our Investor Relations Department at our headquarters: Destination XL Group, Inc., 555 Turnpike Street, Canton, Massachusetts, 02021, by calling 781.828.9300 or emailing us at investor.relations@dxlg.com. You may also visit our website at https://investor.dxl.com. A copy of our Annual Report</w:t>
      </w:r>
    </w:p>
    <w:p>
      <w:pPr>
        <w:ind w:right="600"/>
        <w:spacing w:after="0" w:line="298" w:lineRule="auto"/>
        <w:rPr>
          <w:sz w:val="20"/>
          <w:szCs w:val="20"/>
          <w:color w:val="auto"/>
        </w:rPr>
      </w:pPr>
      <w:r>
        <w:rPr>
          <w:rFonts w:ascii="Arial" w:cs="Arial" w:eastAsia="Arial" w:hAnsi="Arial"/>
          <w:sz w:val="16"/>
          <w:szCs w:val="16"/>
          <w:color w:val="auto"/>
        </w:rPr>
        <w:t>on Form 10-K for the fiscal year ended February 3, 2024 filed with the Securities and Exchange Commission, may be obtained without charge upon request to the Investor Relations Department.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ANNUAL MEETING</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Our 2024 Annual Meeting of Stockholders will be held on August 8, 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 N N U A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-340995</wp:posOffset>
            </wp:positionV>
            <wp:extent cx="1254760" cy="9829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54760" cy="982980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R EP OR T</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2 02 4</w:t>
      </w:r>
    </w:p>
    <w:p>
      <w:pPr>
        <w:spacing w:after="0" w:line="9560" w:lineRule="exact"/>
        <w:rPr>
          <w:sz w:val="20"/>
          <w:szCs w:val="20"/>
          <w:color w:val="auto"/>
        </w:rPr>
      </w:pPr>
    </w:p>
    <w:p>
      <w:pPr>
        <w:sectPr>
          <w:pgSz w:w="11880" w:h="15480" w:orient="portrait"/>
          <w:cols w:equalWidth="0" w:num="2">
            <w:col w:w="9160" w:space="660"/>
            <w:col w:w="1040"/>
          </w:cols>
          <w:pgMar w:left="540" w:top="319" w:right="480" w:bottom="290" w:gutter="0" w:footer="0" w:header="0"/>
        </w:sectPr>
      </w:pP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TRANSFER AGENT AND REGISTRAR</w:t>
      </w:r>
    </w:p>
    <w:p>
      <w:pPr>
        <w:spacing w:after="0" w:line="5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Inquiries regarding stock transfer requirements, address changes and lost stock certificates should be directed to: EQ, LLC</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PO Box 500</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Newark, NJ 07101</w:t>
      </w:r>
    </w:p>
    <w:p>
      <w:pPr>
        <w:spacing w:after="0" w:line="36" w:lineRule="exact"/>
        <w:rPr>
          <w:sz w:val="20"/>
          <w:szCs w:val="20"/>
          <w:color w:val="auto"/>
        </w:rPr>
      </w:pPr>
    </w:p>
    <w:p>
      <w:pPr>
        <w:ind w:right="1540"/>
        <w:spacing w:after="0" w:line="298" w:lineRule="auto"/>
        <w:rPr>
          <w:sz w:val="20"/>
          <w:szCs w:val="20"/>
          <w:color w:val="auto"/>
        </w:rPr>
      </w:pPr>
      <w:r>
        <w:rPr>
          <w:rFonts w:ascii="Arial" w:cs="Arial" w:eastAsia="Arial" w:hAnsi="Arial"/>
          <w:sz w:val="16"/>
          <w:szCs w:val="16"/>
          <w:color w:val="auto"/>
        </w:rPr>
        <w:t>Tel: 800-937-5449 or 718-921-8124 HelpAST@equiniti.com</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2120"/>
        <w:spacing w:after="0" w:line="299" w:lineRule="auto"/>
        <w:rPr>
          <w:sz w:val="20"/>
          <w:szCs w:val="20"/>
          <w:color w:val="auto"/>
        </w:rPr>
      </w:pPr>
      <w:r>
        <w:rPr>
          <w:rFonts w:ascii="Arial" w:cs="Arial" w:eastAsia="Arial" w:hAnsi="Arial"/>
          <w:sz w:val="16"/>
          <w:szCs w:val="16"/>
          <w:color w:val="auto"/>
        </w:rPr>
        <w:t>INDEPENDENT REGISTERED PUBLIC ACCOUNTING FIRM KPMG LLP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Two Financial Center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60 South Street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 02111</w:t>
      </w:r>
    </w:p>
    <w:p>
      <w:pPr>
        <w:spacing w:after="0" w:line="912" w:lineRule="exact"/>
        <w:rPr>
          <w:sz w:val="20"/>
          <w:szCs w:val="20"/>
          <w:color w:val="auto"/>
        </w:rPr>
      </w:pPr>
    </w:p>
    <w:p>
      <w:pPr>
        <w:sectPr>
          <w:pgSz w:w="11880" w:h="15480" w:orient="portrait"/>
          <w:cols w:equalWidth="0" w:num="2">
            <w:col w:w="4080" w:space="720"/>
            <w:col w:w="6060"/>
          </w:cols>
          <w:pgMar w:left="540" w:top="319" w:right="480" w:bottom="290" w:gutter="0" w:footer="0" w:header="0"/>
          <w:type w:val="continuous"/>
        </w:sectPr>
      </w:pPr>
    </w:p>
    <w:p>
      <w:pPr>
        <w:spacing w:after="0" w:line="309" w:lineRule="exact"/>
        <w:rPr>
          <w:sz w:val="20"/>
          <w:szCs w:val="20"/>
          <w:color w:val="auto"/>
        </w:rPr>
      </w:pPr>
    </w:p>
    <w:p>
      <w:pPr>
        <w:ind w:right="1860"/>
        <w:spacing w:after="0" w:line="238" w:lineRule="auto"/>
        <w:rPr>
          <w:sz w:val="20"/>
          <w:szCs w:val="20"/>
          <w:color w:val="auto"/>
        </w:rPr>
      </w:pPr>
      <w:r>
        <w:rPr>
          <w:rFonts w:ascii="Arial" w:cs="Arial" w:eastAsia="Arial" w:hAnsi="Arial"/>
          <w:sz w:val="14"/>
          <w:szCs w:val="14"/>
          <w:color w:val="auto"/>
        </w:rPr>
        <w:t>This Annual Report contains forward-looking statements within the meaning of the federal securities laws. You can identify these forward-looking statements by our use of the words “believes,” “anticipates,” “plans,” “expects,” “may,” “will,” “intends,” “estimates,” and similar expressions, whether in the negative or in the affirmative. Although we believe that these forward-looking statements reasonably reflect our plans, intentions</w:t>
      </w:r>
    </w:p>
    <w:p>
      <w:pPr>
        <w:spacing w:after="0" w:line="1" w:lineRule="exact"/>
        <w:rPr>
          <w:sz w:val="20"/>
          <w:szCs w:val="20"/>
          <w:color w:val="auto"/>
        </w:rPr>
      </w:pPr>
    </w:p>
    <w:p>
      <w:pPr>
        <w:ind w:right="2000"/>
        <w:spacing w:after="0" w:line="256" w:lineRule="auto"/>
        <w:rPr>
          <w:sz w:val="20"/>
          <w:szCs w:val="20"/>
          <w:color w:val="auto"/>
        </w:rPr>
      </w:pPr>
      <w:r>
        <w:rPr>
          <w:rFonts w:ascii="Arial" w:cs="Arial" w:eastAsia="Arial" w:hAnsi="Arial"/>
          <w:sz w:val="13"/>
          <w:szCs w:val="13"/>
          <w:color w:val="auto"/>
        </w:rPr>
        <w:t>and expectations, our actual results could differ materially from the plans, intentions and expectations disclosed in the forward-looking statements we make. We have included important factors in the cautionary statements under the heading “Risk Factors” under Item 1A of our Form 10-K for the year ended February 3, 2024, that we believe could cause our actual results to differ materially from the forward-looking statements</w:t>
      </w:r>
    </w:p>
    <w:p>
      <w:pPr>
        <w:spacing w:after="0" w:line="2" w:lineRule="exact"/>
        <w:rPr>
          <w:sz w:val="20"/>
          <w:szCs w:val="20"/>
          <w:color w:val="auto"/>
        </w:rPr>
      </w:pPr>
    </w:p>
    <w:p>
      <w:pPr>
        <w:ind w:right="1840"/>
        <w:spacing w:after="0" w:line="243" w:lineRule="auto"/>
        <w:rPr>
          <w:sz w:val="20"/>
          <w:szCs w:val="20"/>
          <w:color w:val="auto"/>
        </w:rPr>
      </w:pPr>
      <w:r>
        <w:rPr>
          <w:rFonts w:ascii="Arial" w:cs="Arial" w:eastAsia="Arial" w:hAnsi="Arial"/>
          <w:sz w:val="14"/>
          <w:szCs w:val="14"/>
          <w:color w:val="auto"/>
        </w:rPr>
        <w:t>that we make. Forward-looking statements contained in this Annual Report speak only as of the date of this report. Subsequent events or circumstances occurring after such date may render these incomplete or out of date. We undertake no obligation and expressly disclaim any duty to update such statements.</w:t>
      </w:r>
    </w:p>
    <w:p>
      <w:pPr>
        <w:sectPr>
          <w:pgSz w:w="11880" w:h="15480" w:orient="portrait"/>
          <w:cols w:equalWidth="0" w:num="1">
            <w:col w:w="10860"/>
          </w:cols>
          <w:pgMar w:left="540" w:top="319" w:right="480" w:bottom="290" w:gutter="0" w:footer="0" w:header="0"/>
          <w:type w:val="continuous"/>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Destination XL Group, Inc.</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color w:val="auto"/>
        </w:rPr>
        <w:t>555 Turnpike St. Canton, MA 02021</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781.828.9300</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DXL.com</w:t>
      </w:r>
    </w:p>
    <w:sectPr>
      <w:pgSz w:w="11880" w:h="15480" w:orient="portrait"/>
      <w:cols w:equalWidth="0" w:num="1">
        <w:col w:w="9360"/>
      </w:cols>
      <w:pgMar w:left="1080" w:top="1440" w:right="1440" w:bottom="95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lowerRoman"/>
      <w:start w:val="2"/>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Roman"/>
      <w:start w:val="1"/>
    </w:lvl>
  </w:abstractNum>
  <w:abstractNum w:abstractNumId="6">
    <w:nsid w:val="515F007C"/>
    <w:multiLevelType w:val="hybridMultilevel"/>
    <w:lvl w:ilvl="0">
      <w:lvlJc w:val="left"/>
      <w:lvlText w:val="%1)"/>
      <w:numFmt w:val="decimal"/>
      <w:start w:val="14"/>
    </w:lvl>
  </w:abstractNum>
  <w:abstractNum w:abstractNumId="7">
    <w:nsid w:val="5BD062C2"/>
    <w:multiLevelType w:val="hybridMultilevel"/>
    <w:lvl w:ilvl="0">
      <w:lvlJc w:val="left"/>
      <w:lvlText w:val="%1"/>
      <w:numFmt w:val="decimal"/>
      <w:start w:val="101"/>
    </w:lvl>
  </w:abstractNum>
  <w:abstractNum w:abstractNumId="8">
    <w:nsid w:val="12200854"/>
    <w:multiLevelType w:val="hybridMultilevel"/>
    <w:lvl w:ilvl="0">
      <w:lvlJc w:val="left"/>
      <w:lvlText w:val="%1"/>
      <w:numFmt w:val="decimal"/>
      <w:start w:val="104"/>
    </w:lvl>
  </w:abstractNum>
  <w:abstractNum w:abstractNumId="9">
    <w:nsid w:val="4DB127F8"/>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2024-06-29T22:06:17Z</dcterms:created>
  <dcterms:modified xsi:type="dcterms:W3CDTF">2024-06-29T22:06:17Z</dcterms:modified>
</cp:coreProperties>
</file>