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6019165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drawing>
          <wp:inline distT="0" distB="0" distL="0" distR="0">
            <wp:extent cx="34290" cy="19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Arial" w:cs="Arial" w:eastAsia="Arial" w:hAnsi="Arial"/>
          <w:sz w:val="18"/>
          <w:szCs w:val="18"/>
          <w:color w:val="auto"/>
        </w:rPr>
        <w:t>OMB APPROVAL</w:t>
      </w:r>
    </w:p>
    <w:p>
      <w:pPr>
        <w:ind w:left="9300"/>
        <w:spacing w:after="0"/>
        <w:rPr>
          <w:sz w:val="20"/>
          <w:szCs w:val="20"/>
          <w:color w:val="auto"/>
        </w:rPr>
      </w:pPr>
      <w:r>
        <w:rPr>
          <w:rFonts w:ascii="Arial" w:cs="Arial" w:eastAsia="Arial" w:hAnsi="Arial"/>
          <w:sz w:val="16"/>
          <w:szCs w:val="16"/>
          <w:color w:val="auto"/>
        </w:rPr>
        <w:t>OMB Number: 3235-0145</w:t>
      </w:r>
    </w:p>
    <w:p>
      <w:pPr>
        <w:spacing w:after="0" w:line="14" w:lineRule="exact"/>
        <w:rPr>
          <w:sz w:val="24"/>
          <w:szCs w:val="24"/>
          <w:color w:val="auto"/>
        </w:rPr>
      </w:pPr>
    </w:p>
    <w:p>
      <w:pPr>
        <w:ind w:left="9260"/>
        <w:spacing w:after="0"/>
        <w:rPr>
          <w:sz w:val="20"/>
          <w:szCs w:val="20"/>
          <w:color w:val="auto"/>
        </w:rPr>
      </w:pPr>
      <w:r>
        <w:rPr>
          <w:sz w:val="1"/>
          <w:szCs w:val="1"/>
          <w:color w:val="auto"/>
        </w:rPr>
        <w:drawing>
          <wp:inline distT="0" distB="0" distL="0" distR="0">
            <wp:extent cx="34290" cy="196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Arial" w:cs="Arial" w:eastAsia="Arial" w:hAnsi="Arial"/>
          <w:sz w:val="15"/>
          <w:szCs w:val="15"/>
          <w:color w:val="auto"/>
        </w:rPr>
        <w:t>Expires: February 28, 2009</w:t>
      </w:r>
    </w:p>
    <w:p>
      <w:pPr>
        <w:ind w:left="9300"/>
        <w:spacing w:after="0"/>
        <w:rPr>
          <w:sz w:val="20"/>
          <w:szCs w:val="20"/>
          <w:color w:val="auto"/>
        </w:rPr>
      </w:pPr>
      <w:r>
        <w:rPr>
          <w:rFonts w:ascii="Arial" w:cs="Arial" w:eastAsia="Arial" w:hAnsi="Arial"/>
          <w:sz w:val="16"/>
          <w:szCs w:val="16"/>
          <w:color w:val="auto"/>
        </w:rPr>
        <w:t>Estimated average burden</w:t>
      </w:r>
    </w:p>
    <w:p>
      <w:pPr>
        <w:spacing w:after="0" w:line="37" w:lineRule="exact"/>
        <w:rPr>
          <w:sz w:val="24"/>
          <w:szCs w:val="24"/>
          <w:color w:val="auto"/>
        </w:rPr>
      </w:pPr>
    </w:p>
    <w:p>
      <w:pPr>
        <w:ind w:left="930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1478280</wp:posOffset>
            </wp:positionH>
            <wp:positionV relativeFrom="paragraph">
              <wp:posOffset>73660</wp:posOffset>
            </wp:positionV>
            <wp:extent cx="430911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13d-1(c)</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13d-1(d)</w:t>
      </w:r>
    </w:p>
    <w:p>
      <w:pPr>
        <w:spacing w:after="0" w:line="274" w:lineRule="exact"/>
        <w:rPr>
          <w:sz w:val="24"/>
          <w:szCs w:val="24"/>
          <w:color w:val="auto"/>
        </w:rPr>
      </w:pPr>
    </w:p>
    <w:p>
      <w:pPr>
        <w:jc w:val="both"/>
        <w:ind w:left="20" w:right="4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4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104" w:lineRule="exact"/>
        <w:rPr>
          <w:sz w:val="24"/>
          <w:szCs w:val="24"/>
          <w:color w:val="auto"/>
        </w:rPr>
      </w:pPr>
    </w:p>
    <w:p>
      <w:pPr>
        <w:ind w:left="700" w:right="7700"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9480"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480" w:hanging="783"/>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480" w:hanging="783"/>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1220"/>
          </w:cols>
          <w:pgMar w:left="240" w:top="203" w:right="439" w:bottom="122" w:gutter="0" w:footer="0" w:header="0"/>
        </w:sectPr>
      </w:pPr>
    </w:p>
    <w:p>
      <w:pPr>
        <w:spacing w:after="0" w:line="200" w:lineRule="exact"/>
        <w:rPr>
          <w:sz w:val="24"/>
          <w:szCs w:val="24"/>
          <w:color w:val="auto"/>
        </w:rPr>
      </w:pPr>
    </w:p>
    <w:p>
      <w:pPr>
        <w:spacing w:after="0" w:line="249" w:lineRule="exact"/>
        <w:rPr>
          <w:sz w:val="24"/>
          <w:szCs w:val="24"/>
          <w:color w:val="auto"/>
        </w:rPr>
      </w:pPr>
    </w:p>
    <w:p>
      <w:pPr>
        <w:ind w:left="260"/>
        <w:spacing w:after="0"/>
        <w:tabs>
          <w:tab w:leader="none" w:pos="680" w:val="left"/>
        </w:tabs>
        <w:rPr>
          <w:sz w:val="20"/>
          <w:szCs w:val="20"/>
          <w:color w:val="auto"/>
        </w:rPr>
      </w:pPr>
      <w:r>
        <w:rPr>
          <w:rFonts w:ascii="Arial" w:cs="Arial" w:eastAsia="Arial" w:hAnsi="Arial"/>
          <w:sz w:val="19"/>
          <w:szCs w:val="19"/>
          <w:color w:val="auto"/>
        </w:rPr>
        <w:t>3.</w:t>
        <w:tab/>
        <w:t>SEC Use Only . . . . . . . . . . . . . . . . . . . . . . . . . . . . . . . . . . . . . . . .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164465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1220"/>
          </w:cols>
          <w:pgMar w:left="240" w:top="203" w:right="439" w:bottom="122" w:gutter="0" w:footer="0" w:header="0"/>
          <w:type w:val="continuous"/>
        </w:sectPr>
      </w:pPr>
    </w:p>
    <w:bookmarkStart w:id="1" w:name="page2"/>
    <w:bookmarkEnd w:id="1"/>
    <w:p>
      <w:pPr>
        <w:spacing w:after="0" w:line="52" w:lineRule="exact"/>
        <w:rPr>
          <w:sz w:val="20"/>
          <w:szCs w:val="20"/>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1,879,965</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1,211,308</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1,040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1,932,348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5.48 %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1360" w:hanging="359"/>
        <w:spacing w:after="0"/>
        <w:tabs>
          <w:tab w:leader="none" w:pos="1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1360"/>
        <w:spacing w:after="0"/>
        <w:rPr>
          <w:rFonts w:ascii="Arial" w:cs="Arial" w:eastAsia="Arial" w:hAnsi="Arial"/>
          <w:sz w:val="22"/>
          <w:szCs w:val="22"/>
          <w:color w:val="auto"/>
        </w:rPr>
      </w:pPr>
      <w:r>
        <w:rPr>
          <w:rFonts w:ascii="Arial" w:cs="Arial" w:eastAsia="Arial" w:hAnsi="Arial"/>
          <w:sz w:val="22"/>
          <w:szCs w:val="22"/>
          <w:color w:val="auto"/>
        </w:rPr>
        <w:t>CASUAL MALE RETAIL GROUP, INC</w:t>
      </w:r>
    </w:p>
    <w:p>
      <w:pPr>
        <w:spacing w:after="0" w:line="80" w:lineRule="exact"/>
        <w:rPr>
          <w:rFonts w:ascii="Arial" w:cs="Arial" w:eastAsia="Arial" w:hAnsi="Arial"/>
          <w:sz w:val="22"/>
          <w:szCs w:val="22"/>
          <w:color w:val="auto"/>
        </w:rPr>
      </w:pPr>
    </w:p>
    <w:p>
      <w:pPr>
        <w:ind w:left="1360" w:right="4459" w:hanging="359"/>
        <w:spacing w:after="0" w:line="447" w:lineRule="auto"/>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555 TURNPIKE STREET, CANTON, MA 02021</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1360" w:right="6639" w:hanging="359"/>
        <w:spacing w:after="0" w:line="326" w:lineRule="auto"/>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1360" w:right="3659" w:hanging="359"/>
        <w:spacing w:after="0" w:line="326" w:lineRule="auto"/>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1360" w:right="7799" w:hanging="359"/>
        <w:spacing w:after="0" w:line="326" w:lineRule="auto"/>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1360" w:right="6499" w:hanging="359"/>
        <w:spacing w:after="0" w:line="326" w:lineRule="auto"/>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1360" w:right="7419" w:hanging="359"/>
        <w:spacing w:after="0" w:line="328" w:lineRule="auto"/>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148711104</w:t>
      </w:r>
    </w:p>
    <w:p>
      <w:pPr>
        <w:spacing w:after="0" w:line="342" w:lineRule="exact"/>
        <w:rPr>
          <w:sz w:val="20"/>
          <w:szCs w:val="20"/>
          <w:color w:val="auto"/>
        </w:rPr>
      </w:pPr>
    </w:p>
    <w:p>
      <w:pPr>
        <w:ind w:left="1000" w:right="1999" w:hanging="998"/>
        <w:spacing w:after="0" w:line="256" w:lineRule="auto"/>
        <w:tabs>
          <w:tab w:leader="none" w:pos="980" w:val="left"/>
        </w:tabs>
        <w:rPr>
          <w:sz w:val="20"/>
          <w:szCs w:val="20"/>
          <w:color w:val="auto"/>
        </w:rPr>
      </w:pPr>
      <w:r>
        <w:rPr>
          <w:rFonts w:ascii="Arial" w:cs="Arial" w:eastAsia="Arial" w:hAnsi="Arial"/>
          <w:sz w:val="22"/>
          <w:szCs w:val="22"/>
          <w:b w:val="1"/>
          <w:bCs w:val="1"/>
          <w:color w:val="auto"/>
        </w:rPr>
        <w:t>Item 3.</w:t>
        <w:tab/>
        <w:t>If this statement is filed pursuant to 240.13d-1(b) or 240.13d-2(b) or (c), check whether the person filing is a:</w:t>
      </w:r>
    </w:p>
    <w:p>
      <w:pPr>
        <w:spacing w:after="0" w:line="61" w:lineRule="exact"/>
        <w:rPr>
          <w:sz w:val="20"/>
          <w:szCs w:val="20"/>
          <w:color w:val="auto"/>
        </w:rPr>
      </w:pPr>
    </w:p>
    <w:p>
      <w:pPr>
        <w:ind w:left="1360" w:hanging="359"/>
        <w:spacing w:after="0"/>
        <w:tabs>
          <w:tab w:leader="none" w:pos="13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Insurance company as defined in section 3(a)(19) of the Act (15 U.S.C. 78c).</w:t>
      </w:r>
    </w:p>
    <w:p>
      <w:pPr>
        <w:spacing w:after="0" w:line="132" w:lineRule="exact"/>
        <w:rPr>
          <w:rFonts w:ascii="Arial" w:cs="Arial" w:eastAsia="Arial" w:hAnsi="Arial"/>
          <w:sz w:val="19"/>
          <w:szCs w:val="19"/>
          <w:color w:val="auto"/>
        </w:rPr>
      </w:pPr>
    </w:p>
    <w:p>
      <w:pPr>
        <w:ind w:left="1940" w:right="1319" w:hanging="939"/>
        <w:spacing w:after="0" w:line="251" w:lineRule="auto"/>
        <w:tabs>
          <w:tab w:leader="none" w:pos="1373"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ectPr>
          <w:pgSz w:w="11900" w:h="16890" w:orient="portrait"/>
          <w:cols w:equalWidth="0" w:num="1">
            <w:col w:w="10159"/>
          </w:cols>
          <w:pgMar w:left="300" w:top="118" w:right="1440" w:bottom="0" w:gutter="0" w:footer="0" w:header="0"/>
        </w:sectPr>
      </w:pPr>
    </w:p>
    <w:p>
      <w:pPr>
        <w:spacing w:after="0" w:line="65"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(e) []</w:t>
      </w:r>
    </w:p>
    <w:p>
      <w:pPr>
        <w:spacing w:after="0" w:line="9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(f)  []</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240.13d-1(b)(1)(ii)(E);</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An employee benefit plan or endowment fund in accordance with 240.13d-1(b)</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(1)(ii)(F);</w:t>
      </w:r>
    </w:p>
    <w:p>
      <w:pPr>
        <w:spacing w:after="0" w:line="80" w:lineRule="exact"/>
        <w:rPr>
          <w:sz w:val="20"/>
          <w:szCs w:val="20"/>
          <w:color w:val="auto"/>
        </w:rPr>
      </w:pPr>
    </w:p>
    <w:p>
      <w:pPr>
        <w:sectPr>
          <w:pgSz w:w="11900" w:h="16890" w:orient="portrait"/>
          <w:cols w:equalWidth="0" w:num="2">
            <w:col w:w="1520" w:space="420"/>
            <w:col w:w="8219"/>
          </w:cols>
          <w:pgMar w:left="300" w:top="118" w:right="1440" w:bottom="0" w:gutter="0" w:footer="0" w:header="0"/>
          <w:type w:val="continuous"/>
        </w:sectPr>
      </w:pPr>
    </w:p>
    <w:p>
      <w:pPr>
        <w:ind w:left="1360" w:hanging="359"/>
        <w:spacing w:after="0"/>
        <w:tabs>
          <w:tab w:leader="none" w:pos="1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w:t>
      </w:r>
    </w:p>
    <w:p>
      <w:pPr>
        <w:spacing w:after="0" w:line="42" w:lineRule="exact"/>
        <w:rPr>
          <w:rFonts w:ascii="Arial" w:cs="Arial" w:eastAsia="Arial" w:hAnsi="Arial"/>
          <w:sz w:val="19"/>
          <w:szCs w:val="19"/>
          <w:color w:val="auto"/>
        </w:rPr>
      </w:pPr>
    </w:p>
    <w:p>
      <w:pPr>
        <w:ind w:left="1940"/>
        <w:spacing w:after="0"/>
        <w:rPr>
          <w:rFonts w:ascii="Arial" w:cs="Arial" w:eastAsia="Arial" w:hAnsi="Arial"/>
          <w:sz w:val="19"/>
          <w:szCs w:val="19"/>
          <w:color w:val="auto"/>
        </w:rPr>
      </w:pPr>
      <w:r>
        <w:rPr>
          <w:rFonts w:ascii="Arial" w:cs="Arial" w:eastAsia="Arial" w:hAnsi="Arial"/>
          <w:sz w:val="22"/>
          <w:szCs w:val="22"/>
          <w:color w:val="auto"/>
        </w:rPr>
        <w:t>(1)(ii)(G);</w:t>
      </w:r>
    </w:p>
    <w:p>
      <w:pPr>
        <w:sectPr>
          <w:pgSz w:w="11900" w:h="16890" w:orient="portrait"/>
          <w:cols w:equalWidth="0" w:num="1">
            <w:col w:w="10159"/>
          </w:cols>
          <w:pgMar w:left="30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300" w:type="dxa"/>
            <w:vAlign w:val="bottom"/>
          </w:tcPr>
          <w:p>
            <w:pPr>
              <w:ind w:left="1000"/>
              <w:spacing w:after="0"/>
              <w:rPr>
                <w:sz w:val="20"/>
                <w:szCs w:val="20"/>
                <w:color w:val="auto"/>
              </w:rPr>
            </w:pPr>
            <w:r>
              <w:rPr>
                <w:rFonts w:ascii="Arial" w:cs="Arial" w:eastAsia="Arial" w:hAnsi="Arial"/>
                <w:sz w:val="22"/>
                <w:szCs w:val="22"/>
                <w:color w:val="auto"/>
              </w:rPr>
              <w:t>(h)</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w w:val="97"/>
              </w:rPr>
              <w:t>A savings associations as defined in Section 3(b) of the Federal Deposit</w:t>
            </w:r>
          </w:p>
        </w:tc>
      </w:tr>
      <w:tr>
        <w:trPr>
          <w:trHeight w:val="275"/>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100" w:type="dxa"/>
            <w:vAlign w:val="bottom"/>
          </w:tcPr>
          <w:p>
            <w:pPr>
              <w:ind w:left="220"/>
              <w:spacing w:after="0"/>
              <w:rPr>
                <w:sz w:val="20"/>
                <w:szCs w:val="20"/>
                <w:color w:val="auto"/>
              </w:rPr>
            </w:pPr>
            <w:r>
              <w:rPr>
                <w:rFonts w:ascii="Arial" w:cs="Arial" w:eastAsia="Arial" w:hAnsi="Arial"/>
                <w:sz w:val="22"/>
                <w:szCs w:val="22"/>
                <w:color w:val="auto"/>
              </w:rPr>
              <w:t>Insurance Act (12 U.S.C. 1813);</w:t>
            </w:r>
          </w:p>
        </w:tc>
      </w:tr>
      <w:tr>
        <w:trPr>
          <w:trHeight w:val="320"/>
        </w:trPr>
        <w:tc>
          <w:tcPr>
            <w:tcW w:w="1300" w:type="dxa"/>
            <w:vAlign w:val="bottom"/>
          </w:tcPr>
          <w:p>
            <w:pPr>
              <w:ind w:left="1000"/>
              <w:spacing w:after="0"/>
              <w:rPr>
                <w:sz w:val="20"/>
                <w:szCs w:val="20"/>
                <w:color w:val="auto"/>
              </w:rPr>
            </w:pPr>
            <w:r>
              <w:rPr>
                <w:rFonts w:ascii="Arial" w:cs="Arial" w:eastAsia="Arial" w:hAnsi="Arial"/>
                <w:sz w:val="22"/>
                <w:szCs w:val="22"/>
                <w:color w:val="auto"/>
              </w:rPr>
              <w:t>(i)</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w w:val="93"/>
              </w:rPr>
              <w:t>A church plan that is excluded from the definition of an investment company</w:t>
            </w:r>
          </w:p>
        </w:tc>
      </w:tr>
      <w:tr>
        <w:trPr>
          <w:trHeight w:val="243"/>
        </w:trPr>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100" w:type="dxa"/>
            <w:vAlign w:val="bottom"/>
          </w:tcPr>
          <w:p>
            <w:pPr>
              <w:ind w:left="220"/>
              <w:spacing w:after="0" w:line="243" w:lineRule="exact"/>
              <w:rPr>
                <w:sz w:val="20"/>
                <w:szCs w:val="20"/>
                <w:color w:val="auto"/>
              </w:rPr>
            </w:pPr>
            <w:r>
              <w:rPr>
                <w:rFonts w:ascii="Arial" w:cs="Arial" w:eastAsia="Arial" w:hAnsi="Arial"/>
                <w:sz w:val="22"/>
                <w:szCs w:val="22"/>
                <w:color w:val="auto"/>
                <w:w w:val="89"/>
              </w:rPr>
              <w:t>under section 3(c)(14) of the Investment Company Act of 1940 (15 U.S.C. 80a-</w:t>
            </w:r>
          </w:p>
        </w:tc>
      </w:tr>
      <w:tr>
        <w:trPr>
          <w:trHeight w:val="275"/>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100" w:type="dxa"/>
            <w:vAlign w:val="bottom"/>
          </w:tcPr>
          <w:p>
            <w:pPr>
              <w:ind w:left="220"/>
              <w:spacing w:after="0"/>
              <w:rPr>
                <w:sz w:val="20"/>
                <w:szCs w:val="20"/>
                <w:color w:val="auto"/>
              </w:rPr>
            </w:pPr>
            <w:r>
              <w:rPr>
                <w:rFonts w:ascii="Arial" w:cs="Arial" w:eastAsia="Arial" w:hAnsi="Arial"/>
                <w:sz w:val="22"/>
                <w:szCs w:val="22"/>
                <w:color w:val="auto"/>
              </w:rPr>
              <w:t>3);</w:t>
            </w:r>
          </w:p>
        </w:tc>
      </w:tr>
      <w:tr>
        <w:trPr>
          <w:trHeight w:val="351"/>
        </w:trPr>
        <w:tc>
          <w:tcPr>
            <w:tcW w:w="1300" w:type="dxa"/>
            <w:vAlign w:val="bottom"/>
          </w:tcPr>
          <w:p>
            <w:pPr>
              <w:ind w:left="1000"/>
              <w:spacing w:after="0"/>
              <w:rPr>
                <w:sz w:val="20"/>
                <w:szCs w:val="20"/>
                <w:color w:val="auto"/>
              </w:rPr>
            </w:pPr>
            <w:r>
              <w:rPr>
                <w:rFonts w:ascii="Arial" w:cs="Arial" w:eastAsia="Arial" w:hAnsi="Arial"/>
                <w:sz w:val="22"/>
                <w:szCs w:val="22"/>
                <w:color w:val="auto"/>
              </w:rPr>
              <w:t>(j)</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rPr>
              <w:t>Group, in accordance with 240.13d-1(b)(1)(ii)(J).</w:t>
            </w:r>
          </w:p>
        </w:tc>
      </w:tr>
      <w:tr>
        <w:trPr>
          <w:trHeight w:val="702"/>
        </w:trPr>
        <w:tc>
          <w:tcPr>
            <w:tcW w:w="130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7520" w:type="dxa"/>
            <w:vAlign w:val="bottom"/>
            <w:gridSpan w:val="2"/>
          </w:tcPr>
          <w:p>
            <w:pPr>
              <w:ind w:left="60"/>
              <w:spacing w:after="0"/>
              <w:rPr>
                <w:sz w:val="20"/>
                <w:szCs w:val="20"/>
                <w:color w:val="auto"/>
              </w:rPr>
            </w:pPr>
            <w:r>
              <w:rPr>
                <w:rFonts w:ascii="Arial" w:cs="Arial" w:eastAsia="Arial" w:hAnsi="Arial"/>
                <w:sz w:val="22"/>
                <w:szCs w:val="22"/>
                <w:b w:val="1"/>
                <w:bCs w:val="1"/>
                <w:color w:val="auto"/>
              </w:rPr>
              <w:t>Ownership.</w:t>
            </w:r>
          </w:p>
        </w:tc>
      </w:tr>
    </w:tbl>
    <w:p>
      <w:pPr>
        <w:spacing w:after="0" w:line="77"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hanging="359"/>
        <w:spacing w:after="0"/>
        <w:tabs>
          <w:tab w:leader="none" w:pos="13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1,932,348</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5.48%</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1,879,965</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1,211,308</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1,040</w:t>
      </w:r>
    </w:p>
    <w:p>
      <w:pPr>
        <w:spacing w:after="0" w:line="200" w:lineRule="exact"/>
        <w:rPr>
          <w:sz w:val="20"/>
          <w:szCs w:val="20"/>
          <w:color w:val="auto"/>
        </w:rPr>
      </w:pPr>
    </w:p>
    <w:p>
      <w:pPr>
        <w:spacing w:after="0" w:line="243"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89"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189"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1640" w:right="1879"/>
        <w:spacing w:after="0" w:line="27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right="139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January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15875</wp:posOffset>
            </wp:positionV>
            <wp:extent cx="2958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Date</w:t>
      </w:r>
    </w:p>
    <w:p>
      <w:pPr>
        <w:spacing w:after="0" w:line="9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15875</wp:posOffset>
            </wp:positionV>
            <wp:extent cx="2958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Signature</w:t>
      </w:r>
    </w:p>
    <w:p>
      <w:pPr>
        <w:spacing w:after="0" w:line="98" w:lineRule="exact"/>
        <w:rPr>
          <w:sz w:val="20"/>
          <w:szCs w:val="20"/>
          <w:color w:val="auto"/>
        </w:rPr>
      </w:pPr>
    </w:p>
    <w:p>
      <w:pPr>
        <w:jc w:val="center"/>
        <w:ind w:left="1960"/>
        <w:spacing w:after="0"/>
        <w:rPr>
          <w:sz w:val="20"/>
          <w:szCs w:val="20"/>
          <w:color w:val="auto"/>
        </w:rPr>
      </w:pPr>
      <w:r>
        <w:rPr>
          <w:rFonts w:ascii="Arial" w:cs="Arial" w:eastAsia="Arial" w:hAnsi="Arial"/>
          <w:sz w:val="19"/>
          <w:szCs w:val="19"/>
          <w:color w:val="auto"/>
        </w:rPr>
        <w:t>Mark B. Kraske, VP Trust Operations Management</w:t>
      </w:r>
    </w:p>
    <w:p>
      <w:pPr>
        <w:spacing w:after="0" w:line="43"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4445</wp:posOffset>
            </wp:positionV>
            <wp:extent cx="2958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Name/Title</w:t>
      </w:r>
    </w:p>
    <w:p>
      <w:pPr>
        <w:sectPr>
          <w:pgSz w:w="11900" w:h="16838" w:orient="portrait"/>
          <w:cols w:equalWidth="0" w:num="1">
            <w:col w:w="10159"/>
          </w:cols>
          <w:pgMar w:left="300" w:top="189" w:right="1440" w:bottom="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22"/>
          <w:szCs w:val="22"/>
          <w:b w:val="1"/>
          <w:bCs w:val="1"/>
          <w:color w:val="auto"/>
        </w:rPr>
        <w:t>Exhibit A</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left="20"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left="20"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Capital Management Incorporated (1)</w:t>
      </w:r>
    </w:p>
    <w:p>
      <w:pPr>
        <w:ind w:left="20"/>
        <w:spacing w:after="0" w:line="238" w:lineRule="auto"/>
        <w:rPr>
          <w:sz w:val="20"/>
          <w:szCs w:val="20"/>
          <w:color w:val="auto"/>
        </w:rPr>
      </w:pPr>
      <w:r>
        <w:rPr>
          <w:rFonts w:ascii="Arial" w:cs="Arial" w:eastAsia="Arial" w:hAnsi="Arial"/>
          <w:sz w:val="22"/>
          <w:szCs w:val="22"/>
          <w:color w:val="auto"/>
        </w:rPr>
        <w:t>Wells Fargo Funds Management, LLC (1)</w:t>
      </w:r>
    </w:p>
    <w:p>
      <w:pPr>
        <w:ind w:left="20"/>
        <w:spacing w:after="0"/>
        <w:rPr>
          <w:sz w:val="20"/>
          <w:szCs w:val="20"/>
          <w:color w:val="auto"/>
        </w:rPr>
      </w:pPr>
      <w:r>
        <w:rPr>
          <w:rFonts w:ascii="Arial" w:cs="Arial" w:eastAsia="Arial" w:hAnsi="Arial"/>
          <w:sz w:val="22"/>
          <w:szCs w:val="22"/>
          <w:color w:val="auto"/>
        </w:rPr>
        <w:t>Wells Fargo Bank, National Association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298"/>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registered investment advisor in accordance with Regulation</w:t>
      </w:r>
    </w:p>
    <w:p>
      <w:pPr>
        <w:spacing w:after="0" w:line="8" w:lineRule="exact"/>
        <w:rPr>
          <w:rFonts w:ascii="Arial" w:cs="Arial" w:eastAsia="Arial" w:hAnsi="Arial"/>
          <w:sz w:val="22"/>
          <w:szCs w:val="22"/>
          <w:color w:val="auto"/>
        </w:rPr>
      </w:pPr>
    </w:p>
    <w:p>
      <w:pPr>
        <w:ind w:left="20"/>
        <w:spacing w:after="0" w:line="230" w:lineRule="auto"/>
        <w:rPr>
          <w:rFonts w:ascii="Arial" w:cs="Arial" w:eastAsia="Arial" w:hAnsi="Arial"/>
          <w:sz w:val="22"/>
          <w:szCs w:val="22"/>
          <w:color w:val="auto"/>
        </w:rPr>
      </w:pPr>
      <w:r>
        <w:rPr>
          <w:rFonts w:ascii="Arial" w:cs="Arial" w:eastAsia="Arial" w:hAnsi="Arial"/>
          <w:sz w:val="22"/>
          <w:szCs w:val="22"/>
          <w:color w:val="auto"/>
        </w:rPr>
        <w:t>13d-1(b)(1)(ii)(E).</w:t>
      </w:r>
    </w:p>
    <w:p>
      <w:pPr>
        <w:ind w:left="320" w:hanging="298"/>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80" w:right="1379" w:hanging="1079"/>
        <w:spacing w:after="0" w:line="256" w:lineRule="auto"/>
        <w:tabs>
          <w:tab w:leader="none" w:pos="106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274" w:lineRule="exact"/>
        <w:rPr>
          <w:sz w:val="20"/>
          <w:szCs w:val="20"/>
          <w:color w:val="auto"/>
        </w:rPr>
      </w:pPr>
    </w:p>
    <w:p>
      <w:pPr>
        <w:jc w:val="right"/>
        <w:ind w:right="1279"/>
        <w:spacing w:after="0"/>
        <w:rPr>
          <w:sz w:val="20"/>
          <w:szCs w:val="20"/>
          <w:color w:val="auto"/>
        </w:rPr>
      </w:pPr>
      <w:r>
        <w:rPr>
          <w:rFonts w:ascii="Arial" w:cs="Arial" w:eastAsia="Arial" w:hAnsi="Arial"/>
          <w:sz w:val="14"/>
          <w:szCs w:val="14"/>
          <w:color w:val="auto"/>
        </w:rPr>
        <w:t>Advisor Consultant Network, Inc. Copyright © 2006</w:t>
      </w:r>
    </w:p>
    <w:sectPr>
      <w:pgSz w:w="11900" w:h="16838" w:orient="portrait"/>
      <w:cols w:equalWidth="0" w:num="1">
        <w:col w:w="10179"/>
      </w:cols>
      <w:pgMar w:left="28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2019-12-20T13:40:09Z</dcterms:created>
  <dcterms:modified xsi:type="dcterms:W3CDTF">2019-12-20T13:40:09Z</dcterms:modified>
</cp:coreProperties>
</file>