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Red Mountain Capital Partners LLC</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Attn: Willem Mesdag</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10100 Santa Monica Boulevard, Suite 925</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(310) 432-0200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15, 2013</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ind w:right="2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4"/>
          <w:szCs w:val="24"/>
          <w:color w:val="auto"/>
        </w:rPr>
      </w:pPr>
    </w:p>
    <w:p>
      <w:pPr>
        <w:ind w:left="460" w:right="80" w:hanging="452"/>
        <w:spacing w:after="0" w:line="27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0" w:lineRule="exact"/>
        <w:rPr>
          <w:sz w:val="24"/>
          <w:szCs w:val="24"/>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1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6"/>
              </w:rPr>
              <w:t>CUSIP No. 25065K104</w:t>
            </w:r>
          </w:p>
        </w:tc>
        <w:tc>
          <w:tcPr>
            <w:tcW w:w="1960" w:type="dxa"/>
            <w:vAlign w:val="bottom"/>
          </w:tcPr>
          <w:p>
            <w:pPr>
              <w:spacing w:after="0"/>
              <w:rPr>
                <w:sz w:val="19"/>
                <w:szCs w:val="19"/>
                <w:color w:val="auto"/>
              </w:rPr>
            </w:pPr>
          </w:p>
        </w:tc>
        <w:tc>
          <w:tcPr>
            <w:tcW w:w="576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SCHEDULE 13D/A</w:t>
            </w:r>
          </w:p>
        </w:tc>
        <w:tc>
          <w:tcPr>
            <w:tcW w:w="2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4"/>
              </w:rPr>
              <w:t>PAGE 2 OF 12 PAGES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gridSpan w:val="5"/>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3000" w:type="dxa"/>
            <w:vAlign w:val="bottom"/>
            <w:gridSpan w:val="5"/>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 OF REPORTING PERSONS</w:t>
            </w:r>
          </w:p>
        </w:tc>
        <w:tc>
          <w:tcPr>
            <w:tcW w:w="576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Red Mountain Capital Partners LLC</w:t>
            </w:r>
          </w:p>
        </w:tc>
        <w:tc>
          <w:tcPr>
            <w:tcW w:w="5760" w:type="dxa"/>
            <w:vAlign w:val="bottom"/>
            <w:tcBorders>
              <w:bottom w:val="single" w:sz="8" w:color="auto"/>
            </w:tcBorders>
          </w:tcPr>
          <w:p>
            <w:pPr>
              <w:jc w:val="right"/>
              <w:ind w:right="4772"/>
              <w:spacing w:after="0"/>
              <w:rPr>
                <w:sz w:val="20"/>
                <w:szCs w:val="20"/>
                <w:color w:val="auto"/>
              </w:rPr>
            </w:pPr>
            <w:r>
              <w:rPr>
                <w:rFonts w:ascii="Times New Roman" w:cs="Times New Roman" w:eastAsia="Times New Roman" w:hAnsi="Times New Roman"/>
                <w:sz w:val="18"/>
                <w:szCs w:val="18"/>
                <w:color w:val="auto"/>
              </w:rPr>
              <w:t>73-1726370</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5760" w:type="dxa"/>
            <w:vAlign w:val="bottom"/>
            <w:tcBorders>
              <w:bottom w:val="single" w:sz="8" w:color="auto"/>
            </w:tcBorders>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7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000" w:type="dxa"/>
            <w:vAlign w:val="bottom"/>
            <w:tcBorders>
              <w:bottom w:val="single" w:sz="8" w:color="auto"/>
            </w:tcBorders>
            <w:gridSpan w:val="5"/>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57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AF (See Item 3)</w:t>
            </w: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Delaware</w:t>
            </w: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57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right w:val="single" w:sz="8" w:color="auto"/>
            </w:tcBorders>
            <w:gridSpan w:val="3"/>
            <w:vMerge w:val="restart"/>
          </w:tcPr>
          <w:p>
            <w:pPr>
              <w:jc w:val="center"/>
              <w:ind w:right="152"/>
              <w:spacing w:after="0" w:line="20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57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7720" w:type="dxa"/>
            <w:vAlign w:val="bottom"/>
            <w:gridSpan w:val="2"/>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576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gridSpan w:val="2"/>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Borders>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vMerge w:val="continue"/>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7720" w:type="dxa"/>
            <w:vAlign w:val="bottom"/>
            <w:tcBorders>
              <w:bottom w:val="single" w:sz="8" w:color="auto"/>
            </w:tcBorders>
            <w:gridSpan w:val="2"/>
            <w:vMerge w:val="continue"/>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81"/>
              </w:rPr>
              <w:t>AGGREGATE</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7.3% (See Item 5)</w:t>
            </w: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right w:val="single" w:sz="8" w:color="auto"/>
            </w:tcBorders>
          </w:tcPr>
          <w:p>
            <w:pPr>
              <w:spacing w:after="0"/>
              <w:rPr>
                <w:sz w:val="19"/>
                <w:szCs w:val="19"/>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7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OO – Limited Liability Company</w:t>
            </w:r>
          </w:p>
        </w:tc>
        <w:tc>
          <w:tcPr>
            <w:tcW w:w="57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6"/>
              </w:rPr>
              <w:t>CUSIP No. 25065K104</w:t>
            </w:r>
          </w:p>
        </w:tc>
        <w:tc>
          <w:tcPr>
            <w:tcW w:w="1420" w:type="dxa"/>
            <w:vAlign w:val="bottom"/>
          </w:tcPr>
          <w:p>
            <w:pPr>
              <w:spacing w:after="0"/>
              <w:rPr>
                <w:sz w:val="19"/>
                <w:szCs w:val="19"/>
                <w:color w:val="auto"/>
              </w:rPr>
            </w:pPr>
          </w:p>
        </w:tc>
        <w:tc>
          <w:tcPr>
            <w:tcW w:w="630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SCHEDULE 13D/A</w:t>
            </w:r>
          </w:p>
        </w:tc>
        <w:tc>
          <w:tcPr>
            <w:tcW w:w="2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4"/>
              </w:rPr>
              <w:t>PAGE 3 OF 12 PAGES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760" w:type="dxa"/>
            <w:vAlign w:val="bottom"/>
            <w:tcBorders>
              <w:bottom w:val="single" w:sz="8" w:color="auto"/>
            </w:tcBorders>
            <w:gridSpan w:val="6"/>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8760" w:type="dxa"/>
            <w:vAlign w:val="bottom"/>
            <w:gridSpan w:val="6"/>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 OF REPORTING PERSONS</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Red Mountain Partners, L.P.</w:t>
            </w:r>
          </w:p>
        </w:tc>
        <w:tc>
          <w:tcPr>
            <w:tcW w:w="6300" w:type="dxa"/>
            <w:vAlign w:val="bottom"/>
            <w:tcBorders>
              <w:bottom w:val="single" w:sz="8" w:color="auto"/>
            </w:tcBorders>
          </w:tcPr>
          <w:p>
            <w:pPr>
              <w:jc w:val="right"/>
              <w:ind w:right="5352"/>
              <w:spacing w:after="0"/>
              <w:rPr>
                <w:sz w:val="20"/>
                <w:szCs w:val="20"/>
                <w:color w:val="auto"/>
              </w:rPr>
            </w:pPr>
            <w:r>
              <w:rPr>
                <w:rFonts w:ascii="Times New Roman" w:cs="Times New Roman" w:eastAsia="Times New Roman" w:hAnsi="Times New Roman"/>
                <w:sz w:val="18"/>
                <w:szCs w:val="18"/>
                <w:color w:val="auto"/>
                <w:w w:val="96"/>
              </w:rPr>
              <w:t>20-4117349</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6300" w:type="dxa"/>
            <w:vAlign w:val="bottom"/>
            <w:tcBorders>
              <w:bottom w:val="single" w:sz="8" w:color="auto"/>
            </w:tcBorders>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3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tcBorders>
            <w:gridSpan w:val="5"/>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3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WC (See Item 3)</w:t>
            </w: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Delaware</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right w:val="single" w:sz="8" w:color="auto"/>
            </w:tcBorders>
            <w:gridSpan w:val="3"/>
            <w:vMerge w:val="restart"/>
          </w:tcPr>
          <w:p>
            <w:pPr>
              <w:jc w:val="center"/>
              <w:ind w:right="152"/>
              <w:spacing w:after="0" w:line="20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30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7720" w:type="dxa"/>
            <w:vAlign w:val="bottom"/>
            <w:gridSpan w:val="2"/>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None (See Item 5)</w:t>
            </w:r>
          </w:p>
        </w:tc>
        <w:tc>
          <w:tcPr>
            <w:tcW w:w="63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gridSpan w:val="2"/>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Borders>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7720" w:type="dxa"/>
            <w:vAlign w:val="bottom"/>
            <w:tcBorders>
              <w:bottom w:val="single" w:sz="8" w:color="auto"/>
            </w:tcBorders>
            <w:gridSpan w:val="2"/>
            <w:vMerge w:val="continue"/>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None (See Item 5)</w:t>
            </w: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81"/>
              </w:rPr>
              <w:t>AGGREGATE</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7.3% (See Item 5)</w:t>
            </w: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PN – Limited Partnership</w:t>
            </w:r>
          </w:p>
        </w:tc>
        <w:tc>
          <w:tcPr>
            <w:tcW w:w="63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6"/>
              </w:rPr>
              <w:t>CUSIP No. 25065K104</w:t>
            </w:r>
          </w:p>
        </w:tc>
        <w:tc>
          <w:tcPr>
            <w:tcW w:w="460" w:type="dxa"/>
            <w:vAlign w:val="bottom"/>
          </w:tcPr>
          <w:p>
            <w:pPr>
              <w:spacing w:after="0"/>
              <w:rPr>
                <w:sz w:val="19"/>
                <w:szCs w:val="19"/>
                <w:color w:val="auto"/>
              </w:rPr>
            </w:pPr>
          </w:p>
        </w:tc>
        <w:tc>
          <w:tcPr>
            <w:tcW w:w="726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SCHEDULE 13D/A</w:t>
            </w:r>
          </w:p>
        </w:tc>
        <w:tc>
          <w:tcPr>
            <w:tcW w:w="2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4"/>
              </w:rPr>
              <w:t>PAGE 4 OF 12 PAGES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760" w:type="dxa"/>
            <w:vAlign w:val="bottom"/>
            <w:tcBorders>
              <w:bottom w:val="single" w:sz="8" w:color="auto"/>
            </w:tcBorders>
            <w:gridSpan w:val="6"/>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8760" w:type="dxa"/>
            <w:vAlign w:val="bottom"/>
            <w:gridSpan w:val="6"/>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 OF REPORTING PERSONS</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RMCP GP LLC</w:t>
            </w:r>
          </w:p>
        </w:tc>
        <w:tc>
          <w:tcPr>
            <w:tcW w:w="7260" w:type="dxa"/>
            <w:vAlign w:val="bottom"/>
            <w:tcBorders>
              <w:bottom w:val="single" w:sz="8" w:color="auto"/>
            </w:tcBorders>
          </w:tcPr>
          <w:p>
            <w:pPr>
              <w:jc w:val="right"/>
              <w:ind w:right="6192"/>
              <w:spacing w:after="0"/>
              <w:rPr>
                <w:sz w:val="20"/>
                <w:szCs w:val="20"/>
                <w:color w:val="auto"/>
              </w:rPr>
            </w:pPr>
            <w:r>
              <w:rPr>
                <w:rFonts w:ascii="Times New Roman" w:cs="Times New Roman" w:eastAsia="Times New Roman" w:hAnsi="Times New Roman"/>
                <w:sz w:val="18"/>
                <w:szCs w:val="18"/>
                <w:color w:val="auto"/>
              </w:rPr>
              <w:t>20-4442412</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260" w:type="dxa"/>
            <w:vAlign w:val="bottom"/>
            <w:tcBorders>
              <w:bottom w:val="single" w:sz="8" w:color="auto"/>
            </w:tcBorders>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26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8760" w:type="dxa"/>
            <w:vAlign w:val="bottom"/>
            <w:tcBorders>
              <w:bottom w:val="single" w:sz="8" w:color="auto"/>
            </w:tcBorders>
            <w:gridSpan w:val="6"/>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AF (See Item 3)</w:t>
            </w:r>
          </w:p>
        </w:tc>
        <w:tc>
          <w:tcPr>
            <w:tcW w:w="72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Delaware</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right w:val="single" w:sz="8" w:color="auto"/>
            </w:tcBorders>
            <w:gridSpan w:val="3"/>
            <w:vMerge w:val="restart"/>
          </w:tcPr>
          <w:p>
            <w:pPr>
              <w:jc w:val="center"/>
              <w:ind w:right="152"/>
              <w:spacing w:after="0" w:line="20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7720" w:type="dxa"/>
            <w:vAlign w:val="bottom"/>
            <w:gridSpan w:val="2"/>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gridSpan w:val="2"/>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Borders>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7720" w:type="dxa"/>
            <w:vAlign w:val="bottom"/>
            <w:tcBorders>
              <w:bottom w:val="single" w:sz="8" w:color="auto"/>
            </w:tcBorders>
            <w:gridSpan w:val="2"/>
            <w:vMerge w:val="continue"/>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26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7720" w:type="dxa"/>
            <w:vAlign w:val="bottom"/>
            <w:tcBorders>
              <w:bottom w:val="single" w:sz="8" w:color="auto"/>
            </w:tcBorders>
            <w:gridSpan w:val="2"/>
            <w:vMerge w:val="continue"/>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81"/>
              </w:rPr>
              <w:t>AGGREGATE</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7.3% (See Item 5)</w:t>
            </w:r>
          </w:p>
        </w:tc>
        <w:tc>
          <w:tcPr>
            <w:tcW w:w="72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OO – Limited Liability Company</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6"/>
              </w:rPr>
              <w:t>CUSIP No. 25065K104</w:t>
            </w:r>
          </w:p>
        </w:tc>
        <w:tc>
          <w:tcPr>
            <w:tcW w:w="2320" w:type="dxa"/>
            <w:vAlign w:val="bottom"/>
          </w:tcPr>
          <w:p>
            <w:pPr>
              <w:spacing w:after="0"/>
              <w:rPr>
                <w:sz w:val="19"/>
                <w:szCs w:val="19"/>
                <w:color w:val="auto"/>
              </w:rPr>
            </w:pPr>
          </w:p>
        </w:tc>
        <w:tc>
          <w:tcPr>
            <w:tcW w:w="540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SCHEDULE 13D/A</w:t>
            </w:r>
          </w:p>
        </w:tc>
        <w:tc>
          <w:tcPr>
            <w:tcW w:w="2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4"/>
              </w:rPr>
              <w:t>PAGE 5 OF 12 PAGES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gridSpan w:val="5"/>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3360" w:type="dxa"/>
            <w:vAlign w:val="bottom"/>
            <w:gridSpan w:val="5"/>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 OF REPORTING PERSONS</w:t>
            </w:r>
          </w:p>
        </w:tc>
        <w:tc>
          <w:tcPr>
            <w:tcW w:w="540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Red Mountain Capital Management, Inc.</w:t>
            </w:r>
          </w:p>
        </w:tc>
        <w:tc>
          <w:tcPr>
            <w:tcW w:w="5400" w:type="dxa"/>
            <w:vAlign w:val="bottom"/>
            <w:tcBorders>
              <w:bottom w:val="single" w:sz="8" w:color="auto"/>
            </w:tcBorders>
          </w:tcPr>
          <w:p>
            <w:pPr>
              <w:jc w:val="right"/>
              <w:ind w:right="4452"/>
              <w:spacing w:after="0"/>
              <w:rPr>
                <w:sz w:val="20"/>
                <w:szCs w:val="20"/>
                <w:color w:val="auto"/>
              </w:rPr>
            </w:pPr>
            <w:r>
              <w:rPr>
                <w:rFonts w:ascii="Times New Roman" w:cs="Times New Roman" w:eastAsia="Times New Roman" w:hAnsi="Times New Roman"/>
                <w:sz w:val="18"/>
                <w:szCs w:val="18"/>
                <w:color w:val="auto"/>
                <w:w w:val="96"/>
              </w:rPr>
              <w:t>13-4057186</w:t>
            </w: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5400" w:type="dxa"/>
            <w:vAlign w:val="bottom"/>
            <w:tcBorders>
              <w:bottom w:val="single" w:sz="8" w:color="auto"/>
            </w:tcBorders>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3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4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360" w:type="dxa"/>
            <w:vAlign w:val="bottom"/>
            <w:tcBorders>
              <w:bottom w:val="single" w:sz="8" w:color="auto"/>
            </w:tcBorders>
            <w:gridSpan w:val="5"/>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3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54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AF (See Item 3)</w:t>
            </w: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5"/>
              </w:rPr>
              <w:t>Delaware</w:t>
            </w: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54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540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right w:val="single" w:sz="8" w:color="auto"/>
            </w:tcBorders>
            <w:gridSpan w:val="3"/>
            <w:vMerge w:val="restart"/>
          </w:tcPr>
          <w:p>
            <w:pPr>
              <w:jc w:val="center"/>
              <w:ind w:right="152"/>
              <w:spacing w:after="0" w:line="20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540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54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gridSpan w:val="2"/>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Borders>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vMerge w:val="continue"/>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7"/>
              </w:rPr>
              <w:t>SOLE DISPOSITIVE POWER</w:t>
            </w:r>
          </w:p>
        </w:tc>
        <w:tc>
          <w:tcPr>
            <w:tcW w:w="540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5400" w:type="dxa"/>
            <w:vAlign w:val="bottom"/>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3"/>
          </w:tcPr>
          <w:p>
            <w:pPr>
              <w:jc w:val="center"/>
              <w:ind w:right="152"/>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540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vMerge w:val="continue"/>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7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right w:val="single" w:sz="8" w:color="auto"/>
            </w:tcBorders>
            <w:vMerge w:val="continue"/>
          </w:tcPr>
          <w:p>
            <w:pPr>
              <w:spacing w:after="0"/>
              <w:rPr>
                <w:sz w:val="10"/>
                <w:szCs w:val="10"/>
                <w:color w:val="auto"/>
              </w:rPr>
            </w:pPr>
          </w:p>
        </w:tc>
        <w:tc>
          <w:tcPr>
            <w:tcW w:w="7720" w:type="dxa"/>
            <w:vAlign w:val="bottom"/>
            <w:gridSpan w:val="2"/>
            <w:vMerge w:val="continue"/>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None (See Item 5)</w:t>
            </w: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81"/>
              </w:rPr>
              <w:t>AGGREGATE</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right w:val="single" w:sz="8" w:color="auto"/>
            </w:tcBorders>
          </w:tcPr>
          <w:p>
            <w:pPr>
              <w:spacing w:after="0"/>
              <w:rPr>
                <w:sz w:val="19"/>
                <w:szCs w:val="19"/>
                <w:color w:val="auto"/>
              </w:rPr>
            </w:pPr>
          </w:p>
        </w:tc>
        <w:tc>
          <w:tcPr>
            <w:tcW w:w="8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7.3% (See Item 5)</w:t>
            </w: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right w:val="single" w:sz="8" w:color="auto"/>
            </w:tcBorders>
          </w:tcPr>
          <w:p>
            <w:pPr>
              <w:spacing w:after="0"/>
              <w:rPr>
                <w:sz w:val="19"/>
                <w:szCs w:val="19"/>
                <w:color w:val="auto"/>
              </w:rPr>
            </w:pPr>
          </w:p>
        </w:tc>
        <w:tc>
          <w:tcPr>
            <w:tcW w:w="3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4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CO – Corporation</w:t>
            </w:r>
          </w:p>
        </w:tc>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04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6 OF 12 PAGES</w:t>
      </w:r>
    </w:p>
    <w:p>
      <w:pPr>
        <w:spacing w:after="0" w:line="104" w:lineRule="exact"/>
        <w:rPr>
          <w:sz w:val="20"/>
          <w:szCs w:val="20"/>
          <w:color w:val="auto"/>
        </w:rPr>
      </w:pPr>
    </w:p>
    <w:p>
      <w:pPr>
        <w:ind w:left="740" w:hanging="52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1"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54875" cy="6028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6028690"/>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Willem Mesdag</w:t>
      </w:r>
    </w:p>
    <w:p>
      <w:pPr>
        <w:spacing w:after="0" w:line="36" w:lineRule="exact"/>
        <w:rPr>
          <w:sz w:val="20"/>
          <w:szCs w:val="20"/>
          <w:color w:val="auto"/>
        </w:rPr>
      </w:pPr>
    </w:p>
    <w:p>
      <w:pPr>
        <w:ind w:left="740" w:hanging="523"/>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5" w:lineRule="exact"/>
        <w:rPr>
          <w:rFonts w:ascii="Times New Roman" w:cs="Times New Roman" w:eastAsia="Times New Roman" w:hAnsi="Times New Roman"/>
          <w:sz w:val="18"/>
          <w:szCs w:val="18"/>
          <w:color w:val="auto"/>
        </w:rPr>
      </w:pPr>
    </w:p>
    <w:p>
      <w:pPr>
        <w:ind w:left="1020" w:hanging="283"/>
        <w:spacing w:after="0" w:line="207" w:lineRule="exact"/>
        <w:tabs>
          <w:tab w:leader="none" w:pos="10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5" w:lineRule="exact"/>
        <w:rPr>
          <w:rFonts w:ascii="Times New Roman" w:cs="Times New Roman" w:eastAsia="Times New Roman" w:hAnsi="Times New Roman"/>
          <w:sz w:val="18"/>
          <w:szCs w:val="18"/>
          <w:color w:val="auto"/>
        </w:rPr>
      </w:pPr>
    </w:p>
    <w:p>
      <w:pPr>
        <w:ind w:left="1020" w:hanging="283"/>
        <w:spacing w:after="0" w:line="207" w:lineRule="exact"/>
        <w:tabs>
          <w:tab w:leader="none" w:pos="10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sz w:val="20"/>
          <w:szCs w:val="20"/>
          <w:color w:val="auto"/>
        </w:rPr>
      </w:pPr>
    </w:p>
    <w:p>
      <w:pPr>
        <w:ind w:left="740" w:hanging="523"/>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3" w:lineRule="exact"/>
        <w:rPr>
          <w:sz w:val="20"/>
          <w:szCs w:val="20"/>
          <w:color w:val="auto"/>
        </w:rPr>
      </w:pPr>
    </w:p>
    <w:p>
      <w:pPr>
        <w:ind w:left="740" w:hanging="523"/>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AF (See Item 3)</w:t>
      </w:r>
    </w:p>
    <w:p>
      <w:pPr>
        <w:spacing w:after="0" w:line="36" w:lineRule="exact"/>
        <w:rPr>
          <w:sz w:val="20"/>
          <w:szCs w:val="20"/>
          <w:color w:val="auto"/>
        </w:rPr>
      </w:pPr>
    </w:p>
    <w:p>
      <w:pPr>
        <w:ind w:left="740" w:hanging="523"/>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185" w:lineRule="exact"/>
        <w:rPr>
          <w:sz w:val="20"/>
          <w:szCs w:val="20"/>
          <w:color w:val="auto"/>
        </w:rPr>
      </w:pPr>
    </w:p>
    <w:p>
      <w:pPr>
        <w:ind w:left="740"/>
        <w:spacing w:after="0" w:line="181" w:lineRule="exact"/>
        <w:rPr>
          <w:sz w:val="20"/>
          <w:szCs w:val="20"/>
          <w:color w:val="auto"/>
        </w:rPr>
      </w:pPr>
      <w:r>
        <w:rPr>
          <w:rFonts w:ascii="MS PGothic" w:cs="MS PGothic" w:eastAsia="MS PGothic" w:hAnsi="MS PGothic"/>
          <w:sz w:val="18"/>
          <w:szCs w:val="18"/>
          <w:color w:val="auto"/>
        </w:rPr>
        <w:t>☐</w:t>
      </w:r>
    </w:p>
    <w:p>
      <w:pPr>
        <w:spacing w:after="0" w:line="95" w:lineRule="exact"/>
        <w:rPr>
          <w:sz w:val="20"/>
          <w:szCs w:val="20"/>
          <w:color w:val="auto"/>
        </w:rPr>
      </w:pPr>
    </w:p>
    <w:p>
      <w:pPr>
        <w:ind w:left="740" w:hanging="523"/>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U.S. Citizen</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67"/>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NUMBER OF</w:t>
            </w:r>
          </w:p>
        </w:tc>
        <w:tc>
          <w:tcPr>
            <w:tcW w:w="300" w:type="dxa"/>
            <w:vAlign w:val="bottom"/>
          </w:tcPr>
          <w:p>
            <w:pPr>
              <w:spacing w:after="0"/>
              <w:rPr>
                <w:sz w:val="24"/>
                <w:szCs w:val="24"/>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0" w:type="dxa"/>
            <w:vAlign w:val="bottom"/>
          </w:tcPr>
          <w:p>
            <w:pPr>
              <w:spacing w:after="0"/>
              <w:rPr>
                <w:sz w:val="1"/>
                <w:szCs w:val="1"/>
                <w:color w:val="auto"/>
              </w:rPr>
            </w:pPr>
          </w:p>
        </w:tc>
      </w:tr>
      <w:tr>
        <w:trPr>
          <w:trHeight w:val="68"/>
        </w:trPr>
        <w:tc>
          <w:tcPr>
            <w:tcW w:w="122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vMerge w:val="continue"/>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30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89"/>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12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300" w:type="dxa"/>
            <w:vAlign w:val="bottom"/>
            <w:vMerge w:val="continue"/>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3,558,324 shares (See Item 5)</w:t>
            </w:r>
          </w:p>
        </w:tc>
        <w:tc>
          <w:tcPr>
            <w:tcW w:w="0" w:type="dxa"/>
            <w:vAlign w:val="bottom"/>
          </w:tcPr>
          <w:p>
            <w:pPr>
              <w:spacing w:after="0"/>
              <w:rPr>
                <w:sz w:val="1"/>
                <w:szCs w:val="1"/>
                <w:color w:val="auto"/>
              </w:rPr>
            </w:pPr>
          </w:p>
        </w:tc>
      </w:tr>
      <w:tr>
        <w:trPr>
          <w:trHeight w:val="102"/>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7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None (See Item 5)</w:t>
      </w:r>
    </w:p>
    <w:p>
      <w:pPr>
        <w:spacing w:after="0" w:line="36" w:lineRule="exact"/>
        <w:rPr>
          <w:sz w:val="20"/>
          <w:szCs w:val="20"/>
          <w:color w:val="auto"/>
        </w:rPr>
      </w:pPr>
    </w:p>
    <w:p>
      <w:pPr>
        <w:ind w:left="740" w:right="4300" w:hanging="610"/>
        <w:spacing w:after="0" w:line="383" w:lineRule="auto"/>
        <w:tabs>
          <w:tab w:leader="none" w:pos="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3,558,324 shares (See Item 5)</w:t>
      </w:r>
    </w:p>
    <w:p>
      <w:pPr>
        <w:spacing w:after="0" w:line="1" w:lineRule="exact"/>
        <w:rPr>
          <w:rFonts w:ascii="Times New Roman" w:cs="Times New Roman" w:eastAsia="Times New Roman" w:hAnsi="Times New Roman"/>
          <w:sz w:val="18"/>
          <w:szCs w:val="18"/>
          <w:color w:val="auto"/>
        </w:rPr>
      </w:pPr>
    </w:p>
    <w:p>
      <w:pPr>
        <w:ind w:left="740" w:hanging="610"/>
        <w:spacing w:after="0"/>
        <w:tabs>
          <w:tab w:leader="none" w:pos="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85"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4" w:lineRule="exact"/>
        <w:rPr>
          <w:rFonts w:ascii="Times New Roman" w:cs="Times New Roman" w:eastAsia="Times New Roman" w:hAnsi="Times New Roman"/>
          <w:sz w:val="18"/>
          <w:szCs w:val="18"/>
          <w:color w:val="auto"/>
        </w:rPr>
      </w:pPr>
    </w:p>
    <w:p>
      <w:pPr>
        <w:ind w:left="740" w:right="5700" w:hanging="610"/>
        <w:spacing w:after="0" w:line="380" w:lineRule="auto"/>
        <w:tabs>
          <w:tab w:leader="none" w:pos="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7.3% (See Item 5)</w:t>
      </w:r>
    </w:p>
    <w:p>
      <w:pPr>
        <w:ind w:left="740" w:right="8180" w:hanging="610"/>
        <w:spacing w:after="0" w:line="501" w:lineRule="auto"/>
        <w:tabs>
          <w:tab w:leader="none" w:pos="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 – Individual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 Instructions</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10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7 OF 12 PAGES</w:t>
      </w:r>
    </w:p>
    <w:p>
      <w:pPr>
        <w:spacing w:after="0" w:line="1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SECURITY AND ISSUER.</w:t>
      </w:r>
    </w:p>
    <w:p>
      <w:pPr>
        <w:spacing w:after="0" w:line="92" w:lineRule="exact"/>
        <w:rPr>
          <w:sz w:val="20"/>
          <w:szCs w:val="20"/>
          <w:color w:val="auto"/>
        </w:rPr>
      </w:pPr>
    </w:p>
    <w:p>
      <w:pPr>
        <w:ind w:left="460" w:right="420"/>
        <w:spacing w:after="0" w:line="275" w:lineRule="auto"/>
        <w:rPr>
          <w:sz w:val="20"/>
          <w:szCs w:val="20"/>
          <w:color w:val="auto"/>
        </w:rPr>
      </w:pPr>
      <w:r>
        <w:rPr>
          <w:rFonts w:ascii="Times New Roman" w:cs="Times New Roman" w:eastAsia="Times New Roman" w:hAnsi="Times New Roman"/>
          <w:sz w:val="18"/>
          <w:szCs w:val="18"/>
          <w:color w:val="auto"/>
        </w:rPr>
        <w:t>This statement on Schedule 13D (this “Schedule 13D”) relates to the common stock, par value $0.01 per share (“Common Stock”), of Destination XL Group, Inc., a Delaware corporation (“Destination XL”).</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of the principal executive offices of Destination XL is 555 Turnpike Street, Canton, MA, 02021.</w:t>
      </w:r>
    </w:p>
    <w:p>
      <w:pPr>
        <w:sectPr>
          <w:pgSz w:w="11900" w:h="16838" w:orient="portrait"/>
          <w:cols w:equalWidth="0" w:num="1">
            <w:col w:w="11420"/>
          </w:cols>
          <w:pgMar w:left="240" w:top="274" w:right="239" w:bottom="1440" w:gutter="0" w:footer="0" w:header="0"/>
        </w:sect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IDENTITY AND BACKGROUND.</w:t>
      </w:r>
    </w:p>
    <w:p>
      <w:pPr>
        <w:spacing w:after="0" w:line="113" w:lineRule="exact"/>
        <w:rPr>
          <w:sz w:val="20"/>
          <w:szCs w:val="20"/>
          <w:color w:val="auto"/>
        </w:rPr>
      </w:pPr>
    </w:p>
    <w:p>
      <w:pPr>
        <w:sectPr>
          <w:pgSz w:w="11900" w:h="16838" w:orient="portrait"/>
          <w:cols w:equalWidth="0" w:num="2">
            <w:col w:w="660" w:space="480"/>
            <w:col w:w="10280"/>
          </w:cols>
          <w:pgMar w:left="240" w:top="274" w:right="2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b w:val="1"/>
          <w:bCs w:val="1"/>
          <w:color w:val="auto"/>
        </w:rPr>
        <w:t>(a), (c), (f)</w:t>
      </w:r>
    </w:p>
    <w:p>
      <w:pPr>
        <w:spacing w:after="0" w:line="20" w:lineRule="exact"/>
        <w:rPr>
          <w:sz w:val="20"/>
          <w:szCs w:val="20"/>
          <w:color w:val="auto"/>
        </w:rPr>
      </w:pPr>
      <w:r>
        <w:rPr>
          <w:sz w:val="20"/>
          <w:szCs w:val="20"/>
          <w:color w:val="auto"/>
        </w:rPr>
        <w:br w:type="column"/>
      </w:r>
    </w:p>
    <w:p>
      <w:pPr>
        <w:ind w:right="220"/>
        <w:spacing w:after="0" w:line="255" w:lineRule="auto"/>
        <w:rPr>
          <w:sz w:val="20"/>
          <w:szCs w:val="20"/>
          <w:color w:val="auto"/>
        </w:rPr>
      </w:pPr>
      <w:r>
        <w:rPr>
          <w:rFonts w:ascii="Times New Roman" w:cs="Times New Roman" w:eastAsia="Times New Roman" w:hAnsi="Times New Roman"/>
          <w:sz w:val="18"/>
          <w:szCs w:val="18"/>
          <w:color w:val="auto"/>
        </w:rPr>
        <w:t>This Schedule 13D is being jointly filed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RMCP LLC, RMP and RMCP GP are sometimes collectively referred to herein as “Red Mountain.” Red Mountain, RMCM and Mr. Mesdag are sometimes collectively referred to herein as the “Reporting Persons.”</w:t>
      </w:r>
    </w:p>
    <w:p>
      <w:pPr>
        <w:spacing w:after="0" w:line="85" w:lineRule="exact"/>
        <w:rPr>
          <w:sz w:val="20"/>
          <w:szCs w:val="20"/>
          <w:color w:val="auto"/>
        </w:rPr>
      </w:pPr>
    </w:p>
    <w:p>
      <w:pPr>
        <w:sectPr>
          <w:pgSz w:w="11900" w:h="16838" w:orient="portrait"/>
          <w:cols w:equalWidth="0" w:num="2">
            <w:col w:w="980" w:space="720"/>
            <w:col w:w="9720"/>
          </w:cols>
          <w:pgMar w:left="240" w:top="274" w:right="239" w:bottom="1440" w:gutter="0" w:footer="0" w:header="0"/>
          <w:type w:val="continuous"/>
        </w:sectPr>
      </w:pPr>
    </w:p>
    <w:p>
      <w:pPr>
        <w:ind w:left="1700" w:right="200"/>
        <w:spacing w:after="0" w:line="275" w:lineRule="auto"/>
        <w:rPr>
          <w:sz w:val="20"/>
          <w:szCs w:val="20"/>
          <w:color w:val="auto"/>
        </w:rPr>
      </w:pPr>
      <w:r>
        <w:rPr>
          <w:rFonts w:ascii="Times New Roman" w:cs="Times New Roman" w:eastAsia="Times New Roman" w:hAnsi="Times New Roman"/>
          <w:sz w:val="18"/>
          <w:szCs w:val="18"/>
          <w:color w:val="auto"/>
        </w:rPr>
        <w:t>The principal business of RMP is investment. RMP was not formed for the specific purpose of investing in the securities of Destination XL.</w:t>
      </w:r>
    </w:p>
    <w:p>
      <w:pPr>
        <w:spacing w:after="0" w:line="6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RMCP GP is the general partner of RMP and thus may be deemed to control RMP. The principal business of RMCP GP is investment.</w:t>
      </w:r>
    </w:p>
    <w:p>
      <w:pPr>
        <w:spacing w:after="0" w:line="140" w:lineRule="exact"/>
        <w:rPr>
          <w:sz w:val="20"/>
          <w:szCs w:val="20"/>
          <w:color w:val="auto"/>
        </w:rPr>
      </w:pPr>
    </w:p>
    <w:p>
      <w:pPr>
        <w:ind w:left="1700" w:right="180"/>
        <w:spacing w:after="0" w:line="275" w:lineRule="auto"/>
        <w:rPr>
          <w:sz w:val="20"/>
          <w:szCs w:val="20"/>
          <w:color w:val="auto"/>
        </w:rPr>
      </w:pPr>
      <w:r>
        <w:rPr>
          <w:rFonts w:ascii="Times New Roman" w:cs="Times New Roman" w:eastAsia="Times New Roman" w:hAnsi="Times New Roman"/>
          <w:sz w:val="18"/>
          <w:szCs w:val="18"/>
          <w:color w:val="auto"/>
        </w:rPr>
        <w:t>RMCP LLC is the managing member of RMCP GP and thus may be deemed to control RMCP GP and each entity directly or indirectly controlled by RMCP GP. The principal business of RMCP LLC is investment.</w:t>
      </w:r>
    </w:p>
    <w:p>
      <w:pPr>
        <w:spacing w:after="0" w:line="66" w:lineRule="exact"/>
        <w:rPr>
          <w:sz w:val="20"/>
          <w:szCs w:val="20"/>
          <w:color w:val="auto"/>
        </w:rPr>
      </w:pPr>
    </w:p>
    <w:p>
      <w:pPr>
        <w:ind w:left="1700" w:right="280"/>
        <w:spacing w:after="0" w:line="275" w:lineRule="auto"/>
        <w:rPr>
          <w:sz w:val="20"/>
          <w:szCs w:val="20"/>
          <w:color w:val="auto"/>
        </w:rPr>
      </w:pPr>
      <w:r>
        <w:rPr>
          <w:rFonts w:ascii="Times New Roman" w:cs="Times New Roman" w:eastAsia="Times New Roman" w:hAnsi="Times New Roman"/>
          <w:sz w:val="18"/>
          <w:szCs w:val="18"/>
          <w:color w:val="auto"/>
        </w:rPr>
        <w:t>RMCM is the managing member of RMCP LLC and thus may be deemed to control RMCP LLC and each entity directly or indirectly controlled by RMCP LLC. The principal business of RMCM is investment.</w:t>
      </w:r>
    </w:p>
    <w:p>
      <w:pPr>
        <w:spacing w:after="0" w:line="6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Mr. Mesdag is the president, sole executive officer, sole director and sole shareholder of RMCM and thus may be deemed to control</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RMCM and each entity directly or indirectly controlled by RMCM (including Red Mountain). The principal occupation of Mr. Mesdag is</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Managing Partner of Red Mountain. He is a U.S. citizen.</w:t>
      </w:r>
    </w:p>
    <w:p>
      <w:pPr>
        <w:spacing w:after="0" w:line="105" w:lineRule="exact"/>
        <w:rPr>
          <w:sz w:val="20"/>
          <w:szCs w:val="20"/>
          <w:color w:val="auto"/>
        </w:rPr>
      </w:pPr>
    </w:p>
    <w:p>
      <w:pPr>
        <w:ind w:left="1700" w:right="340"/>
        <w:spacing w:after="0" w:line="262" w:lineRule="auto"/>
        <w:rPr>
          <w:sz w:val="20"/>
          <w:szCs w:val="20"/>
          <w:color w:val="auto"/>
        </w:rPr>
      </w:pPr>
      <w:r>
        <w:rPr>
          <w:rFonts w:ascii="Times New Roman" w:cs="Times New Roman" w:eastAsia="Times New Roman" w:hAnsi="Times New Roman"/>
          <w:sz w:val="18"/>
          <w:szCs w:val="18"/>
          <w:color w:val="auto"/>
        </w:rPr>
        <w:t>J. Christopher Teets (and his principal occupation) is Partner of Red Mountain. Mr. Teets does not control any Reporting Person. Information regarding Mr. Teets is being included in this Schedule 13D only for purposes of complying with General Instruction C to Schedule 13D. Mr. Teets is a U.S. citizen.</w:t>
      </w:r>
    </w:p>
    <w:p>
      <w:pPr>
        <w:sectPr>
          <w:pgSz w:w="11900" w:h="16838" w:orient="portrait"/>
          <w:cols w:equalWidth="0" w:num="1">
            <w:col w:w="11420"/>
          </w:cols>
          <w:pgMar w:left="240" w:top="274" w:right="239" w:bottom="1440" w:gutter="0" w:footer="0" w:header="0"/>
          <w:type w:val="continuous"/>
        </w:sectPr>
      </w:pP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executive offices of RMCM and Red Mountain are located at, and the principal business address of Mr. Mesdag and Mr.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Teets is, 10100 Santa Monica Boulevard, Suite 925, Los Angeles, California 90067.</w:t>
      </w:r>
    </w:p>
    <w:p>
      <w:pPr>
        <w:spacing w:after="0" w:line="103" w:lineRule="exact"/>
        <w:rPr>
          <w:sz w:val="20"/>
          <w:szCs w:val="20"/>
          <w:color w:val="auto"/>
        </w:rPr>
      </w:pPr>
    </w:p>
    <w:p>
      <w:pPr>
        <w:sectPr>
          <w:pgSz w:w="11900" w:h="16838" w:orient="portrait"/>
          <w:cols w:equalWidth="0" w:num="2">
            <w:col w:w="980" w:space="720"/>
            <w:col w:w="9720"/>
          </w:cols>
          <w:pgMar w:left="240" w:top="274" w:right="2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b w:val="1"/>
          <w:bCs w:val="1"/>
          <w:color w:val="auto"/>
        </w:rPr>
        <w:t>(d)-(e)</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last five years, none of the Reporting Persons or Mr. Teets has been convicted in a criminal proceeding (excluding traffic violations or similar misdemeanors) or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2">
            <w:col w:w="980" w:space="720"/>
            <w:col w:w="9720"/>
          </w:cols>
          <w:pgMar w:left="240" w:top="274" w:right="239" w:bottom="1440" w:gutter="0" w:footer="0" w:header="0"/>
          <w:type w:val="continuous"/>
        </w:sectPr>
      </w:pPr>
    </w:p>
    <w:bookmarkStart w:id="7" w:name="page8"/>
    <w:bookmarkEnd w:id="7"/>
    <w:p>
      <w:pPr>
        <w:spacing w:after="0"/>
        <w:tabs>
          <w:tab w:leader="none" w:pos="510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8 OF 12 PAGES</w:t>
      </w:r>
    </w:p>
    <w:p>
      <w:pPr>
        <w:spacing w:after="0" w:line="1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SOURCE AND AMOUNT OF FUNDS OR OTHER CONSIDERATION.</w:t>
      </w:r>
    </w:p>
    <w:p>
      <w:pPr>
        <w:spacing w:after="0" w:line="92" w:lineRule="exact"/>
        <w:rPr>
          <w:sz w:val="20"/>
          <w:szCs w:val="20"/>
          <w:color w:val="auto"/>
        </w:rPr>
      </w:pPr>
    </w:p>
    <w:p>
      <w:pPr>
        <w:ind w:left="460"/>
        <w:spacing w:after="0" w:line="334" w:lineRule="auto"/>
        <w:rPr>
          <w:sz w:val="20"/>
          <w:szCs w:val="20"/>
          <w:color w:val="auto"/>
        </w:rPr>
      </w:pPr>
      <w:r>
        <w:rPr>
          <w:rFonts w:ascii="Times New Roman" w:cs="Times New Roman" w:eastAsia="Times New Roman" w:hAnsi="Times New Roman"/>
          <w:sz w:val="16"/>
          <w:szCs w:val="16"/>
          <w:color w:val="auto"/>
        </w:rPr>
        <w:t>RMP has purchased an aggregate of 3,558,324 shares of Common Stock on the open market at an aggregate purchase price (excluding trading commissions and related administrative costs) of $16,356,869. The source of the funds used by RMP to purchase such shares was working capital of RMP.</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in Item 5(c) below is hereby incorporated by reference in response to this Item 3.</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92" w:lineRule="exact"/>
        <w:rPr>
          <w:sz w:val="20"/>
          <w:szCs w:val="20"/>
          <w:color w:val="auto"/>
        </w:rPr>
      </w:pPr>
    </w:p>
    <w:p>
      <w:pPr>
        <w:ind w:left="460" w:right="620"/>
        <w:spacing w:after="0" w:line="275" w:lineRule="auto"/>
        <w:rPr>
          <w:sz w:val="20"/>
          <w:szCs w:val="20"/>
          <w:color w:val="auto"/>
        </w:rPr>
      </w:pPr>
      <w:r>
        <w:rPr>
          <w:rFonts w:ascii="Times New Roman" w:cs="Times New Roman" w:eastAsia="Times New Roman" w:hAnsi="Times New Roman"/>
          <w:sz w:val="18"/>
          <w:szCs w:val="18"/>
          <w:color w:val="auto"/>
        </w:rPr>
        <w:t>Red Mountain acquired the Common Stock reported in this Schedule 13D for investment purposes because it believed that the Common Stock was undervalued and represented an attractive investment opportunity.</w:t>
      </w:r>
    </w:p>
    <w:p>
      <w:pPr>
        <w:spacing w:after="0" w:line="39" w:lineRule="exact"/>
        <w:rPr>
          <w:sz w:val="20"/>
          <w:szCs w:val="20"/>
          <w:color w:val="auto"/>
        </w:rPr>
      </w:pPr>
    </w:p>
    <w:p>
      <w:pPr>
        <w:ind w:left="460" w:right="100"/>
        <w:spacing w:after="0" w:line="301" w:lineRule="auto"/>
        <w:rPr>
          <w:sz w:val="20"/>
          <w:szCs w:val="20"/>
          <w:color w:val="auto"/>
        </w:rPr>
      </w:pPr>
      <w:r>
        <w:rPr>
          <w:rFonts w:ascii="Times New Roman" w:cs="Times New Roman" w:eastAsia="Times New Roman" w:hAnsi="Times New Roman"/>
          <w:sz w:val="16"/>
          <w:szCs w:val="16"/>
          <w:color w:val="auto"/>
        </w:rPr>
        <w:t>Red Mountain has met with the management of Destination XL and expects to maintain a dialogue with management regarding, among other things, Destination XL’s operations, strategic direction, capital structure and corporate governance and Red Mountain’s expectation that management will pursue appropriate measures to enhance shareholder value. In addition, Red Mountain may communicate with other persons regarding Destination XL, including, without limitation, the board of directors of Destination XL, other shareholders of Destination XL and potential strategic or financing partners.</w:t>
      </w:r>
    </w:p>
    <w:p>
      <w:pPr>
        <w:spacing w:after="0" w:line="22"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Red Mountain will routinely monitor and assess, among other things, (i) the financial condition, operations, prospects, capital structure and management of Destination XL, (ii) the value and price of the Common Stock, (iii) relevant business developments, competitive and strategic matters and prevailing industry and market conditions, (iv) alternative investment opportunities available to Red Mountain, (v) its liquidity requirements, and (vi) other investment considerations. On the basis of such assessments, Red Mountain may, at any time and from time to time, take such actions with respect to its investment in Destination XL as it deems appropriate, including, without limitation, (i) proposing measures which it believes would enhance shareholder value, (ii) seeking representation on the board of directors of Destination XL, (iii) purchasing additional Common Stock or other securities of Destination XL, (iv) selling some or all of any securities of Destination XL held by Red Mountain, or (v) otherwise changing its intention with respect to any of the matters referenced in this Item 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ITEM 5.</w:t>
            </w:r>
          </w:p>
        </w:tc>
        <w:tc>
          <w:tcPr>
            <w:tcW w:w="10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IN SECURITIES OF THE ISSUER.</w:t>
            </w:r>
          </w:p>
        </w:tc>
      </w:tr>
      <w:tr>
        <w:trPr>
          <w:trHeight w:val="285"/>
        </w:trPr>
        <w:tc>
          <w:tcPr>
            <w:tcW w:w="8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(a)-(b)</w:t>
            </w: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RMP beneficially owns, in the aggregate, 3,558,324 shares of Common Stock, which represent approximately 7.3% of the outstanding</w:t>
            </w:r>
          </w:p>
        </w:tc>
      </w:tr>
      <w:tr>
        <w:trPr>
          <w:trHeight w:val="216"/>
        </w:trPr>
        <w:tc>
          <w:tcPr>
            <w:tcW w:w="840" w:type="dxa"/>
            <w:vAlign w:val="bottom"/>
          </w:tcPr>
          <w:p>
            <w:pPr>
              <w:spacing w:after="0"/>
              <w:rPr>
                <w:sz w:val="18"/>
                <w:szCs w:val="18"/>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RMP has the sole power to vote or direct the vote, and the sole power to dispose or direct the disposition, of all such</w:t>
            </w:r>
          </w:p>
        </w:tc>
      </w:tr>
      <w:tr>
        <w:trPr>
          <w:trHeight w:val="228"/>
        </w:trPr>
        <w:tc>
          <w:tcPr>
            <w:tcW w:w="840" w:type="dxa"/>
            <w:vAlign w:val="bottom"/>
          </w:tcPr>
          <w:p>
            <w:pPr>
              <w:spacing w:after="0"/>
              <w:rPr>
                <w:sz w:val="19"/>
                <w:szCs w:val="19"/>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3,558,324 shares of Common Stock.</w:t>
            </w:r>
          </w:p>
        </w:tc>
      </w:tr>
      <w:tr>
        <w:trPr>
          <w:trHeight w:val="312"/>
        </w:trPr>
        <w:tc>
          <w:tcPr>
            <w:tcW w:w="840" w:type="dxa"/>
            <w:vAlign w:val="bottom"/>
          </w:tcPr>
          <w:p>
            <w:pPr>
              <w:spacing w:after="0"/>
              <w:rPr>
                <w:sz w:val="24"/>
                <w:szCs w:val="24"/>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6"/>
              </w:rPr>
              <w:t>Because each of RMCP GP, RMCP LLC, RMCM and Mr. Mesdag may be deemed to control RMP, each of RMCP GP, RMCP LLC, RMCM</w:t>
            </w:r>
          </w:p>
        </w:tc>
      </w:tr>
      <w:tr>
        <w:trPr>
          <w:trHeight w:val="216"/>
        </w:trPr>
        <w:tc>
          <w:tcPr>
            <w:tcW w:w="840" w:type="dxa"/>
            <w:vAlign w:val="bottom"/>
          </w:tcPr>
          <w:p>
            <w:pPr>
              <w:spacing w:after="0"/>
              <w:rPr>
                <w:sz w:val="18"/>
                <w:szCs w:val="18"/>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and Mr. Mesdag may be deemed to beneficially own, and to have the power to vote or direct the vote, or dispose or direct the disposition of,</w:t>
            </w:r>
          </w:p>
        </w:tc>
      </w:tr>
      <w:tr>
        <w:trPr>
          <w:trHeight w:val="228"/>
        </w:trPr>
        <w:tc>
          <w:tcPr>
            <w:tcW w:w="840" w:type="dxa"/>
            <w:vAlign w:val="bottom"/>
          </w:tcPr>
          <w:p>
            <w:pPr>
              <w:spacing w:after="0"/>
              <w:rPr>
                <w:sz w:val="19"/>
                <w:szCs w:val="19"/>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 of the Common Stock beneficially owned by RMP.</w:t>
            </w:r>
          </w:p>
        </w:tc>
      </w:tr>
      <w:tr>
        <w:trPr>
          <w:trHeight w:val="312"/>
        </w:trPr>
        <w:tc>
          <w:tcPr>
            <w:tcW w:w="840" w:type="dxa"/>
            <w:vAlign w:val="bottom"/>
          </w:tcPr>
          <w:p>
            <w:pPr>
              <w:spacing w:after="0"/>
              <w:rPr>
                <w:sz w:val="24"/>
                <w:szCs w:val="24"/>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Other than shares of Common Stock beneficially owned by RMP, none of the Reporting Persons or Mr. Teets may be deemed to beneficially</w:t>
            </w:r>
          </w:p>
        </w:tc>
      </w:tr>
      <w:tr>
        <w:trPr>
          <w:trHeight w:val="228"/>
        </w:trPr>
        <w:tc>
          <w:tcPr>
            <w:tcW w:w="840" w:type="dxa"/>
            <w:vAlign w:val="bottom"/>
          </w:tcPr>
          <w:p>
            <w:pPr>
              <w:spacing w:after="0"/>
              <w:rPr>
                <w:sz w:val="19"/>
                <w:szCs w:val="19"/>
                <w:color w:val="auto"/>
              </w:rPr>
            </w:pPr>
          </w:p>
        </w:tc>
        <w:tc>
          <w:tcPr>
            <w:tcW w:w="10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own any shares of Common Stock.</w:t>
            </w:r>
          </w:p>
        </w:tc>
      </w:tr>
    </w:tbl>
    <w:p>
      <w:pPr>
        <w:spacing w:after="0" w:line="136" w:lineRule="exact"/>
        <w:rPr>
          <w:sz w:val="20"/>
          <w:szCs w:val="20"/>
          <w:color w:val="auto"/>
        </w:rPr>
      </w:pPr>
    </w:p>
    <w:p>
      <w:pPr>
        <w:ind w:left="460" w:right="460" w:hanging="452"/>
        <w:spacing w:after="0" w:line="249" w:lineRule="auto"/>
        <w:tabs>
          <w:tab w:leader="none" w:pos="4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All calculations of percentage ownership in this Schedule 13D are based on 48,602,396 shares of Common Stock outstanding as of March 8, 2013, as reported in the Form 10-K which was filed by Destination XL Group, Inc. with the Securities and Exchange Commission on March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10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9 OF 12 PAGES</w:t>
      </w:r>
    </w:p>
    <w:p>
      <w:pPr>
        <w:spacing w:after="0" w:line="266" w:lineRule="exact"/>
        <w:rPr>
          <w:sz w:val="20"/>
          <w:szCs w:val="20"/>
          <w:color w:val="auto"/>
        </w:rPr>
      </w:pPr>
    </w:p>
    <w:p>
      <w:pPr>
        <w:ind w:left="1420" w:right="60"/>
        <w:spacing w:after="0" w:line="275" w:lineRule="auto"/>
        <w:rPr>
          <w:sz w:val="20"/>
          <w:szCs w:val="20"/>
          <w:color w:val="auto"/>
        </w:rPr>
      </w:pPr>
      <w:r>
        <w:rPr>
          <w:rFonts w:ascii="Times New Roman" w:cs="Times New Roman" w:eastAsia="Times New Roman" w:hAnsi="Times New Roman"/>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66" w:lineRule="exact"/>
        <w:rPr>
          <w:sz w:val="20"/>
          <w:szCs w:val="20"/>
          <w:color w:val="auto"/>
        </w:rPr>
      </w:pPr>
    </w:p>
    <w:p>
      <w:pPr>
        <w:ind w:left="1420" w:right="60"/>
        <w:spacing w:after="0" w:line="254" w:lineRule="auto"/>
        <w:rPr>
          <w:sz w:val="20"/>
          <w:szCs w:val="20"/>
          <w:color w:val="auto"/>
        </w:rPr>
      </w:pPr>
      <w:r>
        <w:rPr>
          <w:rFonts w:ascii="Times New Roman" w:cs="Times New Roman" w:eastAsia="Times New Roman" w:hAnsi="Times New Roman"/>
          <w:sz w:val="18"/>
          <w:szCs w:val="18"/>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Mr. Teets disclaims beneficial ownership of all shares of Common Stock reported in this Schedule 13D.</w:t>
      </w:r>
    </w:p>
    <w:p>
      <w:pPr>
        <w:spacing w:after="0" w:line="87" w:lineRule="exact"/>
        <w:rPr>
          <w:sz w:val="20"/>
          <w:szCs w:val="20"/>
          <w:color w:val="auto"/>
        </w:rPr>
      </w:pPr>
    </w:p>
    <w:p>
      <w:pPr>
        <w:ind w:left="1420" w:right="20" w:hanging="1346"/>
        <w:spacing w:after="0" w:line="275" w:lineRule="auto"/>
        <w:tabs>
          <w:tab w:leader="none" w:pos="1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lists all transactions in Common Stock effected during the past sixty days by RMP. All such transactions were effected on the open market.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color w:val="auto"/>
                <w:w w:val="95"/>
              </w:rPr>
              <w:t>Shares of</w:t>
            </w: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2"/>
          </w:tcPr>
          <w:p>
            <w:pPr>
              <w:jc w:val="center"/>
              <w:ind w:right="1820"/>
              <w:spacing w:after="0" w:line="149" w:lineRule="exact"/>
              <w:rPr>
                <w:sz w:val="20"/>
                <w:szCs w:val="20"/>
                <w:color w:val="auto"/>
              </w:rPr>
            </w:pPr>
            <w:r>
              <w:rPr>
                <w:rFonts w:ascii="Times New Roman" w:cs="Times New Roman" w:eastAsia="Times New Roman" w:hAnsi="Times New Roman"/>
                <w:sz w:val="14"/>
                <w:szCs w:val="14"/>
                <w:color w:val="auto"/>
                <w:w w:val="95"/>
              </w:rPr>
              <w:t>Common</w:t>
            </w:r>
          </w:p>
        </w:tc>
        <w:tc>
          <w:tcPr>
            <w:tcW w:w="1400" w:type="dxa"/>
            <w:vAlign w:val="bottom"/>
          </w:tcPr>
          <w:p>
            <w:pPr>
              <w:spacing w:after="0"/>
              <w:rPr>
                <w:sz w:val="12"/>
                <w:szCs w:val="12"/>
                <w:color w:val="auto"/>
              </w:rPr>
            </w:pPr>
          </w:p>
        </w:tc>
        <w:tc>
          <w:tcPr>
            <w:tcW w:w="3980" w:type="dxa"/>
            <w:vAlign w:val="bottom"/>
            <w:gridSpan w:val="2"/>
          </w:tcPr>
          <w:p>
            <w:pPr>
              <w:jc w:val="center"/>
              <w:ind w:right="3220"/>
              <w:spacing w:after="0" w:line="149" w:lineRule="exact"/>
              <w:rPr>
                <w:sz w:val="20"/>
                <w:szCs w:val="20"/>
                <w:color w:val="auto"/>
              </w:rPr>
            </w:pPr>
            <w:r>
              <w:rPr>
                <w:rFonts w:ascii="Times New Roman" w:cs="Times New Roman" w:eastAsia="Times New Roman" w:hAnsi="Times New Roman"/>
                <w:sz w:val="14"/>
                <w:szCs w:val="14"/>
                <w:color w:val="auto"/>
                <w:w w:val="95"/>
              </w:rPr>
              <w:t>Weighted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gridSpan w:val="2"/>
          </w:tcPr>
          <w:p>
            <w:pPr>
              <w:jc w:val="center"/>
              <w:ind w:right="180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5380" w:type="dxa"/>
            <w:vAlign w:val="bottom"/>
            <w:gridSpan w:val="3"/>
          </w:tcPr>
          <w:p>
            <w:pPr>
              <w:jc w:val="right"/>
              <w:ind w:right="3220"/>
              <w:spacing w:after="0" w:line="149" w:lineRule="exact"/>
              <w:rPr>
                <w:sz w:val="20"/>
                <w:szCs w:val="20"/>
                <w:color w:val="auto"/>
              </w:rPr>
            </w:pPr>
            <w:r>
              <w:rPr>
                <w:rFonts w:ascii="Times New Roman" w:cs="Times New Roman" w:eastAsia="Times New Roman" w:hAnsi="Times New Roman"/>
                <w:sz w:val="14"/>
                <w:szCs w:val="14"/>
                <w:color w:val="auto"/>
              </w:rPr>
              <w:t>Average Price</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Date of</w:t>
            </w: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color w:val="auto"/>
                <w:w w:val="97"/>
              </w:rPr>
              <w:t>Purchased</w:t>
            </w:r>
          </w:p>
        </w:tc>
        <w:tc>
          <w:tcPr>
            <w:tcW w:w="1400" w:type="dxa"/>
            <w:vAlign w:val="bottom"/>
          </w:tcPr>
          <w:p>
            <w:pPr>
              <w:spacing w:after="0"/>
              <w:rPr>
                <w:sz w:val="14"/>
                <w:szCs w:val="14"/>
                <w:color w:val="auto"/>
              </w:rPr>
            </w:pPr>
          </w:p>
        </w:tc>
        <w:tc>
          <w:tcPr>
            <w:tcW w:w="3980" w:type="dxa"/>
            <w:vAlign w:val="bottom"/>
            <w:gridSpan w:val="2"/>
          </w:tcPr>
          <w:p>
            <w:pPr>
              <w:jc w:val="center"/>
              <w:ind w:right="3220"/>
              <w:spacing w:after="0"/>
              <w:rPr>
                <w:sz w:val="20"/>
                <w:szCs w:val="20"/>
                <w:color w:val="auto"/>
              </w:rPr>
            </w:pPr>
            <w:r>
              <w:rPr>
                <w:rFonts w:ascii="Times New Roman" w:cs="Times New Roman" w:eastAsia="Times New Roman" w:hAnsi="Times New Roman"/>
                <w:sz w:val="14"/>
                <w:szCs w:val="14"/>
                <w:color w:val="auto"/>
                <w:w w:val="98"/>
              </w:rPr>
              <w:t xml:space="preserve">per Share </w:t>
            </w: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Purchase</w:t>
            </w: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163,383</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3/20/2013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3/22/2013</w:t>
            </w:r>
          </w:p>
        </w:tc>
        <w:tc>
          <w:tcPr>
            <w:tcW w:w="100" w:type="dxa"/>
            <w:vAlign w:val="bottom"/>
            <w:shd w:val="clear" w:color="auto" w:fill="CCEEFF"/>
          </w:tcPr>
          <w:p>
            <w:pPr>
              <w:spacing w:after="0"/>
              <w:rPr>
                <w:sz w:val="18"/>
                <w:szCs w:val="18"/>
                <w:color w:val="auto"/>
              </w:rPr>
            </w:pPr>
          </w:p>
        </w:tc>
      </w:tr>
      <w:tr>
        <w:trPr>
          <w:trHeight w:val="40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w:t>
            </w:r>
          </w:p>
        </w:tc>
        <w:tc>
          <w:tcPr>
            <w:tcW w:w="2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69" w:lineRule="exact"/>
        <w:rPr>
          <w:sz w:val="20"/>
          <w:szCs w:val="20"/>
          <w:color w:val="auto"/>
        </w:rPr>
      </w:pPr>
    </w:p>
    <w:p>
      <w:pPr>
        <w:ind w:left="1140" w:right="580" w:hanging="1133"/>
        <w:spacing w:after="0" w:line="277"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37"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color w:val="auto"/>
        </w:rPr>
        <w:t>Section 4.3.2 of the Restated Certificate of Incorporation of Destination XL generally prohibits the acquisition of 5% or more of the Common Stock without authorization by the board of directors of Destination XL. Red Mountain has sought and received such authorization to acquire up to 15% of the outstanding Common Stock. Such authorization is revocable at any time by Destination XL. Other than as described in this Schedule 13D, there are no contracts, arrangements, understandings or relationships among the persons named in Item 2 above and between such persons and any person with respect to any securities of Destination XL.</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CUSIP No. 25065K104</w:t>
            </w:r>
          </w:p>
        </w:tc>
        <w:tc>
          <w:tcPr>
            <w:tcW w:w="7760" w:type="dxa"/>
            <w:vAlign w:val="bottom"/>
            <w:gridSpan w:val="3"/>
          </w:tcPr>
          <w:p>
            <w:pPr>
              <w:ind w:left="3420"/>
              <w:spacing w:after="0"/>
              <w:rPr>
                <w:sz w:val="20"/>
                <w:szCs w:val="20"/>
                <w:color w:val="auto"/>
              </w:rPr>
            </w:pPr>
            <w:r>
              <w:rPr>
                <w:rFonts w:ascii="Times New Roman" w:cs="Times New Roman" w:eastAsia="Times New Roman" w:hAnsi="Times New Roman"/>
                <w:sz w:val="18"/>
                <w:szCs w:val="18"/>
                <w:color w:val="auto"/>
              </w:rPr>
              <w:t>SCHEDULE 13D/A</w:t>
            </w:r>
          </w:p>
        </w:tc>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PAGE 10 OF 12 PAGES</w:t>
            </w:r>
          </w:p>
        </w:tc>
      </w:tr>
      <w:tr>
        <w:trPr>
          <w:trHeight w:val="36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7.</w:t>
            </w:r>
          </w:p>
        </w:tc>
        <w:tc>
          <w:tcPr>
            <w:tcW w:w="87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1960" w:type="dxa"/>
            <w:vAlign w:val="bottom"/>
          </w:tcPr>
          <w:p>
            <w:pPr>
              <w:spacing w:after="0"/>
              <w:rPr>
                <w:sz w:val="24"/>
                <w:szCs w:val="24"/>
                <w:color w:val="auto"/>
              </w:rPr>
            </w:pPr>
          </w:p>
        </w:tc>
      </w:tr>
      <w:tr>
        <w:trPr>
          <w:trHeight w:val="353"/>
        </w:trPr>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4"/>
              </w:rPr>
              <w:t>Exhibit No.</w:t>
            </w: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7"/>
              </w:rPr>
              <w:t>Description of Exhibit</w:t>
            </w: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16"/>
        </w:trPr>
        <w:tc>
          <w:tcPr>
            <w:tcW w:w="6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4"/>
                <w:szCs w:val="24"/>
                <w:color w:val="auto"/>
              </w:rPr>
            </w:pPr>
          </w:p>
        </w:tc>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Joint Filing Agreement, dated as of March 25, 2013, by and among the Reporting Persons (filed herewith).</w:t>
            </w:r>
          </w:p>
        </w:tc>
        <w:tc>
          <w:tcPr>
            <w:tcW w:w="1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tabs>
          <w:tab w:leader="none" w:pos="5100" w:val="left"/>
          <w:tab w:leader="none" w:pos="96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11 OF 12 PAGES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right="180" w:firstLine="456"/>
        <w:spacing w:after="0" w:line="460"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March 25, 2013</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CAPITAL PARTNERS LLC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PARTNERS, L.P.</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RMCP GP LLC, its general partner</w:t>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By: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RMCP GP LLC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CAPITAL MANAGEMENT,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5100" w:val="left"/>
          <w:tab w:leader="none" w:pos="9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6"/>
          <w:szCs w:val="16"/>
          <w:color w:val="auto"/>
        </w:rPr>
        <w:t>PAGE 12 OF 12 PAGES</w:t>
      </w:r>
    </w:p>
    <w:p>
      <w:pPr>
        <w:sectPr>
          <w:pgSz w:w="11900" w:h="16838" w:orient="portrait"/>
          <w:cols w:equalWidth="0" w:num="1">
            <w:col w:w="11420"/>
          </w:cols>
          <w:pgMar w:left="240" w:top="274" w:right="23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8560" w:type="dxa"/>
            <w:vAlign w:val="bottom"/>
            <w:gridSpan w:val="3"/>
          </w:tcPr>
          <w:p>
            <w:pPr>
              <w:ind w:left="4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Exhibit No.</w:t>
            </w:r>
          </w:p>
        </w:tc>
        <w:tc>
          <w:tcPr>
            <w:tcW w:w="5260" w:type="dxa"/>
            <w:vAlign w:val="bottom"/>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7"/>
              </w:rPr>
              <w:t>Description of Exhibit</w:t>
            </w:r>
          </w:p>
        </w:tc>
        <w:tc>
          <w:tcPr>
            <w:tcW w:w="2020" w:type="dxa"/>
            <w:vAlign w:val="bottom"/>
          </w:tcPr>
          <w:p>
            <w:pPr>
              <w:spacing w:after="0"/>
              <w:rPr>
                <w:sz w:val="24"/>
                <w:szCs w:val="24"/>
                <w:color w:val="auto"/>
              </w:rPr>
            </w:pPr>
          </w:p>
        </w:tc>
      </w:tr>
      <w:tr>
        <w:trPr>
          <w:trHeight w:val="316"/>
        </w:trPr>
        <w:tc>
          <w:tcPr>
            <w:tcW w:w="68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1</w:t>
            </w:r>
          </w:p>
        </w:tc>
        <w:tc>
          <w:tcPr>
            <w:tcW w:w="856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7"/>
              </w:rPr>
              <w:t>Joint Filing Agreement, dated as of March 25, 2013, by and among the Reporting Persons (filed herewith).</w:t>
            </w:r>
          </w:p>
        </w:tc>
      </w:tr>
    </w:tbl>
    <w:p>
      <w:pPr>
        <w:sectPr>
          <w:pgSz w:w="11900" w:h="16838" w:orient="portrait"/>
          <w:cols w:equalWidth="0" w:num="1">
            <w:col w:w="11420"/>
          </w:cols>
          <w:pgMar w:left="240" w:top="274" w:right="2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17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agree to the joint filing on behalf of each of them of a Schedule 13D (including any and all amendments thereto) with respect to the common stock, par value $0.01 per share, of Destination XL Group, Inc., and further agree that this Joint Filing Agreement shall be included as an exhibit to such joint filings.</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Schedule 13D and any amendments thereto, and for the completeness and accuracy of the information concerning such party contained therein; provided that no party is responsible for the completeness or accuracy of the information concerning any other filing party, unless such party knows or has reason to believe that such information is inaccurate.</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This Joint Filing Agreement may be executed in one or more counterparts, each of which shall be deemed to be an original instrument, but all of such counterparts together shall constitute but one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evidence thereof the undersigned, being duly authorized, hereby execute this Joint Filing Agreement as of March 25, 2013.</w:t>
      </w:r>
    </w:p>
    <w:p>
      <w:pPr>
        <w:spacing w:after="0" w:line="29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CAPITAL PARTNERS LLC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Authorized Signatory</w:t>
      </w:r>
    </w:p>
    <w:p>
      <w:pPr>
        <w:spacing w:after="0" w:line="3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PARTNERS, L.P.</w:t>
      </w:r>
    </w:p>
    <w:p>
      <w:pPr>
        <w:spacing w:after="0" w:line="227"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RMCP GP LLC, its general partner</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7360"/>
        <w:spacing w:after="0"/>
        <w:tabs>
          <w:tab w:leader="none" w:pos="7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RMCP GP LLC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Authorized Signatory</w:t>
      </w:r>
    </w:p>
    <w:p>
      <w:pPr>
        <w:sectPr>
          <w:pgSz w:w="11900" w:h="16838" w:orient="portrait"/>
          <w:cols w:equalWidth="0" w:num="1">
            <w:col w:w="11420"/>
          </w:cols>
          <w:pgMar w:left="240" w:top="272" w:right="239" w:bottom="1440" w:gutter="0" w:footer="0" w:header="0"/>
        </w:sectPr>
      </w:pPr>
    </w:p>
    <w:bookmarkStart w:id="13" w:name="page14"/>
    <w:bookmarkEnd w:id="13"/>
    <w:p>
      <w:pPr>
        <w:ind w:left="56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 MOUNTAIN CAPITAL MANAGEMENT, INC.</w:t>
      </w:r>
    </w:p>
    <w:p>
      <w:pPr>
        <w:spacing w:after="0" w:line="2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w:t>
      </w:r>
    </w:p>
    <w:p>
      <w:pPr>
        <w:spacing w:after="0" w:line="3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2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9680"/>
      </w:cols>
      <w:pgMar w:left="1440" w:top="27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2"/>
      <w:numFmt w:val="bullet"/>
      <w:start w:val="1"/>
    </w:lvl>
    <w:lvl w:ilvl="1">
      <w:lvlJc w:val="left"/>
      <w:lvlText w:val="(%2)"/>
      <w:numFmt w:val="lowerLetter"/>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5"/>
      <w:numFmt w:val="bullet"/>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
      <w:numFmt w:val="bullet"/>
      <w:start w:val="1"/>
    </w:lvl>
    <w:lvl w:ilvl="1">
      <w:lvlJc w:val="left"/>
      <w:lvlText w:val="%2"/>
      <w:numFmt w:val="decimal"/>
      <w:start w:val="1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2019-12-06T00:44:04Z</dcterms:created>
  <dcterms:modified xsi:type="dcterms:W3CDTF">2019-12-06T00:44:04Z</dcterms:modified>
</cp:coreProperties>
</file>