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56"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64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w w:val="96"/>
              </w:rPr>
              <w:t>C/O RED MOUNTAIN CAPITAL MANAGEMENT</w:t>
            </w:r>
          </w:p>
        </w:tc>
        <w:tc>
          <w:tcPr>
            <w:tcW w:w="1540" w:type="dxa"/>
            <w:vAlign w:val="bottom"/>
            <w:gridSpan w:val="8"/>
          </w:tcPr>
          <w:p>
            <w:pPr>
              <w:ind w:left="160"/>
              <w:spacing w:after="0"/>
              <w:rPr>
                <w:sz w:val="20"/>
                <w:szCs w:val="20"/>
                <w:color w:val="auto"/>
              </w:rPr>
            </w:pPr>
            <w:r>
              <w:rPr>
                <w:rFonts w:ascii="Arial" w:cs="Arial" w:eastAsia="Arial" w:hAnsi="Arial"/>
                <w:sz w:val="18"/>
                <w:szCs w:val="18"/>
                <w:color w:val="0000FF"/>
              </w:rPr>
              <w:t>03/18/2014</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0"/>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tcPr>
          <w:p>
            <w:pPr>
              <w:ind w:left="680"/>
              <w:spacing w:after="0"/>
              <w:rPr>
                <w:sz w:val="20"/>
                <w:szCs w:val="20"/>
                <w:color w:val="auto"/>
              </w:rPr>
            </w:pPr>
            <w:r>
              <w:rPr>
                <w:rFonts w:ascii="Arial" w:cs="Arial" w:eastAsia="Arial" w:hAnsi="Arial"/>
                <w:sz w:val="18"/>
                <w:szCs w:val="18"/>
                <w:color w:val="0000FF"/>
              </w:rPr>
              <w:t>03/18/2014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9"/>
              <w:spacing w:after="0"/>
              <w:rPr>
                <w:sz w:val="20"/>
                <w:szCs w:val="20"/>
                <w:color w:val="auto"/>
              </w:rPr>
            </w:pPr>
            <w:r>
              <w:rPr>
                <w:rFonts w:ascii="Arial" w:cs="Arial" w:eastAsia="Arial" w:hAnsi="Arial"/>
                <w:sz w:val="18"/>
                <w:szCs w:val="18"/>
                <w:color w:val="0000FF"/>
              </w:rPr>
              <w:t>400,000</w:t>
            </w:r>
          </w:p>
        </w:tc>
        <w:tc>
          <w:tcPr>
            <w:tcW w:w="60" w:type="dxa"/>
            <w:vAlign w:val="bottom"/>
          </w:tcPr>
          <w:p>
            <w:pPr>
              <w:spacing w:after="0"/>
              <w:rPr>
                <w:sz w:val="18"/>
                <w:szCs w:val="18"/>
                <w:color w:val="auto"/>
              </w:rPr>
            </w:pPr>
          </w:p>
        </w:tc>
        <w:tc>
          <w:tcPr>
            <w:tcW w:w="440" w:type="dxa"/>
            <w:vAlign w:val="bottom"/>
          </w:tcPr>
          <w:p>
            <w:pPr>
              <w:jc w:val="center"/>
              <w:ind w:left="3"/>
              <w:spacing w:after="0"/>
              <w:rPr>
                <w:sz w:val="20"/>
                <w:szCs w:val="20"/>
                <w:color w:val="auto"/>
              </w:rPr>
            </w:pPr>
            <w:r>
              <w:rPr>
                <w:rFonts w:ascii="Arial" w:cs="Arial" w:eastAsia="Arial" w:hAnsi="Arial"/>
                <w:sz w:val="18"/>
                <w:szCs w:val="18"/>
                <w:color w:val="0000FF"/>
                <w:w w:val="99"/>
              </w:rPr>
              <w:t>A</w:t>
            </w:r>
          </w:p>
        </w:tc>
        <w:tc>
          <w:tcPr>
            <w:tcW w:w="92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5.446</w:t>
            </w:r>
            <w:r>
              <w:rPr>
                <w:rFonts w:ascii="Arial" w:cs="Arial" w:eastAsia="Arial" w:hAnsi="Arial"/>
                <w:sz w:val="22"/>
                <w:szCs w:val="22"/>
                <w:color w:val="008000"/>
                <w:w w:val="84"/>
                <w:vertAlign w:val="superscript"/>
              </w:rPr>
              <w:t>(1)</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5,238,054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9"/>
              </w:rPr>
              <w:t>Remarks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below</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tcPr>
          <w:p>
            <w:pPr>
              <w:ind w:left="680"/>
              <w:spacing w:after="0"/>
              <w:rPr>
                <w:sz w:val="20"/>
                <w:szCs w:val="20"/>
                <w:color w:val="auto"/>
              </w:rPr>
            </w:pPr>
            <w:r>
              <w:rPr>
                <w:rFonts w:ascii="Arial" w:cs="Arial" w:eastAsia="Arial" w:hAnsi="Arial"/>
                <w:sz w:val="18"/>
                <w:szCs w:val="18"/>
                <w:color w:val="0000FF"/>
              </w:rPr>
              <w:t>03/19/2014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9"/>
              <w:spacing w:after="0"/>
              <w:rPr>
                <w:sz w:val="20"/>
                <w:szCs w:val="20"/>
                <w:color w:val="auto"/>
              </w:rPr>
            </w:pPr>
            <w:r>
              <w:rPr>
                <w:rFonts w:ascii="Arial" w:cs="Arial" w:eastAsia="Arial" w:hAnsi="Arial"/>
                <w:sz w:val="18"/>
                <w:szCs w:val="18"/>
                <w:color w:val="0000FF"/>
              </w:rPr>
              <w:t>375,500</w:t>
            </w:r>
          </w:p>
        </w:tc>
        <w:tc>
          <w:tcPr>
            <w:tcW w:w="60" w:type="dxa"/>
            <w:vAlign w:val="bottom"/>
          </w:tcPr>
          <w:p>
            <w:pPr>
              <w:spacing w:after="0"/>
              <w:rPr>
                <w:sz w:val="18"/>
                <w:szCs w:val="18"/>
                <w:color w:val="auto"/>
              </w:rPr>
            </w:pPr>
          </w:p>
        </w:tc>
        <w:tc>
          <w:tcPr>
            <w:tcW w:w="440" w:type="dxa"/>
            <w:vAlign w:val="bottom"/>
          </w:tcPr>
          <w:p>
            <w:pPr>
              <w:jc w:val="center"/>
              <w:ind w:left="3"/>
              <w:spacing w:after="0"/>
              <w:rPr>
                <w:sz w:val="20"/>
                <w:szCs w:val="20"/>
                <w:color w:val="auto"/>
              </w:rPr>
            </w:pPr>
            <w:r>
              <w:rPr>
                <w:rFonts w:ascii="Arial" w:cs="Arial" w:eastAsia="Arial" w:hAnsi="Arial"/>
                <w:sz w:val="18"/>
                <w:szCs w:val="18"/>
                <w:color w:val="0000FF"/>
                <w:w w:val="99"/>
              </w:rPr>
              <w:t>A</w:t>
            </w:r>
          </w:p>
        </w:tc>
        <w:tc>
          <w:tcPr>
            <w:tcW w:w="92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5.5238</w:t>
            </w:r>
            <w:r>
              <w:rPr>
                <w:rFonts w:ascii="Arial" w:cs="Arial" w:eastAsia="Arial" w:hAnsi="Arial"/>
                <w:sz w:val="22"/>
                <w:szCs w:val="22"/>
                <w:color w:val="008000"/>
                <w:w w:val="84"/>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5,613,554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9"/>
              </w:rPr>
              <w:t>Remarks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below</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tcPr>
          <w:p>
            <w:pPr>
              <w:ind w:left="680"/>
              <w:spacing w:after="0"/>
              <w:rPr>
                <w:sz w:val="20"/>
                <w:szCs w:val="20"/>
                <w:color w:val="auto"/>
              </w:rPr>
            </w:pPr>
            <w:r>
              <w:rPr>
                <w:rFonts w:ascii="Arial" w:cs="Arial" w:eastAsia="Arial" w:hAnsi="Arial"/>
                <w:sz w:val="18"/>
                <w:szCs w:val="18"/>
                <w:color w:val="0000FF"/>
              </w:rPr>
              <w:t>03/20/2014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9"/>
              <w:spacing w:after="0"/>
              <w:rPr>
                <w:sz w:val="20"/>
                <w:szCs w:val="20"/>
                <w:color w:val="auto"/>
              </w:rPr>
            </w:pPr>
            <w:r>
              <w:rPr>
                <w:rFonts w:ascii="Arial" w:cs="Arial" w:eastAsia="Arial" w:hAnsi="Arial"/>
                <w:sz w:val="18"/>
                <w:szCs w:val="18"/>
                <w:color w:val="0000FF"/>
              </w:rPr>
              <w:t>310,700</w:t>
            </w:r>
          </w:p>
        </w:tc>
        <w:tc>
          <w:tcPr>
            <w:tcW w:w="60" w:type="dxa"/>
            <w:vAlign w:val="bottom"/>
          </w:tcPr>
          <w:p>
            <w:pPr>
              <w:spacing w:after="0"/>
              <w:rPr>
                <w:sz w:val="18"/>
                <w:szCs w:val="18"/>
                <w:color w:val="auto"/>
              </w:rPr>
            </w:pPr>
          </w:p>
        </w:tc>
        <w:tc>
          <w:tcPr>
            <w:tcW w:w="440" w:type="dxa"/>
            <w:vAlign w:val="bottom"/>
          </w:tcPr>
          <w:p>
            <w:pPr>
              <w:jc w:val="center"/>
              <w:ind w:left="3"/>
              <w:spacing w:after="0"/>
              <w:rPr>
                <w:sz w:val="20"/>
                <w:szCs w:val="20"/>
                <w:color w:val="auto"/>
              </w:rPr>
            </w:pPr>
            <w:r>
              <w:rPr>
                <w:rFonts w:ascii="Arial" w:cs="Arial" w:eastAsia="Arial" w:hAnsi="Arial"/>
                <w:sz w:val="18"/>
                <w:szCs w:val="18"/>
                <w:color w:val="0000FF"/>
                <w:w w:val="99"/>
              </w:rPr>
              <w:t>A</w:t>
            </w:r>
          </w:p>
        </w:tc>
        <w:tc>
          <w:tcPr>
            <w:tcW w:w="92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5.5499</w:t>
            </w:r>
            <w:r>
              <w:rPr>
                <w:rFonts w:ascii="Arial" w:cs="Arial" w:eastAsia="Arial" w:hAnsi="Arial"/>
                <w:sz w:val="22"/>
                <w:szCs w:val="22"/>
                <w:color w:val="008000"/>
                <w:w w:val="84"/>
                <w:vertAlign w:val="superscript"/>
              </w:rPr>
              <w:t>(4)</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5,924,254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9"/>
              </w:rPr>
              <w:t>Remarks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below</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18"/>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ind w:right="9"/>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jc w:val="right"/>
              <w:ind w:right="349"/>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9"/>
          </w:tcPr>
          <w:p>
            <w:pPr>
              <w:spacing w:after="0"/>
              <w:rPr>
                <w:sz w:val="20"/>
                <w:szCs w:val="20"/>
                <w:color w:val="auto"/>
              </w:rPr>
            </w:pPr>
            <w:r>
              <w:rPr>
                <w:rFonts w:ascii="Arial" w:cs="Arial" w:eastAsia="Arial" w:hAnsi="Arial"/>
                <w:sz w:val="18"/>
                <w:szCs w:val="18"/>
                <w:color w:val="0000FF"/>
                <w:w w:val="96"/>
              </w:rPr>
              <w:t>C/O RED MOUNTAIN CAPITAL MANAGEMENT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0" w:type="dxa"/>
            <w:vAlign w:val="bottom"/>
            <w:gridSpan w:val="9"/>
          </w:tcPr>
          <w:p>
            <w:pPr>
              <w:spacing w:after="0"/>
              <w:rPr>
                <w:sz w:val="20"/>
                <w:szCs w:val="20"/>
                <w:color w:val="auto"/>
              </w:rPr>
            </w:pPr>
            <w:r>
              <w:rPr>
                <w:rFonts w:ascii="Arial" w:cs="Arial" w:eastAsia="Arial" w:hAnsi="Arial"/>
                <w:sz w:val="18"/>
                <w:szCs w:val="18"/>
                <w:color w:val="0000FF"/>
              </w:rPr>
              <w:t>10100 SANTA MONICA BOULEVARD, SUITE 925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56"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RED MOUNTAIN PARTNERS, L.P.</w:t>
        </w:r>
      </w:hyperlink>
    </w:p>
    <w:p>
      <w:pPr>
        <w:sectPr>
          <w:pgSz w:w="11900" w:h="16856"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053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705358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6">
              <w:r>
                <w:rPr>
                  <w:rFonts w:ascii="Arial" w:cs="Arial" w:eastAsia="Arial" w:hAnsi="Arial"/>
                  <w:sz w:val="22"/>
                  <w:szCs w:val="22"/>
                  <w:color w:val="0000EE"/>
                  <w:w w:val="92"/>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$5.3700 to $5.500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2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Red Mountain partners, L.P. ("RMP"). This Form 4 is jointly filed by (i) RMP, (ii) RMCP GP LLC ("RMCP GP"), (iii) Red Mountain Capital Partners LLC ("RMCP LLC"), (iv) Red Mountain Capital Management, Inc. ("RMCM"), and (v) 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3" w:lineRule="exact"/>
        <w:rPr>
          <w:rFonts w:ascii="Arial" w:cs="Arial" w:eastAsia="Arial" w:hAnsi="Arial"/>
          <w:sz w:val="12"/>
          <w:szCs w:val="12"/>
          <w:color w:val="008000"/>
        </w:rPr>
      </w:pPr>
    </w:p>
    <w:p>
      <w:pPr>
        <w:ind w:left="20" w:right="1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$5.431to $5.550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20" w:right="1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$5.485 to $5.560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Remarks This Form 4 is jointly filed by (i) RMP, (ii) RMCP GP LLC ("RMCP GP"), (iii) Red Mountain Capital Partners LLC ("RMCP LLC"), (iv) Red Mountain Capital Management, Inc. ("RMCM"), and</w:t>
      </w:r>
    </w:p>
    <w:p>
      <w:pPr>
        <w:spacing w:after="0" w:line="23" w:lineRule="exact"/>
        <w:rPr>
          <w:sz w:val="20"/>
          <w:szCs w:val="20"/>
          <w:color w:val="auto"/>
        </w:rPr>
      </w:pPr>
    </w:p>
    <w:p>
      <w:pPr>
        <w:ind w:left="20" w:right="80" w:firstLine="9"/>
        <w:spacing w:after="0" w:line="268" w:lineRule="auto"/>
        <w:tabs>
          <w:tab w:leader="none" w:pos="21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himself and the Red Mountain</w:t>
      </w:r>
      <w:r>
        <w:rPr>
          <w:sz w:val="20"/>
          <w:szCs w:val="20"/>
          <w:color w:val="auto"/>
        </w:rPr>
        <w:tab/>
      </w:r>
      <w:r>
        <w:rPr>
          <w:rFonts w:ascii="Arial" w:cs="Arial" w:eastAsia="Arial" w:hAnsi="Arial"/>
          <w:sz w:val="15"/>
          <w:szCs w:val="15"/>
          <w:color w:val="0000FF"/>
        </w:rPr>
        <w:t>03/20/2014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360"/>
          </w:cols>
          <w:pgMar w:left="260" w:top="436" w:right="27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6"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2019-12-16T05:07:49Z</dcterms:created>
  <dcterms:modified xsi:type="dcterms:W3CDTF">2019-12-16T05:07:49Z</dcterms:modified>
</cp:coreProperties>
</file>