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1300" w:type="dxa"/>
            <w:vAlign w:val="bottom"/>
          </w:tcPr>
          <w:p>
            <w:pPr>
              <w:spacing w:after="0"/>
              <w:rPr>
                <w:sz w:val="18"/>
                <w:szCs w:val="18"/>
                <w:color w:val="auto"/>
              </w:rPr>
            </w:pPr>
          </w:p>
        </w:tc>
        <w:tc>
          <w:tcPr>
            <w:tcW w:w="3660" w:type="dxa"/>
            <w:vAlign w:val="bottom"/>
            <w:gridSpan w:val="2"/>
          </w:tcPr>
          <w:p>
            <w:pPr>
              <w:jc w:val="center"/>
              <w:ind w:right="245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gridSpan w:val="2"/>
          </w:tcPr>
          <w:p>
            <w:pPr>
              <w:jc w:val="right"/>
              <w:ind w:right="348"/>
              <w:spacing w:after="0"/>
              <w:rPr>
                <w:sz w:val="20"/>
                <w:szCs w:val="20"/>
                <w:color w:val="auto"/>
              </w:rPr>
            </w:pPr>
            <w:r>
              <w:rPr>
                <w:rFonts w:ascii="Arial" w:cs="Arial" w:eastAsia="Arial" w:hAnsi="Arial"/>
                <w:sz w:val="18"/>
                <w:szCs w:val="18"/>
                <w:b w:val="1"/>
                <w:bCs w:val="1"/>
                <w:color w:val="auto"/>
              </w:rPr>
              <w:t>04-2623104</w:t>
            </w:r>
          </w:p>
        </w:tc>
        <w:tc>
          <w:tcPr>
            <w:tcW w:w="360" w:type="dxa"/>
            <w:vAlign w:val="bottom"/>
          </w:tcPr>
          <w:p>
            <w:pPr>
              <w:spacing w:after="0"/>
              <w:rPr>
                <w:sz w:val="18"/>
                <w:szCs w:val="18"/>
                <w:color w:val="auto"/>
              </w:rPr>
            </w:pPr>
          </w:p>
        </w:tc>
      </w:tr>
      <w:tr>
        <w:trPr>
          <w:trHeight w:val="186"/>
        </w:trPr>
        <w:tc>
          <w:tcPr>
            <w:tcW w:w="4960" w:type="dxa"/>
            <w:vAlign w:val="bottom"/>
            <w:gridSpan w:val="3"/>
          </w:tcPr>
          <w:p>
            <w:pPr>
              <w:jc w:val="center"/>
              <w:ind w:right="115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680" w:type="dxa"/>
            <w:vAlign w:val="bottom"/>
            <w:gridSpan w:val="3"/>
          </w:tcPr>
          <w:p>
            <w:pPr>
              <w:jc w:val="center"/>
              <w:ind w:left="1157"/>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4960" w:type="dxa"/>
            <w:vAlign w:val="bottom"/>
            <w:gridSpan w:val="3"/>
          </w:tcPr>
          <w:p>
            <w:pPr>
              <w:jc w:val="center"/>
              <w:ind w:right="1150"/>
              <w:spacing w:after="0"/>
              <w:rPr>
                <w:sz w:val="20"/>
                <w:szCs w:val="20"/>
                <w:color w:val="auto"/>
              </w:rPr>
            </w:pPr>
            <w:r>
              <w:rPr>
                <w:rFonts w:ascii="Arial" w:cs="Arial" w:eastAsia="Arial" w:hAnsi="Arial"/>
                <w:sz w:val="18"/>
                <w:szCs w:val="18"/>
                <w:b w:val="1"/>
                <w:bCs w:val="1"/>
                <w:color w:val="auto"/>
                <w:w w:val="90"/>
              </w:rPr>
              <w:t>555 Turnpike Street</w:t>
            </w:r>
          </w:p>
        </w:tc>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5"/>
        </w:trPr>
        <w:tc>
          <w:tcPr>
            <w:tcW w:w="4960" w:type="dxa"/>
            <w:vAlign w:val="bottom"/>
            <w:gridSpan w:val="3"/>
          </w:tcPr>
          <w:p>
            <w:pPr>
              <w:jc w:val="center"/>
              <w:ind w:right="1150"/>
              <w:spacing w:after="0"/>
              <w:rPr>
                <w:sz w:val="20"/>
                <w:szCs w:val="20"/>
                <w:color w:val="auto"/>
              </w:rPr>
            </w:pPr>
            <w:r>
              <w:rPr>
                <w:rFonts w:ascii="Arial" w:cs="Arial" w:eastAsia="Arial" w:hAnsi="Arial"/>
                <w:sz w:val="18"/>
                <w:szCs w:val="18"/>
                <w:b w:val="1"/>
                <w:bCs w:val="1"/>
                <w:color w:val="auto"/>
                <w:w w:val="87"/>
              </w:rPr>
              <w:t>Canton, Massachusetts</w:t>
            </w:r>
          </w:p>
        </w:tc>
        <w:tc>
          <w:tcPr>
            <w:tcW w:w="332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02021</w:t>
            </w:r>
          </w:p>
        </w:tc>
        <w:tc>
          <w:tcPr>
            <w:tcW w:w="360" w:type="dxa"/>
            <w:vAlign w:val="bottom"/>
          </w:tcPr>
          <w:p>
            <w:pPr>
              <w:spacing w:after="0"/>
              <w:rPr>
                <w:sz w:val="19"/>
                <w:szCs w:val="19"/>
                <w:color w:val="auto"/>
              </w:rPr>
            </w:pPr>
          </w:p>
        </w:tc>
      </w:tr>
      <w:tr>
        <w:trPr>
          <w:trHeight w:val="186"/>
        </w:trPr>
        <w:tc>
          <w:tcPr>
            <w:tcW w:w="4960" w:type="dxa"/>
            <w:vAlign w:val="bottom"/>
            <w:gridSpan w:val="3"/>
          </w:tcPr>
          <w:p>
            <w:pPr>
              <w:jc w:val="center"/>
              <w:ind w:right="117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00" w:type="dxa"/>
            <w:vAlign w:val="bottom"/>
          </w:tcPr>
          <w:p>
            <w:pPr>
              <w:spacing w:after="0"/>
              <w:rPr>
                <w:sz w:val="16"/>
                <w:szCs w:val="16"/>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(Zip Code)</w:t>
            </w:r>
          </w:p>
        </w:tc>
      </w:tr>
      <w:tr>
        <w:trPr>
          <w:trHeight w:val="417"/>
        </w:trPr>
        <w:tc>
          <w:tcPr>
            <w:tcW w:w="1300" w:type="dxa"/>
            <w:vAlign w:val="bottom"/>
          </w:tcPr>
          <w:p>
            <w:pPr>
              <w:spacing w:after="0"/>
              <w:rPr>
                <w:sz w:val="24"/>
                <w:szCs w:val="24"/>
                <w:color w:val="auto"/>
              </w:rPr>
            </w:pPr>
          </w:p>
        </w:tc>
        <w:tc>
          <w:tcPr>
            <w:tcW w:w="7340" w:type="dxa"/>
            <w:vAlign w:val="bottom"/>
            <w:gridSpan w:val="5"/>
          </w:tcPr>
          <w:p>
            <w:pPr>
              <w:ind w:left="88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1300" w:type="dxa"/>
            <w:vAlign w:val="bottom"/>
          </w:tcPr>
          <w:p>
            <w:pPr>
              <w:spacing w:after="0"/>
              <w:rPr>
                <w:sz w:val="24"/>
                <w:szCs w:val="24"/>
                <w:color w:val="auto"/>
              </w:rPr>
            </w:pPr>
          </w:p>
        </w:tc>
        <w:tc>
          <w:tcPr>
            <w:tcW w:w="3660" w:type="dxa"/>
            <w:vAlign w:val="bottom"/>
            <w:gridSpan w:val="2"/>
          </w:tcPr>
          <w:p>
            <w:pPr>
              <w:jc w:val="center"/>
              <w:ind w:right="2450"/>
              <w:spacing w:after="0"/>
              <w:rPr>
                <w:sz w:val="20"/>
                <w:szCs w:val="20"/>
                <w:color w:val="auto"/>
              </w:rPr>
            </w:pPr>
            <w:r>
              <w:rPr>
                <w:rFonts w:ascii="Arial" w:cs="Arial" w:eastAsia="Arial" w:hAnsi="Arial"/>
                <w:sz w:val="14"/>
                <w:szCs w:val="14"/>
                <w:b w:val="1"/>
                <w:bCs w:val="1"/>
                <w:color w:val="auto"/>
                <w:w w:val="89"/>
              </w:rPr>
              <w:t>Title of each class</w:t>
            </w:r>
          </w:p>
        </w:tc>
        <w:tc>
          <w:tcPr>
            <w:tcW w:w="3680" w:type="dxa"/>
            <w:vAlign w:val="bottom"/>
            <w:gridSpan w:val="3"/>
          </w:tcPr>
          <w:p>
            <w:pPr>
              <w:jc w:val="center"/>
              <w:ind w:left="1157"/>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3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so registered</w:t>
            </w:r>
          </w:p>
        </w:tc>
        <w:tc>
          <w:tcPr>
            <w:tcW w:w="2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360" w:type="dxa"/>
            <w:vAlign w:val="bottom"/>
          </w:tcPr>
          <w:p>
            <w:pPr>
              <w:spacing w:after="0"/>
              <w:rPr>
                <w:sz w:val="14"/>
                <w:szCs w:val="14"/>
                <w:color w:val="auto"/>
              </w:rPr>
            </w:pPr>
          </w:p>
        </w:tc>
      </w:tr>
      <w:tr>
        <w:trPr>
          <w:trHeight w:val="228"/>
        </w:trPr>
        <w:tc>
          <w:tcPr>
            <w:tcW w:w="2420" w:type="dxa"/>
            <w:vAlign w:val="bottom"/>
            <w:gridSpan w:val="2"/>
          </w:tcPr>
          <w:p>
            <w:pPr>
              <w:ind w:left="240"/>
              <w:spacing w:after="0"/>
              <w:rPr>
                <w:sz w:val="20"/>
                <w:szCs w:val="20"/>
                <w:color w:val="auto"/>
              </w:rPr>
            </w:pPr>
            <w:r>
              <w:rPr>
                <w:rFonts w:ascii="Arial" w:cs="Arial" w:eastAsia="Arial" w:hAnsi="Arial"/>
                <w:sz w:val="18"/>
                <w:szCs w:val="18"/>
                <w:b w:val="1"/>
                <w:bCs w:val="1"/>
                <w:color w:val="auto"/>
                <w:w w:val="91"/>
              </w:rPr>
              <w:t>Common Stock, par value $</w:t>
            </w:r>
          </w:p>
        </w:tc>
        <w:tc>
          <w:tcPr>
            <w:tcW w:w="2540" w:type="dxa"/>
            <w:vAlign w:val="bottom"/>
          </w:tcPr>
          <w:p>
            <w:pPr>
              <w:spacing w:after="0"/>
              <w:rPr>
                <w:sz w:val="20"/>
                <w:szCs w:val="20"/>
                <w:color w:val="auto"/>
              </w:rPr>
            </w:pPr>
            <w:r>
              <w:rPr>
                <w:rFonts w:ascii="Arial" w:cs="Arial" w:eastAsia="Arial" w:hAnsi="Arial"/>
                <w:sz w:val="18"/>
                <w:szCs w:val="18"/>
                <w:b w:val="1"/>
                <w:bCs w:val="1"/>
                <w:color w:val="auto"/>
              </w:rPr>
              <w:t>0.01 per share</w:t>
            </w:r>
          </w:p>
        </w:tc>
        <w:tc>
          <w:tcPr>
            <w:tcW w:w="3680" w:type="dxa"/>
            <w:vAlign w:val="bottom"/>
            <w:gridSpan w:val="3"/>
          </w:tcPr>
          <w:p>
            <w:pPr>
              <w:jc w:val="center"/>
              <w:ind w:left="1157"/>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or Regulation A offering statement file number to which this form relates (if applicable): </w:t>
      </w:r>
      <w:r>
        <w:rPr>
          <w:rFonts w:ascii="Arial" w:cs="Arial" w:eastAsia="Arial" w:hAnsi="Arial"/>
          <w:sz w:val="18"/>
          <w:szCs w:val="18"/>
          <w:b w:val="1"/>
          <w:bCs w:val="1"/>
          <w:color w:val="auto"/>
        </w:rPr>
        <w:t>N/A</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00" w:lineRule="exact"/>
        <w:rPr>
          <w:sz w:val="24"/>
          <w:szCs w:val="24"/>
          <w:color w:val="auto"/>
        </w:rPr>
      </w:pPr>
    </w:p>
    <w:p>
      <w:pPr>
        <w:spacing w:after="0" w:line="23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left="4" w:right="760" w:firstLine="440"/>
        <w:spacing w:after="0" w:line="277" w:lineRule="auto"/>
        <w:rPr>
          <w:sz w:val="20"/>
          <w:szCs w:val="20"/>
          <w:color w:val="auto"/>
        </w:rPr>
      </w:pPr>
      <w:r>
        <w:rPr>
          <w:rFonts w:ascii="Arial" w:cs="Arial" w:eastAsia="Arial" w:hAnsi="Arial"/>
          <w:sz w:val="18"/>
          <w:szCs w:val="18"/>
          <w:color w:val="auto"/>
        </w:rPr>
        <w:t>This registration statement relates to the registration of the common stock, par value $0.01 per share, of Destination XL Group,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Description of Common Stock</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is currently authorized to issue up to 125,000,000 shares of common stock, par value $0.01 per share.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Subject to the prior rights of any series of preferred stock, which may from time to time be outstanding, the holders of our common stock are entitled to receive such dividends, if any, as may be declared from time to time by our board of directors out of legally available funds.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4" w:right="20"/>
        <w:spacing w:after="0" w:line="296" w:lineRule="auto"/>
        <w:rPr>
          <w:sz w:val="20"/>
          <w:szCs w:val="20"/>
          <w:color w:val="auto"/>
        </w:rPr>
      </w:pPr>
      <w:r>
        <w:rPr>
          <w:rFonts w:ascii="Arial" w:cs="Arial" w:eastAsia="Arial" w:hAnsi="Arial"/>
          <w:sz w:val="16"/>
          <w:szCs w:val="16"/>
          <w:color w:val="auto"/>
        </w:rPr>
        <w:t>Each holder of our common stock is entitled to one vote per share on all matters submitted to a vote of stockholders. Generally, a matter submitted for stockholder action shall be approved if the votes cast “for” the matter exceed the votes cast “against” such matter, unless a greater or different vote is required by statute, any applicable law or regulation, or our Restated Certificate of Incorporation, as amended to date (our “Charter”) or our Fourth Amended and Restated By-Laws, as amended to date (our “By-Laws”). Other than in a contested election where directors are elected by a plurality vote, a director nominee shall be elected to the board by the majority of the votes properly cast at a meeting of stockholders at which a quorum is present.</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jc w:val="both"/>
        <w:ind w:left="4" w:right="40"/>
        <w:spacing w:after="0" w:line="286" w:lineRule="auto"/>
        <w:rPr>
          <w:sz w:val="20"/>
          <w:szCs w:val="20"/>
          <w:color w:val="auto"/>
        </w:rPr>
      </w:pPr>
      <w:r>
        <w:rPr>
          <w:rFonts w:ascii="Arial" w:cs="Arial" w:eastAsia="Arial" w:hAnsi="Arial"/>
          <w:sz w:val="17"/>
          <w:szCs w:val="17"/>
          <w:color w:val="auto"/>
        </w:rPr>
        <w:t>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Restrictions on Alienability of Common Stock</w:t>
      </w:r>
    </w:p>
    <w:p>
      <w:pPr>
        <w:spacing w:after="0" w:line="117"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Our Charter contains provisions that generally restrict any person or entity from attempting to purchase our stock, without prior permission from the board of directors, to the extent that such transfer would (i) create or result in an individual or entity becoming a five-percent shareholder of our stock, or</w:t>
      </w:r>
    </w:p>
    <w:p>
      <w:pPr>
        <w:ind w:left="4" w:right="60" w:hanging="4"/>
        <w:spacing w:after="0" w:line="253" w:lineRule="auto"/>
        <w:tabs>
          <w:tab w:leader="none" w:pos="269"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By requiring prior permission from the board of directors, this restriction attempts to prevent certain future transfers of our capital stock that could adversely affect our ability to utilize our net operating loss carryforwards to reduce our federal income taxes.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Provisions of our Charter and By-Laws That May Have Anti-Takeover Effects</w:t>
      </w:r>
    </w:p>
    <w:p>
      <w:pPr>
        <w:spacing w:after="0" w:line="117"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Special Meetings of Stockholders. Our By-Laws provide that, except as otherwise required by law and subject to the rights, if any, of the holders of any series of preferred stock, only our board of directors may call a special meeting of stockholders.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 w:name="page3"/>
    <w:bookmarkEnd w:id="2"/>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Advance Notice of Director Nominations and Stockholder Proposals. Our By-Laws include advance notice and informational requirements and time limitations on any director nomination or any new proposal, which a stockholder wishes to make at an annual meeting of stockholders. Generally, a stockholder’s notice of a director nomination or proposal will be timely if delivered to our corporate secretary at our principal executive offices not later than the close of business on the 90th day nor earlier than the close of business on the 120th day prior to the first anniversary of the preceding year’s annual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Company are registered on The Nasdaq Stock Market LLC and the securities registered hereby are not being registered pursuant to Section 12(g) of the Securities Exchange Act of 1934, as amended.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DESTINATION XL GROUP,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Peter H. Stratton, Jr.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and Treasurer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7, 2021</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2021-09-07T06:28:22Z</dcterms:created>
  <dcterms:modified xsi:type="dcterms:W3CDTF">2021-09-07T06:28:22Z</dcterms:modified>
</cp:coreProperties>
</file>