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Bauza Carmen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02/05/2024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02/05/2024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4.16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37,838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pursuant to the Director's elected form of compensation for quarterly annual retainer.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Molloy, Attorney-in-Fact for Carmen R. Bauza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79173" TargetMode="External"/><Relationship Id="rId4" Type="http://schemas.openxmlformats.org/officeDocument/2006/relationships/hyperlink" Target="http://www.sec.gov/cgi-bin/browse-edgar?action=getcompany&amp;CIK=000081329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578</Words>
  <Characters>3161</Characters>
  <CharactersWithSpaces>3679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