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360"/>
          </w:cols>
          <w:pgMar w:left="240" w:top="230" w:right="299" w:bottom="1440" w:gutter="0" w:footer="0" w:header="0"/>
        </w:sectPr>
      </w:pPr>
    </w:p>
    <w:p>
      <w:pPr>
        <w:spacing w:after="0" w:line="60" w:lineRule="exact"/>
        <w:rPr>
          <w:sz w:val="24"/>
          <w:szCs w:val="24"/>
          <w:color w:val="auto"/>
        </w:rPr>
      </w:pPr>
    </w:p>
    <w:p>
      <w:pPr>
        <w:jc w:val="center"/>
        <w:ind w:right="900"/>
        <w:spacing w:after="0"/>
        <w:rPr>
          <w:sz w:val="20"/>
          <w:szCs w:val="20"/>
          <w:color w:val="auto"/>
        </w:rPr>
      </w:pPr>
      <w:r>
        <w:rPr>
          <w:rFonts w:ascii="Arial" w:cs="Arial" w:eastAsia="Arial" w:hAnsi="Arial"/>
          <w:sz w:val="15"/>
          <w:szCs w:val="15"/>
          <w:b w:val="1"/>
          <w:bCs w:val="1"/>
          <w:color w:val="auto"/>
        </w:rPr>
        <w:t>For the fiscal year ended January 30, 2010</w:t>
      </w:r>
    </w:p>
    <w:p>
      <w:pPr>
        <w:spacing w:after="0" w:line="56"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(Fiscal 2009)</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Commission File Number 01-34219</w:t>
      </w:r>
    </w:p>
    <w:p>
      <w:pPr>
        <w:spacing w:after="0" w:line="311" w:lineRule="exact"/>
        <w:rPr>
          <w:sz w:val="24"/>
          <w:szCs w:val="24"/>
          <w:color w:val="auto"/>
        </w:rPr>
      </w:pPr>
    </w:p>
    <w:p>
      <w:pPr>
        <w:sectPr>
          <w:pgSz w:w="11900" w:h="16838" w:orient="portrait"/>
          <w:cols w:equalWidth="0" w:num="2">
            <w:col w:w="6640" w:space="720"/>
            <w:col w:w="4000"/>
          </w:cols>
          <w:pgMar w:left="240" w:top="230" w:right="299" w:bottom="1440" w:gutter="0" w:footer="0" w:header="0"/>
          <w:type w:val="continuous"/>
        </w:sectPr>
      </w:pPr>
    </w:p>
    <w:p>
      <w:pPr>
        <w:jc w:val="center"/>
        <w:ind w:right="-7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500" w:type="dxa"/>
            <w:vAlign w:val="bottom"/>
          </w:tcPr>
          <w:p>
            <w:pPr>
              <w:jc w:val="right"/>
              <w:ind w:right="482"/>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500" w:type="dxa"/>
            <w:vAlign w:val="bottom"/>
          </w:tcPr>
          <w:p>
            <w:pPr>
              <w:jc w:val="center"/>
              <w:ind w:left="346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47"/>
        </w:trPr>
        <w:tc>
          <w:tcPr>
            <w:tcW w:w="25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incorporation or organization)</w:t>
            </w:r>
          </w:p>
        </w:tc>
        <w:tc>
          <w:tcPr>
            <w:tcW w:w="5500" w:type="dxa"/>
            <w:vAlign w:val="bottom"/>
          </w:tcPr>
          <w:p>
            <w:pPr>
              <w:spacing w:after="0"/>
              <w:rPr>
                <w:sz w:val="12"/>
                <w:szCs w:val="12"/>
                <w:color w:val="auto"/>
              </w:rPr>
            </w:pPr>
          </w:p>
        </w:tc>
      </w:t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500" w:type="dxa"/>
            <w:vAlign w:val="bottom"/>
          </w:tcPr>
          <w:p>
            <w:pPr>
              <w:jc w:val="right"/>
              <w:ind w:right="682"/>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500" w:type="dxa"/>
            <w:vAlign w:val="bottom"/>
          </w:tcPr>
          <w:p>
            <w:pPr>
              <w:jc w:val="center"/>
              <w:ind w:left="3482"/>
              <w:spacing w:after="0"/>
              <w:rPr>
                <w:sz w:val="20"/>
                <w:szCs w:val="20"/>
                <w:color w:val="auto"/>
              </w:rPr>
            </w:pPr>
            <w:r>
              <w:rPr>
                <w:rFonts w:ascii="Arial" w:cs="Arial" w:eastAsia="Arial" w:hAnsi="Arial"/>
                <w:sz w:val="14"/>
                <w:szCs w:val="14"/>
                <w:b w:val="1"/>
                <w:bCs w:val="1"/>
                <w:color w:val="auto"/>
                <w:w w:val="89"/>
              </w:rPr>
              <w:t>(Zip Code)</w:t>
            </w:r>
          </w:p>
        </w:tc>
      </w:tr>
      <w:tr>
        <w:trPr>
          <w:trHeight w:val="271"/>
        </w:trPr>
        <w:tc>
          <w:tcPr>
            <w:tcW w:w="2560" w:type="dxa"/>
            <w:vAlign w:val="bottom"/>
          </w:tcPr>
          <w:p>
            <w:pPr>
              <w:spacing w:after="0"/>
              <w:rPr>
                <w:sz w:val="23"/>
                <w:szCs w:val="23"/>
                <w:color w:val="auto"/>
              </w:rPr>
            </w:pPr>
          </w:p>
        </w:tc>
        <w:tc>
          <w:tcPr>
            <w:tcW w:w="5500" w:type="dxa"/>
            <w:vAlign w:val="bottom"/>
          </w:tcPr>
          <w:p>
            <w:pPr>
              <w:jc w:val="right"/>
              <w:ind w:right="3322"/>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500" w:type="dxa"/>
            <w:vAlign w:val="bottom"/>
          </w:tcPr>
          <w:p>
            <w:pPr>
              <w:jc w:val="center"/>
              <w:ind w:right="232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6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7"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180" w:type="dxa"/>
            <w:vAlign w:val="bottom"/>
            <w:gridSpan w:val="2"/>
          </w:tcPr>
          <w:p>
            <w:pPr>
              <w:jc w:val="center"/>
              <w:ind w:right="1032"/>
              <w:spacing w:after="0"/>
              <w:rPr>
                <w:sz w:val="20"/>
                <w:szCs w:val="20"/>
                <w:color w:val="auto"/>
              </w:rPr>
            </w:pPr>
            <w:r>
              <w:rPr>
                <w:rFonts w:ascii="Arial" w:cs="Arial" w:eastAsia="Arial" w:hAnsi="Arial"/>
                <w:sz w:val="14"/>
                <w:szCs w:val="14"/>
                <w:b w:val="1"/>
                <w:bCs w:val="1"/>
                <w:color w:val="auto"/>
                <w:w w:val="84"/>
              </w:rPr>
              <w:t>Title of each class</w:t>
            </w:r>
          </w:p>
        </w:tc>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195"/>
        </w:trPr>
        <w:tc>
          <w:tcPr>
            <w:tcW w:w="1880" w:type="dxa"/>
            <w:vAlign w:val="bottom"/>
          </w:tcPr>
          <w:p>
            <w:pPr>
              <w:ind w:left="1200"/>
              <w:spacing w:after="0" w:line="195" w:lineRule="exact"/>
              <w:rPr>
                <w:sz w:val="20"/>
                <w:szCs w:val="20"/>
                <w:color w:val="auto"/>
              </w:rPr>
            </w:pPr>
            <w:r>
              <w:rPr>
                <w:rFonts w:ascii="Arial" w:cs="Arial" w:eastAsia="Arial" w:hAnsi="Arial"/>
                <w:sz w:val="18"/>
                <w:szCs w:val="18"/>
                <w:b w:val="1"/>
                <w:bCs w:val="1"/>
                <w:color w:val="auto"/>
                <w:w w:val="84"/>
              </w:rPr>
              <w:t>Common</w:t>
            </w: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6"/>
              </w:rPr>
              <w:t>Stock, $0.01</w:t>
            </w:r>
          </w:p>
        </w:tc>
        <w:tc>
          <w:tcPr>
            <w:tcW w:w="1100" w:type="dxa"/>
            <w:vAlign w:val="bottom"/>
          </w:tcPr>
          <w:p>
            <w:pPr>
              <w:spacing w:after="0" w:line="195" w:lineRule="exact"/>
              <w:rPr>
                <w:sz w:val="20"/>
                <w:szCs w:val="20"/>
                <w:color w:val="auto"/>
              </w:rPr>
            </w:pPr>
            <w:r>
              <w:rPr>
                <w:rFonts w:ascii="Arial" w:cs="Arial" w:eastAsia="Arial" w:hAnsi="Arial"/>
                <w:sz w:val="18"/>
                <w:szCs w:val="18"/>
                <w:b w:val="1"/>
                <w:bCs w:val="1"/>
                <w:color w:val="auto"/>
              </w:rPr>
              <w:t>par value</w:t>
            </w:r>
          </w:p>
        </w:tc>
        <w:tc>
          <w:tcPr>
            <w:tcW w:w="2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6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b w:val="1"/>
                <w:bCs w:val="1"/>
                <w:color w:val="auto"/>
                <w:w w:val="93"/>
              </w:rPr>
              <w:t>The NASDAQ Stock Market, LLC</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60" w:type="dxa"/>
            <w:vAlign w:val="bottom"/>
            <w:gridSpan w:val="3"/>
          </w:tcPr>
          <w:p>
            <w:pPr>
              <w:jc w:val="center"/>
              <w:ind w:left="672"/>
              <w:spacing w:after="0"/>
              <w:rPr>
                <w:sz w:val="20"/>
                <w:szCs w:val="20"/>
                <w:color w:val="auto"/>
              </w:rPr>
            </w:pPr>
            <w:r>
              <w:rPr>
                <w:rFonts w:ascii="Arial" w:cs="Arial" w:eastAsia="Arial" w:hAnsi="Arial"/>
                <w:sz w:val="18"/>
                <w:szCs w:val="18"/>
                <w:b w:val="1"/>
                <w:bCs w:val="1"/>
                <w:color w:val="auto"/>
                <w:w w:val="87"/>
              </w:rPr>
              <w:t>Preferred Stock Purchase Rights</w:t>
            </w:r>
          </w:p>
        </w:tc>
        <w:tc>
          <w:tcPr>
            <w:tcW w:w="2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80" w:type="dxa"/>
            <w:vAlign w:val="bottom"/>
            <w:gridSpan w:val="4"/>
          </w:tcPr>
          <w:p>
            <w:pPr>
              <w:jc w:val="center"/>
              <w:ind w:right="802"/>
              <w:spacing w:after="0"/>
              <w:rPr>
                <w:sz w:val="20"/>
                <w:szCs w:val="20"/>
                <w:color w:val="auto"/>
              </w:rPr>
            </w:pPr>
            <w:r>
              <w:rPr>
                <w:rFonts w:ascii="Arial" w:cs="Arial" w:eastAsia="Arial" w:hAnsi="Arial"/>
                <w:sz w:val="18"/>
                <w:szCs w:val="18"/>
                <w:color w:val="auto"/>
                <w:w w:val="88"/>
              </w:rPr>
              <w:t>Securities registered pursuant to Section 12(g) of the Act:</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380" w:type="dxa"/>
            <w:vAlign w:val="bottom"/>
            <w:gridSpan w:val="3"/>
          </w:tcPr>
          <w:p>
            <w:pPr>
              <w:jc w:val="center"/>
              <w:ind w:right="1922"/>
              <w:spacing w:after="0"/>
              <w:rPr>
                <w:sz w:val="20"/>
                <w:szCs w:val="20"/>
                <w:color w:val="auto"/>
              </w:rPr>
            </w:pPr>
            <w:r>
              <w:rPr>
                <w:rFonts w:ascii="Arial" w:cs="Arial" w:eastAsia="Arial" w:hAnsi="Arial"/>
                <w:sz w:val="18"/>
                <w:szCs w:val="18"/>
                <w:b w:val="1"/>
                <w:bCs w:val="1"/>
                <w:color w:val="auto"/>
                <w:w w:val="84"/>
              </w:rPr>
              <w:t>None</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380" w:type="dxa"/>
            <w:vAlign w:val="bottom"/>
            <w:gridSpan w:val="3"/>
          </w:tcPr>
          <w:p>
            <w:pPr>
              <w:jc w:val="center"/>
              <w:ind w:right="1902"/>
              <w:spacing w:after="0"/>
              <w:rPr>
                <w:sz w:val="20"/>
                <w:szCs w:val="20"/>
                <w:color w:val="auto"/>
              </w:rPr>
            </w:pPr>
            <w:r>
              <w:rPr>
                <w:rFonts w:ascii="Arial" w:cs="Arial" w:eastAsia="Arial" w:hAnsi="Arial"/>
                <w:sz w:val="18"/>
                <w:szCs w:val="18"/>
                <w:i w:val="1"/>
                <w:iCs w:val="1"/>
                <w:color w:val="auto"/>
                <w:w w:val="89"/>
              </w:rPr>
              <w:t>(Title of Class)</w:t>
            </w: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060" w:type="dxa"/>
            <w:vAlign w:val="bottom"/>
            <w:gridSpan w:val="3"/>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2000" w:type="dxa"/>
            <w:vAlign w:val="bottom"/>
            <w:gridSpan w:val="2"/>
          </w:tcPr>
          <w:p>
            <w:pPr>
              <w:spacing w:after="0"/>
              <w:rPr>
                <w:sz w:val="14"/>
                <w:szCs w:val="14"/>
                <w:color w:val="auto"/>
              </w:rPr>
            </w:pPr>
          </w:p>
        </w:tc>
        <w:tc>
          <w:tcPr>
            <w:tcW w:w="68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44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4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16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230" w:right="299" w:bottom="1440" w:gutter="0" w:footer="0" w:header="0"/>
          <w:type w:val="continuous"/>
        </w:sectPr>
      </w:pPr>
    </w:p>
    <w:p>
      <w:pPr>
        <w:spacing w:after="0" w:line="33" w:lineRule="exact"/>
        <w:rPr>
          <w:sz w:val="24"/>
          <w:szCs w:val="24"/>
          <w:color w:val="auto"/>
        </w:rPr>
      </w:pPr>
    </w:p>
    <w:p>
      <w:pPr>
        <w:spacing w:after="0" w:line="334"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jc w:val="both"/>
        <w:ind w:firstLine="1"/>
        <w:spacing w:after="0" w:line="227" w:lineRule="exact"/>
        <w:rPr>
          <w:sz w:val="20"/>
          <w:szCs w:val="20"/>
          <w:color w:val="auto"/>
        </w:rPr>
      </w:pPr>
      <w:r>
        <w:rPr>
          <w:rFonts w:ascii="MS PGothic" w:cs="MS PGothic" w:eastAsia="MS PGothic" w:hAnsi="MS PGothic"/>
          <w:sz w:val="15"/>
          <w:szCs w:val="15"/>
          <w:color w:val="auto"/>
        </w:rPr>
        <w:t>☐ ☐</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1580" w:space="80"/>
            <w:col w:w="160" w:space="60"/>
            <w:col w:w="4480" w:space="720"/>
            <w:col w:w="1920" w:space="100"/>
            <w:col w:w="2260"/>
          </w:cols>
          <w:pgMar w:left="240" w:top="230" w:right="299" w:bottom="1440" w:gutter="0" w:footer="0" w:header="0"/>
          <w:type w:val="continuous"/>
        </w:sect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3" w:lineRule="exact"/>
        <w:rPr>
          <w:sz w:val="24"/>
          <w:szCs w:val="24"/>
          <w:color w:val="auto"/>
        </w:rPr>
      </w:pPr>
    </w:p>
    <w:p>
      <w:pPr>
        <w:ind w:right="40" w:firstLine="456"/>
        <w:spacing w:after="0" w:line="256" w:lineRule="auto"/>
        <w:rPr>
          <w:sz w:val="20"/>
          <w:szCs w:val="20"/>
          <w:color w:val="auto"/>
        </w:rPr>
      </w:pPr>
      <w:r>
        <w:rPr>
          <w:rFonts w:ascii="Arial" w:cs="Arial" w:eastAsia="Arial" w:hAnsi="Arial"/>
          <w:sz w:val="18"/>
          <w:szCs w:val="18"/>
          <w:color w:val="auto"/>
        </w:rPr>
        <w:t>As of August 1, 2009, the aggregate market value of the Common Stock held by non-affiliates of the registrant was approximately $62.3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6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registrant had 47,171,696 shares of Common Stock, $0.01 par value, outstanding as of March 10, 2010.</w:t>
      </w:r>
    </w:p>
    <w:p>
      <w:pPr>
        <w:spacing w:after="0" w:line="8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Portions of the Proxy Statement for the 2010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80" w:type="dxa"/>
            <w:vAlign w:val="bottom"/>
            <w:gridSpan w:val="19"/>
          </w:tcPr>
          <w:p>
            <w:pPr>
              <w:jc w:val="center"/>
              <w:ind w:right="3760"/>
              <w:spacing w:after="0"/>
              <w:rPr>
                <w:sz w:val="20"/>
                <w:szCs w:val="20"/>
                <w:color w:val="auto"/>
              </w:rPr>
            </w:pPr>
            <w:r>
              <w:rPr>
                <w:rFonts w:ascii="Arial" w:cs="Arial" w:eastAsia="Arial" w:hAnsi="Arial"/>
                <w:sz w:val="18"/>
                <w:szCs w:val="18"/>
                <w:b w:val="1"/>
                <w:bCs w:val="1"/>
                <w:color w:val="auto"/>
                <w:w w:val="98"/>
              </w:rPr>
              <w:t>CASUAL MALE RETAIL GROUP, INC.</w:t>
            </w:r>
          </w:p>
        </w:tc>
        <w:tc>
          <w:tcPr>
            <w:tcW w:w="280" w:type="dxa"/>
            <w:vAlign w:val="bottom"/>
          </w:tcPr>
          <w:p>
            <w:pPr>
              <w:spacing w:after="0"/>
              <w:rPr>
                <w:sz w:val="19"/>
                <w:szCs w:val="19"/>
                <w:color w:val="auto"/>
              </w:rPr>
            </w:pPr>
          </w:p>
        </w:tc>
      </w:tr>
      <w:tr>
        <w:trPr>
          <w:trHeight w:val="178"/>
        </w:trPr>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76"/>
        </w:trPr>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80" w:type="dxa"/>
            <w:vAlign w:val="bottom"/>
            <w:gridSpan w:val="19"/>
          </w:tcPr>
          <w:p>
            <w:pPr>
              <w:jc w:val="center"/>
              <w:ind w:right="3780"/>
              <w:spacing w:after="0"/>
              <w:rPr>
                <w:sz w:val="20"/>
                <w:szCs w:val="20"/>
                <w:color w:val="auto"/>
              </w:rPr>
            </w:pPr>
            <w:r>
              <w:rPr>
                <w:rFonts w:ascii="Arial" w:cs="Arial" w:eastAsia="Arial" w:hAnsi="Arial"/>
                <w:sz w:val="18"/>
                <w:szCs w:val="18"/>
                <w:b w:val="1"/>
                <w:bCs w:val="1"/>
                <w:color w:val="auto"/>
                <w:w w:val="90"/>
              </w:rPr>
              <w:t>Index to Annual Report on Form 10-K</w:t>
            </w:r>
          </w:p>
        </w:tc>
        <w:tc>
          <w:tcPr>
            <w:tcW w:w="280" w:type="dxa"/>
            <w:vAlign w:val="bottom"/>
          </w:tcPr>
          <w:p>
            <w:pPr>
              <w:spacing w:after="0"/>
              <w:rPr>
                <w:sz w:val="24"/>
                <w:szCs w:val="24"/>
                <w:color w:val="auto"/>
              </w:rPr>
            </w:pPr>
          </w:p>
        </w:tc>
      </w:tr>
      <w:tr>
        <w:trPr>
          <w:trHeight w:val="228"/>
        </w:trPr>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20" w:type="dxa"/>
            <w:vAlign w:val="bottom"/>
            <w:gridSpan w:val="17"/>
          </w:tcPr>
          <w:p>
            <w:pPr>
              <w:jc w:val="center"/>
              <w:ind w:right="4240"/>
              <w:spacing w:after="0"/>
              <w:rPr>
                <w:sz w:val="20"/>
                <w:szCs w:val="20"/>
                <w:color w:val="auto"/>
              </w:rPr>
            </w:pPr>
            <w:r>
              <w:rPr>
                <w:rFonts w:ascii="Arial" w:cs="Arial" w:eastAsia="Arial" w:hAnsi="Arial"/>
                <w:sz w:val="18"/>
                <w:szCs w:val="18"/>
                <w:b w:val="1"/>
                <w:bCs w:val="1"/>
                <w:color w:val="auto"/>
                <w:w w:val="89"/>
              </w:rPr>
              <w:t>Year Ended January 30, 2010</w:t>
            </w:r>
          </w:p>
        </w:tc>
        <w:tc>
          <w:tcPr>
            <w:tcW w:w="280" w:type="dxa"/>
            <w:vAlign w:val="bottom"/>
          </w:tcPr>
          <w:p>
            <w:pPr>
              <w:spacing w:after="0"/>
              <w:rPr>
                <w:sz w:val="19"/>
                <w:szCs w:val="19"/>
                <w:color w:val="auto"/>
              </w:rPr>
            </w:pPr>
          </w:p>
        </w:tc>
      </w:tr>
      <w:tr>
        <w:trPr>
          <w:trHeight w:val="353"/>
        </w:trPr>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40" w:type="dxa"/>
            <w:vAlign w:val="bottom"/>
            <w:gridSpan w:val="11"/>
          </w:tcPr>
          <w:p>
            <w:pPr>
              <w:jc w:val="center"/>
              <w:ind w:right="478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280" w:type="dxa"/>
            <w:vAlign w:val="bottom"/>
          </w:tcPr>
          <w:p>
            <w:pPr>
              <w:spacing w:after="0"/>
              <w:rPr>
                <w:sz w:val="24"/>
                <w:szCs w:val="24"/>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45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60" w:type="dxa"/>
            <w:vAlign w:val="bottom"/>
            <w:tcBorders>
              <w:top w:val="single" w:sz="8" w:color="0000EE"/>
            </w:tcBorders>
          </w:tcPr>
          <w:p>
            <w:pPr>
              <w:spacing w:after="0"/>
              <w:rPr>
                <w:sz w:val="24"/>
                <w:szCs w:val="24"/>
                <w:color w:val="auto"/>
              </w:rPr>
            </w:pPr>
          </w:p>
        </w:tc>
        <w:tc>
          <w:tcPr>
            <w:tcW w:w="478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Risk Factors</w:t>
              </w:r>
            </w:hyperlink>
          </w:p>
        </w:tc>
        <w:tc>
          <w:tcPr>
            <w:tcW w:w="9020" w:type="dxa"/>
            <w:vAlign w:val="bottom"/>
            <w:gridSpan w:val="2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Unresolved Staff Comments</w:t>
              </w:r>
            </w:hyperlink>
          </w:p>
        </w:tc>
        <w:tc>
          <w:tcPr>
            <w:tcW w:w="7900" w:type="dxa"/>
            <w:vAlign w:val="bottom"/>
            <w:gridSpan w:val="2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9900" w:type="dxa"/>
            <w:vAlign w:val="bottom"/>
            <w:gridSpan w:val="3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24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Legal Proceedings</w:t>
              </w:r>
            </w:hyperlink>
          </w:p>
        </w:tc>
        <w:tc>
          <w:tcPr>
            <w:tcW w:w="8600" w:type="dxa"/>
            <w:vAlign w:val="bottom"/>
            <w:gridSpan w:val="2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9900" w:type="dxa"/>
            <w:vAlign w:val="bottom"/>
            <w:gridSpan w:val="3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Reserved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2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9"/>
              </w:rPr>
            </w:pPr>
            <w:hyperlink w:anchor="page27">
              <w:r>
                <w:rPr>
                  <w:rFonts w:ascii="Arial" w:cs="Arial" w:eastAsia="Arial" w:hAnsi="Arial"/>
                  <w:sz w:val="18"/>
                  <w:szCs w:val="18"/>
                  <w:b w:val="1"/>
                  <w:bCs w:val="1"/>
                  <w:color w:val="0000EE"/>
                  <w:w w:val="99"/>
                </w:rPr>
                <w:t>PART II</w:t>
              </w:r>
            </w:hyperlink>
          </w:p>
        </w:tc>
        <w:tc>
          <w:tcPr>
            <w:tcW w:w="474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30"/>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Market for Registrant’s Common Equity, Related Stockholder Matters and Issuer Purchases of Equity Securities</w:t>
              </w:r>
            </w:hyperlink>
          </w:p>
        </w:tc>
        <w:tc>
          <w:tcPr>
            <w:tcW w:w="20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6.</w:t>
            </w:r>
          </w:p>
        </w:tc>
        <w:tc>
          <w:tcPr>
            <w:tcW w:w="9900" w:type="dxa"/>
            <w:vAlign w:val="bottom"/>
            <w:gridSpan w:val="3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Selected Financial Data</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2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7.</w:t>
            </w:r>
          </w:p>
        </w:tc>
        <w:tc>
          <w:tcPr>
            <w:tcW w:w="9900" w:type="dxa"/>
            <w:vAlign w:val="bottom"/>
            <w:gridSpan w:val="3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w:t>
              </w:r>
            </w:hyperlink>
            <w:r>
              <w:rPr>
                <w:rFonts w:ascii="Arial" w:cs="Arial" w:eastAsia="Arial" w:hAnsi="Arial"/>
                <w:sz w:val="18"/>
                <w:szCs w:val="18"/>
                <w:color w:val="000000"/>
              </w:rPr>
              <w:t>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7A.</w:t>
            </w:r>
          </w:p>
        </w:tc>
        <w:tc>
          <w:tcPr>
            <w:tcW w:w="6220" w:type="dxa"/>
            <w:vAlign w:val="bottom"/>
            <w:tcBorders>
              <w:top w:val="single" w:sz="8" w:color="0000EE"/>
            </w:tcBorders>
            <w:gridSpan w:val="2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36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Financial Statements and Supplementary Data</w:t>
              </w:r>
            </w:hyperlink>
          </w:p>
        </w:tc>
        <w:tc>
          <w:tcPr>
            <w:tcW w:w="566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12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28"/>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Changes in and Disagreements with Accountants on Accounting and Financial Disclosure</w:t>
              </w:r>
            </w:hyperlink>
          </w:p>
        </w:tc>
        <w:tc>
          <w:tcPr>
            <w:tcW w:w="358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9A.</w:t>
            </w:r>
          </w:p>
        </w:tc>
        <w:tc>
          <w:tcPr>
            <w:tcW w:w="9900" w:type="dxa"/>
            <w:vAlign w:val="bottom"/>
            <w:gridSpan w:val="31"/>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Other Information</w:t>
              </w:r>
            </w:hyperlink>
          </w:p>
        </w:tc>
        <w:tc>
          <w:tcPr>
            <w:tcW w:w="8180" w:type="dxa"/>
            <w:vAlign w:val="bottom"/>
            <w:gridSpan w:val="2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04"/>
        </w:trPr>
        <w:tc>
          <w:tcPr>
            <w:tcW w:w="12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PART III</w:t>
              </w:r>
            </w:hyperlink>
          </w:p>
        </w:tc>
        <w:tc>
          <w:tcPr>
            <w:tcW w:w="470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Directors, Executive Officers and Corporate Governance</w:t>
              </w:r>
            </w:hyperlink>
          </w:p>
        </w:tc>
        <w:tc>
          <w:tcPr>
            <w:tcW w:w="590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75">
              <w:r>
                <w:rPr>
                  <w:rFonts w:ascii="Arial" w:cs="Arial" w:eastAsia="Arial" w:hAnsi="Arial"/>
                  <w:sz w:val="18"/>
                  <w:szCs w:val="18"/>
                  <w:color w:val="0000EE"/>
                  <w:w w:val="87"/>
                </w:rPr>
                <w:t>Executive Compensation</w:t>
              </w:r>
            </w:hyperlink>
          </w:p>
        </w:tc>
        <w:tc>
          <w:tcPr>
            <w:tcW w:w="8140" w:type="dxa"/>
            <w:vAlign w:val="bottom"/>
            <w:gridSpan w:val="2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9"/>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Security Ownership of Certain Beneficial Owners and Management and Related Stockholder Matters</w:t>
              </w:r>
            </w:hyperlink>
          </w:p>
        </w:tc>
        <w:tc>
          <w:tcPr>
            <w:tcW w:w="27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25"/>
          </w:tcPr>
          <w:p>
            <w:pPr>
              <w:spacing w:after="0"/>
              <w:rPr>
                <w:rFonts w:ascii="Arial" w:cs="Arial" w:eastAsia="Arial" w:hAnsi="Arial"/>
                <w:sz w:val="18"/>
                <w:szCs w:val="18"/>
                <w:color w:val="0000EE"/>
                <w:w w:val="87"/>
              </w:rPr>
            </w:pPr>
            <w:hyperlink w:anchor="page75">
              <w:r>
                <w:rPr>
                  <w:rFonts w:ascii="Arial" w:cs="Arial" w:eastAsia="Arial" w:hAnsi="Arial"/>
                  <w:sz w:val="18"/>
                  <w:szCs w:val="18"/>
                  <w:color w:val="0000EE"/>
                  <w:w w:val="87"/>
                </w:rPr>
                <w:t>Certain Relationships and Related Transactions, and Director Independence</w:t>
              </w:r>
            </w:hyperlink>
          </w:p>
        </w:tc>
        <w:tc>
          <w:tcPr>
            <w:tcW w:w="45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14.</w:t>
            </w:r>
          </w:p>
        </w:tc>
        <w:tc>
          <w:tcPr>
            <w:tcW w:w="9900" w:type="dxa"/>
            <w:vAlign w:val="bottom"/>
            <w:gridSpan w:val="31"/>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Principal Accounting Fees and Services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04"/>
        </w:trPr>
        <w:tc>
          <w:tcPr>
            <w:tcW w:w="12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20" w:type="dxa"/>
            <w:vAlign w:val="bottom"/>
            <w:gridSpan w:val="14"/>
          </w:tcPr>
          <w:p>
            <w:pPr>
              <w:jc w:val="center"/>
              <w:ind w:right="4720"/>
              <w:spacing w:after="0"/>
              <w:rPr>
                <w:rFonts w:ascii="Arial" w:cs="Arial" w:eastAsia="Arial" w:hAnsi="Arial"/>
                <w:sz w:val="18"/>
                <w:szCs w:val="18"/>
                <w:b w:val="1"/>
                <w:bCs w:val="1"/>
                <w:color w:val="0000EE"/>
                <w:w w:val="98"/>
              </w:rPr>
            </w:pPr>
            <w:hyperlink w:anchor="page76">
              <w:r>
                <w:rPr>
                  <w:rFonts w:ascii="Arial" w:cs="Arial" w:eastAsia="Arial" w:hAnsi="Arial"/>
                  <w:sz w:val="18"/>
                  <w:szCs w:val="18"/>
                  <w:b w:val="1"/>
                  <w:bCs w:val="1"/>
                  <w:color w:val="0000EE"/>
                  <w:w w:val="98"/>
                </w:rPr>
                <w:t>PART IV</w:t>
              </w:r>
            </w:hyperlink>
          </w:p>
        </w:tc>
        <w:tc>
          <w:tcPr>
            <w:tcW w:w="280" w:type="dxa"/>
            <w:vAlign w:val="bottom"/>
          </w:tcPr>
          <w:p>
            <w:pPr>
              <w:spacing w:after="0"/>
              <w:rPr>
                <w:sz w:val="24"/>
                <w:szCs w:val="24"/>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15.</w:t>
            </w:r>
          </w:p>
        </w:tc>
        <w:tc>
          <w:tcPr>
            <w:tcW w:w="4500" w:type="dxa"/>
            <w:vAlign w:val="bottom"/>
            <w:gridSpan w:val="1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Exhibits, Financial Statement Schedules</w:t>
              </w:r>
            </w:hyperlink>
          </w:p>
        </w:tc>
        <w:tc>
          <w:tcPr>
            <w:tcW w:w="680" w:type="dxa"/>
            <w:vAlign w:val="bottom"/>
            <w:tcBorders>
              <w:top w:val="single" w:sz="8" w:color="0000EE"/>
            </w:tcBorders>
            <w:gridSpan w:val="5"/>
          </w:tcPr>
          <w:p>
            <w:pPr>
              <w:spacing w:after="0"/>
              <w:rPr>
                <w:sz w:val="24"/>
                <w:szCs w:val="24"/>
                <w:color w:val="auto"/>
              </w:rPr>
            </w:pPr>
          </w:p>
        </w:tc>
        <w:tc>
          <w:tcPr>
            <w:tcW w:w="472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04"/>
        </w:trPr>
        <w:tc>
          <w:tcPr>
            <w:tcW w:w="1240" w:type="dxa"/>
            <w:vAlign w:val="bottom"/>
          </w:tcPr>
          <w:p>
            <w:pPr>
              <w:spacing w:after="0"/>
              <w:rPr>
                <w:sz w:val="24"/>
                <w:szCs w:val="24"/>
                <w:color w:val="auto"/>
              </w:rPr>
            </w:pPr>
          </w:p>
        </w:tc>
        <w:tc>
          <w:tcPr>
            <w:tcW w:w="7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3"/>
              </w:rPr>
            </w:pPr>
            <w:hyperlink w:anchor="page82">
              <w:r>
                <w:rPr>
                  <w:rFonts w:ascii="Arial" w:cs="Arial" w:eastAsia="Arial" w:hAnsi="Arial"/>
                  <w:sz w:val="18"/>
                  <w:szCs w:val="18"/>
                  <w:color w:val="0000EE"/>
                  <w:w w:val="83"/>
                </w:rPr>
                <w:t>Signatures</w:t>
              </w:r>
            </w:hyperlink>
          </w:p>
        </w:tc>
        <w:tc>
          <w:tcPr>
            <w:tcW w:w="2080" w:type="dxa"/>
            <w:vAlign w:val="bottom"/>
            <w:tcBorders>
              <w:top w:val="single" w:sz="8" w:color="0000EE"/>
            </w:tcBorders>
            <w:gridSpan w:val="9"/>
          </w:tcPr>
          <w:p>
            <w:pPr>
              <w:spacing w:after="0"/>
              <w:rPr>
                <w:sz w:val="24"/>
                <w:szCs w:val="24"/>
                <w:color w:val="auto"/>
              </w:rPr>
            </w:pPr>
          </w:p>
        </w:tc>
        <w:tc>
          <w:tcPr>
            <w:tcW w:w="7080" w:type="dxa"/>
            <w:vAlign w:val="bottom"/>
            <w:gridSpan w:val="1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83"/>
        </w:trPr>
        <w:tc>
          <w:tcPr>
            <w:tcW w:w="1240" w:type="dxa"/>
            <w:vAlign w:val="bottom"/>
          </w:tcPr>
          <w:p>
            <w:pPr>
              <w:spacing w:after="0"/>
              <w:rPr>
                <w:sz w:val="24"/>
                <w:szCs w:val="24"/>
                <w:color w:val="auto"/>
              </w:rPr>
            </w:pPr>
          </w:p>
        </w:tc>
        <w:tc>
          <w:tcPr>
            <w:tcW w:w="4520" w:type="dxa"/>
            <w:vAlign w:val="bottom"/>
            <w:gridSpan w:val="19"/>
          </w:tcPr>
          <w:p>
            <w:pPr>
              <w:jc w:val="center"/>
              <w:ind w:left="4352"/>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Certain statements contained in this Annual Report on Form 10-K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in the material set forth under the headings “Business” and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those risks and uncertainties, set forth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which begins on page 17 of this report. Readers are encouraged to carefully review these risks and uncertainties.</w:t>
      </w:r>
    </w:p>
    <w:p>
      <w:pPr>
        <w:spacing w:after="0" w:line="33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Casual Male Retail Group, Inc. together with our subsidiaries (the “Company”) is the largest specialty retailer of big &amp; tall men’s apparel with retail operations in the United States and London, England and direct businesses throughout the United States, Canada and Europe. We operate under the trade names of Casual Male XL, Casual Male XL Outlets, Rochester Clothing, B &amp; T Factory Direct, Shoes XL and Living XL. We operate 395 Casual Male XL retail stores, 65 Casual Male XL outlet stores and 19 Rochester Clothing stores. Our direct business includes several catalogs and e-commerce sites which support our brands and product extensions. Unless the context indicates otherwise, all references to “we,” “our,” “ours,” “us” and “the Company” refer to Casual Male Retail Group, Inc. and our consolidated subsidiaries. We refer to our fiscal years ended January 30, 2010, January 31, 2009 and February 2, 2008 as “fiscal 2009,” “fiscal 2008” and “fiscal 2007,” respectively.</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HISTORY</w:t>
      </w:r>
    </w:p>
    <w:p>
      <w:pPr>
        <w:spacing w:after="0" w:line="90" w:lineRule="exact"/>
        <w:rPr>
          <w:sz w:val="20"/>
          <w:szCs w:val="20"/>
          <w:color w:val="auto"/>
        </w:rPr>
      </w:pPr>
    </w:p>
    <w:p>
      <w:pPr>
        <w:jc w:val="both"/>
        <w:ind w:right="200" w:firstLine="456"/>
        <w:spacing w:after="0" w:line="323" w:lineRule="auto"/>
        <w:rPr>
          <w:sz w:val="20"/>
          <w:szCs w:val="20"/>
          <w:color w:val="auto"/>
        </w:rPr>
      </w:pPr>
      <w:r>
        <w:rPr>
          <w:rFonts w:ascii="Arial" w:cs="Arial" w:eastAsia="Arial" w:hAnsi="Arial"/>
          <w:sz w:val="15"/>
          <w:szCs w:val="15"/>
          <w:color w:val="auto"/>
        </w:rPr>
        <w:t>Our Company was incorporated in the State of Delaware in 1976 under the name Designs, Inc. Until fiscal 1995, we operated exclusively Levi Strauss &amp; Co. branded apparel mall and outlet stores. In May 2002, we acquired the Casual Male business from Casual Male Corp. at a bankruptcy court-ordered auction. At the time of the acquisition, Casual Male was the largest retailer of men’s clothing in the big &amp; tall market in the United States. As a result of the acquisition and the significance of it to the growth and future identity of our Company, on August 8, 2002, we changed our name to “Casual Male Retail Group, Inc.”</w:t>
      </w:r>
    </w:p>
    <w:p>
      <w:pPr>
        <w:spacing w:after="0" w:line="9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Since the acquisition in 2002, we have invested approximately $75.0 million, of the total $114.6 million spent in capital over the past seven years, toward rebuilding our infrastructure, including:</w:t>
      </w:r>
    </w:p>
    <w:p>
      <w:pPr>
        <w:spacing w:after="0" w:line="51" w:lineRule="exact"/>
        <w:rPr>
          <w:sz w:val="20"/>
          <w:szCs w:val="20"/>
          <w:color w:val="auto"/>
        </w:rPr>
      </w:pPr>
    </w:p>
    <w:p>
      <w:pPr>
        <w:ind w:left="780" w:right="920" w:hanging="326"/>
        <w:spacing w:after="0" w:line="268"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modernizing our information technology, benefiting every aspect of our operations from distribution, global sourcing, store operations and merchandise planning to overall inventory management and profitability;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6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updating and restructuring our distribution center with an enhanced warehousing application that significantly streamlined our distribution processes, enhanced our in-transit times and significantly reduced our costs;</w:t>
      </w:r>
    </w:p>
    <w:p>
      <w:pPr>
        <w:spacing w:after="0" w:line="5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refreshing our real estate portfolio through our remodeling and relocation initiatives. Since 2002, we have remodeled approximately 265 of our Casual Male retail and outlet stores and have relocated another 59 to improved locations;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acquiring Rochester Clothing in fiscal 2004, with its then 24 retail stores; and,</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re-branding all of our Casual Male stores, including all signage, from Casual Male Big &amp; Tall to Casual Male XL. This name change helped to remove the stigma associated with the words “big &amp; tall” and was positively received throughout the chain.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Over the same seven-year period, we have improved upon our business in a number of other ways to better service our customers, such as:</w:t>
      </w:r>
    </w:p>
    <w:p>
      <w:pPr>
        <w:spacing w:after="0" w:line="113"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assembling product assortments that appeal to our broad target market with varied demographics and socioeconomic levels;</w:t>
      </w:r>
    </w:p>
    <w:p>
      <w:pPr>
        <w:spacing w:after="0" w:line="15" w:lineRule="exact"/>
        <w:rPr>
          <w:rFonts w:ascii="Arial" w:cs="Arial" w:eastAsia="Arial" w:hAnsi="Arial"/>
          <w:sz w:val="18"/>
          <w:szCs w:val="18"/>
          <w:color w:val="auto"/>
        </w:rPr>
      </w:pPr>
    </w:p>
    <w:p>
      <w:pPr>
        <w:ind w:left="780" w:right="160" w:hanging="326"/>
        <w:spacing w:after="0" w:line="250"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developing a store assortment planning methodology that matches each store location’s apparel lifestyle preferences with a universal array of product assortments, all of which can be found on our five shopping websites;</w:t>
      </w:r>
    </w:p>
    <w:p>
      <w:pPr>
        <w:ind w:left="780" w:right="300" w:hanging="326"/>
        <w:spacing w:after="0" w:line="281"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increasing the number of sizes we offer, which approximates 12 sizes in tops and 49 sizes in bottoms. We have sophisticated system applications to help optimize size management while maintaining an acceptable in-stock position by size in all of our locations;</w:t>
      </w:r>
    </w:p>
    <w:p>
      <w:pPr>
        <w:spacing w:after="0" w:line="1" w:lineRule="exact"/>
        <w:rPr>
          <w:rFonts w:ascii="Arial" w:cs="Arial" w:eastAsia="Arial" w:hAnsi="Arial"/>
          <w:sz w:val="16"/>
          <w:szCs w:val="16"/>
          <w:color w:val="auto"/>
        </w:rPr>
      </w:pPr>
    </w:p>
    <w:p>
      <w:pPr>
        <w:ind w:left="780" w:right="60" w:hanging="326"/>
        <w:spacing w:after="0" w:line="281"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expanding our direct business from 5% of our sales in fiscal 2002, to almost 20% of our sales in fiscal 2009. Our multi-channel operation provides our customers with consistent product assortments, pricing, and marketing, emphasizing customer convenience; and,</w:t>
      </w:r>
    </w:p>
    <w:p>
      <w:pPr>
        <w:spacing w:after="0" w:line="1" w:lineRule="exact"/>
        <w:rPr>
          <w:rFonts w:ascii="Arial" w:cs="Arial" w:eastAsia="Arial" w:hAnsi="Arial"/>
          <w:sz w:val="16"/>
          <w:szCs w:val="16"/>
          <w:color w:val="auto"/>
        </w:rPr>
      </w:pPr>
    </w:p>
    <w:p>
      <w:pPr>
        <w:ind w:left="780" w:right="260" w:hanging="326"/>
        <w:spacing w:after="0" w:line="261"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culturally shifting the focus of our field organization and call center to the apparel needs of our customers, helping them fulfill their wardrobe needs consistent with their lifestyles.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INDUSTRY</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men’s big &amp; tall apparel market, which includes pants with a waist size of 42” and greater, as well as tops sized 1X and greater, generates approximately $5.5 billion to $6.0 billion in sales annually and represents approximately 13% of the overall men’s apparel business. Growth in this segment has been driven by rapidly changing market demographics.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men’s big &amp; tall apparel market is currently served by a variety of retailers, including department stores, mass merchandisers and specialty stores. These stores typically offer a limited assortment of sizes and styles. We estimate that our current market share is approximately 7.7% and believe that we have the potential to reach 12% and beyond. We believe that we can ultimately achieve this goal by catering to the broader target market, attracting customers from various incomes, age and lifestyle segments and offering the widest selection of sizes and styles. A substantial opportunity continues to exist for market share growth from the lower-size range of our market: men in the 42”-46” waist size. These sizes are usually at the high end of the size range for most retailers and, as a result, the selection is usually limited at such retailers.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operate as a multi-channel retailer with three primary retail brands: B&amp;T Factory Direct, Casual Male XL and Rochester Clothing. The B&amp;T Factory Direct customer is a value-oriented consumer focused primarily on his very basic apparel needs. The Casual Male XL customer is a consumer of primarily moderately priced branded and private label casual sportswear and dresswear, while our Rochester Clothing customer is a luxury-oriented consumer of fine quality, designer and branded menswear. Our objective is to appeal to all of our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customers by providing a good, better, best array of product assortments in all primary lifestyles with multiple and convenient ways to shop.</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to our e-commerce and catalog businesses for B&amp;T Factory Direct, Casual Male XL and Rochester Clothing, we operate international web stores for both brands in six European countries. Also, with shoes being an integral part of our customer’s wardrobe, we operate a direct business, Shoes XL, to improve our penetration in the shoe product line. Lastly, our direct business, Living XL, specializes in high-quality household products which help larger people maintain a more comfortable lifestyle. These direct businesses are a natural extension of our store operations and extend the reach of our brands by offering an easy way for our customers to shop.</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This multi-channel approach has enabled us to grow our business by offering a shopping alternative to the full spectrum of our potential target group. Through acquisitions, new business formats and new product development, we believe we cater to all income demographics from the value-oriented consumer to the high-end luxury-oriented consumer. We offer our customers merchandise in all lifestyles from casual to business, young to mature, in all sizes XL and up.</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Another critical part of the business operation is managing the number of sizes offered to our customers and optimizing our in-stock position throughout the season. In the effort to improve our in-stock position of all sizes, during fiscal 2009, we systemically combined our retail and direct channel inventories. This move not only improved efficiencies, but also customer service. Moreover, our planning and allocation methodologies, with respect to store assortment planning, help to optimize each location’s market potential without excessive inventory levels.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B&amp;T Factory Direct</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Under the B&amp;T Factory Direct name, we operate a B&amp;T Factory Direct catalog business as well as an e-commerce site, </w:t>
      </w:r>
      <w:r>
        <w:rPr>
          <w:rFonts w:ascii="Arial" w:cs="Arial" w:eastAsia="Arial" w:hAnsi="Arial"/>
          <w:sz w:val="18"/>
          <w:szCs w:val="18"/>
          <w:i w:val="1"/>
          <w:iCs w:val="1"/>
          <w:color w:val="auto"/>
        </w:rPr>
        <w:t>www.btdirect.com</w:t>
      </w:r>
      <w:r>
        <w:rPr>
          <w:rFonts w:ascii="Arial" w:cs="Arial" w:eastAsia="Arial" w:hAnsi="Arial"/>
          <w:sz w:val="18"/>
          <w:szCs w:val="18"/>
          <w:color w:val="auto"/>
        </w:rPr>
        <w:t>. This direct business enhances our existing Casual Male XL outlet stores, enabling us to provide a multi-channel shopping experience for the value-oriented customer. The merchandise offered in our “B&amp;T Factory Direct” catalogs and on our website is an expanded selection but similar to the merchandise that can be found in our Casual Male XL outlet stores.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We offer a private label program, specifically for our Casual Male XL outlet stores and our B&amp;T Factory Direct businesses, which is similar to our lifestyle private label lines found in our full-price retail stores but made at lower costs and sold at lower price points for our value-oriented customers. We currently carry </w:t>
      </w:r>
      <w:r>
        <w:rPr>
          <w:rFonts w:ascii="Arial" w:cs="Arial" w:eastAsia="Arial" w:hAnsi="Arial"/>
          <w:sz w:val="18"/>
          <w:szCs w:val="18"/>
          <w:i w:val="1"/>
          <w:iCs w:val="1"/>
          <w:color w:val="auto"/>
        </w:rPr>
        <w:t>Canyon Ridge</w:t>
      </w:r>
      <w:r>
        <w:rPr>
          <w:rFonts w:ascii="Arial" w:cs="Arial" w:eastAsia="Arial" w:hAnsi="Arial"/>
          <w:sz w:val="18"/>
          <w:szCs w:val="18"/>
          <w:color w:val="auto"/>
        </w:rPr>
        <w:t>, which is similar in style to our</w:t>
      </w:r>
      <w:r>
        <w:rPr>
          <w:rFonts w:ascii="Arial" w:cs="Arial" w:eastAsia="Arial" w:hAnsi="Arial"/>
          <w:sz w:val="18"/>
          <w:szCs w:val="18"/>
          <w:i w:val="1"/>
          <w:iCs w:val="1"/>
          <w:color w:val="auto"/>
        </w:rPr>
        <w:t xml:space="preserve"> Harbor Bay </w:t>
      </w:r>
      <w:r>
        <w:rPr>
          <w:rFonts w:ascii="Arial" w:cs="Arial" w:eastAsia="Arial" w:hAnsi="Arial"/>
          <w:sz w:val="18"/>
          <w:szCs w:val="18"/>
          <w:color w:val="auto"/>
        </w:rPr>
        <w:t>product line,</w:t>
      </w:r>
      <w:r>
        <w:rPr>
          <w:rFonts w:ascii="Arial" w:cs="Arial" w:eastAsia="Arial" w:hAnsi="Arial"/>
          <w:sz w:val="18"/>
          <w:szCs w:val="18"/>
          <w:i w:val="1"/>
          <w:iCs w:val="1"/>
          <w:color w:val="auto"/>
        </w:rPr>
        <w:t xml:space="preserve"> 555 Turnpike</w:t>
      </w:r>
      <w:r>
        <w:rPr>
          <w:rFonts w:ascii="Arial" w:cs="Arial" w:eastAsia="Arial" w:hAnsi="Arial"/>
          <w:sz w:val="18"/>
          <w:szCs w:val="18"/>
          <w:color w:val="auto"/>
        </w:rPr>
        <w:t>, which is targeted toward our younger customers similar to</w:t>
      </w:r>
      <w:r>
        <w:rPr>
          <w:rFonts w:ascii="Arial" w:cs="Arial" w:eastAsia="Arial" w:hAnsi="Arial"/>
          <w:sz w:val="18"/>
          <w:szCs w:val="18"/>
          <w:i w:val="1"/>
          <w:iCs w:val="1"/>
          <w:color w:val="auto"/>
        </w:rPr>
        <w:t xml:space="preserve"> 626 Blue, </w:t>
      </w:r>
      <w:r>
        <w:rPr>
          <w:rFonts w:ascii="Arial" w:cs="Arial" w:eastAsia="Arial" w:hAnsi="Arial"/>
          <w:sz w:val="18"/>
          <w:szCs w:val="18"/>
          <w:color w:val="auto"/>
        </w:rPr>
        <w:t>and</w:t>
      </w:r>
      <w:r>
        <w:rPr>
          <w:rFonts w:ascii="Arial" w:cs="Arial" w:eastAsia="Arial" w:hAnsi="Arial"/>
          <w:sz w:val="18"/>
          <w:szCs w:val="18"/>
          <w:i w:val="1"/>
          <w:iCs w:val="1"/>
          <w:color w:val="auto"/>
        </w:rPr>
        <w:t xml:space="preserve"> Fuse</w:t>
      </w:r>
      <w:r>
        <w:rPr>
          <w:rFonts w:ascii="Arial" w:cs="Arial" w:eastAsia="Arial" w:hAnsi="Arial"/>
          <w:sz w:val="18"/>
          <w:szCs w:val="18"/>
          <w:color w:val="auto"/>
        </w:rPr>
        <w:t>, a contemporary line similar in style to our</w:t>
      </w:r>
      <w:r>
        <w:rPr>
          <w:rFonts w:ascii="Arial" w:cs="Arial" w:eastAsia="Arial" w:hAnsi="Arial"/>
          <w:sz w:val="18"/>
          <w:szCs w:val="18"/>
          <w:i w:val="1"/>
          <w:iCs w:val="1"/>
          <w:color w:val="auto"/>
        </w:rPr>
        <w:t xml:space="preserve"> Synrgy </w:t>
      </w:r>
      <w:r>
        <w:rPr>
          <w:rFonts w:ascii="Arial" w:cs="Arial" w:eastAsia="Arial" w:hAnsi="Arial"/>
          <w:sz w:val="18"/>
          <w:szCs w:val="18"/>
          <w:color w:val="auto"/>
        </w:rPr>
        <w:t>product line.</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In addition, B&amp;T Factory Direct will often feature special clearance opportunities of product obtained from Casual Male XL and Rochester Clothing, offering the B&amp;T Factory Direct customer the ability to purchase branded product and seasonally fashion product for a specially reduced price.</w:t>
      </w:r>
    </w:p>
    <w:p>
      <w:pPr>
        <w:spacing w:after="0" w:line="85"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During fiscal 2009, we mailed 10 editions of our B&amp;T Factory Direct catalog with a circulation of two million. Approximately 11% of our business is generated by B&amp;T Factory Direct and our Casual Male XL outlet stores, which carry the B&amp;T Factory Direct product. The demographic and socioeconomic characteristics of this market segment are value-oriented customers, which has significant growth potential for us. The B&amp;T Factory Direct catalog and e-commerce business was started in 2007.</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Casual Male</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Our Casual Male business offers an extensive selection of quality sportswear, dress clothing and footwear for the big &amp; tall customer at moderate prices. Our full-price Casual Male merchandise is sold through our 395 Casual Male XL retail stores, Casual Male XL catalogs and e-commerce site </w:t>
      </w:r>
      <w:r>
        <w:rPr>
          <w:rFonts w:ascii="Arial" w:cs="Arial" w:eastAsia="Arial" w:hAnsi="Arial"/>
          <w:sz w:val="18"/>
          <w:szCs w:val="18"/>
          <w:i w:val="1"/>
          <w:iCs w:val="1"/>
          <w:color w:val="auto"/>
        </w:rPr>
        <w:t>www.casualmaleXL.com</w:t>
      </w:r>
      <w:r>
        <w:rPr>
          <w:rFonts w:ascii="Arial" w:cs="Arial" w:eastAsia="Arial" w:hAnsi="Arial"/>
          <w:sz w:val="18"/>
          <w:szCs w:val="18"/>
          <w:color w:val="auto"/>
        </w:rPr>
        <w: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Merchandise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majority of the Casual Male merchandise is basic or fashion-neutral items, such as jeans, casual slacks, tee-shirts, polo shirts, dress shirts and suit separates. The Casual Male customer is primarily interested in comfort and fit, at a reasonable price. As such, Casual Male’s clothing has features specifically designed for our customer, such as waist-relaxer pants, stretch belts, zipper ties, wide band socks, neck-relaxer shirts and clothing with comfort-stretch technology and reinforced stress points.</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carry several private label lines in our Casual Male XL retail stores and direct businesses which perform very strongly and represent approximately 70% of our sales:</w:t>
      </w:r>
    </w:p>
    <w:p>
      <w:pPr>
        <w:spacing w:after="0" w:line="51" w:lineRule="exact"/>
        <w:rPr>
          <w:sz w:val="20"/>
          <w:szCs w:val="20"/>
          <w:color w:val="auto"/>
        </w:rPr>
      </w:pPr>
    </w:p>
    <w:p>
      <w:pPr>
        <w:ind w:left="780" w:right="120" w:hanging="326"/>
        <w:spacing w:after="0" w:line="332"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Harbor Bay </w:t>
      </w:r>
      <w:r>
        <w:rPr>
          <w:rFonts w:ascii="Arial" w:cs="Arial" w:eastAsia="Arial" w:hAnsi="Arial"/>
          <w:sz w:val="16"/>
          <w:szCs w:val="16"/>
          <w:color w:val="auto"/>
        </w:rPr>
        <w:t>was our first proprietary brand and it continues to represent a significant portion of our business, specifically our core basic merchandise.</w:t>
      </w:r>
      <w:r>
        <w:rPr>
          <w:rFonts w:ascii="Arial" w:cs="Arial" w:eastAsia="Arial" w:hAnsi="Arial"/>
          <w:sz w:val="16"/>
          <w:szCs w:val="16"/>
          <w:i w:val="1"/>
          <w:iCs w:val="1"/>
          <w:color w:val="auto"/>
        </w:rPr>
        <w:t xml:space="preserve"> </w:t>
      </w:r>
      <w:r>
        <w:rPr>
          <w:rFonts w:ascii="Arial" w:cs="Arial" w:eastAsia="Arial" w:hAnsi="Arial"/>
          <w:sz w:val="16"/>
          <w:szCs w:val="16"/>
          <w:color w:val="auto"/>
        </w:rPr>
        <w:t>Harbor Bay is a traditional line of clothing which competes with the Dockers</w:t>
      </w:r>
      <w:r>
        <w:rPr>
          <w:rFonts w:ascii="Arial" w:cs="Arial" w:eastAsia="Arial" w:hAnsi="Arial"/>
          <w:sz w:val="10"/>
          <w:szCs w:val="10"/>
          <w:color w:val="auto"/>
        </w:rPr>
        <w:t>®</w:t>
      </w:r>
      <w:r>
        <w:rPr>
          <w:rFonts w:ascii="Arial" w:cs="Arial" w:eastAsia="Arial" w:hAnsi="Arial"/>
          <w:sz w:val="16"/>
          <w:szCs w:val="16"/>
          <w:color w:val="auto"/>
        </w:rPr>
        <w:t>, Izod</w:t>
      </w:r>
      <w:r>
        <w:rPr>
          <w:rFonts w:ascii="Arial" w:cs="Arial" w:eastAsia="Arial" w:hAnsi="Arial"/>
          <w:sz w:val="10"/>
          <w:szCs w:val="10"/>
          <w:color w:val="auto"/>
        </w:rPr>
        <w:t>®</w:t>
      </w:r>
      <w:r>
        <w:rPr>
          <w:rFonts w:ascii="Arial" w:cs="Arial" w:eastAsia="Arial" w:hAnsi="Arial"/>
          <w:sz w:val="16"/>
          <w:szCs w:val="16"/>
          <w:color w:val="auto"/>
        </w:rPr>
        <w:t xml:space="preserve"> and Cutter &amp; Buck</w:t>
      </w:r>
      <w:r>
        <w:rPr>
          <w:rFonts w:ascii="Arial" w:cs="Arial" w:eastAsia="Arial" w:hAnsi="Arial"/>
          <w:sz w:val="10"/>
          <w:szCs w:val="10"/>
          <w:color w:val="auto"/>
        </w:rPr>
        <w:t>®</w:t>
      </w:r>
      <w:r>
        <w:rPr>
          <w:rFonts w:ascii="Arial" w:cs="Arial" w:eastAsia="Arial" w:hAnsi="Arial"/>
          <w:sz w:val="16"/>
          <w:szCs w:val="16"/>
          <w:color w:val="auto"/>
        </w:rPr>
        <w:t xml:space="preserve"> branded products.</w:t>
      </w:r>
    </w:p>
    <w:p>
      <w:pPr>
        <w:spacing w:after="0" w:line="4" w:lineRule="exact"/>
        <w:rPr>
          <w:rFonts w:ascii="Arial" w:cs="Arial" w:eastAsia="Arial" w:hAnsi="Arial"/>
          <w:sz w:val="16"/>
          <w:szCs w:val="16"/>
          <w:color w:val="auto"/>
        </w:rPr>
      </w:pPr>
    </w:p>
    <w:p>
      <w:pPr>
        <w:ind w:left="780" w:right="100" w:hanging="326"/>
        <w:spacing w:after="0" w:line="306"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626 Blue</w:t>
      </w:r>
      <w:r>
        <w:rPr>
          <w:rFonts w:ascii="Arial" w:cs="Arial" w:eastAsia="Arial" w:hAnsi="Arial"/>
          <w:sz w:val="16"/>
          <w:szCs w:val="16"/>
          <w:color w:val="auto"/>
        </w:rPr>
        <w:t>-</w:t>
      </w:r>
      <w:r>
        <w:rPr>
          <w:rFonts w:ascii="Arial" w:cs="Arial" w:eastAsia="Arial" w:hAnsi="Arial"/>
          <w:sz w:val="16"/>
          <w:szCs w:val="16"/>
          <w:i w:val="1"/>
          <w:iCs w:val="1"/>
          <w:color w:val="auto"/>
        </w:rPr>
        <w:t xml:space="preserve">Vintage Surplus (“626 Blue”) </w:t>
      </w:r>
      <w:r>
        <w:rPr>
          <w:rFonts w:ascii="Arial" w:cs="Arial" w:eastAsia="Arial" w:hAnsi="Arial"/>
          <w:sz w:val="16"/>
          <w:szCs w:val="16"/>
          <w:color w:val="auto"/>
        </w:rPr>
        <w:t>is targeted toward a younger customer.</w:t>
      </w:r>
      <w:r>
        <w:rPr>
          <w:rFonts w:ascii="Arial" w:cs="Arial" w:eastAsia="Arial" w:hAnsi="Arial"/>
          <w:sz w:val="16"/>
          <w:szCs w:val="16"/>
          <w:i w:val="1"/>
          <w:iCs w:val="1"/>
          <w:color w:val="auto"/>
        </w:rPr>
        <w:t xml:space="preserve"> 626 Blue </w:t>
      </w:r>
      <w:r>
        <w:rPr>
          <w:rFonts w:ascii="Arial" w:cs="Arial" w:eastAsia="Arial" w:hAnsi="Arial"/>
          <w:sz w:val="16"/>
          <w:szCs w:val="16"/>
          <w:color w:val="auto"/>
        </w:rPr>
        <w:t>introduces a younger lifestyle look that caters to a broader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market, which is influenced by Abercrombie &amp; Fitch and American Eagle. Our </w:t>
      </w:r>
      <w:r>
        <w:rPr>
          <w:rFonts w:ascii="Arial" w:cs="Arial" w:eastAsia="Arial" w:hAnsi="Arial"/>
          <w:sz w:val="16"/>
          <w:szCs w:val="16"/>
          <w:i w:val="1"/>
          <w:iCs w:val="1"/>
          <w:color w:val="auto"/>
        </w:rPr>
        <w:t>626 Blue</w:t>
      </w:r>
      <w:r>
        <w:rPr>
          <w:rFonts w:ascii="Arial" w:cs="Arial" w:eastAsia="Arial" w:hAnsi="Arial"/>
          <w:sz w:val="16"/>
          <w:szCs w:val="16"/>
          <w:color w:val="auto"/>
        </w:rPr>
        <w:t xml:space="preserve"> merchandise is comprised of premium washed denim, casual wovens and tee-shirts. This private label line has grown significantly over the past three years.</w:t>
      </w:r>
    </w:p>
    <w:p>
      <w:pPr>
        <w:spacing w:after="0" w:line="25" w:lineRule="exact"/>
        <w:rPr>
          <w:rFonts w:ascii="Arial" w:cs="Arial" w:eastAsia="Arial" w:hAnsi="Arial"/>
          <w:sz w:val="16"/>
          <w:szCs w:val="16"/>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Synrgy </w:t>
      </w:r>
      <w:r>
        <w:rPr>
          <w:rFonts w:ascii="Arial" w:cs="Arial" w:eastAsia="Arial" w:hAnsi="Arial"/>
          <w:sz w:val="16"/>
          <w:szCs w:val="16"/>
          <w:color w:val="auto"/>
        </w:rPr>
        <w:t>targets the customer looking for a contemporary look. The merchandise is inspired by Perry Ellis Portfolio and Calvin Klein’s sportswear line.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Oak Hill </w:t>
      </w:r>
      <w:r>
        <w:rPr>
          <w:rFonts w:ascii="Arial" w:cs="Arial" w:eastAsia="Arial" w:hAnsi="Arial"/>
          <w:sz w:val="16"/>
          <w:szCs w:val="16"/>
          <w:color w:val="auto"/>
        </w:rPr>
        <w:t>is a premier line catering to those customers looking for slightly more style and quality than our</w:t>
      </w:r>
      <w:r>
        <w:rPr>
          <w:rFonts w:ascii="Arial" w:cs="Arial" w:eastAsia="Arial" w:hAnsi="Arial"/>
          <w:sz w:val="16"/>
          <w:szCs w:val="16"/>
          <w:i w:val="1"/>
          <w:iCs w:val="1"/>
          <w:color w:val="auto"/>
        </w:rPr>
        <w:t xml:space="preserve"> Harbor Bay </w:t>
      </w:r>
      <w:r>
        <w:rPr>
          <w:rFonts w:ascii="Arial" w:cs="Arial" w:eastAsia="Arial" w:hAnsi="Arial"/>
          <w:sz w:val="16"/>
          <w:szCs w:val="16"/>
          <w:color w:val="auto"/>
        </w:rPr>
        <w:t>but still in a traditional lifestyle.</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to our many private label lines, we carry several well-known brands of merchandise including: Polo Ralph Lauren, Nautica, Nautica Jeans Co., EcKo, Levi’s</w:t>
      </w:r>
      <w:r>
        <w:rPr>
          <w:rFonts w:ascii="Arial" w:cs="Arial" w:eastAsia="Arial" w:hAnsi="Arial"/>
          <w:sz w:val="11"/>
          <w:szCs w:val="11"/>
          <w:color w:val="auto"/>
        </w:rPr>
        <w:t>®</w:t>
      </w:r>
      <w:r>
        <w:rPr>
          <w:rFonts w:ascii="Arial" w:cs="Arial" w:eastAsia="Arial" w:hAnsi="Arial"/>
          <w:sz w:val="18"/>
          <w:szCs w:val="18"/>
          <w:color w:val="auto"/>
        </w:rPr>
        <w:t>, Dockers</w:t>
      </w:r>
      <w:r>
        <w:rPr>
          <w:rFonts w:ascii="Arial" w:cs="Arial" w:eastAsia="Arial" w:hAnsi="Arial"/>
          <w:sz w:val="11"/>
          <w:szCs w:val="11"/>
          <w:color w:val="auto"/>
        </w:rPr>
        <w:t>®</w:t>
      </w:r>
      <w:r>
        <w:rPr>
          <w:rFonts w:ascii="Arial" w:cs="Arial" w:eastAsia="Arial" w:hAnsi="Arial"/>
          <w:sz w:val="18"/>
          <w:szCs w:val="18"/>
          <w:color w:val="auto"/>
        </w:rPr>
        <w:t>, Calvin Klein, Reebok</w:t>
      </w:r>
      <w:r>
        <w:rPr>
          <w:rFonts w:ascii="Arial" w:cs="Arial" w:eastAsia="Arial" w:hAnsi="Arial"/>
          <w:sz w:val="11"/>
          <w:szCs w:val="11"/>
          <w:color w:val="auto"/>
        </w:rPr>
        <w:t>®</w:t>
      </w:r>
      <w:r>
        <w:rPr>
          <w:rFonts w:ascii="Arial" w:cs="Arial" w:eastAsia="Arial" w:hAnsi="Arial"/>
          <w:sz w:val="18"/>
          <w:szCs w:val="18"/>
          <w:color w:val="auto"/>
        </w:rPr>
        <w:t>, Sean John, RocaWear and others.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private label brands, together with the traditional well-known brands, enable us to cater better to the various market segments of our overall target market. Our research has shown that we need to appeal to a variety of customers within the big &amp; tall market in our efforts to become the preferred choice among big &amp; tall men.</w:t>
      </w:r>
    </w:p>
    <w:p>
      <w:pPr>
        <w:spacing w:after="0" w:line="14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Our stores are merchandised to showcase entire outfits by lifestyle, including traditional, active, young men’s, dresswear and contemporary. This format allows us to merchandise key items and seasonal goods in prominent displays and makes coordinating outfits easier for the customer while encouraging multi-item purchases. This lifestyle layout also allows us to better manage store space in each market to target local demographics. Stores are clustered to meet the demographic needs of customers by climate and ethnicity. The key item strategy is also fully integrated by lifestyle, allowing us to focus on merchandise presentation and offer our customers a compelling value proposition.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Retail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Casual Male XL retail stores.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At January 30, 2010, we operated 395 Casual Male XL full-price retail stores, located primarily in strip centers, power centers or stand-alone locations. These stores offer a broad selection of basic sportswear, other casual apparel, dress wear and accessories, as well as a full complement of our private label collections. The average Casual Male XL retail store is approximately 3,658 square feet and has approximately $165 in sales per square foot annually.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Casual Male XL outlet stores.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At January 30, 2010, we operated 65 Casual Male XL outlet stores designed to offer a wide range of casual clothing for the big &amp; tall customer at prices that are generally 20-25% lower than those offered at our full-price retail stores. Much of the merchandise in the outlet stores is offered with the purchasing interests of the value-oriented customer in mind. The merchandise assortments and brands carried in the outlet stores are consistent with the merchandise strategies carried in our direct business, B&amp;T Factory Direct, which is discussed above. The average Casual Male XL outlet store is approximately 3,188 square feet and has approximately $185 in sales per square foot annually.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Casual Male XL Direct Businesses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direct businesses are a vital part of our multi-channel business, by allowing us to service our customers better whether from their home or in our store. Our direct businesses bridge that gap for us by encouraging and expecting our store associates to use our catalog and websites to help fulfill our customers’ clothing needs. If an item is not available in our store, then our store associates can order the item for our customer through one of our direct channels and have it shipped to the store or directly to the customer. The success of this program represents 5% of our retail stores’ sales, which are now derived from in-store orders placed through our direct channels.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Our Casual Male XL website, </w:t>
      </w:r>
      <w:r>
        <w:rPr>
          <w:rFonts w:ascii="Arial" w:cs="Arial" w:eastAsia="Arial" w:hAnsi="Arial"/>
          <w:sz w:val="16"/>
          <w:szCs w:val="16"/>
          <w:i w:val="1"/>
          <w:iCs w:val="1"/>
          <w:color w:val="auto"/>
        </w:rPr>
        <w:t>www.casualmaleXL.com</w:t>
      </w:r>
      <w:r>
        <w:rPr>
          <w:rFonts w:ascii="Arial" w:cs="Arial" w:eastAsia="Arial" w:hAnsi="Arial"/>
          <w:sz w:val="16"/>
          <w:szCs w:val="16"/>
          <w:color w:val="auto"/>
        </w:rPr>
        <w:t xml:space="preserve">, and our “Casual Male XL” catalogs offer an assortment of merchandise similar to what is available in the stores, but also offer a broader selection of brands, styles and sizes. During fiscal 2009, we issued 15 editions of our Casual Male XL catalogs and circulated over seven million catalogs. We also own the domain name </w:t>
      </w:r>
      <w:r>
        <w:rPr>
          <w:rFonts w:ascii="Arial" w:cs="Arial" w:eastAsia="Arial" w:hAnsi="Arial"/>
          <w:sz w:val="16"/>
          <w:szCs w:val="16"/>
          <w:i w:val="1"/>
          <w:iCs w:val="1"/>
          <w:color w:val="auto"/>
        </w:rPr>
        <w:t>www.bigandtall.com</w:t>
      </w:r>
      <w:r>
        <w:rPr>
          <w:rFonts w:ascii="Arial" w:cs="Arial" w:eastAsia="Arial" w:hAnsi="Arial"/>
          <w:sz w:val="16"/>
          <w:szCs w:val="16"/>
          <w:color w:val="auto"/>
        </w:rPr>
        <w:t>. This site acts as a portal to our Casual Male XL, Rochester Clothing, B&amp;T Factory Direct, Living XL and Shoes XL websites in an effort to generate additional traffic.</w:t>
      </w:r>
    </w:p>
    <w:p>
      <w:pPr>
        <w:spacing w:after="0" w:line="11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Through our business relationship with Sears U.S. and Sears Canada, we offer selected Casual Male merchandise on their websites at </w:t>
      </w:r>
      <w:r>
        <w:rPr>
          <w:rFonts w:ascii="Arial" w:cs="Arial" w:eastAsia="Arial" w:hAnsi="Arial"/>
          <w:sz w:val="16"/>
          <w:szCs w:val="16"/>
          <w:i w:val="1"/>
          <w:iCs w:val="1"/>
          <w:color w:val="auto"/>
        </w:rPr>
        <w:t>www.Sears.com</w:t>
      </w:r>
      <w:r>
        <w:rPr>
          <w:rFonts w:ascii="Arial" w:cs="Arial" w:eastAsia="Arial" w:hAnsi="Arial"/>
          <w:sz w:val="16"/>
          <w:szCs w:val="16"/>
          <w:color w:val="auto"/>
        </w:rPr>
        <w:t xml:space="preserve"> and </w:t>
      </w:r>
      <w:r>
        <w:rPr>
          <w:rFonts w:ascii="Arial" w:cs="Arial" w:eastAsia="Arial" w:hAnsi="Arial"/>
          <w:sz w:val="16"/>
          <w:szCs w:val="16"/>
          <w:i w:val="1"/>
          <w:iCs w:val="1"/>
          <w:color w:val="auto"/>
        </w:rPr>
        <w:t>www.Sears.ca</w:t>
      </w:r>
      <w:r>
        <w:rPr>
          <w:rFonts w:ascii="Arial" w:cs="Arial" w:eastAsia="Arial" w:hAnsi="Arial"/>
          <w:sz w:val="16"/>
          <w:szCs w:val="16"/>
          <w:color w:val="auto"/>
        </w:rPr>
        <w:t>. We also have a co-branded section in the Sears Canada catalog, in which we appeared in 3 editions during fiscal 2009.</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Rochester Business</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An important element to our business is our high-end, luxury fashion apparel offered by Rochester Clothing. Approximately 14% of our business is done by Rochester Clothing, although with our Destination XL strategic initiative to expand our business, Rochester Clothing product assortments can be efficiently offered in many more locations.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Merchandise</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Rochester Clothing stores carry a broad selection of quality apparel, at higher price points, from well-known branded manufacturers such as Polo Ralph Lauren, Robert Graham, Joseph Abboud, Michael Kors, Ermenegildo Zegna, Cutter and Buck, Tommy Bahama, and Paul &amp; Shark. The Rochester customer is able to find a wide range of apparel from traditional and modern sportswear to suits and accessories. These stores cater to our customer, offering a personal shopper-type experience, with experienced staff that has a strong knowledge of the merchandise and services, such as custom made-to-measure suiting and on-site tailoring.</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We have also been building a private label program specifically for our Rochester customers. In fiscal 2009, we modified and re-launched this program, introducing higher quality merchandise to complement our branded merchandise. We currently carry three private label lines: </w:t>
      </w:r>
      <w:r>
        <w:rPr>
          <w:rFonts w:ascii="Arial" w:cs="Arial" w:eastAsia="Arial" w:hAnsi="Arial"/>
          <w:sz w:val="16"/>
          <w:szCs w:val="16"/>
          <w:i w:val="1"/>
          <w:iCs w:val="1"/>
          <w:color w:val="auto"/>
        </w:rPr>
        <w:t>Rochester™</w:t>
      </w:r>
      <w:r>
        <w:rPr>
          <w:rFonts w:ascii="Arial" w:cs="Arial" w:eastAsia="Arial" w:hAnsi="Arial"/>
          <w:sz w:val="16"/>
          <w:szCs w:val="16"/>
          <w:color w:val="auto"/>
        </w:rPr>
        <w:t xml:space="preserve"> is targeted as a classic traditional line offering sportswear, loungewear and dress shirts; </w:t>
      </w:r>
      <w:r>
        <w:rPr>
          <w:rFonts w:ascii="Arial" w:cs="Arial" w:eastAsia="Arial" w:hAnsi="Arial"/>
          <w:sz w:val="16"/>
          <w:szCs w:val="16"/>
          <w:i w:val="1"/>
          <w:iCs w:val="1"/>
          <w:color w:val="auto"/>
        </w:rPr>
        <w:t>Castagne™</w:t>
      </w:r>
      <w:r>
        <w:rPr>
          <w:rFonts w:ascii="Arial" w:cs="Arial" w:eastAsia="Arial" w:hAnsi="Arial"/>
          <w:sz w:val="16"/>
          <w:szCs w:val="16"/>
          <w:color w:val="auto"/>
        </w:rPr>
        <w:t xml:space="preserve"> is positioned as a more contemporary sportswear line; and </w:t>
      </w:r>
      <w:r>
        <w:rPr>
          <w:rFonts w:ascii="Arial" w:cs="Arial" w:eastAsia="Arial" w:hAnsi="Arial"/>
          <w:sz w:val="16"/>
          <w:szCs w:val="16"/>
          <w:i w:val="1"/>
          <w:iCs w:val="1"/>
          <w:color w:val="auto"/>
        </w:rPr>
        <w:t>Society of One</w:t>
      </w:r>
      <w:r>
        <w:rPr>
          <w:rFonts w:ascii="Arial" w:cs="Arial" w:eastAsia="Arial" w:hAnsi="Arial"/>
          <w:sz w:val="16"/>
          <w:szCs w:val="16"/>
          <w:color w:val="auto"/>
        </w:rPr>
        <w:t>, a jeans wear brand catering to the needs of the fashion denim customer. During fiscal</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2009, we also increased our offering of suits and dress shirts under our </w:t>
      </w:r>
      <w:r>
        <w:rPr>
          <w:rFonts w:ascii="Arial" w:cs="Arial" w:eastAsia="Arial" w:hAnsi="Arial"/>
          <w:sz w:val="18"/>
          <w:szCs w:val="18"/>
          <w:i w:val="1"/>
          <w:iCs w:val="1"/>
          <w:color w:val="auto"/>
        </w:rPr>
        <w:t>Rochester Black Label</w:t>
      </w:r>
      <w:r>
        <w:rPr>
          <w:rFonts w:ascii="Arial" w:cs="Arial" w:eastAsia="Arial" w:hAnsi="Arial"/>
          <w:sz w:val="18"/>
          <w:szCs w:val="18"/>
          <w:color w:val="auto"/>
        </w:rPr>
        <w:t xml:space="preserve"> private label and have seen very positive response to this line. All of our proprietary private brands feature the highest quality fabrications, details and construction. These brands represented approximately 10% of Rochester’s sales for fiscal 2009. While we do not expect that private label will be as big of a contributor as it is in our Causal Male business, we do believe these lines have found a market with our customers.</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Due to the high-end price points of our Rochester business, the decline in the economy during the past two fiscal years has had its greatest impact on our Rochester business. We strongly believe that the Rochester brand is an integral part of our overall objective of providing a shopping alternative to the full spectrum of our target customers, from the value-oriented customer to the high-end Rochester customer. As such, we undertook a few initiatives during fiscal 2009 to help mitigate the effect of the economy, such as: adding a selection of more moderately priced well-known branded apparel lines, improving the quality of our private label lines while maintaining strong merchandise margins and converting five of our Rochester locations into a new hybrid store format, which we discuss below under “Business Strategy.”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Retail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Rochester Clothing stores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At January 30, 2010, we operated 19 Rochester Clothing stores, located in major cities throughout the United States and one store in London, England. The Rochester Clothing stores provide the customer with high-end merchandise from well-recognized brands. The average Rochester Clothing store is approximately 8,116 square feet and has approximately $239 in sales per square foot annually.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Rochester Clothing direct businesses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Because we currently have only 19 Rochester Clothing retail locations, which may not be accessible for many of our Rochester customers, our direct businesses are a significant portion of our overall Rochester business. Our “Rochester Big &amp; Tall” catalog and </w:t>
      </w:r>
      <w:r>
        <w:rPr>
          <w:rFonts w:ascii="Arial" w:cs="Arial" w:eastAsia="Arial" w:hAnsi="Arial"/>
          <w:sz w:val="18"/>
          <w:szCs w:val="18"/>
          <w:i w:val="1"/>
          <w:iCs w:val="1"/>
          <w:color w:val="auto"/>
        </w:rPr>
        <w:t>www.rochesterclothing.com</w:t>
      </w:r>
      <w:r>
        <w:rPr>
          <w:rFonts w:ascii="Arial" w:cs="Arial" w:eastAsia="Arial" w:hAnsi="Arial"/>
          <w:sz w:val="18"/>
          <w:szCs w:val="18"/>
          <w:color w:val="auto"/>
        </w:rPr>
        <w:t xml:space="preserve"> website offer an assortment of clothing that is similar to what can be found in our Rochester retail stores, with a broader selection in most cases. During fiscal 2009, we issued 13 editions of the Rochester Big &amp; Tall catalog with a circulation of 2.3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Other Direct Businesses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Shoes XL</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Our website </w:t>
      </w:r>
      <w:r>
        <w:rPr>
          <w:rFonts w:ascii="Arial" w:cs="Arial" w:eastAsia="Arial" w:hAnsi="Arial"/>
          <w:sz w:val="16"/>
          <w:szCs w:val="16"/>
          <w:i w:val="1"/>
          <w:iCs w:val="1"/>
          <w:color w:val="auto"/>
        </w:rPr>
        <w:t>www.shoesXL.com</w:t>
      </w:r>
      <w:r>
        <w:rPr>
          <w:rFonts w:ascii="Arial" w:cs="Arial" w:eastAsia="Arial" w:hAnsi="Arial"/>
          <w:sz w:val="16"/>
          <w:szCs w:val="16"/>
          <w:color w:val="auto"/>
        </w:rPr>
        <w:t xml:space="preserve"> carries a complete line of men’s footwear in extended sizes. This website offers our customers a full range of footwear in hard-to-find sizes. Our plan is to significantly increase our sales penetration in the shoe product category to levels which are more in line with men’s apparel spending for shoes. The assortment on Shoes XL is a reflection of our apparel, with a broad assortment from moderate to luxury and from casual to formal. Shoes XL currently has a selection of more than 500 styles of shoes, ranging in sizes from 10M to 18M and widths up to 5E. We carry a number of designer brands including Cole Haan, Allen Edmonds, Timberland, Calvin Klein, Lacoste and Bruno Magli. Shoes XL is also supported with a catalog. In fiscal 2009, we mailed four editions with a circulation of over one million.</w:t>
      </w:r>
    </w:p>
    <w:p>
      <w:pPr>
        <w:spacing w:after="0" w:line="12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 xml:space="preserve">In addition, we have added the expanded shoe assortments within our existing Casual Male XL and Rochester Clothing catalogs, including on our websites, </w:t>
      </w:r>
      <w:r>
        <w:rPr>
          <w:rFonts w:ascii="Arial" w:cs="Arial" w:eastAsia="Arial" w:hAnsi="Arial"/>
          <w:sz w:val="15"/>
          <w:szCs w:val="15"/>
          <w:i w:val="1"/>
          <w:iCs w:val="1"/>
          <w:color w:val="auto"/>
        </w:rPr>
        <w:t>www.casualmaleXL.com</w:t>
      </w:r>
      <w:r>
        <w:rPr>
          <w:rFonts w:ascii="Arial" w:cs="Arial" w:eastAsia="Arial" w:hAnsi="Arial"/>
          <w:sz w:val="15"/>
          <w:szCs w:val="15"/>
          <w:color w:val="auto"/>
        </w:rPr>
        <w:t>,</w:t>
      </w:r>
      <w:r>
        <w:rPr>
          <w:rFonts w:ascii="Arial" w:cs="Arial" w:eastAsia="Arial" w:hAnsi="Arial"/>
          <w:sz w:val="15"/>
          <w:szCs w:val="15"/>
          <w:i w:val="1"/>
          <w:iCs w:val="1"/>
          <w:color w:val="auto"/>
        </w:rPr>
        <w:t xml:space="preserve"> www.btdirect.com </w:t>
      </w:r>
      <w:r>
        <w:rPr>
          <w:rFonts w:ascii="Arial" w:cs="Arial" w:eastAsia="Arial" w:hAnsi="Arial"/>
          <w:sz w:val="15"/>
          <w:szCs w:val="15"/>
          <w:color w:val="auto"/>
        </w:rPr>
        <w:t>and</w:t>
      </w:r>
      <w:r>
        <w:rPr>
          <w:rFonts w:ascii="Arial" w:cs="Arial" w:eastAsia="Arial" w:hAnsi="Arial"/>
          <w:sz w:val="15"/>
          <w:szCs w:val="15"/>
          <w:i w:val="1"/>
          <w:iCs w:val="1"/>
          <w:color w:val="auto"/>
        </w:rPr>
        <w:t xml:space="preserve"> www.rochesterclothing.com</w:t>
      </w:r>
      <w:r>
        <w:rPr>
          <w:rFonts w:ascii="Arial" w:cs="Arial" w:eastAsia="Arial" w:hAnsi="Arial"/>
          <w:sz w:val="15"/>
          <w:szCs w:val="15"/>
          <w:color w:val="auto"/>
        </w:rPr>
        <w:t>, as well as featuring the entire shoe product assortments on</w:t>
      </w:r>
      <w:r>
        <w:rPr>
          <w:rFonts w:ascii="Arial" w:cs="Arial" w:eastAsia="Arial" w:hAnsi="Arial"/>
          <w:sz w:val="15"/>
          <w:szCs w:val="15"/>
          <w:i w:val="1"/>
          <w:iCs w:val="1"/>
          <w:color w:val="auto"/>
        </w:rPr>
        <w:t xml:space="preserve"> www.shoesXL.com</w:t>
      </w:r>
      <w:r>
        <w:rPr>
          <w:rFonts w:ascii="Arial" w:cs="Arial" w:eastAsia="Arial" w:hAnsi="Arial"/>
          <w:sz w:val="15"/>
          <w:szCs w:val="15"/>
          <w:color w:val="auto"/>
        </w:rPr>
        <w: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Living XL</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Our Living XL business, which includes our website </w:t>
      </w:r>
      <w:r>
        <w:rPr>
          <w:rFonts w:ascii="Arial" w:cs="Arial" w:eastAsia="Arial" w:hAnsi="Arial"/>
          <w:sz w:val="18"/>
          <w:szCs w:val="18"/>
          <w:i w:val="1"/>
          <w:iCs w:val="1"/>
          <w:color w:val="auto"/>
        </w:rPr>
        <w:t>www.livingxl.com</w:t>
      </w:r>
      <w:r>
        <w:rPr>
          <w:rFonts w:ascii="Arial" w:cs="Arial" w:eastAsia="Arial" w:hAnsi="Arial"/>
          <w:sz w:val="18"/>
          <w:szCs w:val="18"/>
          <w:color w:val="auto"/>
        </w:rPr>
        <w:t xml:space="preserve"> and our Living XL catalogs, specializes in the selling of select unique, high-quality products which help larger people maintain a more comfortable lifestyle. The types of products sold on our website and in our catalogs benefit both men and women and include chairs, outdoor accessories, travel accessories, bed and bath and fitness equipment. During fiscal 2009, we mailed 9 editions of our Living XL catalog with a circulation of 1.8 million.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International Web Stores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Launched in late 2008, we operate online stores for both our Casual Male XL and Rochester Clothing brands in six European countries: U.K., Germany, France, Italy, Spain and the Netherlands. We engage GSI Commerce, Inc. (“GSI”), a leading provider of e-commerce solutions, for the design, development and operations of the 12 online stores. GSI provides the Web store design, order processing, fulfillment and customer call center services for each of the Web stores. Each online store is tailored to the specific European country in which it operates and includes country-specific components, such as online payment processing, content translation and customer service.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9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While our short-term goals over the past eighteen months have been primarily focused on maintaining a strong liquidity position and generating free cash flow during the recent economic recession, our long-term goal continues to be market share growth and overall improved profitability. Through strong inventory management, improved merchandise margins and expense reductions, during fiscal 2009, we were able to offset the decrease in sales that occurred as a result of the drop in consumer retail traffic and improve operating profitability and free cash flow.</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With our current business in a stable, profitable and cash generating position, we are ready to pursue new opportunities that would strengthen our multi-channel experience for our existing customers while attracting new target customers to help us achieve our long-term objective of market share growth. We have a very diverse customer base which we currently service essentially through our three separate businesses, B&amp;T Factory Direct, Casual Male XL and Rochester Clothing. Our customers have diverse lifestyles, ages, income levels and shopping habits. Increasing our market share is dependent on us being able to appeal to this entire diverse market. Presently, our customers are somewhat segregated by income demographics, with Rochester representing the high-end while B&amp;T Factory Direct represents the value-end. This makes it difficult for our customers to have the ability to experience the extensive range of merchandise at a broad range of price points that we have to offer. We believe that by developing a store concept that could cater to all aspects of this diverse customer group will lead to market share growth for us.</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During fiscal 2009, we tested a new hybrid store format in five of our existing Rochester stores. The hybrid store format is a combination Casual Male XL store and a Rochester Clothing store. The combination allows our customers to see an extended offering of our merchandise across both brands. Approximately 70% of sales for these hybrid stores were derived from our Casual Male brands with the balance being from our Rochester brands. Through the end of fiscal 2009, even though our hybrid locations experienced similar sales trends as our other stores, the average store volume improved by 50% compared to the combined results of the two stand-alone locations in the prior year. Each combined location was substantially more profitable than the previous stand-alone locations. Furthermore, the hybrid stores’ test of customer acceptance of cross-brand shopping was successful.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Coming Fiscal 2010 – “Destination XL”</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Working with JGA, one of the nation’s leading retail design, brand strategy and architectural firms, during fiscal 2010 we plan to open the first big &amp; tall men’s superstore. In an effort to expand upon the success of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hybrids and appeal to our entire customer base by offering a comprehensive selection of all the merchandise that we have to offer, we will be launching Destination XL™. We know that our customer tends to be a destination shopper when it comes to purchasing apparel for himself, so we want to ensure that our customers can meet their multiple shopping needs in one trip to our store.</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Destination XL will be a supercenter, averaging 11,000 square feet, catering to the many retail needs of our customers by offering a full assortment from all of our core brands, including the moderately priced Casual Male XL, the high-end fashion of Rochester Clothing, and the value-oriented offering of B&amp;T Factory Direct, as well as expanded assortments of Shoes XL and Living XL. Our stores will not be organized by brands but rather by neighborhoods, with each neighborhood representing a lifestyle; such as </w:t>
      </w:r>
      <w:r>
        <w:rPr>
          <w:rFonts w:ascii="Arial" w:cs="Arial" w:eastAsia="Arial" w:hAnsi="Arial"/>
          <w:sz w:val="16"/>
          <w:szCs w:val="16"/>
          <w:i w:val="1"/>
          <w:iCs w:val="1"/>
          <w:color w:val="auto"/>
        </w:rPr>
        <w:t>Club</w:t>
      </w:r>
      <w:r>
        <w:rPr>
          <w:rFonts w:ascii="Arial" w:cs="Arial" w:eastAsia="Arial" w:hAnsi="Arial"/>
          <w:sz w:val="16"/>
          <w:szCs w:val="16"/>
          <w:color w:val="auto"/>
        </w:rPr>
        <w:t xml:space="preserve">, for traditional clothing and suits, </w:t>
      </w:r>
      <w:r>
        <w:rPr>
          <w:rFonts w:ascii="Arial" w:cs="Arial" w:eastAsia="Arial" w:hAnsi="Arial"/>
          <w:sz w:val="16"/>
          <w:szCs w:val="16"/>
          <w:i w:val="1"/>
          <w:iCs w:val="1"/>
          <w:color w:val="auto"/>
        </w:rPr>
        <w:t>Studio</w:t>
      </w:r>
      <w:r>
        <w:rPr>
          <w:rFonts w:ascii="Arial" w:cs="Arial" w:eastAsia="Arial" w:hAnsi="Arial"/>
          <w:sz w:val="16"/>
          <w:szCs w:val="16"/>
          <w:color w:val="auto"/>
        </w:rPr>
        <w:t xml:space="preserve">, for young mens, and </w:t>
      </w:r>
      <w:r>
        <w:rPr>
          <w:rFonts w:ascii="Arial" w:cs="Arial" w:eastAsia="Arial" w:hAnsi="Arial"/>
          <w:sz w:val="16"/>
          <w:szCs w:val="16"/>
          <w:i w:val="1"/>
          <w:iCs w:val="1"/>
          <w:color w:val="auto"/>
        </w:rPr>
        <w:t>Essentials,</w:t>
      </w:r>
      <w:r>
        <w:rPr>
          <w:rFonts w:ascii="Arial" w:cs="Arial" w:eastAsia="Arial" w:hAnsi="Arial"/>
          <w:sz w:val="16"/>
          <w:szCs w:val="16"/>
          <w:color w:val="auto"/>
        </w:rPr>
        <w:t xml:space="preserve"> for our core basics. Within each neighborhood, we will provide our customers with multiple brands at varying price points using a good, better and best approach. We also want to create an atmosphere in each store that makes the shopping experience enjoyable, not rushed. In addition to the store being very spacious with wide aisles, our stores will also have a feeling of family entertainment, with sport lounges, pool tables, gaming stations and a section dedicated to each store’s home sport teams.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Initially, we plan to open 5 prototype stores during fiscal 2010. The ideal locations for this concept will be strip malls or standalone locations within a strip or mini-mall.</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complete this initiative, we will also be launching our Destination XL website. Similar to our new store concept, our e-commerce site will be organized by micro-sites, with tabs to enable our customers the ability to shop by lifestyle or brand or group of clothing. They will be able to shop across various brands with the convenience of one shopping cart.</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economic proposition of the Destination XL concept is greater sales productivity and efficiencies and, therefore, higher operating margins and enhanced rates of return on capital. In addition, the Destination XL concept has an opportunity to increase market share and, therefore, grow sales volumes by either capturing a greater percentage of our existing customers’ annual clothing budget, or by attracting a higher penetration of our target market, whose waist size is between 42’-46’. If the Destination XL test stores are successful, we believe that markets with a population greater than 750,000 would support at least one Destination XL store concept. A potential roll-out of the Destination XL store format will require a real estate transformation and would require five or more years to realize.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MERCHANDISE PLANNING AND ALLOCATION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merchandise planning and allocation area is critical to the effective management of our inventory, store assortments, product sizes and overall gross margin profitability. The merchandise planning and allocation team has an array of planning and replenishment tools available to assist in maintaining an appropriate level of inventory, in-stock positions at the store and direct levels, and pre-season planning for product assortments for each store and the direct channels. Additionally, in-season reporting identifies opportunities and challenges in inventory performance. Over the past several years, we have made important investments in implementing best practice tools and processes.</w:t>
      </w:r>
    </w:p>
    <w:p>
      <w:pPr>
        <w:spacing w:after="0" w:line="143"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Our core merchandise makes up over 40% of our Casual Male assortment and over 25% of our Rochester assortment. Our planning and allocation team estimates quantity and demand several months in advance to optimize gross margin and minimize end-of-season merchandise for all seasonal merchandise. We have implemented an all-channel assortment planning methodology that customizes each store’s assortment to accentuate lifestyle preferences for each store.</w:t>
      </w:r>
    </w:p>
    <w:p>
      <w:pPr>
        <w:spacing w:after="0" w:line="8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merchandising data warehouse provides the merchandising team with standardized reporting for monitoring assortment performance by product category and by store, identifying in-stock positions by size and generally monitoring overall inventory levels relative to selling. At season end, we analyze the overall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performance of product category, overall assortments and specific styles by store to focus on the opportunities and challenges for the next season’s pre-season planning cycle.</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season, we utilize a markdown optimization tool developed internally to closely monitor the selling performance of our fashion assortments and compare against the planned selling curves. When actual selling performance significantly drops below planned selling curves, we will make in-season pricing adjustments so that we maintain planned levels of residual fashion product at season’s end.</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Utilizing a set of specific universal reporting tools we are able to fulfill the daily, weekly and monthly roles and responsibilities of the merchandise planning and allocation team. These reporting tools provide focused and actionable views of the business to optimize the overall assortment by category and by store. We believe that by having all members of the merchandise planning and allocation team follow a standardize set of processes with the use of standardize reporting tools, our inventory performance will be optimized.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STORE OPERATIONS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believe that our store associates are the key to creating the highest quality visit for our customers. In fiscal 2008, we began a three-year program to change the culture of our stores from essentially an operationally-driven organization to a sales-driven, customer relationship organization. Our overall goal is to help our associates become less task oriented and more focused on serving the customer. We want our associates to help our customers meet their apparel needs by building their wardrobes, not just selling our customers an item. In order to do this, we have invested in educating our associates. Our training approach not only provides product knowledge but also behavioral training; we are teaching our associates how to interact with each customer and strengthen and build upon their relationships with their customers. Because a key component to the success of this program is having the right caliber of store associates, in fiscal 2009, we outsourced the sourcing of qualified store associate candidates to a national workforce solution company.</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also able to gauge the effectiveness of this training by measuring sales productivity at each level of the field organization, including individual sales associates. We believe that these education programs, together with monitoring sales metrics to help identify opportunities for further training, will add to our brand loyalty with our customers, while also improving sales productivity.</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field organization is overseen by our Senior Vice President of Store Sales and Operations and is comprised of approximately 31 District Managers who provide management development and guidance to individual store managers. Our organization is divided among four geographical regions, each region consisting of 7 to 10 District Managers depending on the number of stores and the distance between them. Each District Manager is responsible for hiring and developing store managers at the stores assigned to that District Manager’s area and for the overall operations and profitability of those stores. District Managers report to one of our four Regional Directors, each of whom reports directly to our Senior Vice President of Store Sales and Operations. The Regional Directors and Senior Vice President of Store Sales and Operations coordinate all sales and operations initiatives and activities.</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Each Casual Male XL store is staffed with a store manager, assistants and associates. Each store manager is responsible for achieving certain sales and operational targets and is entitled to receive bonuses based on achieving those targets. Each Rochester store is staffed with a store manager, assistant managers and sales associates. Rochester stores have an incentive-based compensation plan for managers and selling staff.</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 AND ADVERTISING</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marketing department creates and implements a wide variety of national, regional and local advertising, direct marketing and sales promotion programs. These direct mail and e-mail programs are designed to increase sales and customer awareness of all of our business channels, which include Casual Male XL, Rochester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Clothing, B&amp;T Factory Direct, Living XL and Shoes XL. The primary component to our marketing budget is our direct mail campaigns to our customer databases. With the majority of sales captured in our customer database, we maintain the largest customer database of purchasers of big &amp; tall clothing. Our direct mail and e-mail programs allow continuous communication with our customers both for promotional events as well as relationship programs such as the birthday club and new customer loyalty programs. In addition, local store marketing activities occur on a regular basis and include store opening events and in-store promotion programs.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Advertising and marketing costs for all channels of our businesses represent approximately 4.8% of our total revenue for fiscal 2009, or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$19.1 million. This includes creating and distributing catalogs, retail direct mail pieces and in-store signage for our Casual Male XL business, Rochester business,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 well as our supporting e-commerce businesses, including B&amp;T Factory Direct, Living XL and Shoes XL, with active internet marketing programs.</w:t>
      </w:r>
    </w:p>
    <w:p>
      <w:pPr>
        <w:spacing w:after="0" w:line="18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we have a very active e-mail campaign updating all of our customers about the latest fashions, wardrobe ideas, promotional discounts and clearance specials.</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manage a customer loyalty program for our Casual Male XL customers. At of the end of fiscal 2009, approximately 95% of our Casual Male active retail customers were enrolled in this program and 80% of all of our active Casual Male customers, both direct and retail, were enrolled. Under the program, customers accumulate points based on purchase activity and earn rewards by reaching certain point thresholds. Rewards earned are valid through the stated expiration date, which is approximately three months from the mailing date and can be redeemed for a discount on a future purchase of merchandise from us. Rewards not redeemed during the three-month redemption period are forfeited. In fiscal 2009, we modified and expanded our current loyalty program. Under the revised program, the point threshold under which rewards are earned was increased, but the value of the earned award as a percentage of points is greater. In addition, points accumulate on a calendar year and will reset with the beginning of a new year.</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March 2009, we rolled out a new level of our loyalty program, Prestige XL. Prestige XL is a rewards program for our top highest-spending customers. This group of individuals spends on average over $1,000 per year. The objective of this program is to recognize these customers and continue to build brand loyalty with them, which closely aligns with our overall store operation objective of building strong customer service. Our store associates are able to identify our Prestige XL customer and cater to his shopping needs. The customer receives specialized benefits including double points, preferred sales, special e-commerce offers and catalog shout-outs. Only a select few are invited to join the Prestige XL program and enrollment will only be for one year. Each year we will award our past year’s highest spending customers a Prestige XL loyalty card.</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utilize a customer relationship management (“CRM”) system which allows us to expand our level of communication to our customers, and makes available pertinent customer information at the store level, with the goal of servicing the customer better. With the customer database maintained at the corporate office, our business has daily results on its direct marketing efforts and has the ability to respond to business immediately. Our sales associates now have an array of information available about their customers. Through the CRM real-time database, our sales associates are able to access valuable information on each customer’s buying patterns, preferences and sizes.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fiscal 2010, we have slightly increased our marketing budget by approximately $1.5 million to approximately $20.7 million, primarily to support the launch of our new Destination XL concept. Our overall focus and marketing objectives for fiscal 2010 will remain consistent with the past year. We plan to continue to focus on our existing loyal customer base through our direct mail and email programs. In general, mass-media advertising and prospecting of new customers will be minimal. However, some mass media advertising and new customer prospecting may occur in local markets in connection with our Destination XL launch. During fiscal 2009, we began tailoring our circulation towards our more active customers and reducing the number of circulations to our less productive customers. By focusing on this more active group of customers, we are able to improve our productivity while minimizing our costs.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GLOBAL SOURCING</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manage a growing direct sourcing program for our private label merchandise. During fiscal 2009, over 70% of our Casual Male merchandise is from our private label product lines. All channels within Casual Male and, on a smaller scale, Rochester, have benefited from our direct sourcing initiatives resulting in increased markups as compared to our brand-name product lines. In addition to direct sourcing of apparel, we began the direct sourcing of Living XL in fiscal 2008.</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developed business relationships with five specialized apparel buying agents to oversee our production, quality control, and social compliance for the Eastern Hemisphere. In addition, our global sourcing team works directly with factories in Central and South America. Our global sourcing strategy is a balanced approach considering both cost and lead time, depending on the requirements of the program.</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require each vendor and factory to adhere to our Code of Conduct, which is designed to ensure that the operations of each of our business associates are conducted in a legal, ethical and responsible manner. Our Code of Conduct requires that each of our business associates operates in compliance with the applicable wage, benefit and working hours and other laws of each of the respective countries in which we do business and forbids the use of practices such as child labor or forced labor. We oversee and manage our compliance program internally. We contract with a third-party compliance audit firm to make periodic visits to the factories that produce our merchandise to monitor compliance, including prequalification for new suppliers. All of our agents have their own compliance programs which supplement our program.</w:t>
      </w:r>
    </w:p>
    <w:p>
      <w:pPr>
        <w:spacing w:after="0" w:line="14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an effort to minimize foreign currency risk, all payments to our direct sourced vendors and buying agents are made in U.S. dollars through the use of letters of credit or payment on account. In fiscal 2009, approximately 30% of our merchandise product flow was directly sourced by our Global Sourcing group.</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All of our distribution operations, with the exception of our International Web stores, are centralized in our headquarters and distribution center located in Canton, Massachusetts. See discussion above regarding our International Web Stores.</w:t>
      </w:r>
    </w:p>
    <w:p>
      <w:pPr>
        <w:spacing w:after="0" w:line="13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We believe that having one centralized distribution facility minimizes the delivered cost of merchandise and maximizes the in-stock position of our stores. We believe that the centralized distribution system enables our stores to maximize selling space by reducing necessary levels of back-room stock carried in each store. In addition, the distribution center provides order fulfillment services for our e-commerce and catalog businesses.</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Since 2003, we have utilized United Parcel Services (“UPS”) for all our store shipments as well as all domestic customer deliveries. This association with UPS has improved our distribution capabilities while also reducing our shipping costs. By utilizing UPS, we are able to track all deliveries from the warehouse to our individual stores, including the status of in-transit shipments. In addition, we are able to provide our customers with Authorized Return Service and Web labels, making returns more convenient for them. Our current contract with UPS is through December 2013.</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utilize the Manhattan Associates’ PKMS warehousing application for our distribution center systems, which has significantly streamlined our distribution processes, enhanced our in-transit times, and significantly reduced our distribution costs. In addition, we have slightly altered our distribution strategy as it relates to seasonal merchandise to allow for replenishment of styles at the color and size level which has optimized sales opportunities and minimized our end of season clearance markdowns. This seasonal merchandise distribution strategy requires a significantly higher volume of individual piece processing, a more costly distribution method in contrast to carton handling. However, in conjunction with the installation of a more efficient PKMS warehousing application, we have also updated our processes in order to optimize the new system’s capabilities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in areas such as receiving, cross-dock handling, put-away, and picking including the use of scanning equipment. Accordingly, in spite of the shift in distribution strategy to include the more costly piece replenishment, our distribution costs have decreased and are expected to continue to decrease as a result of the new systems and the adoption of updated process flows. In-bound calls and order fulfillment for our direct businesses are also currently handled at our Canton facility.</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INFORMATION SYSTEMS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management information systems consist of a full range of retail merchandising and financial systems which include merchandise planning and reporting, distribution center processing, inventory allocation, sales reporting, and financial processing and reporting. Our business operates primarily on an IBM AS/400 platform, with the e-commerce/catalog business on the HP environment. We believe that our current infrastructure provides us the ability and capacity to process transactions more efficiently and provides our management team with comprehensive tools with which to manage our business.</w:t>
      </w:r>
    </w:p>
    <w:p>
      <w:pPr>
        <w:spacing w:after="0" w:line="11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suite of merchandising systems consists of the JDA Portfolio Solutions, specifically the MMS Merchandise Management System, Retail Ideas Data Warehouse, and Arthur Merchandise Planning and Advanced Allocation systems. In addition, we also utilize JDA’s E3 Advanced Replenishment system to optimize fill back from vendors and adjustments from seasonal profiles which we believe has improved sales opportunities and control over our inventory of basic merchandise. For our distribution operations, we use Manhattan Associates’ PKMS distribution system. These systems have enabled us to improve sales, better manage inventory levels and streamline operations.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All of our stores have state-of-the-art point-of-sale (“POS”) terminals supplied by IBM. The business is supported by a POS business application provided by Epicor, formerly NSB Group. The POS applications capture daily transaction information by item, color and size. Communication between our corporate headquarters and all of our stores is facilitated on a daily basis through the use of an electronic mail system. The POS system includes a multitude of features including CRM tools that enable us to track customer buying habits and provide us with the ability to target customers with specific offers and promotions.</w:t>
      </w:r>
    </w:p>
    <w:p>
      <w:pPr>
        <w:spacing w:after="0" w:line="11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Our web sites have all been standardized on a state-of-the-art platform from Art Technology Group. We also implemented the e-SPS Product Life Cycle Management system from NGC to support the growth of our direct sourcing initiatives. To support the marketing area, we implemented the PlanSystem3 environment from Quad-Systems to manage marketing assets, schedule promotions and monitor activities.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merchandising management systems are updated daily with all store transactions and provide daily sales, inventory, pricing and merchandise information and management reports to assist us in operating our retail business. Our merchandising system applications also facilitate the placement and tracking of purchase orders and utilize EDI technology. We evaluate this information, together with weekly reports on merchandise statistics, prior to making decisions regarding reorders of fast-selling items and the allocation of merchandise.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Using QuantiSense, a business intelligence and data warehousing application, we are able to provide our management team with the ability to integrate data from several sources into reports that are useful and easily obtained. With its customized reporting capabilities, we have visibility down to the lowest level: style, SKU and store. Over the past few years, we have developed customized reporting that has been extremely beneficial to our business. With the use of this software, we now have store grading applications and size scaling to the store level. During fiscal 2008, we completed the customization of our merchandise allocation roles and created a standardized set of “best practices.” During fiscal 2009, we designed similar sets of standardized best practices for our planning group. These reporting and processing enhancements will allow us to further improve our inventory management.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Since we acquired Casual Male in fiscal 2002, the infrastructure of our management information systems has consistently been a priority to us. The investments that we have made in this regard have substantially improved our overall efficiency and most importantly have enabled us to better manage our most valuable asset – our inventory. Even though we considerably reduced our capital expenditures for fiscal 2009 and expect only slightly higher levels for fiscal 2010, there were several projects which we believe needed to occur as they enable us to further streamline our operations and ultimately result in future cost savings.</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largest of these projects was the establishment of one chain-wide inventory system. Prior to fiscal 2009, our direct businesses and retail businesses maintained separate inventory systems. During fiscal 2009, we completed the integration of these systems so that our inventory is shared among all channels of our business. The completion of this project provides numerous benefits to us including eliminating the redundancy of inventory items that currently exist as a result of managing two systems and, from an operational perspective, it simplifies the ordering process considerably.</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Along similar lines, during fiscal 2010, we plan to integrate our primary merchandise management system with our product lifecycle management system. The completion of this project will provide our merchants and sourcing department with full visibility and automation from purchase order to received shipments, which is increasingly more important as our private label program continues to grow.</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fiscal 2010 we will also be working to upgrade our websites to the latest platform, which will have internal benefits as well as improve our customers’ shopping experience. In the second half of fiscal 2010, we also plan to launch our Destination XL website which will include the latest in best practices, features and functions. We will be adding enhanced advanced search programs allowing more complex faceted searches. Our primary short-term goal is to maintain and strengthen our relationship with our customer: when they visit our direct businesses on-line, we want to ensure that the experience is effortless and that they find what they are looking for.</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Casual Male and Rochester system platforms will be merged to deliver greater efficiencies and open our full product assortment to all of our business formats.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business faces competition from a variety of sources, including department stores, mass merchandisers, other specialty stores and discount and off-price retailers, as well as other retailers that sell big &amp; tall merchandise. While we have successfully competed on the basis of merchandise selection, favorable pricing, customer service and desirable store locations, there can be no assurances that other retailers will not adopt purchasing and marketing concepts similar to ours. In addition, discount retailers with significant buying power, such as Wal-Mart, J.C. Penney and Kohl’s, represent a source of competition for us.</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United States men’s big &amp; tall apparel market is highly competitive with many national and regional department stores, specialty apparel retailers, single market operators and discount stores offering a broad range of apparel products similar to ours. Besides retail competitors, we consider any casual apparel manufacturer operating in outlet malls throughout the United States to be a competitor in the casual apparel market. We believe that we are the only national operator of apparel stores focused on the men’s big &amp; tall market.</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catalog business has several competitors, including the King Size Catalog (which is owned by Redcats USA, a wholly-owned subsidiary of Pinault-Printemps-Redoute, SA of France) and J.C. Penney’s Big &amp; Tall Collection catalog.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Historically, and consistent with the retail industry, we have experienced seasonal fluctuations as it relates to our operating income and net income.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Traditionally, a significant portion of our operating income and net income is generated in the fourth quarter, as a result of the “Holiday” season.</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TRADEMARKS/TRADEMARK LICENSE AGREEMENTS</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own several servicemarks and trademarks relating to our businesses, including, among others, “Casual Male</w:t>
      </w:r>
      <w:r>
        <w:rPr>
          <w:rFonts w:ascii="Arial" w:cs="Arial" w:eastAsia="Arial" w:hAnsi="Arial"/>
          <w:sz w:val="10"/>
          <w:szCs w:val="10"/>
          <w:color w:val="auto"/>
        </w:rPr>
        <w:t>®</w:t>
      </w:r>
      <w:r>
        <w:rPr>
          <w:rFonts w:ascii="Arial" w:cs="Arial" w:eastAsia="Arial" w:hAnsi="Arial"/>
          <w:sz w:val="16"/>
          <w:szCs w:val="16"/>
          <w:color w:val="auto"/>
        </w:rPr>
        <w:t>”, “Casual Male XL™”, “B&amp;T Factory Direct™”, “Rochester Big &amp; Tall™”, “Harbor Bay</w:t>
      </w:r>
      <w:r>
        <w:rPr>
          <w:rFonts w:ascii="Arial" w:cs="Arial" w:eastAsia="Arial" w:hAnsi="Arial"/>
          <w:sz w:val="10"/>
          <w:szCs w:val="10"/>
          <w:color w:val="auto"/>
        </w:rPr>
        <w:t>®</w:t>
      </w:r>
      <w:r>
        <w:rPr>
          <w:rFonts w:ascii="Arial" w:cs="Arial" w:eastAsia="Arial" w:hAnsi="Arial"/>
          <w:sz w:val="16"/>
          <w:szCs w:val="16"/>
          <w:color w:val="auto"/>
        </w:rPr>
        <w:t>”, “Oak Hill™”, “Flex-Zone™”, “Comfort Zone™”, “Synrgy™”, “Society of One™”, “Castagne™”, “Destination XL™” and “DXL™”. We also have a U.S. patent for an extendable collar system, which is marketed as “Neck-Relaxer</w:t>
      </w:r>
      <w:r>
        <w:rPr>
          <w:rFonts w:ascii="Arial" w:cs="Arial" w:eastAsia="Arial" w:hAnsi="Arial"/>
          <w:sz w:val="10"/>
          <w:szCs w:val="10"/>
          <w:color w:val="auto"/>
        </w:rPr>
        <w:t>®</w:t>
      </w:r>
      <w:r>
        <w:rPr>
          <w:rFonts w:ascii="Arial" w:cs="Arial" w:eastAsia="Arial" w:hAnsi="Arial"/>
          <w:sz w:val="16"/>
          <w:szCs w:val="16"/>
          <w:color w:val="auto"/>
        </w:rPr>
        <w: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of January 30, 2010, we employed approximately 2,529 associates, of whom 1,560 were full-time personnel. We hire additional temporary employees during the peak Fall and Holiday seasons. None of our employees are represented by any collective bargaining agreement.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Our corporate website is </w:t>
      </w:r>
      <w:r>
        <w:rPr>
          <w:rFonts w:ascii="Arial" w:cs="Arial" w:eastAsia="Arial" w:hAnsi="Arial"/>
          <w:sz w:val="18"/>
          <w:szCs w:val="18"/>
          <w:i w:val="1"/>
          <w:iCs w:val="1"/>
          <w:color w:val="auto"/>
        </w:rPr>
        <w:t>www.casualmaleXL.com</w:t>
      </w:r>
      <w:r>
        <w:rPr>
          <w:rFonts w:ascii="Arial" w:cs="Arial" w:eastAsia="Arial" w:hAnsi="Arial"/>
          <w:sz w:val="18"/>
          <w:szCs w:val="18"/>
          <w:color w:val="auto"/>
        </w:rPr>
        <w:t xml:space="preserve">. We make available, free of charge, through our website our Annual Reports on Form 10-K, Quarterly Reports on Form 10-Q, Current Reports on Form 8-K and amendments to such reports filed or furnished pursuant to Section 13(a) of the Securities Exchange Act of 1934, as amended, as soon as reasonably practicable after we have electronically filed such material with, or furnished such materials to, the Securities and Exchange Commission. The SEC maintains an internet site that contains reports, proxy and information statements, and other information for issuers that file electronically with the SEC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following discussion identifies certain important factors that could affect our financial position, our actual results of operations and our actions and could cause our financial position, results of operations and our actions to differ materially from any forward-looking statements made by or on behalf of our Company. Other factors, which are not identified herein, could also have such an effect.</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following risk factors are all of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projected results or events will be achieved or will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 and Our Industry</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Although the disruptions in the capital and credit markets related to the recent national and world-wide financial crisis appear to be improving, any re-occurrence could adversely affect our results of operations, cash flows and financial condition, or those of our customers and vendors.</w:t>
      </w:r>
    </w:p>
    <w:p>
      <w:pPr>
        <w:spacing w:after="0" w:line="8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recent disruptions in the capital and credit markets or the re-occurrence of those disruptions could adversely impact our results of operations, cash flows and financial condition, or those of our customers and vendors. Disruptions in the capital and credit markets as a result of uncertainty, changing or increased regulation, reduced alternatives or failures of significant financial institutions could adversely affect our access to liquidity. Such disruptions may also adversely impact the capital needs of our customers and vendors, which, in turn, could adversely affect our results of operations, cash flows and financial condition.</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is seasonal and is affected by general economic conditions.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Like most other retail businesses, our business is seasonal. Historically, approximately 50% or more of our operating income has been generated during November, December and January. Like other retail businesses, our operations may be negatively affected by local, regional or national economic conditions, such as levels of disposable consumer income, consumer debt, interest rates and consumer confidence. As we experienced during fiscal 2008 and 2009, the recent economic downturn caused consumers to reduce their spending, which negatively affected our sales. A sustained economic downturn would have had an adverse affect on our results of operations.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may be adversely affected by economic and foreign issues abroad.</w:t>
      </w:r>
    </w:p>
    <w:p>
      <w:pPr>
        <w:spacing w:after="0" w:line="171"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Economic and civil unrest in areas of the world where we source merchandise for our global sourcing program, as well as shipping and docking issues could adversely impact the availability and cost of such merchandise. Political instability, the financial instability of our suppliers, merchandise quality issues, trade restrictions, tariffs, currency exchange rates, transport capacity and costs, inflation and other factors relating to foreign trade are beyond our control. In the event of disruptions or delays in deliveries due to economic or political conditions in foreign countries, such disruptions or delays could adversely affect our results of operations unless and until alternative supply arrangements could be made. These and other issues affecting our suppliers could adversely affect our business and financial performance.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dependent on third parties for the manufacture of the merchandise we sell.</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do not own or operate any manufacturing facilities and are therefore entirely dependent on third parties for the manufacture of the merchandise we sell. Without adequate supplies of merchandise to sell to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customers in the merchandise styles and fashions demanded by our particular customer base, sales would decrease materially and our business would suffer. With the current financial state of the economy, the financial stability of our vendors becomes a greater risk. We are dependent on their ability to fulfill our merchandise orders and meet our delivery terms. Furthermore, over approximately 70% of our merchandise is branded merchandise made specifically for Casual Male and our customers.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 label merchandise would negatively impact proper inventory levels, sales and gross margin rates, and ultimately our results of operations.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 quality, then our brand recognition and customer satisfaction would likely suffer. These manufacturers may also increase the cost to us of the products we purchase from them.</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our suppliers increase our costs, our margins may be adversely affected.</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significant portion of our merchandise is directly imported from other countries, and U.S. domestic suppliers who source their goods from other countries supply most of our remaining merchandise.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further loss of sales and an adverse impact on our results of operations.</w:t>
      </w:r>
    </w:p>
    <w:p>
      <w:pPr>
        <w:spacing w:after="0" w:line="11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extreme circumstances, it may be necessary to close less productive stores so as to consolidate important merchandise categories into our most productive stores, which would severely impact our results of operations and cash flow.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success significantly depends on our key personnel and our ability to attract and retain additional personnel.</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future success is dependent on the personal efforts, performance and abilities of our key management which includes our executive officers as well as several significant members of our senior management. For example, the loss of the services of David Levin, our President and Chief Executive Officer, or Dennis Hernreich, our Chief Operating Officer and Chief Financial Officer, each of whom is an integral part of our daily operations and are primary decision makers in all our important operating matters, could significantly impact our business until adequate replacements can be identified and put in place. The loss of any of our senior management may result in a loss of organizational focus, poor operating execution, an inability to identify and execute potential strategic initiatives, an impairment in our ability to identify new store locations, and an inability to consummate possible acquisitions.</w:t>
      </w:r>
    </w:p>
    <w:p>
      <w:pPr>
        <w:spacing w:after="0" w:line="12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These adverse results could, among other things, reduce potential revenues, prevent us from diversifying our product lines and geographic concentrations, and expose us to downturns in our markets. The competition is intense for the type of highly skilled individuals with relevant industry experience that we require and we may not be able to attract and retain new employees of the caliber needed to achieve our objectives.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or disruption in, our centralized distribution center could negatively impact our business and operations.</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All merchandise for our stores and ecommerce operations is received into our centralized distribution center in Canton, Massachusetts, where the inventory is then processed, sorted and shipped to our stores.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well-positioned to support our strategic plans, events beyond our control, such as disruptions in operations due to fire or other catastrophic events, employee matters or shipping problems, could result in delays in the delivery of merchandise to our stores.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With all of our management information systems centralized in our corporate headquarters, any disruption or destruction of our system infrastructure would materially affect our business. This type of disaster is mitigated by our offsite storage and disaster recovery plans, but we would still incur business interruption which could impact our business for several weeks.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Although we maintain business interruption and property insurance, we cannot be sure that our insurance will be sufficient, or that insurance proceeds will be timely paid to us, in the event our distribution center is shut down for any reason or if we incur higher costs and longer lead times in connection with a disruption from our distribution center.</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Our business may be negatively impacted and we may be liable if third parties misappropriate proprietary information of our customers and breach our security systems.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Any security breach could expose us to risks of loss, litigation and liability and could adversely affect our operations. If third parties are able to penetrate our network security or otherwise misappropriate the personal information or credit card information of our customers or if third parties gain unauthorized and improper access to such information, we could be subject to liability. This liability could include claims for unauthorized purchases with credit card information, impersonation or other similar fraud claims. They could also include claims for other misuses of personal information, including unauthorized marketing purposes. These claims could result in litigation. Liability for misappropriation of this information could be significant. Further, if a third party were to use this proprietary customer information in order to compete with us, it could have a material adverse impact on our business and could result in litigation.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been Payment Card Industry (“PCI”) compliant since 2007, which we believe is important in ensuring that our security systems are protected.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face greater challenges in managing several brands in multiple channels of distribution.</w:t>
      </w:r>
    </w:p>
    <w:p>
      <w:pPr>
        <w:spacing w:after="0" w:line="171"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Several retailers have had problems executing a corporate strategy aimed at operating multiple brands in multiple channels. We have expertise in the outlet channel of distribution, but our acquisition of Casual Male in 2002 caused us to conduct operations in the specialty store and internet channels of distribution. We are now also responsible for all aspects of brand management with respect to the Casual Male brand and the Rochester brand, including advertising and promotion, and the servicing and merchandising of private label merchandise. With respect to our branded merchandise, this function is mostly the responsibility of the specific manufacturer of the brand. If the managing of multiple brands within multiple channels is poorly executed, we will not achieve our expected level of profitability, and could ultimately be compelled to eliminate the multiple brand strategy so that the organization may focus on a single brand strategy.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successful in growing our market share.</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large part of our growth has resulted from our acquisition of the Casual Male business in May 2002 and our acquisition of Rochester Clothing in October 2004 and the increased sales volume and profitability provided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by these acquisitions. We believe that our current level of stores is sufficient to sustain our business and we are not dependent on adding new stores to increase our sales volume and profitability. However, for us to be successful in the future and maintain growth, we must be able to continue increasing our market share within the big &amp; tall industry. Our growth is dependent on us being successful in attracting new target customers into our stores, catalogs and e-commerce sites. We cannot assure you that our strategic plans will be successful in attracting customers and growing our market share.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is highly competitive, and competitive factors may reduce our revenues and profit margins.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United States men’s big &amp; tall apparel market is highly competitive with many national and regional department stores, mass merchandisers, specialty apparel retailers and discount stores offering a broad range of apparel products similar to the products that we sell. Besides retail competitors, we consider any manufacturer of big &amp; tall merchandise operating in outlet malls throughout the United States to be a competitor. It is also possible that another competitor, either a mass merchant or a men’s specialty store or specialty apparel catalog, could gain market share in men’s big &amp; tall apparel due to more favorable pricing, locations, brand and fashion assortment and size availability. Many of our competitors and potential competitors may have substantially greater financial, manufacturing and marketing resources than we do. The presence in the marketplace of various fashion trends and the limited availability of shelf space also can affect competition. We may not be able to compete successfully with our competitors in the future and could lose brand recognition and market share. A significant loss of market share would adversely affect our revenues and results of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 unable to predict fashion trends and customer preferences successfully.</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Customer tastes and fashion trends are volatile and tend to change rapidly.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could have serious longer-term consequences, such as an adverse impact on our brand value and the loss of market share to our competitors.</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Our marketing programs and success in maintaining and building our brand awareness are critical to achieving successful market share growth within the big &amp; tall industry.</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success in increasing our market share in the big &amp; tall apparel business is largely dependent on maintaining our favorable brand recognition and effectively marketing our merchandise to all of our target customers in several diverse market segments. In order to grow our brand recognition and our market share, we depend on the successful development of our brands through several means including advertising events, direct mail marketing, e-commerce and catalog marketing and customer prospecting. Our business is directly impacted by the success of these efforts and those of our vendors. Future advertising efforts by us, our vendors or our other licensors may be costly and may not result in increased market share or revenues.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any of our key trademarks or licenses could adversely affect demand for our products.</w:t>
      </w:r>
    </w:p>
    <w:p>
      <w:pPr>
        <w:spacing w:after="0" w:line="171"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own and use a number of trademarks and operate under several trademark license agreements. We believe that these trademarks have significant value and are instrumental in our ability to create and sustain demand for and to market our products. We cannot assure you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Acts of terrorism or a catastrophic event could negatively impact our operating results and financial condition.</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Unforeseen events, including war, terrorism and other international conflicts, public health issues, and natural disasters such as earthquakes, hurricanes or other adverse weather and climate conditions, whether occurring in the U.S. or abroad, could disrupt our operations, or the operations of our vendors and other suppliers, or result in political or economic instability.</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continued threat of terrorism and heightened security measures in response to an act of terrorism may disrupt commerce and undermine consumer confidence which could negatively impact our sales by causing consumer spending to decline. Furthermore, an act of terrorism or war, or the threat thereof, could negatively impact our business by interfering with our ability to obtain merchandise from vendors or substitute suppliers at similar costs in a timely manner.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 and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stock price has been and may continue to be extremely volatile due to many factors.</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market price of our common stock has fluctuated in the past and may increase or decrease rapidly in the future depending on news announcements and changes in general market conditions. Since January 1, 2003, the closing price of our common stock has ranged from a low of $0.26 per share (March 9, 2009) to a high of $14.95 per share (October 26, 2006). The following factors, among others, may cause significant fluctuations in our stock price:</w:t>
      </w:r>
    </w:p>
    <w:p>
      <w:pPr>
        <w:spacing w:after="0" w:line="26"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overall changes in the economy and general market volatility;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news announcements regarding quarterly or annual results of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comparable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developments;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 affecting us;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views as to the prospects of the retail industry generally.</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Rights of our stockholders may be negatively affected if we issue any of the shares of preferred stock which our Board of Directors has authorized for issuance.</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available for issuance 1,000,000 shares of preferred stock, par value $0.01 per share. Our Board of Directors is authorized to issue any or all of this preferred stock, in one or more series, without any further action on the part of stockholders. The rights of our stockholders may be negatively affected if we issue a series of preferred stock in the future that has preference over our common stock with respect to the payment of dividends or distribution upon our liquidation, dissolution or winding up.</w:t>
      </w:r>
    </w:p>
    <w:p>
      <w:pPr>
        <w:spacing w:after="0" w:line="14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addition, the issuance of preferred stock by our Board of Directors pursuant to our certificate of incorporation could have the effect of making it more difficult for a third party to acquire, or of discouraging a third party from acquiring, a majority of the outstanding voting stock of our Company.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We have adopted anti-takeover defenses that could make it difficult for another company to acquire control of our Company or limit the price investors might be willing to pay for our stock, thus affecting the market price of our securities.</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a Shareholder Rights Agreement, dated as of December 8, 2008, as amended on June 29, 2009 and December 7, 2009 (as amended, the “Rights Agreement”), under which the Board authorized and declared a dividend of one preferred stock purchase right (a “Right” and collectively, the “Rights”) for each share of the Company’s common stock. Each Right entitles the registered holder to purchase from us one one-thousandth of a share of Series A Junior Participating Preferred Stock at a purchase price of $5.00 per share, subject to adjustment.</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Rights become exercisable upon the occurrence of certain events and may make the acquisition of our Company more difficult and expensive. The Rights Agreement may delay or prevent an acquisition of us that stockholders may consider favorable, which could decrease the value of our common stock. The Rights will expire at 12:00 midnight at the end of the day on June 1, 2010, unless the Rights are earlier exchanged or redeemed by our Board of Directors.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State laws and our certificate of incorporation, as amended, may inhibit potential acquisition bids that could be beneficial to our stockholders.</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i w:val="1"/>
          <w:iCs w:val="1"/>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corporate offices and retail distribution center are located at 555 Turnpike Street in Canton, Massachusetts. The property consists of a 755,992 gross square foot building located on approximately 27.3 acres. We owned the property until January 30, 2006, at which time we entered into a sale-leaseback transaction with Spirit Finance Corporation, a third-party real estate investment trust (“Spirit”), whereby we entered into a twenty-year lease agreement with a wholly-owned subsidiary of Spirit for an annual rent of $4.6 million. In fiscal 2006, we realized a gain of approximately $29.3 million on the sale of this property, which has been deferred and is being amortized over the initial 20 years of the related lease agreement. Accordingly, our annual rent of $4.6 million is offset by $1.5 million related to the amortization of this deferred gain.</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of January 30, 2010, we operated 395 Casual Male XL retail stores, 65 Casual Male XL outlet stores and 19 Rochester Clothing stores. All of these stores are leased by us directly from owners of several different types of centers, including life-style centers, shopping centers, free standing buildings, outlet centers and downtown locations. The store leases are generally five years in length and contain renewal options extending their terms to between 5 and 10 years. Following this discussion is a listing by state of all store locations open at January 30, 2010.</w:t>
      </w:r>
    </w:p>
    <w:p>
      <w:pPr>
        <w:spacing w:after="0" w:line="113"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Sites for store expansion are selected on the basis of several factors intended to maximize the exposure of each store to our target customers. These factors include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estimated occupancy costs and return on investment requirements. We believe that our selection of locations enables our stores to attract customers from the general shopping traffic and to generate our own customers from surrounding areas.</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fiscal 2009, we actively worked with all of our landlords to review our current lease agreements in light of the economic conditions of the past fiscal year. In general, the entire real estate portfolio was reviewed and where possible we sought revised terms with landlords. For instance, for leases that had an upcoming rent escalation, we requested rent reductions and in some situations requested rent stabilization from various landlords. We expect that these discussions will continue during fiscal 2010 as additional leases with extension clauses come due.</w:t>
      </w:r>
    </w:p>
    <w:p>
      <w:pPr>
        <w:spacing w:after="0" w:line="113"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See also “Management’s Discussion and Analysis of Financial Condition and Results of Operation—Liquidity and Capital Resources—Capital Expenditures.”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Store locations by State at January 30, 2010</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Casual Male XL Retail, Casual Male XL Outlet and Casual Male XL Retail/Rochester Hybrid Stores</w:t>
      </w:r>
    </w:p>
    <w:p>
      <w:pPr>
        <w:spacing w:after="0" w:line="38" w:lineRule="exact"/>
        <w:rPr>
          <w:sz w:val="20"/>
          <w:szCs w:val="20"/>
          <w:color w:val="auto"/>
        </w:rPr>
      </w:pPr>
    </w:p>
    <w:p>
      <w:pPr>
        <w:ind w:left="3340"/>
        <w:spacing w:after="0"/>
        <w:rPr>
          <w:sz w:val="20"/>
          <w:szCs w:val="20"/>
          <w:color w:val="auto"/>
        </w:rPr>
      </w:pPr>
      <w:r>
        <w:rPr>
          <w:rFonts w:ascii="Arial" w:cs="Arial" w:eastAsia="Arial" w:hAnsi="Arial"/>
          <w:sz w:val="15"/>
          <w:szCs w:val="15"/>
          <w:b w:val="1"/>
          <w:bCs w:val="1"/>
          <w:i w:val="1"/>
          <w:iCs w:val="1"/>
          <w:color w:val="auto"/>
        </w:rPr>
        <w:t>(Outlets denoted by an asterisk, Hybrid stores denoted by an “H”)</w:t>
      </w:r>
    </w:p>
    <w:p>
      <w:pPr>
        <w:sectPr>
          <w:pgSz w:w="11900" w:h="16838" w:orient="portrait"/>
          <w:cols w:equalWidth="0" w:num="1">
            <w:col w:w="11240"/>
          </w:cols>
          <w:pgMar w:left="240" w:top="459" w:right="419" w:bottom="1440" w:gutter="0" w:footer="0" w:header="0"/>
        </w:sectPr>
      </w:pPr>
    </w:p>
    <w:p>
      <w:pPr>
        <w:spacing w:after="0" w:line="237" w:lineRule="exact"/>
        <w:rPr>
          <w:sz w:val="20"/>
          <w:szCs w:val="20"/>
          <w:color w:val="auto"/>
        </w:rPr>
      </w:pPr>
    </w:p>
    <w:p>
      <w:pPr>
        <w:ind w:left="1060"/>
        <w:spacing w:after="0"/>
        <w:rPr>
          <w:sz w:val="20"/>
          <w:szCs w:val="20"/>
          <w:color w:val="auto"/>
        </w:rPr>
      </w:pPr>
      <w:r>
        <w:rPr>
          <w:rFonts w:ascii="Arial" w:cs="Arial" w:eastAsia="Arial" w:hAnsi="Arial"/>
          <w:sz w:val="12"/>
          <w:szCs w:val="12"/>
          <w:b w:val="1"/>
          <w:bCs w:val="1"/>
          <w:i w:val="1"/>
          <w:iCs w:val="1"/>
          <w:color w:val="auto"/>
        </w:rPr>
        <w:t>Alabama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Foley*</w:t>
      </w:r>
    </w:p>
    <w:p>
      <w:pPr>
        <w:spacing w:after="0" w:line="221" w:lineRule="auto"/>
        <w:rPr>
          <w:sz w:val="20"/>
          <w:szCs w:val="20"/>
          <w:color w:val="auto"/>
        </w:rPr>
      </w:pPr>
      <w:r>
        <w:rPr>
          <w:rFonts w:ascii="Arial" w:cs="Arial" w:eastAsia="Arial" w:hAnsi="Arial"/>
          <w:sz w:val="14"/>
          <w:szCs w:val="14"/>
          <w:color w:val="auto"/>
        </w:rPr>
        <w:t>Hoover</w:t>
      </w:r>
    </w:p>
    <w:p>
      <w:pPr>
        <w:spacing w:after="0" w:line="221" w:lineRule="auto"/>
        <w:rPr>
          <w:sz w:val="20"/>
          <w:szCs w:val="20"/>
          <w:color w:val="auto"/>
        </w:rPr>
      </w:pPr>
      <w:r>
        <w:rPr>
          <w:rFonts w:ascii="Arial" w:cs="Arial" w:eastAsia="Arial" w:hAnsi="Arial"/>
          <w:sz w:val="14"/>
          <w:szCs w:val="14"/>
          <w:color w:val="auto"/>
        </w:rPr>
        <w:t>Huntsville</w:t>
      </w:r>
    </w:p>
    <w:p>
      <w:pPr>
        <w:spacing w:after="0"/>
        <w:rPr>
          <w:sz w:val="20"/>
          <w:szCs w:val="20"/>
          <w:color w:val="auto"/>
        </w:rPr>
      </w:pPr>
      <w:r>
        <w:rPr>
          <w:rFonts w:ascii="Arial" w:cs="Arial" w:eastAsia="Arial" w:hAnsi="Arial"/>
          <w:sz w:val="14"/>
          <w:szCs w:val="14"/>
          <w:color w:val="auto"/>
        </w:rPr>
        <w:t>Montgomery</w:t>
      </w:r>
    </w:p>
    <w:p>
      <w:pPr>
        <w:spacing w:after="0" w:line="57" w:lineRule="exact"/>
        <w:rPr>
          <w:sz w:val="20"/>
          <w:szCs w:val="20"/>
          <w:color w:val="auto"/>
        </w:rPr>
      </w:pPr>
    </w:p>
    <w:p>
      <w:pPr>
        <w:ind w:left="1100"/>
        <w:spacing w:after="0"/>
        <w:rPr>
          <w:sz w:val="20"/>
          <w:szCs w:val="20"/>
          <w:color w:val="auto"/>
        </w:rPr>
      </w:pPr>
      <w:r>
        <w:rPr>
          <w:rFonts w:ascii="Arial" w:cs="Arial" w:eastAsia="Arial" w:hAnsi="Arial"/>
          <w:sz w:val="12"/>
          <w:szCs w:val="12"/>
          <w:b w:val="1"/>
          <w:bCs w:val="1"/>
          <w:i w:val="1"/>
          <w:iCs w:val="1"/>
          <w:color w:val="auto"/>
        </w:rPr>
        <w:t>Arizona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Chandler</w:t>
      </w:r>
    </w:p>
    <w:p>
      <w:pPr>
        <w:spacing w:after="0" w:line="221" w:lineRule="auto"/>
        <w:rPr>
          <w:sz w:val="20"/>
          <w:szCs w:val="20"/>
          <w:color w:val="auto"/>
        </w:rPr>
      </w:pPr>
      <w:r>
        <w:rPr>
          <w:rFonts w:ascii="Arial" w:cs="Arial" w:eastAsia="Arial" w:hAnsi="Arial"/>
          <w:sz w:val="14"/>
          <w:szCs w:val="14"/>
          <w:color w:val="auto"/>
        </w:rPr>
        <w:t>Gilbert</w:t>
      </w:r>
    </w:p>
    <w:p>
      <w:pPr>
        <w:spacing w:after="0" w:line="221" w:lineRule="auto"/>
        <w:rPr>
          <w:sz w:val="20"/>
          <w:szCs w:val="20"/>
          <w:color w:val="auto"/>
        </w:rPr>
      </w:pPr>
      <w:r>
        <w:rPr>
          <w:rFonts w:ascii="Arial" w:cs="Arial" w:eastAsia="Arial" w:hAnsi="Arial"/>
          <w:sz w:val="14"/>
          <w:szCs w:val="14"/>
          <w:color w:val="auto"/>
        </w:rPr>
        <w:t>Glendale</w:t>
      </w:r>
    </w:p>
    <w:p>
      <w:pPr>
        <w:spacing w:after="0" w:line="222" w:lineRule="auto"/>
        <w:rPr>
          <w:sz w:val="20"/>
          <w:szCs w:val="20"/>
          <w:color w:val="auto"/>
        </w:rPr>
      </w:pPr>
      <w:r>
        <w:rPr>
          <w:rFonts w:ascii="Arial" w:cs="Arial" w:eastAsia="Arial" w:hAnsi="Arial"/>
          <w:sz w:val="14"/>
          <w:szCs w:val="14"/>
          <w:color w:val="auto"/>
        </w:rPr>
        <w:t>Mesa</w:t>
      </w:r>
    </w:p>
    <w:p>
      <w:pPr>
        <w:spacing w:after="0" w:line="221" w:lineRule="auto"/>
        <w:rPr>
          <w:sz w:val="20"/>
          <w:szCs w:val="20"/>
          <w:color w:val="auto"/>
        </w:rPr>
      </w:pPr>
      <w:r>
        <w:rPr>
          <w:rFonts w:ascii="Arial" w:cs="Arial" w:eastAsia="Arial" w:hAnsi="Arial"/>
          <w:sz w:val="14"/>
          <w:szCs w:val="14"/>
          <w:color w:val="auto"/>
        </w:rPr>
        <w:t>Phoenix (2)</w:t>
      </w:r>
    </w:p>
    <w:p>
      <w:pPr>
        <w:spacing w:after="0" w:line="222" w:lineRule="auto"/>
        <w:rPr>
          <w:sz w:val="20"/>
          <w:szCs w:val="20"/>
          <w:color w:val="auto"/>
        </w:rPr>
      </w:pPr>
      <w:r>
        <w:rPr>
          <w:rFonts w:ascii="Arial" w:cs="Arial" w:eastAsia="Arial" w:hAnsi="Arial"/>
          <w:sz w:val="14"/>
          <w:szCs w:val="14"/>
          <w:color w:val="auto"/>
        </w:rPr>
        <w:t>Phoenix</w:t>
      </w:r>
    </w:p>
    <w:p>
      <w:pPr>
        <w:spacing w:after="0" w:line="221" w:lineRule="auto"/>
        <w:rPr>
          <w:sz w:val="20"/>
          <w:szCs w:val="20"/>
          <w:color w:val="auto"/>
        </w:rPr>
      </w:pPr>
      <w:r>
        <w:rPr>
          <w:rFonts w:ascii="Arial" w:cs="Arial" w:eastAsia="Arial" w:hAnsi="Arial"/>
          <w:sz w:val="14"/>
          <w:szCs w:val="14"/>
          <w:color w:val="auto"/>
        </w:rPr>
        <w:t>Tempe*</w:t>
      </w:r>
    </w:p>
    <w:p>
      <w:pPr>
        <w:spacing w:after="0"/>
        <w:rPr>
          <w:sz w:val="20"/>
          <w:szCs w:val="20"/>
          <w:color w:val="auto"/>
        </w:rPr>
      </w:pPr>
      <w:r>
        <w:rPr>
          <w:rFonts w:ascii="Arial" w:cs="Arial" w:eastAsia="Arial" w:hAnsi="Arial"/>
          <w:sz w:val="14"/>
          <w:szCs w:val="14"/>
          <w:color w:val="auto"/>
        </w:rPr>
        <w:t>Tucson (2)</w:t>
      </w:r>
    </w:p>
    <w:p>
      <w:pPr>
        <w:spacing w:after="0" w:line="57" w:lineRule="exact"/>
        <w:rPr>
          <w:sz w:val="20"/>
          <w:szCs w:val="20"/>
          <w:color w:val="auto"/>
        </w:rPr>
      </w:pPr>
    </w:p>
    <w:p>
      <w:pPr>
        <w:ind w:left="1060"/>
        <w:spacing w:after="0"/>
        <w:rPr>
          <w:sz w:val="20"/>
          <w:szCs w:val="20"/>
          <w:color w:val="auto"/>
        </w:rPr>
      </w:pPr>
      <w:r>
        <w:rPr>
          <w:rFonts w:ascii="Arial" w:cs="Arial" w:eastAsia="Arial" w:hAnsi="Arial"/>
          <w:sz w:val="11"/>
          <w:szCs w:val="11"/>
          <w:b w:val="1"/>
          <w:bCs w:val="1"/>
          <w:i w:val="1"/>
          <w:iCs w:val="1"/>
          <w:color w:val="auto"/>
        </w:rPr>
        <w:t>Arkansas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Jonesboro</w:t>
      </w:r>
    </w:p>
    <w:p>
      <w:pPr>
        <w:spacing w:after="0"/>
        <w:rPr>
          <w:sz w:val="20"/>
          <w:szCs w:val="20"/>
          <w:color w:val="auto"/>
        </w:rPr>
      </w:pPr>
      <w:r>
        <w:rPr>
          <w:rFonts w:ascii="Arial" w:cs="Arial" w:eastAsia="Arial" w:hAnsi="Arial"/>
          <w:sz w:val="14"/>
          <w:szCs w:val="14"/>
          <w:color w:val="auto"/>
        </w:rPr>
        <w:t>Little Rock</w:t>
      </w:r>
    </w:p>
    <w:p>
      <w:pPr>
        <w:spacing w:after="0" w:line="56" w:lineRule="exact"/>
        <w:rPr>
          <w:sz w:val="20"/>
          <w:szCs w:val="20"/>
          <w:color w:val="auto"/>
        </w:rPr>
      </w:pPr>
    </w:p>
    <w:p>
      <w:pPr>
        <w:jc w:val="right"/>
        <w:ind w:right="980"/>
        <w:spacing w:after="0"/>
        <w:rPr>
          <w:sz w:val="20"/>
          <w:szCs w:val="20"/>
          <w:color w:val="auto"/>
        </w:rPr>
      </w:pPr>
      <w:r>
        <w:rPr>
          <w:rFonts w:ascii="Arial" w:cs="Arial" w:eastAsia="Arial" w:hAnsi="Arial"/>
          <w:sz w:val="14"/>
          <w:szCs w:val="14"/>
          <w:b w:val="1"/>
          <w:bCs w:val="1"/>
          <w:i w:val="1"/>
          <w:iCs w:val="1"/>
          <w:color w:val="auto"/>
        </w:rPr>
        <w:t>California</w:t>
      </w:r>
    </w:p>
    <w:p>
      <w:pPr>
        <w:spacing w:after="0" w:line="221" w:lineRule="auto"/>
        <w:rPr>
          <w:sz w:val="20"/>
          <w:szCs w:val="20"/>
          <w:color w:val="auto"/>
        </w:rPr>
      </w:pPr>
      <w:r>
        <w:rPr>
          <w:rFonts w:ascii="Arial" w:cs="Arial" w:eastAsia="Arial" w:hAnsi="Arial"/>
          <w:sz w:val="14"/>
          <w:szCs w:val="14"/>
          <w:color w:val="auto"/>
        </w:rPr>
        <w:t>Bakersfield</w:t>
      </w:r>
    </w:p>
    <w:p>
      <w:pPr>
        <w:spacing w:after="0" w:line="221" w:lineRule="auto"/>
        <w:rPr>
          <w:sz w:val="20"/>
          <w:szCs w:val="20"/>
          <w:color w:val="auto"/>
        </w:rPr>
      </w:pPr>
      <w:r>
        <w:rPr>
          <w:rFonts w:ascii="Arial" w:cs="Arial" w:eastAsia="Arial" w:hAnsi="Arial"/>
          <w:sz w:val="14"/>
          <w:szCs w:val="14"/>
          <w:color w:val="auto"/>
        </w:rPr>
        <w:t>Camarillo*</w:t>
      </w:r>
    </w:p>
    <w:p>
      <w:pPr>
        <w:spacing w:after="0" w:line="222" w:lineRule="auto"/>
        <w:rPr>
          <w:sz w:val="20"/>
          <w:szCs w:val="20"/>
          <w:color w:val="auto"/>
        </w:rPr>
      </w:pPr>
      <w:r>
        <w:rPr>
          <w:rFonts w:ascii="Arial" w:cs="Arial" w:eastAsia="Arial" w:hAnsi="Arial"/>
          <w:sz w:val="14"/>
          <w:szCs w:val="14"/>
          <w:color w:val="auto"/>
        </w:rPr>
        <w:t>Commerce *</w:t>
      </w:r>
    </w:p>
    <w:p>
      <w:pPr>
        <w:spacing w:after="0" w:line="221" w:lineRule="auto"/>
        <w:rPr>
          <w:sz w:val="20"/>
          <w:szCs w:val="20"/>
          <w:color w:val="auto"/>
        </w:rPr>
      </w:pPr>
      <w:r>
        <w:rPr>
          <w:rFonts w:ascii="Arial" w:cs="Arial" w:eastAsia="Arial" w:hAnsi="Arial"/>
          <w:sz w:val="14"/>
          <w:szCs w:val="14"/>
          <w:color w:val="auto"/>
        </w:rPr>
        <w:t>Culver City</w:t>
      </w:r>
    </w:p>
    <w:p>
      <w:pPr>
        <w:spacing w:after="0" w:line="222" w:lineRule="auto"/>
        <w:rPr>
          <w:sz w:val="20"/>
          <w:szCs w:val="20"/>
          <w:color w:val="auto"/>
        </w:rPr>
      </w:pPr>
      <w:r>
        <w:rPr>
          <w:rFonts w:ascii="Arial" w:cs="Arial" w:eastAsia="Arial" w:hAnsi="Arial"/>
          <w:sz w:val="14"/>
          <w:szCs w:val="14"/>
          <w:color w:val="auto"/>
        </w:rPr>
        <w:t>Daly City</w:t>
      </w:r>
    </w:p>
    <w:p>
      <w:pPr>
        <w:spacing w:after="0" w:line="221" w:lineRule="auto"/>
        <w:rPr>
          <w:sz w:val="20"/>
          <w:szCs w:val="20"/>
          <w:color w:val="auto"/>
        </w:rPr>
      </w:pPr>
      <w:r>
        <w:rPr>
          <w:rFonts w:ascii="Arial" w:cs="Arial" w:eastAsia="Arial" w:hAnsi="Arial"/>
          <w:sz w:val="14"/>
          <w:szCs w:val="14"/>
          <w:color w:val="auto"/>
        </w:rPr>
        <w:t>Downey</w:t>
      </w:r>
    </w:p>
    <w:p>
      <w:pPr>
        <w:spacing w:after="0" w:line="222" w:lineRule="auto"/>
        <w:rPr>
          <w:sz w:val="20"/>
          <w:szCs w:val="20"/>
          <w:color w:val="auto"/>
        </w:rPr>
      </w:pPr>
      <w:r>
        <w:rPr>
          <w:rFonts w:ascii="Arial" w:cs="Arial" w:eastAsia="Arial" w:hAnsi="Arial"/>
          <w:sz w:val="14"/>
          <w:szCs w:val="14"/>
          <w:color w:val="auto"/>
        </w:rPr>
        <w:t>Dublin</w:t>
      </w:r>
    </w:p>
    <w:p>
      <w:pPr>
        <w:spacing w:after="0" w:line="221" w:lineRule="auto"/>
        <w:rPr>
          <w:sz w:val="20"/>
          <w:szCs w:val="20"/>
          <w:color w:val="auto"/>
        </w:rPr>
      </w:pPr>
      <w:r>
        <w:rPr>
          <w:rFonts w:ascii="Arial" w:cs="Arial" w:eastAsia="Arial" w:hAnsi="Arial"/>
          <w:sz w:val="14"/>
          <w:szCs w:val="14"/>
          <w:color w:val="auto"/>
        </w:rPr>
        <w:t>El Cajon</w:t>
      </w:r>
    </w:p>
    <w:p>
      <w:pPr>
        <w:spacing w:after="0" w:line="222" w:lineRule="auto"/>
        <w:rPr>
          <w:sz w:val="20"/>
          <w:szCs w:val="20"/>
          <w:color w:val="auto"/>
        </w:rPr>
      </w:pPr>
      <w:r>
        <w:rPr>
          <w:rFonts w:ascii="Arial" w:cs="Arial" w:eastAsia="Arial" w:hAnsi="Arial"/>
          <w:sz w:val="14"/>
          <w:szCs w:val="14"/>
          <w:color w:val="auto"/>
        </w:rPr>
        <w:t>Emeryville</w:t>
      </w:r>
    </w:p>
    <w:p>
      <w:pPr>
        <w:spacing w:after="0" w:line="221" w:lineRule="auto"/>
        <w:rPr>
          <w:sz w:val="20"/>
          <w:szCs w:val="20"/>
          <w:color w:val="auto"/>
        </w:rPr>
      </w:pPr>
      <w:r>
        <w:rPr>
          <w:rFonts w:ascii="Arial" w:cs="Arial" w:eastAsia="Arial" w:hAnsi="Arial"/>
          <w:sz w:val="14"/>
          <w:szCs w:val="14"/>
          <w:color w:val="auto"/>
        </w:rPr>
        <w:t>Escondido</w:t>
      </w:r>
    </w:p>
    <w:p>
      <w:pPr>
        <w:spacing w:after="0" w:line="222" w:lineRule="auto"/>
        <w:rPr>
          <w:sz w:val="20"/>
          <w:szCs w:val="20"/>
          <w:color w:val="auto"/>
        </w:rPr>
      </w:pPr>
      <w:r>
        <w:rPr>
          <w:rFonts w:ascii="Arial" w:cs="Arial" w:eastAsia="Arial" w:hAnsi="Arial"/>
          <w:sz w:val="14"/>
          <w:szCs w:val="14"/>
          <w:color w:val="auto"/>
        </w:rPr>
        <w:t>Folsom*</w:t>
      </w:r>
    </w:p>
    <w:p>
      <w:pPr>
        <w:spacing w:after="0" w:line="221" w:lineRule="auto"/>
        <w:rPr>
          <w:sz w:val="20"/>
          <w:szCs w:val="20"/>
          <w:color w:val="auto"/>
        </w:rPr>
      </w:pPr>
      <w:r>
        <w:rPr>
          <w:rFonts w:ascii="Arial" w:cs="Arial" w:eastAsia="Arial" w:hAnsi="Arial"/>
          <w:sz w:val="14"/>
          <w:szCs w:val="14"/>
          <w:color w:val="auto"/>
        </w:rPr>
        <w:t>Fremont</w:t>
      </w:r>
    </w:p>
    <w:p>
      <w:pPr>
        <w:spacing w:after="0" w:line="221" w:lineRule="auto"/>
        <w:rPr>
          <w:sz w:val="20"/>
          <w:szCs w:val="20"/>
          <w:color w:val="auto"/>
        </w:rPr>
      </w:pPr>
      <w:r>
        <w:rPr>
          <w:rFonts w:ascii="Arial" w:cs="Arial" w:eastAsia="Arial" w:hAnsi="Arial"/>
          <w:sz w:val="14"/>
          <w:szCs w:val="14"/>
          <w:color w:val="auto"/>
        </w:rPr>
        <w:t>Fresno</w:t>
      </w:r>
    </w:p>
    <w:p>
      <w:pPr>
        <w:spacing w:after="0" w:line="222" w:lineRule="auto"/>
        <w:rPr>
          <w:sz w:val="20"/>
          <w:szCs w:val="20"/>
          <w:color w:val="auto"/>
        </w:rPr>
      </w:pPr>
      <w:r>
        <w:rPr>
          <w:rFonts w:ascii="Arial" w:cs="Arial" w:eastAsia="Arial" w:hAnsi="Arial"/>
          <w:sz w:val="14"/>
          <w:szCs w:val="14"/>
          <w:color w:val="auto"/>
        </w:rPr>
        <w:t>Fullerton</w:t>
      </w:r>
    </w:p>
    <w:p>
      <w:pPr>
        <w:spacing w:after="0" w:line="221" w:lineRule="auto"/>
        <w:rPr>
          <w:sz w:val="20"/>
          <w:szCs w:val="20"/>
          <w:color w:val="auto"/>
        </w:rPr>
      </w:pPr>
      <w:r>
        <w:rPr>
          <w:rFonts w:ascii="Arial" w:cs="Arial" w:eastAsia="Arial" w:hAnsi="Arial"/>
          <w:sz w:val="14"/>
          <w:szCs w:val="14"/>
          <w:color w:val="auto"/>
        </w:rPr>
        <w:t>Gilroy*</w:t>
      </w:r>
    </w:p>
    <w:p>
      <w:pPr>
        <w:spacing w:after="0" w:line="222" w:lineRule="auto"/>
        <w:rPr>
          <w:sz w:val="20"/>
          <w:szCs w:val="20"/>
          <w:color w:val="auto"/>
        </w:rPr>
      </w:pPr>
      <w:r>
        <w:rPr>
          <w:rFonts w:ascii="Arial" w:cs="Arial" w:eastAsia="Arial" w:hAnsi="Arial"/>
          <w:sz w:val="14"/>
          <w:szCs w:val="14"/>
          <w:color w:val="auto"/>
        </w:rPr>
        <w:t>Glendale</w:t>
      </w:r>
    </w:p>
    <w:p>
      <w:pPr>
        <w:spacing w:after="0" w:line="221" w:lineRule="auto"/>
        <w:rPr>
          <w:sz w:val="20"/>
          <w:szCs w:val="20"/>
          <w:color w:val="auto"/>
        </w:rPr>
      </w:pPr>
      <w:r>
        <w:rPr>
          <w:rFonts w:ascii="Arial" w:cs="Arial" w:eastAsia="Arial" w:hAnsi="Arial"/>
          <w:sz w:val="14"/>
          <w:szCs w:val="14"/>
          <w:color w:val="auto"/>
        </w:rPr>
        <w:t>Lake Elsinore*</w:t>
      </w:r>
    </w:p>
    <w:p>
      <w:pPr>
        <w:spacing w:after="0" w:line="222" w:lineRule="auto"/>
        <w:rPr>
          <w:sz w:val="20"/>
          <w:szCs w:val="20"/>
          <w:color w:val="auto"/>
        </w:rPr>
      </w:pPr>
      <w:r>
        <w:rPr>
          <w:rFonts w:ascii="Arial" w:cs="Arial" w:eastAsia="Arial" w:hAnsi="Arial"/>
          <w:sz w:val="14"/>
          <w:szCs w:val="14"/>
          <w:color w:val="auto"/>
        </w:rPr>
        <w:t>Lake Forest</w:t>
      </w:r>
    </w:p>
    <w:p>
      <w:pPr>
        <w:spacing w:after="0" w:line="221" w:lineRule="auto"/>
        <w:rPr>
          <w:sz w:val="20"/>
          <w:szCs w:val="20"/>
          <w:color w:val="auto"/>
        </w:rPr>
      </w:pPr>
      <w:r>
        <w:rPr>
          <w:rFonts w:ascii="Arial" w:cs="Arial" w:eastAsia="Arial" w:hAnsi="Arial"/>
          <w:sz w:val="14"/>
          <w:szCs w:val="14"/>
          <w:color w:val="auto"/>
        </w:rPr>
        <w:t>Lakewood</w:t>
      </w:r>
    </w:p>
    <w:p>
      <w:pPr>
        <w:spacing w:after="0" w:line="222" w:lineRule="auto"/>
        <w:rPr>
          <w:sz w:val="20"/>
          <w:szCs w:val="20"/>
          <w:color w:val="auto"/>
        </w:rPr>
      </w:pPr>
      <w:r>
        <w:rPr>
          <w:rFonts w:ascii="Arial" w:cs="Arial" w:eastAsia="Arial" w:hAnsi="Arial"/>
          <w:sz w:val="14"/>
          <w:szCs w:val="14"/>
          <w:color w:val="auto"/>
        </w:rPr>
        <w:t>Lawndale</w:t>
      </w:r>
    </w:p>
    <w:p>
      <w:pPr>
        <w:spacing w:after="0" w:line="221" w:lineRule="auto"/>
        <w:rPr>
          <w:sz w:val="20"/>
          <w:szCs w:val="20"/>
          <w:color w:val="auto"/>
        </w:rPr>
      </w:pPr>
      <w:r>
        <w:rPr>
          <w:rFonts w:ascii="Arial" w:cs="Arial" w:eastAsia="Arial" w:hAnsi="Arial"/>
          <w:sz w:val="14"/>
          <w:szCs w:val="14"/>
          <w:color w:val="auto"/>
        </w:rPr>
        <w:t>Long Beach</w:t>
      </w:r>
    </w:p>
    <w:p>
      <w:pPr>
        <w:spacing w:after="0" w:line="222" w:lineRule="auto"/>
        <w:rPr>
          <w:sz w:val="20"/>
          <w:szCs w:val="20"/>
          <w:color w:val="auto"/>
        </w:rPr>
      </w:pPr>
      <w:r>
        <w:rPr>
          <w:rFonts w:ascii="Arial" w:cs="Arial" w:eastAsia="Arial" w:hAnsi="Arial"/>
          <w:sz w:val="14"/>
          <w:szCs w:val="14"/>
          <w:color w:val="auto"/>
        </w:rPr>
        <w:t>Los Altos</w:t>
      </w:r>
    </w:p>
    <w:p>
      <w:pPr>
        <w:spacing w:after="0" w:line="221" w:lineRule="auto"/>
        <w:rPr>
          <w:sz w:val="20"/>
          <w:szCs w:val="20"/>
          <w:color w:val="auto"/>
        </w:rPr>
      </w:pPr>
      <w:r>
        <w:rPr>
          <w:rFonts w:ascii="Arial" w:cs="Arial" w:eastAsia="Arial" w:hAnsi="Arial"/>
          <w:sz w:val="14"/>
          <w:szCs w:val="14"/>
          <w:color w:val="auto"/>
        </w:rPr>
        <w:t>Los Angeles</w:t>
      </w:r>
    </w:p>
    <w:p>
      <w:pPr>
        <w:spacing w:after="0" w:line="222" w:lineRule="auto"/>
        <w:rPr>
          <w:sz w:val="20"/>
          <w:szCs w:val="20"/>
          <w:color w:val="auto"/>
        </w:rPr>
      </w:pPr>
      <w:r>
        <w:rPr>
          <w:rFonts w:ascii="Arial" w:cs="Arial" w:eastAsia="Arial" w:hAnsi="Arial"/>
          <w:sz w:val="14"/>
          <w:szCs w:val="14"/>
          <w:color w:val="auto"/>
        </w:rPr>
        <w:t>Modesto</w:t>
      </w:r>
    </w:p>
    <w:p>
      <w:pPr>
        <w:spacing w:after="0" w:line="221" w:lineRule="auto"/>
        <w:rPr>
          <w:sz w:val="20"/>
          <w:szCs w:val="20"/>
          <w:color w:val="auto"/>
        </w:rPr>
      </w:pPr>
      <w:r>
        <w:rPr>
          <w:rFonts w:ascii="Arial" w:cs="Arial" w:eastAsia="Arial" w:hAnsi="Arial"/>
          <w:sz w:val="14"/>
          <w:szCs w:val="14"/>
          <w:color w:val="auto"/>
        </w:rPr>
        <w:t>Northridge</w:t>
      </w:r>
    </w:p>
    <w:p>
      <w:pPr>
        <w:spacing w:after="0" w:line="221" w:lineRule="auto"/>
        <w:rPr>
          <w:sz w:val="20"/>
          <w:szCs w:val="20"/>
          <w:color w:val="auto"/>
        </w:rPr>
      </w:pPr>
      <w:r>
        <w:rPr>
          <w:rFonts w:ascii="Arial" w:cs="Arial" w:eastAsia="Arial" w:hAnsi="Arial"/>
          <w:sz w:val="14"/>
          <w:szCs w:val="14"/>
          <w:color w:val="auto"/>
        </w:rPr>
        <w:t>Ontario*</w:t>
      </w:r>
    </w:p>
    <w:p>
      <w:pPr>
        <w:spacing w:after="0" w:line="222" w:lineRule="auto"/>
        <w:rPr>
          <w:sz w:val="20"/>
          <w:szCs w:val="20"/>
          <w:color w:val="auto"/>
        </w:rPr>
      </w:pPr>
      <w:r>
        <w:rPr>
          <w:rFonts w:ascii="Arial" w:cs="Arial" w:eastAsia="Arial" w:hAnsi="Arial"/>
          <w:sz w:val="14"/>
          <w:szCs w:val="14"/>
          <w:color w:val="auto"/>
        </w:rPr>
        <w:t>Orange</w:t>
      </w:r>
    </w:p>
    <w:p>
      <w:pPr>
        <w:spacing w:after="0" w:line="221" w:lineRule="auto"/>
        <w:rPr>
          <w:sz w:val="20"/>
          <w:szCs w:val="20"/>
          <w:color w:val="auto"/>
        </w:rPr>
      </w:pPr>
      <w:r>
        <w:rPr>
          <w:rFonts w:ascii="Arial" w:cs="Arial" w:eastAsia="Arial" w:hAnsi="Arial"/>
          <w:sz w:val="14"/>
          <w:szCs w:val="14"/>
          <w:color w:val="auto"/>
        </w:rPr>
        <w:t>Oxnard</w:t>
      </w:r>
    </w:p>
    <w:p>
      <w:pPr>
        <w:spacing w:after="0" w:line="222" w:lineRule="auto"/>
        <w:rPr>
          <w:sz w:val="20"/>
          <w:szCs w:val="20"/>
          <w:color w:val="auto"/>
        </w:rPr>
      </w:pPr>
      <w:r>
        <w:rPr>
          <w:rFonts w:ascii="Arial" w:cs="Arial" w:eastAsia="Arial" w:hAnsi="Arial"/>
          <w:sz w:val="14"/>
          <w:szCs w:val="14"/>
          <w:color w:val="auto"/>
        </w:rPr>
        <w:t>Palmdale</w:t>
      </w:r>
    </w:p>
    <w:p>
      <w:pPr>
        <w:spacing w:after="0" w:line="221" w:lineRule="auto"/>
        <w:rPr>
          <w:sz w:val="20"/>
          <w:szCs w:val="20"/>
          <w:color w:val="auto"/>
        </w:rPr>
      </w:pPr>
      <w:r>
        <w:rPr>
          <w:rFonts w:ascii="Arial" w:cs="Arial" w:eastAsia="Arial" w:hAnsi="Arial"/>
          <w:sz w:val="14"/>
          <w:szCs w:val="14"/>
          <w:color w:val="auto"/>
        </w:rPr>
        <w:t>Palm Desert</w:t>
      </w:r>
    </w:p>
    <w:p>
      <w:pPr>
        <w:spacing w:after="0" w:line="222" w:lineRule="auto"/>
        <w:rPr>
          <w:sz w:val="20"/>
          <w:szCs w:val="20"/>
          <w:color w:val="auto"/>
        </w:rPr>
      </w:pPr>
      <w:r>
        <w:rPr>
          <w:rFonts w:ascii="Arial" w:cs="Arial" w:eastAsia="Arial" w:hAnsi="Arial"/>
          <w:sz w:val="14"/>
          <w:szCs w:val="14"/>
          <w:color w:val="auto"/>
        </w:rPr>
        <w:t>Pasadena</w:t>
      </w:r>
    </w:p>
    <w:p>
      <w:pPr>
        <w:spacing w:after="0" w:line="221" w:lineRule="auto"/>
        <w:rPr>
          <w:sz w:val="20"/>
          <w:szCs w:val="20"/>
          <w:color w:val="auto"/>
        </w:rPr>
      </w:pPr>
      <w:r>
        <w:rPr>
          <w:rFonts w:ascii="Arial" w:cs="Arial" w:eastAsia="Arial" w:hAnsi="Arial"/>
          <w:sz w:val="14"/>
          <w:szCs w:val="14"/>
          <w:color w:val="auto"/>
        </w:rPr>
        <w:t>Pleasant Hill</w:t>
      </w:r>
    </w:p>
    <w:p>
      <w:pPr>
        <w:spacing w:after="0" w:line="222" w:lineRule="auto"/>
        <w:rPr>
          <w:sz w:val="20"/>
          <w:szCs w:val="20"/>
          <w:color w:val="auto"/>
        </w:rPr>
      </w:pPr>
      <w:r>
        <w:rPr>
          <w:rFonts w:ascii="Arial" w:cs="Arial" w:eastAsia="Arial" w:hAnsi="Arial"/>
          <w:sz w:val="14"/>
          <w:szCs w:val="14"/>
          <w:color w:val="auto"/>
        </w:rPr>
        <w:t>Rancho Cucamonga</w:t>
      </w:r>
    </w:p>
    <w:p>
      <w:pPr>
        <w:spacing w:after="0"/>
        <w:rPr>
          <w:sz w:val="20"/>
          <w:szCs w:val="20"/>
          <w:color w:val="auto"/>
        </w:rPr>
      </w:pPr>
      <w:r>
        <w:rPr>
          <w:rFonts w:ascii="Arial" w:cs="Arial" w:eastAsia="Arial" w:hAnsi="Arial"/>
          <w:sz w:val="14"/>
          <w:szCs w:val="14"/>
          <w:color w:val="auto"/>
        </w:rPr>
        <w:t>Riverside Roseville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680"/>
        <w:spacing w:after="0"/>
        <w:rPr>
          <w:sz w:val="20"/>
          <w:szCs w:val="20"/>
          <w:color w:val="auto"/>
        </w:rPr>
      </w:pPr>
      <w:r>
        <w:rPr>
          <w:rFonts w:ascii="Arial" w:cs="Arial" w:eastAsia="Arial" w:hAnsi="Arial"/>
          <w:sz w:val="12"/>
          <w:szCs w:val="12"/>
          <w:b w:val="1"/>
          <w:bCs w:val="1"/>
          <w:i w:val="1"/>
          <w:iCs w:val="1"/>
          <w:color w:val="auto"/>
        </w:rPr>
        <w:t>California, cont.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Sacramento (2)</w:t>
      </w:r>
    </w:p>
    <w:p>
      <w:pPr>
        <w:spacing w:after="0" w:line="221" w:lineRule="auto"/>
        <w:rPr>
          <w:sz w:val="20"/>
          <w:szCs w:val="20"/>
          <w:color w:val="auto"/>
        </w:rPr>
      </w:pPr>
      <w:r>
        <w:rPr>
          <w:rFonts w:ascii="Arial" w:cs="Arial" w:eastAsia="Arial" w:hAnsi="Arial"/>
          <w:sz w:val="14"/>
          <w:szCs w:val="14"/>
          <w:color w:val="auto"/>
        </w:rPr>
        <w:t>Salinas</w:t>
      </w:r>
    </w:p>
    <w:p>
      <w:pPr>
        <w:spacing w:after="0" w:line="221" w:lineRule="auto"/>
        <w:rPr>
          <w:sz w:val="20"/>
          <w:szCs w:val="20"/>
          <w:color w:val="auto"/>
        </w:rPr>
      </w:pPr>
      <w:r>
        <w:rPr>
          <w:rFonts w:ascii="Arial" w:cs="Arial" w:eastAsia="Arial" w:hAnsi="Arial"/>
          <w:sz w:val="14"/>
          <w:szCs w:val="14"/>
          <w:color w:val="auto"/>
        </w:rPr>
        <w:t>San Bernardino</w:t>
      </w:r>
    </w:p>
    <w:p>
      <w:pPr>
        <w:spacing w:after="0" w:line="222" w:lineRule="auto"/>
        <w:rPr>
          <w:sz w:val="20"/>
          <w:szCs w:val="20"/>
          <w:color w:val="auto"/>
        </w:rPr>
      </w:pPr>
      <w:r>
        <w:rPr>
          <w:rFonts w:ascii="Arial" w:cs="Arial" w:eastAsia="Arial" w:hAnsi="Arial"/>
          <w:sz w:val="14"/>
          <w:szCs w:val="14"/>
          <w:color w:val="auto"/>
        </w:rPr>
        <w:t>San Diego</w:t>
      </w:r>
    </w:p>
    <w:p>
      <w:pPr>
        <w:spacing w:after="0" w:line="221" w:lineRule="auto"/>
        <w:rPr>
          <w:sz w:val="20"/>
          <w:szCs w:val="20"/>
          <w:color w:val="auto"/>
        </w:rPr>
      </w:pPr>
      <w:r>
        <w:rPr>
          <w:rFonts w:ascii="Arial" w:cs="Arial" w:eastAsia="Arial" w:hAnsi="Arial"/>
          <w:sz w:val="14"/>
          <w:szCs w:val="14"/>
          <w:color w:val="auto"/>
        </w:rPr>
        <w:t>San Jose</w:t>
      </w:r>
    </w:p>
    <w:p>
      <w:pPr>
        <w:spacing w:after="0" w:line="222" w:lineRule="auto"/>
        <w:rPr>
          <w:sz w:val="20"/>
          <w:szCs w:val="20"/>
          <w:color w:val="auto"/>
        </w:rPr>
      </w:pPr>
      <w:r>
        <w:rPr>
          <w:rFonts w:ascii="Arial" w:cs="Arial" w:eastAsia="Arial" w:hAnsi="Arial"/>
          <w:sz w:val="14"/>
          <w:szCs w:val="14"/>
          <w:color w:val="auto"/>
        </w:rPr>
        <w:t>San Jose (H)</w:t>
      </w:r>
    </w:p>
    <w:p>
      <w:pPr>
        <w:spacing w:after="0" w:line="221" w:lineRule="auto"/>
        <w:rPr>
          <w:sz w:val="20"/>
          <w:szCs w:val="20"/>
          <w:color w:val="auto"/>
        </w:rPr>
      </w:pPr>
      <w:r>
        <w:rPr>
          <w:rFonts w:ascii="Arial" w:cs="Arial" w:eastAsia="Arial" w:hAnsi="Arial"/>
          <w:sz w:val="14"/>
          <w:szCs w:val="14"/>
          <w:color w:val="auto"/>
        </w:rPr>
        <w:t>San Leandro</w:t>
      </w:r>
    </w:p>
    <w:p>
      <w:pPr>
        <w:spacing w:after="0" w:line="222" w:lineRule="auto"/>
        <w:rPr>
          <w:sz w:val="20"/>
          <w:szCs w:val="20"/>
          <w:color w:val="auto"/>
        </w:rPr>
      </w:pPr>
      <w:r>
        <w:rPr>
          <w:rFonts w:ascii="Arial" w:cs="Arial" w:eastAsia="Arial" w:hAnsi="Arial"/>
          <w:sz w:val="14"/>
          <w:szCs w:val="14"/>
          <w:color w:val="auto"/>
        </w:rPr>
        <w:t>Santa Ana</w:t>
      </w:r>
    </w:p>
    <w:p>
      <w:pPr>
        <w:spacing w:after="0" w:line="221" w:lineRule="auto"/>
        <w:rPr>
          <w:sz w:val="20"/>
          <w:szCs w:val="20"/>
          <w:color w:val="auto"/>
        </w:rPr>
      </w:pPr>
      <w:r>
        <w:rPr>
          <w:rFonts w:ascii="Arial" w:cs="Arial" w:eastAsia="Arial" w:hAnsi="Arial"/>
          <w:sz w:val="14"/>
          <w:szCs w:val="14"/>
          <w:color w:val="auto"/>
        </w:rPr>
        <w:t>Santa Rosa</w:t>
      </w:r>
    </w:p>
    <w:p>
      <w:pPr>
        <w:spacing w:after="0" w:line="222" w:lineRule="auto"/>
        <w:rPr>
          <w:sz w:val="20"/>
          <w:szCs w:val="20"/>
          <w:color w:val="auto"/>
        </w:rPr>
      </w:pPr>
      <w:r>
        <w:rPr>
          <w:rFonts w:ascii="Arial" w:cs="Arial" w:eastAsia="Arial" w:hAnsi="Arial"/>
          <w:sz w:val="14"/>
          <w:szCs w:val="14"/>
          <w:color w:val="auto"/>
        </w:rPr>
        <w:t>Stockton</w:t>
      </w:r>
    </w:p>
    <w:p>
      <w:pPr>
        <w:spacing w:after="0" w:line="221" w:lineRule="auto"/>
        <w:rPr>
          <w:sz w:val="20"/>
          <w:szCs w:val="20"/>
          <w:color w:val="auto"/>
        </w:rPr>
      </w:pPr>
      <w:r>
        <w:rPr>
          <w:rFonts w:ascii="Arial" w:cs="Arial" w:eastAsia="Arial" w:hAnsi="Arial"/>
          <w:sz w:val="14"/>
          <w:szCs w:val="14"/>
          <w:color w:val="auto"/>
        </w:rPr>
        <w:t>Temecula</w:t>
      </w:r>
    </w:p>
    <w:p>
      <w:pPr>
        <w:spacing w:after="0" w:line="222" w:lineRule="auto"/>
        <w:rPr>
          <w:sz w:val="20"/>
          <w:szCs w:val="20"/>
          <w:color w:val="auto"/>
        </w:rPr>
      </w:pPr>
      <w:r>
        <w:rPr>
          <w:rFonts w:ascii="Arial" w:cs="Arial" w:eastAsia="Arial" w:hAnsi="Arial"/>
          <w:sz w:val="14"/>
          <w:szCs w:val="14"/>
          <w:color w:val="auto"/>
        </w:rPr>
        <w:t>Tracy*</w:t>
      </w:r>
    </w:p>
    <w:p>
      <w:pPr>
        <w:spacing w:after="0" w:line="221" w:lineRule="auto"/>
        <w:rPr>
          <w:sz w:val="20"/>
          <w:szCs w:val="20"/>
          <w:color w:val="auto"/>
        </w:rPr>
      </w:pPr>
      <w:r>
        <w:rPr>
          <w:rFonts w:ascii="Arial" w:cs="Arial" w:eastAsia="Arial" w:hAnsi="Arial"/>
          <w:sz w:val="14"/>
          <w:szCs w:val="14"/>
          <w:color w:val="auto"/>
        </w:rPr>
        <w:t>Tulare*</w:t>
      </w:r>
    </w:p>
    <w:p>
      <w:pPr>
        <w:spacing w:after="0" w:line="221" w:lineRule="auto"/>
        <w:rPr>
          <w:sz w:val="20"/>
          <w:szCs w:val="20"/>
          <w:color w:val="auto"/>
        </w:rPr>
      </w:pPr>
      <w:r>
        <w:rPr>
          <w:rFonts w:ascii="Arial" w:cs="Arial" w:eastAsia="Arial" w:hAnsi="Arial"/>
          <w:sz w:val="14"/>
          <w:szCs w:val="14"/>
          <w:color w:val="auto"/>
        </w:rPr>
        <w:t>Upland</w:t>
      </w:r>
    </w:p>
    <w:p>
      <w:pPr>
        <w:spacing w:after="0" w:line="222" w:lineRule="auto"/>
        <w:rPr>
          <w:sz w:val="20"/>
          <w:szCs w:val="20"/>
          <w:color w:val="auto"/>
        </w:rPr>
      </w:pPr>
      <w:r>
        <w:rPr>
          <w:rFonts w:ascii="Arial" w:cs="Arial" w:eastAsia="Arial" w:hAnsi="Arial"/>
          <w:sz w:val="14"/>
          <w:szCs w:val="14"/>
          <w:color w:val="auto"/>
        </w:rPr>
        <w:t>Vacaville*</w:t>
      </w:r>
    </w:p>
    <w:p>
      <w:pPr>
        <w:spacing w:after="0" w:line="221" w:lineRule="auto"/>
        <w:rPr>
          <w:sz w:val="20"/>
          <w:szCs w:val="20"/>
          <w:color w:val="auto"/>
        </w:rPr>
      </w:pPr>
      <w:r>
        <w:rPr>
          <w:rFonts w:ascii="Arial" w:cs="Arial" w:eastAsia="Arial" w:hAnsi="Arial"/>
          <w:sz w:val="14"/>
          <w:szCs w:val="14"/>
          <w:color w:val="auto"/>
        </w:rPr>
        <w:t>Valencia</w:t>
      </w:r>
    </w:p>
    <w:p>
      <w:pPr>
        <w:spacing w:after="0" w:line="222" w:lineRule="auto"/>
        <w:rPr>
          <w:sz w:val="20"/>
          <w:szCs w:val="20"/>
          <w:color w:val="auto"/>
        </w:rPr>
      </w:pPr>
      <w:r>
        <w:rPr>
          <w:rFonts w:ascii="Arial" w:cs="Arial" w:eastAsia="Arial" w:hAnsi="Arial"/>
          <w:sz w:val="14"/>
          <w:szCs w:val="14"/>
          <w:color w:val="auto"/>
        </w:rPr>
        <w:t>Victorville</w:t>
      </w:r>
    </w:p>
    <w:p>
      <w:pPr>
        <w:spacing w:after="0" w:line="221" w:lineRule="auto"/>
        <w:rPr>
          <w:sz w:val="20"/>
          <w:szCs w:val="20"/>
          <w:color w:val="auto"/>
        </w:rPr>
      </w:pPr>
      <w:r>
        <w:rPr>
          <w:rFonts w:ascii="Arial" w:cs="Arial" w:eastAsia="Arial" w:hAnsi="Arial"/>
          <w:sz w:val="14"/>
          <w:szCs w:val="14"/>
          <w:color w:val="auto"/>
        </w:rPr>
        <w:t>West Covina</w:t>
      </w:r>
    </w:p>
    <w:p>
      <w:pPr>
        <w:spacing w:after="0"/>
        <w:rPr>
          <w:sz w:val="20"/>
          <w:szCs w:val="20"/>
          <w:color w:val="auto"/>
        </w:rPr>
      </w:pPr>
      <w:r>
        <w:rPr>
          <w:rFonts w:ascii="Arial" w:cs="Arial" w:eastAsia="Arial" w:hAnsi="Arial"/>
          <w:sz w:val="14"/>
          <w:szCs w:val="14"/>
          <w:color w:val="auto"/>
        </w:rPr>
        <w:t>Woodland Hills</w:t>
      </w:r>
    </w:p>
    <w:p>
      <w:pPr>
        <w:spacing w:after="0" w:line="57" w:lineRule="exact"/>
        <w:rPr>
          <w:sz w:val="20"/>
          <w:szCs w:val="20"/>
          <w:color w:val="auto"/>
        </w:rPr>
      </w:pPr>
    </w:p>
    <w:p>
      <w:pPr>
        <w:ind w:left="880"/>
        <w:spacing w:after="0"/>
        <w:rPr>
          <w:sz w:val="20"/>
          <w:szCs w:val="20"/>
          <w:color w:val="auto"/>
        </w:rPr>
      </w:pPr>
      <w:r>
        <w:rPr>
          <w:rFonts w:ascii="Arial" w:cs="Arial" w:eastAsia="Arial" w:hAnsi="Arial"/>
          <w:sz w:val="14"/>
          <w:szCs w:val="14"/>
          <w:b w:val="1"/>
          <w:bCs w:val="1"/>
          <w:i w:val="1"/>
          <w:iCs w:val="1"/>
          <w:color w:val="auto"/>
        </w:rPr>
        <w:t>Colorado</w:t>
      </w:r>
    </w:p>
    <w:p>
      <w:pPr>
        <w:spacing w:after="0" w:line="221" w:lineRule="auto"/>
        <w:rPr>
          <w:sz w:val="20"/>
          <w:szCs w:val="20"/>
          <w:color w:val="auto"/>
        </w:rPr>
      </w:pPr>
      <w:r>
        <w:rPr>
          <w:rFonts w:ascii="Arial" w:cs="Arial" w:eastAsia="Arial" w:hAnsi="Arial"/>
          <w:sz w:val="14"/>
          <w:szCs w:val="14"/>
          <w:color w:val="auto"/>
        </w:rPr>
        <w:t>Colorado Springs</w:t>
      </w:r>
    </w:p>
    <w:p>
      <w:pPr>
        <w:spacing w:after="0" w:line="221" w:lineRule="auto"/>
        <w:rPr>
          <w:sz w:val="20"/>
          <w:szCs w:val="20"/>
          <w:color w:val="auto"/>
        </w:rPr>
      </w:pPr>
      <w:r>
        <w:rPr>
          <w:rFonts w:ascii="Arial" w:cs="Arial" w:eastAsia="Arial" w:hAnsi="Arial"/>
          <w:sz w:val="14"/>
          <w:szCs w:val="14"/>
          <w:color w:val="auto"/>
        </w:rPr>
        <w:t>Glendale</w:t>
      </w:r>
    </w:p>
    <w:p>
      <w:pPr>
        <w:spacing w:after="0" w:line="222" w:lineRule="auto"/>
        <w:rPr>
          <w:sz w:val="20"/>
          <w:szCs w:val="20"/>
          <w:color w:val="auto"/>
        </w:rPr>
      </w:pPr>
      <w:r>
        <w:rPr>
          <w:rFonts w:ascii="Arial" w:cs="Arial" w:eastAsia="Arial" w:hAnsi="Arial"/>
          <w:sz w:val="14"/>
          <w:szCs w:val="14"/>
          <w:color w:val="auto"/>
        </w:rPr>
        <w:t>Lone Tree</w:t>
      </w:r>
    </w:p>
    <w:p>
      <w:pPr>
        <w:spacing w:after="0" w:line="221" w:lineRule="auto"/>
        <w:rPr>
          <w:sz w:val="20"/>
          <w:szCs w:val="20"/>
          <w:color w:val="auto"/>
        </w:rPr>
      </w:pPr>
      <w:r>
        <w:rPr>
          <w:rFonts w:ascii="Arial" w:cs="Arial" w:eastAsia="Arial" w:hAnsi="Arial"/>
          <w:sz w:val="14"/>
          <w:szCs w:val="14"/>
          <w:color w:val="auto"/>
        </w:rPr>
        <w:t>Loveland*</w:t>
      </w:r>
    </w:p>
    <w:p>
      <w:pPr>
        <w:spacing w:after="0"/>
        <w:rPr>
          <w:sz w:val="20"/>
          <w:szCs w:val="20"/>
          <w:color w:val="auto"/>
        </w:rPr>
      </w:pPr>
      <w:r>
        <w:rPr>
          <w:rFonts w:ascii="Arial" w:cs="Arial" w:eastAsia="Arial" w:hAnsi="Arial"/>
          <w:sz w:val="14"/>
          <w:szCs w:val="14"/>
          <w:color w:val="auto"/>
        </w:rPr>
        <w:t>Westminster</w:t>
      </w:r>
    </w:p>
    <w:p>
      <w:pPr>
        <w:spacing w:after="0" w:line="57" w:lineRule="exact"/>
        <w:rPr>
          <w:sz w:val="20"/>
          <w:szCs w:val="20"/>
          <w:color w:val="auto"/>
        </w:rPr>
      </w:pPr>
    </w:p>
    <w:p>
      <w:pPr>
        <w:ind w:left="800"/>
        <w:spacing w:after="0"/>
        <w:rPr>
          <w:sz w:val="20"/>
          <w:szCs w:val="20"/>
          <w:color w:val="auto"/>
        </w:rPr>
      </w:pPr>
      <w:r>
        <w:rPr>
          <w:rFonts w:ascii="Arial" w:cs="Arial" w:eastAsia="Arial" w:hAnsi="Arial"/>
          <w:sz w:val="12"/>
          <w:szCs w:val="12"/>
          <w:b w:val="1"/>
          <w:bCs w:val="1"/>
          <w:i w:val="1"/>
          <w:iCs w:val="1"/>
          <w:color w:val="auto"/>
        </w:rPr>
        <w:t>Connecticut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Danbury</w:t>
      </w:r>
    </w:p>
    <w:p>
      <w:pPr>
        <w:spacing w:after="0" w:line="221" w:lineRule="auto"/>
        <w:rPr>
          <w:sz w:val="20"/>
          <w:szCs w:val="20"/>
          <w:color w:val="auto"/>
        </w:rPr>
      </w:pPr>
      <w:r>
        <w:rPr>
          <w:rFonts w:ascii="Arial" w:cs="Arial" w:eastAsia="Arial" w:hAnsi="Arial"/>
          <w:sz w:val="14"/>
          <w:szCs w:val="14"/>
          <w:color w:val="auto"/>
        </w:rPr>
        <w:t>Groton</w:t>
      </w:r>
    </w:p>
    <w:p>
      <w:pPr>
        <w:spacing w:after="0" w:line="221" w:lineRule="auto"/>
        <w:rPr>
          <w:sz w:val="20"/>
          <w:szCs w:val="20"/>
          <w:color w:val="auto"/>
        </w:rPr>
      </w:pPr>
      <w:r>
        <w:rPr>
          <w:rFonts w:ascii="Arial" w:cs="Arial" w:eastAsia="Arial" w:hAnsi="Arial"/>
          <w:sz w:val="14"/>
          <w:szCs w:val="14"/>
          <w:color w:val="auto"/>
        </w:rPr>
        <w:t>Hamden</w:t>
      </w:r>
    </w:p>
    <w:p>
      <w:pPr>
        <w:spacing w:after="0" w:line="222" w:lineRule="auto"/>
        <w:rPr>
          <w:sz w:val="20"/>
          <w:szCs w:val="20"/>
          <w:color w:val="auto"/>
        </w:rPr>
      </w:pPr>
      <w:r>
        <w:rPr>
          <w:rFonts w:ascii="Arial" w:cs="Arial" w:eastAsia="Arial" w:hAnsi="Arial"/>
          <w:sz w:val="14"/>
          <w:szCs w:val="14"/>
          <w:color w:val="auto"/>
        </w:rPr>
        <w:t>Manchester</w:t>
      </w:r>
    </w:p>
    <w:p>
      <w:pPr>
        <w:spacing w:after="0" w:line="221" w:lineRule="auto"/>
        <w:rPr>
          <w:sz w:val="20"/>
          <w:szCs w:val="20"/>
          <w:color w:val="auto"/>
        </w:rPr>
      </w:pPr>
      <w:r>
        <w:rPr>
          <w:rFonts w:ascii="Arial" w:cs="Arial" w:eastAsia="Arial" w:hAnsi="Arial"/>
          <w:sz w:val="14"/>
          <w:szCs w:val="14"/>
          <w:color w:val="auto"/>
        </w:rPr>
        <w:t>Milford</w:t>
      </w:r>
    </w:p>
    <w:p>
      <w:pPr>
        <w:spacing w:after="0" w:line="222" w:lineRule="auto"/>
        <w:rPr>
          <w:sz w:val="20"/>
          <w:szCs w:val="20"/>
          <w:color w:val="auto"/>
        </w:rPr>
      </w:pPr>
      <w:r>
        <w:rPr>
          <w:rFonts w:ascii="Arial" w:cs="Arial" w:eastAsia="Arial" w:hAnsi="Arial"/>
          <w:sz w:val="14"/>
          <w:szCs w:val="14"/>
          <w:color w:val="auto"/>
        </w:rPr>
        <w:t>Waterbury</w:t>
      </w:r>
    </w:p>
    <w:p>
      <w:pPr>
        <w:spacing w:after="0" w:line="221" w:lineRule="auto"/>
        <w:rPr>
          <w:sz w:val="20"/>
          <w:szCs w:val="20"/>
          <w:color w:val="auto"/>
        </w:rPr>
      </w:pPr>
      <w:r>
        <w:rPr>
          <w:rFonts w:ascii="Arial" w:cs="Arial" w:eastAsia="Arial" w:hAnsi="Arial"/>
          <w:sz w:val="14"/>
          <w:szCs w:val="14"/>
          <w:color w:val="auto"/>
        </w:rPr>
        <w:t>West Hartford</w:t>
      </w:r>
    </w:p>
    <w:p>
      <w:pPr>
        <w:spacing w:after="0" w:line="222" w:lineRule="auto"/>
        <w:rPr>
          <w:sz w:val="20"/>
          <w:szCs w:val="20"/>
          <w:color w:val="auto"/>
        </w:rPr>
      </w:pPr>
      <w:r>
        <w:rPr>
          <w:rFonts w:ascii="Arial" w:cs="Arial" w:eastAsia="Arial" w:hAnsi="Arial"/>
          <w:sz w:val="14"/>
          <w:szCs w:val="14"/>
          <w:color w:val="auto"/>
        </w:rPr>
        <w:t>Westbrook*</w:t>
      </w:r>
    </w:p>
    <w:p>
      <w:pPr>
        <w:spacing w:after="0" w:line="221" w:lineRule="auto"/>
        <w:rPr>
          <w:sz w:val="20"/>
          <w:szCs w:val="20"/>
          <w:color w:val="auto"/>
        </w:rPr>
      </w:pPr>
      <w:r>
        <w:rPr>
          <w:rFonts w:ascii="Arial" w:cs="Arial" w:eastAsia="Arial" w:hAnsi="Arial"/>
          <w:sz w:val="14"/>
          <w:szCs w:val="14"/>
          <w:color w:val="auto"/>
        </w:rPr>
        <w:t>Westport</w:t>
      </w:r>
    </w:p>
    <w:p>
      <w:pPr>
        <w:spacing w:after="0"/>
        <w:rPr>
          <w:sz w:val="20"/>
          <w:szCs w:val="20"/>
          <w:color w:val="auto"/>
        </w:rPr>
      </w:pPr>
      <w:r>
        <w:rPr>
          <w:rFonts w:ascii="Arial" w:cs="Arial" w:eastAsia="Arial" w:hAnsi="Arial"/>
          <w:sz w:val="14"/>
          <w:szCs w:val="14"/>
          <w:color w:val="auto"/>
        </w:rPr>
        <w:t>Wethersfield</w:t>
      </w:r>
    </w:p>
    <w:p>
      <w:pPr>
        <w:spacing w:after="0" w:line="57" w:lineRule="exact"/>
        <w:rPr>
          <w:sz w:val="20"/>
          <w:szCs w:val="20"/>
          <w:color w:val="auto"/>
        </w:rPr>
      </w:pPr>
    </w:p>
    <w:p>
      <w:pPr>
        <w:ind w:left="880"/>
        <w:spacing w:after="0"/>
        <w:rPr>
          <w:sz w:val="20"/>
          <w:szCs w:val="20"/>
          <w:color w:val="auto"/>
        </w:rPr>
      </w:pPr>
      <w:r>
        <w:rPr>
          <w:rFonts w:ascii="Arial" w:cs="Arial" w:eastAsia="Arial" w:hAnsi="Arial"/>
          <w:sz w:val="14"/>
          <w:szCs w:val="14"/>
          <w:b w:val="1"/>
          <w:bCs w:val="1"/>
          <w:i w:val="1"/>
          <w:iCs w:val="1"/>
          <w:color w:val="auto"/>
        </w:rPr>
        <w:t>Delaware</w:t>
      </w:r>
    </w:p>
    <w:p>
      <w:pPr>
        <w:spacing w:after="0" w:line="221" w:lineRule="auto"/>
        <w:rPr>
          <w:sz w:val="20"/>
          <w:szCs w:val="20"/>
          <w:color w:val="auto"/>
        </w:rPr>
      </w:pPr>
      <w:r>
        <w:rPr>
          <w:rFonts w:ascii="Arial" w:cs="Arial" w:eastAsia="Arial" w:hAnsi="Arial"/>
          <w:sz w:val="14"/>
          <w:szCs w:val="14"/>
          <w:color w:val="auto"/>
        </w:rPr>
        <w:t>Dover</w:t>
      </w:r>
    </w:p>
    <w:p>
      <w:pPr>
        <w:spacing w:after="0" w:line="221" w:lineRule="auto"/>
        <w:rPr>
          <w:sz w:val="20"/>
          <w:szCs w:val="20"/>
          <w:color w:val="auto"/>
        </w:rPr>
      </w:pPr>
      <w:r>
        <w:rPr>
          <w:rFonts w:ascii="Arial" w:cs="Arial" w:eastAsia="Arial" w:hAnsi="Arial"/>
          <w:sz w:val="14"/>
          <w:szCs w:val="14"/>
          <w:color w:val="auto"/>
        </w:rPr>
        <w:t>Rehoboth Beach*</w:t>
      </w:r>
    </w:p>
    <w:p>
      <w:pPr>
        <w:spacing w:after="0"/>
        <w:rPr>
          <w:sz w:val="20"/>
          <w:szCs w:val="20"/>
          <w:color w:val="auto"/>
        </w:rPr>
      </w:pPr>
      <w:r>
        <w:rPr>
          <w:rFonts w:ascii="Arial" w:cs="Arial" w:eastAsia="Arial" w:hAnsi="Arial"/>
          <w:sz w:val="14"/>
          <w:szCs w:val="14"/>
          <w:color w:val="auto"/>
        </w:rPr>
        <w:t>Wilmington</w:t>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4"/>
          <w:szCs w:val="14"/>
          <w:b w:val="1"/>
          <w:bCs w:val="1"/>
          <w:i w:val="1"/>
          <w:iCs w:val="1"/>
          <w:color w:val="auto"/>
        </w:rPr>
        <w:t>Florida</w:t>
      </w:r>
    </w:p>
    <w:p>
      <w:pPr>
        <w:spacing w:after="0" w:line="221" w:lineRule="auto"/>
        <w:rPr>
          <w:sz w:val="20"/>
          <w:szCs w:val="20"/>
          <w:color w:val="auto"/>
        </w:rPr>
      </w:pPr>
      <w:r>
        <w:rPr>
          <w:rFonts w:ascii="Arial" w:cs="Arial" w:eastAsia="Arial" w:hAnsi="Arial"/>
          <w:sz w:val="14"/>
          <w:szCs w:val="14"/>
          <w:color w:val="auto"/>
        </w:rPr>
        <w:t>Altamonte Springs</w:t>
      </w:r>
    </w:p>
    <w:p>
      <w:pPr>
        <w:spacing w:after="0" w:line="221" w:lineRule="auto"/>
        <w:rPr>
          <w:sz w:val="20"/>
          <w:szCs w:val="20"/>
          <w:color w:val="auto"/>
        </w:rPr>
      </w:pPr>
      <w:r>
        <w:rPr>
          <w:rFonts w:ascii="Arial" w:cs="Arial" w:eastAsia="Arial" w:hAnsi="Arial"/>
          <w:sz w:val="14"/>
          <w:szCs w:val="14"/>
          <w:color w:val="auto"/>
        </w:rPr>
        <w:t>Boynton Beach</w:t>
      </w:r>
    </w:p>
    <w:p>
      <w:pPr>
        <w:spacing w:after="0" w:line="222" w:lineRule="auto"/>
        <w:rPr>
          <w:sz w:val="20"/>
          <w:szCs w:val="20"/>
          <w:color w:val="auto"/>
        </w:rPr>
      </w:pPr>
      <w:r>
        <w:rPr>
          <w:rFonts w:ascii="Arial" w:cs="Arial" w:eastAsia="Arial" w:hAnsi="Arial"/>
          <w:sz w:val="14"/>
          <w:szCs w:val="14"/>
          <w:color w:val="auto"/>
        </w:rPr>
        <w:t>Brandon</w:t>
      </w:r>
    </w:p>
    <w:p>
      <w:pPr>
        <w:spacing w:after="0" w:line="221" w:lineRule="auto"/>
        <w:rPr>
          <w:sz w:val="20"/>
          <w:szCs w:val="20"/>
          <w:color w:val="auto"/>
        </w:rPr>
      </w:pPr>
      <w:r>
        <w:rPr>
          <w:rFonts w:ascii="Arial" w:cs="Arial" w:eastAsia="Arial" w:hAnsi="Arial"/>
          <w:sz w:val="14"/>
          <w:szCs w:val="14"/>
          <w:color w:val="auto"/>
        </w:rPr>
        <w:t>Daytona Beach</w:t>
      </w:r>
    </w:p>
    <w:p>
      <w:pPr>
        <w:spacing w:after="0" w:line="222" w:lineRule="auto"/>
        <w:rPr>
          <w:sz w:val="20"/>
          <w:szCs w:val="20"/>
          <w:color w:val="auto"/>
        </w:rPr>
      </w:pPr>
      <w:r>
        <w:rPr>
          <w:rFonts w:ascii="Arial" w:cs="Arial" w:eastAsia="Arial" w:hAnsi="Arial"/>
          <w:sz w:val="14"/>
          <w:szCs w:val="14"/>
          <w:color w:val="auto"/>
        </w:rPr>
        <w:t>Fort Lauderdale</w:t>
      </w:r>
    </w:p>
    <w:p>
      <w:pPr>
        <w:spacing w:after="0" w:line="221" w:lineRule="auto"/>
        <w:rPr>
          <w:sz w:val="20"/>
          <w:szCs w:val="20"/>
          <w:color w:val="auto"/>
        </w:rPr>
      </w:pPr>
      <w:r>
        <w:rPr>
          <w:rFonts w:ascii="Arial" w:cs="Arial" w:eastAsia="Arial" w:hAnsi="Arial"/>
          <w:sz w:val="14"/>
          <w:szCs w:val="14"/>
          <w:color w:val="auto"/>
        </w:rPr>
        <w:t>Ft. Myers</w:t>
      </w:r>
    </w:p>
    <w:p>
      <w:pPr>
        <w:spacing w:after="0" w:line="222" w:lineRule="auto"/>
        <w:rPr>
          <w:sz w:val="20"/>
          <w:szCs w:val="20"/>
          <w:color w:val="auto"/>
        </w:rPr>
      </w:pPr>
      <w:r>
        <w:rPr>
          <w:rFonts w:ascii="Arial" w:cs="Arial" w:eastAsia="Arial" w:hAnsi="Arial"/>
          <w:sz w:val="14"/>
          <w:szCs w:val="14"/>
          <w:color w:val="auto"/>
        </w:rPr>
        <w:t>Gainesville</w:t>
      </w:r>
    </w:p>
    <w:p>
      <w:pPr>
        <w:spacing w:after="0" w:line="221" w:lineRule="auto"/>
        <w:rPr>
          <w:sz w:val="20"/>
          <w:szCs w:val="20"/>
          <w:color w:val="auto"/>
        </w:rPr>
      </w:pPr>
      <w:r>
        <w:rPr>
          <w:rFonts w:ascii="Arial" w:cs="Arial" w:eastAsia="Arial" w:hAnsi="Arial"/>
          <w:sz w:val="14"/>
          <w:szCs w:val="14"/>
          <w:color w:val="auto"/>
        </w:rPr>
        <w:t>Hialeah</w:t>
      </w:r>
    </w:p>
    <w:p>
      <w:pPr>
        <w:spacing w:after="0" w:line="222" w:lineRule="auto"/>
        <w:rPr>
          <w:sz w:val="20"/>
          <w:szCs w:val="20"/>
          <w:color w:val="auto"/>
        </w:rPr>
      </w:pPr>
      <w:r>
        <w:rPr>
          <w:rFonts w:ascii="Arial" w:cs="Arial" w:eastAsia="Arial" w:hAnsi="Arial"/>
          <w:sz w:val="14"/>
          <w:szCs w:val="14"/>
          <w:color w:val="auto"/>
        </w:rPr>
        <w:t>Jacksonville</w:t>
      </w:r>
    </w:p>
    <w:p>
      <w:pPr>
        <w:spacing w:after="0"/>
        <w:rPr>
          <w:sz w:val="20"/>
          <w:szCs w:val="20"/>
          <w:color w:val="auto"/>
        </w:rPr>
      </w:pPr>
      <w:r>
        <w:rPr>
          <w:rFonts w:ascii="Arial" w:cs="Arial" w:eastAsia="Arial" w:hAnsi="Arial"/>
          <w:sz w:val="14"/>
          <w:szCs w:val="14"/>
          <w:color w:val="auto"/>
        </w:rPr>
        <w:t>Largo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820"/>
        <w:spacing w:after="0"/>
        <w:rPr>
          <w:sz w:val="20"/>
          <w:szCs w:val="20"/>
          <w:color w:val="auto"/>
        </w:rPr>
      </w:pPr>
      <w:r>
        <w:rPr>
          <w:rFonts w:ascii="Arial" w:cs="Arial" w:eastAsia="Arial" w:hAnsi="Arial"/>
          <w:sz w:val="12"/>
          <w:szCs w:val="12"/>
          <w:b w:val="1"/>
          <w:bCs w:val="1"/>
          <w:i w:val="1"/>
          <w:iCs w:val="1"/>
          <w:color w:val="auto"/>
        </w:rPr>
        <w:t>Florida, cont.</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2"/>
          <w:szCs w:val="12"/>
          <w:color w:val="auto"/>
        </w:rPr>
        <w:t>Lauderdale Lakes</w:t>
      </w:r>
    </w:p>
    <w:p>
      <w:pPr>
        <w:ind w:left="640"/>
        <w:spacing w:after="0" w:line="237" w:lineRule="auto"/>
        <w:rPr>
          <w:sz w:val="20"/>
          <w:szCs w:val="20"/>
          <w:color w:val="auto"/>
        </w:rPr>
      </w:pPr>
      <w:r>
        <w:rPr>
          <w:rFonts w:ascii="Arial" w:cs="Arial" w:eastAsia="Arial" w:hAnsi="Arial"/>
          <w:sz w:val="14"/>
          <w:szCs w:val="14"/>
          <w:color w:val="auto"/>
        </w:rPr>
        <w:t>Miami</w:t>
      </w:r>
    </w:p>
    <w:p>
      <w:pPr>
        <w:ind w:left="640"/>
        <w:spacing w:after="0" w:line="221" w:lineRule="auto"/>
        <w:rPr>
          <w:sz w:val="20"/>
          <w:szCs w:val="20"/>
          <w:color w:val="auto"/>
        </w:rPr>
      </w:pPr>
      <w:r>
        <w:rPr>
          <w:rFonts w:ascii="Arial" w:cs="Arial" w:eastAsia="Arial" w:hAnsi="Arial"/>
          <w:sz w:val="14"/>
          <w:szCs w:val="14"/>
          <w:color w:val="auto"/>
        </w:rPr>
        <w:t>No. Lakeland</w:t>
      </w:r>
    </w:p>
    <w:p>
      <w:pPr>
        <w:ind w:left="640"/>
        <w:spacing w:after="0"/>
        <w:rPr>
          <w:sz w:val="20"/>
          <w:szCs w:val="20"/>
          <w:color w:val="auto"/>
        </w:rPr>
      </w:pPr>
      <w:r>
        <w:rPr>
          <w:rFonts w:ascii="Arial" w:cs="Arial" w:eastAsia="Arial" w:hAnsi="Arial"/>
          <w:sz w:val="12"/>
          <w:szCs w:val="12"/>
          <w:color w:val="auto"/>
        </w:rPr>
        <w:t>No. Miami Beach</w:t>
      </w:r>
    </w:p>
    <w:p>
      <w:pPr>
        <w:ind w:left="640"/>
        <w:spacing w:after="0" w:line="237" w:lineRule="auto"/>
        <w:rPr>
          <w:sz w:val="20"/>
          <w:szCs w:val="20"/>
          <w:color w:val="auto"/>
        </w:rPr>
      </w:pPr>
      <w:r>
        <w:rPr>
          <w:rFonts w:ascii="Arial" w:cs="Arial" w:eastAsia="Arial" w:hAnsi="Arial"/>
          <w:sz w:val="14"/>
          <w:szCs w:val="14"/>
          <w:color w:val="auto"/>
        </w:rPr>
        <w:t>Ocala</w:t>
      </w:r>
    </w:p>
    <w:p>
      <w:pPr>
        <w:ind w:left="640"/>
        <w:spacing w:after="0" w:line="221" w:lineRule="auto"/>
        <w:rPr>
          <w:sz w:val="20"/>
          <w:szCs w:val="20"/>
          <w:color w:val="auto"/>
        </w:rPr>
      </w:pPr>
      <w:r>
        <w:rPr>
          <w:rFonts w:ascii="Arial" w:cs="Arial" w:eastAsia="Arial" w:hAnsi="Arial"/>
          <w:sz w:val="14"/>
          <w:szCs w:val="14"/>
          <w:color w:val="auto"/>
        </w:rPr>
        <w:t>Orange Park</w:t>
      </w:r>
    </w:p>
    <w:p>
      <w:pPr>
        <w:ind w:left="640"/>
        <w:spacing w:after="0" w:line="222" w:lineRule="auto"/>
        <w:rPr>
          <w:sz w:val="20"/>
          <w:szCs w:val="20"/>
          <w:color w:val="auto"/>
        </w:rPr>
      </w:pPr>
      <w:r>
        <w:rPr>
          <w:rFonts w:ascii="Arial" w:cs="Arial" w:eastAsia="Arial" w:hAnsi="Arial"/>
          <w:sz w:val="14"/>
          <w:szCs w:val="14"/>
          <w:color w:val="auto"/>
        </w:rPr>
        <w:t>Orlando (3)</w:t>
      </w:r>
    </w:p>
    <w:p>
      <w:pPr>
        <w:ind w:left="640"/>
        <w:spacing w:after="0"/>
        <w:rPr>
          <w:sz w:val="20"/>
          <w:szCs w:val="20"/>
          <w:color w:val="auto"/>
        </w:rPr>
      </w:pPr>
      <w:r>
        <w:rPr>
          <w:rFonts w:ascii="Arial" w:cs="Arial" w:eastAsia="Arial" w:hAnsi="Arial"/>
          <w:sz w:val="12"/>
          <w:szCs w:val="12"/>
          <w:color w:val="auto"/>
        </w:rPr>
        <w:t>Pembroke Pines</w:t>
      </w:r>
    </w:p>
    <w:p>
      <w:pPr>
        <w:ind w:left="640"/>
        <w:spacing w:after="0" w:line="237" w:lineRule="auto"/>
        <w:rPr>
          <w:sz w:val="20"/>
          <w:szCs w:val="20"/>
          <w:color w:val="auto"/>
        </w:rPr>
      </w:pPr>
      <w:r>
        <w:rPr>
          <w:rFonts w:ascii="Arial" w:cs="Arial" w:eastAsia="Arial" w:hAnsi="Arial"/>
          <w:sz w:val="14"/>
          <w:szCs w:val="14"/>
          <w:color w:val="auto"/>
        </w:rPr>
        <w:t>Sarasota</w:t>
      </w:r>
    </w:p>
    <w:p>
      <w:pPr>
        <w:ind w:left="640"/>
        <w:spacing w:after="0" w:line="221" w:lineRule="auto"/>
        <w:rPr>
          <w:sz w:val="20"/>
          <w:szCs w:val="20"/>
          <w:color w:val="auto"/>
        </w:rPr>
      </w:pPr>
      <w:r>
        <w:rPr>
          <w:rFonts w:ascii="Arial" w:cs="Arial" w:eastAsia="Arial" w:hAnsi="Arial"/>
          <w:sz w:val="14"/>
          <w:szCs w:val="14"/>
          <w:color w:val="auto"/>
        </w:rPr>
        <w:t>St. Augustine*</w:t>
      </w:r>
    </w:p>
    <w:p>
      <w:pPr>
        <w:ind w:left="640"/>
        <w:spacing w:after="0" w:line="222" w:lineRule="auto"/>
        <w:rPr>
          <w:sz w:val="20"/>
          <w:szCs w:val="20"/>
          <w:color w:val="auto"/>
        </w:rPr>
      </w:pPr>
      <w:r>
        <w:rPr>
          <w:rFonts w:ascii="Arial" w:cs="Arial" w:eastAsia="Arial" w:hAnsi="Arial"/>
          <w:sz w:val="14"/>
          <w:szCs w:val="14"/>
          <w:color w:val="auto"/>
        </w:rPr>
        <w:t>Stuart</w:t>
      </w:r>
    </w:p>
    <w:p>
      <w:pPr>
        <w:ind w:left="640"/>
        <w:spacing w:after="0" w:line="221" w:lineRule="auto"/>
        <w:rPr>
          <w:sz w:val="20"/>
          <w:szCs w:val="20"/>
          <w:color w:val="auto"/>
        </w:rPr>
      </w:pPr>
      <w:r>
        <w:rPr>
          <w:rFonts w:ascii="Arial" w:cs="Arial" w:eastAsia="Arial" w:hAnsi="Arial"/>
          <w:sz w:val="14"/>
          <w:szCs w:val="14"/>
          <w:color w:val="auto"/>
        </w:rPr>
        <w:t>Tampa</w:t>
      </w:r>
    </w:p>
    <w:p>
      <w:pPr>
        <w:ind w:left="640"/>
        <w:spacing w:after="0" w:line="222" w:lineRule="auto"/>
        <w:rPr>
          <w:sz w:val="20"/>
          <w:szCs w:val="20"/>
          <w:color w:val="auto"/>
        </w:rPr>
      </w:pPr>
      <w:r>
        <w:rPr>
          <w:rFonts w:ascii="Arial" w:cs="Arial" w:eastAsia="Arial" w:hAnsi="Arial"/>
          <w:sz w:val="14"/>
          <w:szCs w:val="14"/>
          <w:color w:val="auto"/>
        </w:rPr>
        <w:t>Vero Beach*</w:t>
      </w:r>
    </w:p>
    <w:p>
      <w:pPr>
        <w:ind w:left="640"/>
        <w:spacing w:after="0"/>
        <w:rPr>
          <w:sz w:val="20"/>
          <w:szCs w:val="20"/>
          <w:color w:val="auto"/>
        </w:rPr>
      </w:pPr>
      <w:r>
        <w:rPr>
          <w:rFonts w:ascii="Arial" w:cs="Arial" w:eastAsia="Arial" w:hAnsi="Arial"/>
          <w:sz w:val="12"/>
          <w:szCs w:val="12"/>
          <w:color w:val="auto"/>
        </w:rPr>
        <w:t>West Palm Beach</w:t>
      </w:r>
    </w:p>
    <w:p>
      <w:pPr>
        <w:spacing w:after="0" w:line="79" w:lineRule="exact"/>
        <w:rPr>
          <w:sz w:val="20"/>
          <w:szCs w:val="20"/>
          <w:color w:val="auto"/>
        </w:rPr>
      </w:pPr>
    </w:p>
    <w:p>
      <w:pPr>
        <w:ind w:left="960"/>
        <w:spacing w:after="0"/>
        <w:rPr>
          <w:sz w:val="20"/>
          <w:szCs w:val="20"/>
          <w:color w:val="auto"/>
        </w:rPr>
      </w:pPr>
      <w:r>
        <w:rPr>
          <w:rFonts w:ascii="Arial" w:cs="Arial" w:eastAsia="Arial" w:hAnsi="Arial"/>
          <w:sz w:val="14"/>
          <w:szCs w:val="14"/>
          <w:b w:val="1"/>
          <w:bCs w:val="1"/>
          <w:i w:val="1"/>
          <w:iCs w:val="1"/>
          <w:color w:val="auto"/>
        </w:rPr>
        <w:t>Georgia</w:t>
      </w:r>
    </w:p>
    <w:p>
      <w:pPr>
        <w:ind w:left="640"/>
        <w:spacing w:after="0" w:line="221" w:lineRule="auto"/>
        <w:rPr>
          <w:sz w:val="20"/>
          <w:szCs w:val="20"/>
          <w:color w:val="auto"/>
        </w:rPr>
      </w:pPr>
      <w:r>
        <w:rPr>
          <w:rFonts w:ascii="Arial" w:cs="Arial" w:eastAsia="Arial" w:hAnsi="Arial"/>
          <w:sz w:val="14"/>
          <w:szCs w:val="14"/>
          <w:color w:val="auto"/>
        </w:rPr>
        <w:t>Alpharetta</w:t>
      </w:r>
    </w:p>
    <w:p>
      <w:pPr>
        <w:ind w:left="640"/>
        <w:spacing w:after="0" w:line="221" w:lineRule="auto"/>
        <w:rPr>
          <w:sz w:val="20"/>
          <w:szCs w:val="20"/>
          <w:color w:val="auto"/>
        </w:rPr>
      </w:pPr>
      <w:r>
        <w:rPr>
          <w:rFonts w:ascii="Arial" w:cs="Arial" w:eastAsia="Arial" w:hAnsi="Arial"/>
          <w:sz w:val="14"/>
          <w:szCs w:val="14"/>
          <w:color w:val="auto"/>
        </w:rPr>
        <w:t>Atlanta</w:t>
      </w:r>
    </w:p>
    <w:p>
      <w:pPr>
        <w:ind w:left="640"/>
        <w:spacing w:after="0" w:line="222" w:lineRule="auto"/>
        <w:rPr>
          <w:sz w:val="20"/>
          <w:szCs w:val="20"/>
          <w:color w:val="auto"/>
        </w:rPr>
      </w:pPr>
      <w:r>
        <w:rPr>
          <w:rFonts w:ascii="Arial" w:cs="Arial" w:eastAsia="Arial" w:hAnsi="Arial"/>
          <w:sz w:val="14"/>
          <w:szCs w:val="14"/>
          <w:color w:val="auto"/>
        </w:rPr>
        <w:t>Augusta</w:t>
      </w:r>
    </w:p>
    <w:p>
      <w:pPr>
        <w:ind w:left="640"/>
        <w:spacing w:after="0" w:line="221" w:lineRule="auto"/>
        <w:rPr>
          <w:sz w:val="20"/>
          <w:szCs w:val="20"/>
          <w:color w:val="auto"/>
        </w:rPr>
      </w:pPr>
      <w:r>
        <w:rPr>
          <w:rFonts w:ascii="Arial" w:cs="Arial" w:eastAsia="Arial" w:hAnsi="Arial"/>
          <w:sz w:val="14"/>
          <w:szCs w:val="14"/>
          <w:color w:val="auto"/>
        </w:rPr>
        <w:t>Calhoun*</w:t>
      </w:r>
    </w:p>
    <w:p>
      <w:pPr>
        <w:ind w:left="640"/>
        <w:spacing w:after="0" w:line="222" w:lineRule="auto"/>
        <w:rPr>
          <w:sz w:val="20"/>
          <w:szCs w:val="20"/>
          <w:color w:val="auto"/>
        </w:rPr>
      </w:pPr>
      <w:r>
        <w:rPr>
          <w:rFonts w:ascii="Arial" w:cs="Arial" w:eastAsia="Arial" w:hAnsi="Arial"/>
          <w:sz w:val="14"/>
          <w:szCs w:val="14"/>
          <w:color w:val="auto"/>
        </w:rPr>
        <w:t>Commerce*</w:t>
      </w:r>
    </w:p>
    <w:p>
      <w:pPr>
        <w:ind w:left="640"/>
        <w:spacing w:after="0" w:line="221" w:lineRule="auto"/>
        <w:rPr>
          <w:sz w:val="20"/>
          <w:szCs w:val="20"/>
          <w:color w:val="auto"/>
        </w:rPr>
      </w:pPr>
      <w:r>
        <w:rPr>
          <w:rFonts w:ascii="Arial" w:cs="Arial" w:eastAsia="Arial" w:hAnsi="Arial"/>
          <w:sz w:val="14"/>
          <w:szCs w:val="14"/>
          <w:color w:val="auto"/>
        </w:rPr>
        <w:t>Duluth</w:t>
      </w:r>
    </w:p>
    <w:p>
      <w:pPr>
        <w:ind w:left="640"/>
        <w:spacing w:after="0" w:line="222" w:lineRule="auto"/>
        <w:rPr>
          <w:sz w:val="20"/>
          <w:szCs w:val="20"/>
          <w:color w:val="auto"/>
        </w:rPr>
      </w:pPr>
      <w:r>
        <w:rPr>
          <w:rFonts w:ascii="Arial" w:cs="Arial" w:eastAsia="Arial" w:hAnsi="Arial"/>
          <w:sz w:val="14"/>
          <w:szCs w:val="14"/>
          <w:color w:val="auto"/>
        </w:rPr>
        <w:t>Kennesaw</w:t>
      </w:r>
    </w:p>
    <w:p>
      <w:pPr>
        <w:ind w:left="640"/>
        <w:spacing w:after="0" w:line="221" w:lineRule="auto"/>
        <w:rPr>
          <w:sz w:val="20"/>
          <w:szCs w:val="20"/>
          <w:color w:val="auto"/>
        </w:rPr>
      </w:pPr>
      <w:r>
        <w:rPr>
          <w:rFonts w:ascii="Arial" w:cs="Arial" w:eastAsia="Arial" w:hAnsi="Arial"/>
          <w:sz w:val="14"/>
          <w:szCs w:val="14"/>
          <w:color w:val="auto"/>
        </w:rPr>
        <w:t>Morrow</w:t>
      </w:r>
    </w:p>
    <w:p>
      <w:pPr>
        <w:ind w:left="640"/>
        <w:spacing w:after="0" w:line="222" w:lineRule="auto"/>
        <w:rPr>
          <w:sz w:val="20"/>
          <w:szCs w:val="20"/>
          <w:color w:val="auto"/>
        </w:rPr>
      </w:pPr>
      <w:r>
        <w:rPr>
          <w:rFonts w:ascii="Arial" w:cs="Arial" w:eastAsia="Arial" w:hAnsi="Arial"/>
          <w:sz w:val="14"/>
          <w:szCs w:val="14"/>
          <w:color w:val="auto"/>
        </w:rPr>
        <w:t>Savannah</w:t>
      </w:r>
    </w:p>
    <w:p>
      <w:pPr>
        <w:ind w:left="640"/>
        <w:spacing w:after="0"/>
        <w:rPr>
          <w:sz w:val="20"/>
          <w:szCs w:val="20"/>
          <w:color w:val="auto"/>
        </w:rPr>
      </w:pPr>
      <w:r>
        <w:rPr>
          <w:rFonts w:ascii="Arial" w:cs="Arial" w:eastAsia="Arial" w:hAnsi="Arial"/>
          <w:sz w:val="12"/>
          <w:szCs w:val="12"/>
          <w:color w:val="auto"/>
        </w:rPr>
        <w:t>Stone Mountain</w:t>
      </w:r>
    </w:p>
    <w:p>
      <w:pPr>
        <w:spacing w:after="0" w:line="79" w:lineRule="exact"/>
        <w:rPr>
          <w:sz w:val="20"/>
          <w:szCs w:val="20"/>
          <w:color w:val="auto"/>
        </w:rPr>
      </w:pPr>
    </w:p>
    <w:p>
      <w:pPr>
        <w:ind w:left="1020"/>
        <w:spacing w:after="0"/>
        <w:rPr>
          <w:sz w:val="20"/>
          <w:szCs w:val="20"/>
          <w:color w:val="auto"/>
        </w:rPr>
      </w:pPr>
      <w:r>
        <w:rPr>
          <w:rFonts w:ascii="Arial" w:cs="Arial" w:eastAsia="Arial" w:hAnsi="Arial"/>
          <w:sz w:val="14"/>
          <w:szCs w:val="14"/>
          <w:b w:val="1"/>
          <w:bCs w:val="1"/>
          <w:i w:val="1"/>
          <w:iCs w:val="1"/>
          <w:color w:val="auto"/>
        </w:rPr>
        <w:t>Idaho</w:t>
      </w:r>
    </w:p>
    <w:p>
      <w:pPr>
        <w:ind w:left="640"/>
        <w:spacing w:after="0"/>
        <w:rPr>
          <w:sz w:val="20"/>
          <w:szCs w:val="20"/>
          <w:color w:val="auto"/>
        </w:rPr>
      </w:pPr>
      <w:r>
        <w:rPr>
          <w:rFonts w:ascii="Arial" w:cs="Arial" w:eastAsia="Arial" w:hAnsi="Arial"/>
          <w:sz w:val="14"/>
          <w:szCs w:val="14"/>
          <w:color w:val="auto"/>
        </w:rPr>
        <w:t>Boise</w:t>
      </w:r>
    </w:p>
    <w:p>
      <w:pPr>
        <w:spacing w:after="0" w:line="56" w:lineRule="exact"/>
        <w:rPr>
          <w:sz w:val="20"/>
          <w:szCs w:val="20"/>
          <w:color w:val="auto"/>
        </w:rPr>
      </w:pPr>
    </w:p>
    <w:p>
      <w:pPr>
        <w:ind w:left="1000"/>
        <w:spacing w:after="0"/>
        <w:rPr>
          <w:sz w:val="20"/>
          <w:szCs w:val="20"/>
          <w:color w:val="auto"/>
        </w:rPr>
      </w:pPr>
      <w:r>
        <w:rPr>
          <w:rFonts w:ascii="Arial" w:cs="Arial" w:eastAsia="Arial" w:hAnsi="Arial"/>
          <w:sz w:val="14"/>
          <w:szCs w:val="14"/>
          <w:b w:val="1"/>
          <w:bCs w:val="1"/>
          <w:i w:val="1"/>
          <w:iCs w:val="1"/>
          <w:color w:val="auto"/>
        </w:rPr>
        <w:t>Illinois</w:t>
      </w:r>
    </w:p>
    <w:p>
      <w:pPr>
        <w:ind w:left="640"/>
        <w:spacing w:after="0" w:line="221" w:lineRule="auto"/>
        <w:rPr>
          <w:sz w:val="20"/>
          <w:szCs w:val="20"/>
          <w:color w:val="auto"/>
        </w:rPr>
      </w:pPr>
      <w:r>
        <w:rPr>
          <w:rFonts w:ascii="Arial" w:cs="Arial" w:eastAsia="Arial" w:hAnsi="Arial"/>
          <w:sz w:val="14"/>
          <w:szCs w:val="14"/>
          <w:color w:val="auto"/>
        </w:rPr>
        <w:t>Bloomingdale</w:t>
      </w:r>
    </w:p>
    <w:p>
      <w:pPr>
        <w:ind w:left="640"/>
        <w:spacing w:after="0" w:line="221" w:lineRule="auto"/>
        <w:rPr>
          <w:sz w:val="20"/>
          <w:szCs w:val="20"/>
          <w:color w:val="auto"/>
        </w:rPr>
      </w:pPr>
      <w:r>
        <w:rPr>
          <w:rFonts w:ascii="Arial" w:cs="Arial" w:eastAsia="Arial" w:hAnsi="Arial"/>
          <w:sz w:val="14"/>
          <w:szCs w:val="14"/>
          <w:color w:val="auto"/>
        </w:rPr>
        <w:t>Bloomington</w:t>
      </w:r>
    </w:p>
    <w:p>
      <w:pPr>
        <w:ind w:left="640"/>
        <w:spacing w:after="0" w:line="222" w:lineRule="auto"/>
        <w:rPr>
          <w:sz w:val="20"/>
          <w:szCs w:val="20"/>
          <w:color w:val="auto"/>
        </w:rPr>
      </w:pPr>
      <w:r>
        <w:rPr>
          <w:rFonts w:ascii="Arial" w:cs="Arial" w:eastAsia="Arial" w:hAnsi="Arial"/>
          <w:sz w:val="14"/>
          <w:szCs w:val="14"/>
          <w:color w:val="auto"/>
        </w:rPr>
        <w:t>Champaign</w:t>
      </w:r>
    </w:p>
    <w:p>
      <w:pPr>
        <w:ind w:left="640"/>
        <w:spacing w:after="0" w:line="221" w:lineRule="auto"/>
        <w:rPr>
          <w:sz w:val="20"/>
          <w:szCs w:val="20"/>
          <w:color w:val="auto"/>
        </w:rPr>
      </w:pPr>
      <w:r>
        <w:rPr>
          <w:rFonts w:ascii="Arial" w:cs="Arial" w:eastAsia="Arial" w:hAnsi="Arial"/>
          <w:sz w:val="14"/>
          <w:szCs w:val="14"/>
          <w:color w:val="auto"/>
        </w:rPr>
        <w:t>Chicago (2)</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Evergreen Park</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Fairview Heights</w:t>
      </w:r>
    </w:p>
    <w:p>
      <w:pPr>
        <w:ind w:left="640"/>
        <w:spacing w:after="0" w:line="237" w:lineRule="auto"/>
        <w:rPr>
          <w:sz w:val="20"/>
          <w:szCs w:val="20"/>
          <w:color w:val="auto"/>
        </w:rPr>
      </w:pPr>
      <w:r>
        <w:rPr>
          <w:rFonts w:ascii="Arial" w:cs="Arial" w:eastAsia="Arial" w:hAnsi="Arial"/>
          <w:sz w:val="14"/>
          <w:szCs w:val="14"/>
          <w:color w:val="auto"/>
        </w:rPr>
        <w:t>Hometown</w:t>
      </w:r>
    </w:p>
    <w:p>
      <w:pPr>
        <w:ind w:left="640"/>
        <w:spacing w:after="0" w:line="221" w:lineRule="auto"/>
        <w:rPr>
          <w:sz w:val="20"/>
          <w:szCs w:val="20"/>
          <w:color w:val="auto"/>
        </w:rPr>
      </w:pPr>
      <w:r>
        <w:rPr>
          <w:rFonts w:ascii="Arial" w:cs="Arial" w:eastAsia="Arial" w:hAnsi="Arial"/>
          <w:sz w:val="14"/>
          <w:szCs w:val="14"/>
          <w:color w:val="auto"/>
        </w:rPr>
        <w:t>Joliet</w:t>
      </w:r>
    </w:p>
    <w:p>
      <w:pPr>
        <w:ind w:left="640"/>
        <w:spacing w:after="0" w:line="222" w:lineRule="auto"/>
        <w:rPr>
          <w:sz w:val="20"/>
          <w:szCs w:val="20"/>
          <w:color w:val="auto"/>
        </w:rPr>
      </w:pPr>
      <w:r>
        <w:rPr>
          <w:rFonts w:ascii="Arial" w:cs="Arial" w:eastAsia="Arial" w:hAnsi="Arial"/>
          <w:sz w:val="14"/>
          <w:szCs w:val="14"/>
          <w:color w:val="auto"/>
        </w:rPr>
        <w:t>Lansing</w:t>
      </w:r>
    </w:p>
    <w:p>
      <w:pPr>
        <w:ind w:left="640"/>
        <w:spacing w:after="0" w:line="221" w:lineRule="auto"/>
        <w:rPr>
          <w:sz w:val="20"/>
          <w:szCs w:val="20"/>
          <w:color w:val="auto"/>
        </w:rPr>
      </w:pPr>
      <w:r>
        <w:rPr>
          <w:rFonts w:ascii="Arial" w:cs="Arial" w:eastAsia="Arial" w:hAnsi="Arial"/>
          <w:sz w:val="14"/>
          <w:szCs w:val="14"/>
          <w:color w:val="auto"/>
        </w:rPr>
        <w:t>Matteson</w:t>
      </w:r>
    </w:p>
    <w:p>
      <w:pPr>
        <w:ind w:left="640"/>
        <w:spacing w:after="0" w:line="222" w:lineRule="auto"/>
        <w:rPr>
          <w:sz w:val="20"/>
          <w:szCs w:val="20"/>
          <w:color w:val="auto"/>
        </w:rPr>
      </w:pPr>
      <w:r>
        <w:rPr>
          <w:rFonts w:ascii="Arial" w:cs="Arial" w:eastAsia="Arial" w:hAnsi="Arial"/>
          <w:sz w:val="14"/>
          <w:szCs w:val="14"/>
          <w:color w:val="auto"/>
        </w:rPr>
        <w:t>Naperville</w:t>
      </w:r>
    </w:p>
    <w:p>
      <w:pPr>
        <w:ind w:left="640"/>
        <w:spacing w:after="0" w:line="221" w:lineRule="auto"/>
        <w:rPr>
          <w:sz w:val="20"/>
          <w:szCs w:val="20"/>
          <w:color w:val="auto"/>
        </w:rPr>
      </w:pPr>
      <w:r>
        <w:rPr>
          <w:rFonts w:ascii="Arial" w:cs="Arial" w:eastAsia="Arial" w:hAnsi="Arial"/>
          <w:sz w:val="14"/>
          <w:szCs w:val="14"/>
          <w:color w:val="auto"/>
        </w:rPr>
        <w:t>Niles</w:t>
      </w:r>
    </w:p>
    <w:p>
      <w:pPr>
        <w:ind w:left="640"/>
        <w:spacing w:after="0"/>
        <w:rPr>
          <w:sz w:val="20"/>
          <w:szCs w:val="20"/>
          <w:color w:val="auto"/>
        </w:rPr>
      </w:pPr>
      <w:r>
        <w:rPr>
          <w:rFonts w:ascii="Arial" w:cs="Arial" w:eastAsia="Arial" w:hAnsi="Arial"/>
          <w:sz w:val="12"/>
          <w:szCs w:val="12"/>
          <w:color w:val="auto"/>
        </w:rPr>
        <w:t>North Riverside</w:t>
      </w:r>
    </w:p>
    <w:p>
      <w:pPr>
        <w:ind w:left="640"/>
        <w:spacing w:after="0" w:line="237" w:lineRule="auto"/>
        <w:rPr>
          <w:sz w:val="20"/>
          <w:szCs w:val="20"/>
          <w:color w:val="auto"/>
        </w:rPr>
      </w:pPr>
      <w:r>
        <w:rPr>
          <w:rFonts w:ascii="Arial" w:cs="Arial" w:eastAsia="Arial" w:hAnsi="Arial"/>
          <w:sz w:val="14"/>
          <w:szCs w:val="14"/>
          <w:color w:val="auto"/>
        </w:rPr>
        <w:t>Oakbrook</w:t>
      </w:r>
    </w:p>
    <w:p>
      <w:pPr>
        <w:ind w:left="640"/>
        <w:spacing w:after="0" w:line="221" w:lineRule="auto"/>
        <w:rPr>
          <w:sz w:val="20"/>
          <w:szCs w:val="20"/>
          <w:color w:val="auto"/>
        </w:rPr>
      </w:pPr>
      <w:r>
        <w:rPr>
          <w:rFonts w:ascii="Arial" w:cs="Arial" w:eastAsia="Arial" w:hAnsi="Arial"/>
          <w:sz w:val="14"/>
          <w:szCs w:val="14"/>
          <w:color w:val="auto"/>
        </w:rPr>
        <w:t>Terrace (H)</w:t>
      </w:r>
    </w:p>
    <w:p>
      <w:pPr>
        <w:ind w:left="640"/>
        <w:spacing w:after="0" w:line="222" w:lineRule="auto"/>
        <w:rPr>
          <w:sz w:val="20"/>
          <w:szCs w:val="20"/>
          <w:color w:val="auto"/>
        </w:rPr>
      </w:pPr>
      <w:r>
        <w:rPr>
          <w:rFonts w:ascii="Arial" w:cs="Arial" w:eastAsia="Arial" w:hAnsi="Arial"/>
          <w:sz w:val="14"/>
          <w:szCs w:val="14"/>
          <w:color w:val="auto"/>
        </w:rPr>
        <w:t>Orland Park</w:t>
      </w:r>
    </w:p>
    <w:p>
      <w:pPr>
        <w:ind w:left="640"/>
        <w:spacing w:after="0" w:line="221" w:lineRule="auto"/>
        <w:rPr>
          <w:sz w:val="20"/>
          <w:szCs w:val="20"/>
          <w:color w:val="auto"/>
        </w:rPr>
      </w:pPr>
      <w:r>
        <w:rPr>
          <w:rFonts w:ascii="Arial" w:cs="Arial" w:eastAsia="Arial" w:hAnsi="Arial"/>
          <w:sz w:val="14"/>
          <w:szCs w:val="14"/>
          <w:color w:val="auto"/>
        </w:rPr>
        <w:t>Peoria</w:t>
      </w:r>
    </w:p>
    <w:p>
      <w:pPr>
        <w:ind w:left="640"/>
        <w:spacing w:after="0" w:line="222" w:lineRule="auto"/>
        <w:rPr>
          <w:sz w:val="20"/>
          <w:szCs w:val="20"/>
          <w:color w:val="auto"/>
        </w:rPr>
      </w:pPr>
      <w:r>
        <w:rPr>
          <w:rFonts w:ascii="Arial" w:cs="Arial" w:eastAsia="Arial" w:hAnsi="Arial"/>
          <w:sz w:val="14"/>
          <w:szCs w:val="14"/>
          <w:color w:val="auto"/>
        </w:rPr>
        <w:t>Rockford</w:t>
      </w:r>
    </w:p>
    <w:p>
      <w:pPr>
        <w:ind w:left="640"/>
        <w:spacing w:after="0" w:line="221" w:lineRule="auto"/>
        <w:rPr>
          <w:sz w:val="20"/>
          <w:szCs w:val="20"/>
          <w:color w:val="auto"/>
        </w:rPr>
      </w:pPr>
      <w:r>
        <w:rPr>
          <w:rFonts w:ascii="Arial" w:cs="Arial" w:eastAsia="Arial" w:hAnsi="Arial"/>
          <w:sz w:val="14"/>
          <w:szCs w:val="14"/>
          <w:color w:val="auto"/>
        </w:rPr>
        <w:t>Schaumburg</w:t>
      </w:r>
    </w:p>
    <w:p>
      <w:pPr>
        <w:ind w:left="640"/>
        <w:spacing w:after="0" w:line="221" w:lineRule="auto"/>
        <w:rPr>
          <w:sz w:val="20"/>
          <w:szCs w:val="20"/>
          <w:color w:val="auto"/>
        </w:rPr>
      </w:pPr>
      <w:r>
        <w:rPr>
          <w:rFonts w:ascii="Arial" w:cs="Arial" w:eastAsia="Arial" w:hAnsi="Arial"/>
          <w:sz w:val="14"/>
          <w:szCs w:val="14"/>
          <w:color w:val="auto"/>
        </w:rPr>
        <w:t>Skokie</w:t>
      </w:r>
    </w:p>
    <w:p>
      <w:pPr>
        <w:ind w:left="640"/>
        <w:spacing w:after="0" w:line="222" w:lineRule="auto"/>
        <w:rPr>
          <w:sz w:val="20"/>
          <w:szCs w:val="20"/>
          <w:color w:val="auto"/>
        </w:rPr>
      </w:pPr>
      <w:r>
        <w:rPr>
          <w:rFonts w:ascii="Arial" w:cs="Arial" w:eastAsia="Arial" w:hAnsi="Arial"/>
          <w:sz w:val="14"/>
          <w:szCs w:val="14"/>
          <w:color w:val="auto"/>
        </w:rPr>
        <w:t>Springfield</w:t>
      </w:r>
    </w:p>
    <w:p>
      <w:pPr>
        <w:ind w:left="640"/>
        <w:spacing w:after="0" w:line="221" w:lineRule="auto"/>
        <w:rPr>
          <w:sz w:val="20"/>
          <w:szCs w:val="20"/>
          <w:color w:val="auto"/>
        </w:rPr>
      </w:pPr>
      <w:r>
        <w:rPr>
          <w:rFonts w:ascii="Arial" w:cs="Arial" w:eastAsia="Arial" w:hAnsi="Arial"/>
          <w:sz w:val="14"/>
          <w:szCs w:val="14"/>
          <w:color w:val="auto"/>
        </w:rPr>
        <w:t>St. Charles</w:t>
      </w:r>
    </w:p>
    <w:p>
      <w:pPr>
        <w:ind w:left="640"/>
        <w:spacing w:after="0"/>
        <w:rPr>
          <w:sz w:val="20"/>
          <w:szCs w:val="20"/>
          <w:color w:val="auto"/>
        </w:rPr>
      </w:pPr>
      <w:r>
        <w:rPr>
          <w:rFonts w:ascii="Arial" w:cs="Arial" w:eastAsia="Arial" w:hAnsi="Arial"/>
          <w:sz w:val="14"/>
          <w:szCs w:val="14"/>
          <w:color w:val="auto"/>
        </w:rPr>
        <w:t>Vernon Hills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267"/>
        <w:spacing w:after="0"/>
        <w:rPr>
          <w:sz w:val="20"/>
          <w:szCs w:val="20"/>
          <w:color w:val="auto"/>
        </w:rPr>
      </w:pPr>
      <w:r>
        <w:rPr>
          <w:rFonts w:ascii="Arial" w:cs="Arial" w:eastAsia="Arial" w:hAnsi="Arial"/>
          <w:sz w:val="14"/>
          <w:szCs w:val="14"/>
          <w:b w:val="1"/>
          <w:bCs w:val="1"/>
          <w:i w:val="1"/>
          <w:iCs w:val="1"/>
          <w:color w:val="auto"/>
        </w:rPr>
        <w:t>Indiana</w:t>
      </w:r>
    </w:p>
    <w:p>
      <w:pPr>
        <w:ind w:left="7"/>
        <w:spacing w:after="0" w:line="221" w:lineRule="auto"/>
        <w:rPr>
          <w:sz w:val="20"/>
          <w:szCs w:val="20"/>
          <w:color w:val="auto"/>
        </w:rPr>
      </w:pPr>
      <w:r>
        <w:rPr>
          <w:rFonts w:ascii="Arial" w:cs="Arial" w:eastAsia="Arial" w:hAnsi="Arial"/>
          <w:sz w:val="14"/>
          <w:szCs w:val="14"/>
          <w:color w:val="auto"/>
        </w:rPr>
        <w:t>Edinburgh*</w:t>
      </w:r>
    </w:p>
    <w:p>
      <w:pPr>
        <w:ind w:left="7"/>
        <w:spacing w:after="0" w:line="221" w:lineRule="auto"/>
        <w:rPr>
          <w:sz w:val="20"/>
          <w:szCs w:val="20"/>
          <w:color w:val="auto"/>
        </w:rPr>
      </w:pPr>
      <w:r>
        <w:rPr>
          <w:rFonts w:ascii="Arial" w:cs="Arial" w:eastAsia="Arial" w:hAnsi="Arial"/>
          <w:sz w:val="14"/>
          <w:szCs w:val="14"/>
          <w:color w:val="auto"/>
        </w:rPr>
        <w:t>Evansville</w:t>
      </w:r>
    </w:p>
    <w:p>
      <w:pPr>
        <w:ind w:left="7"/>
        <w:spacing w:after="0" w:line="222" w:lineRule="auto"/>
        <w:rPr>
          <w:sz w:val="20"/>
          <w:szCs w:val="20"/>
          <w:color w:val="auto"/>
        </w:rPr>
      </w:pPr>
      <w:r>
        <w:rPr>
          <w:rFonts w:ascii="Arial" w:cs="Arial" w:eastAsia="Arial" w:hAnsi="Arial"/>
          <w:sz w:val="14"/>
          <w:szCs w:val="14"/>
          <w:color w:val="auto"/>
        </w:rPr>
        <w:t>Fort Wayne</w:t>
      </w:r>
    </w:p>
    <w:p>
      <w:pPr>
        <w:ind w:left="7"/>
        <w:spacing w:after="0" w:line="221" w:lineRule="auto"/>
        <w:rPr>
          <w:sz w:val="20"/>
          <w:szCs w:val="20"/>
          <w:color w:val="auto"/>
        </w:rPr>
      </w:pPr>
      <w:r>
        <w:rPr>
          <w:rFonts w:ascii="Arial" w:cs="Arial" w:eastAsia="Arial" w:hAnsi="Arial"/>
          <w:sz w:val="14"/>
          <w:szCs w:val="14"/>
          <w:color w:val="auto"/>
        </w:rPr>
        <w:t>Greenwood</w:t>
      </w:r>
    </w:p>
    <w:p>
      <w:pPr>
        <w:spacing w:after="0" w:line="1" w:lineRule="exact"/>
        <w:rPr>
          <w:sz w:val="20"/>
          <w:szCs w:val="20"/>
          <w:color w:val="auto"/>
        </w:rPr>
      </w:pPr>
    </w:p>
    <w:p>
      <w:pPr>
        <w:ind w:left="7"/>
        <w:spacing w:after="0"/>
        <w:rPr>
          <w:sz w:val="20"/>
          <w:szCs w:val="20"/>
          <w:color w:val="auto"/>
        </w:rPr>
      </w:pPr>
      <w:r>
        <w:rPr>
          <w:rFonts w:ascii="Arial" w:cs="Arial" w:eastAsia="Arial" w:hAnsi="Arial"/>
          <w:sz w:val="12"/>
          <w:szCs w:val="12"/>
          <w:color w:val="auto"/>
        </w:rPr>
        <w:t>Indianapolis (3)</w:t>
      </w:r>
    </w:p>
    <w:p>
      <w:pPr>
        <w:ind w:left="7"/>
        <w:spacing w:after="0" w:line="237" w:lineRule="auto"/>
        <w:rPr>
          <w:sz w:val="20"/>
          <w:szCs w:val="20"/>
          <w:color w:val="auto"/>
        </w:rPr>
      </w:pPr>
      <w:r>
        <w:rPr>
          <w:rFonts w:ascii="Arial" w:cs="Arial" w:eastAsia="Arial" w:hAnsi="Arial"/>
          <w:sz w:val="14"/>
          <w:szCs w:val="14"/>
          <w:color w:val="auto"/>
        </w:rPr>
        <w:t>Lafayette</w:t>
      </w:r>
    </w:p>
    <w:p>
      <w:pPr>
        <w:ind w:left="7"/>
        <w:spacing w:after="0" w:line="221" w:lineRule="auto"/>
        <w:rPr>
          <w:sz w:val="20"/>
          <w:szCs w:val="20"/>
          <w:color w:val="auto"/>
        </w:rPr>
      </w:pPr>
      <w:r>
        <w:rPr>
          <w:rFonts w:ascii="Arial" w:cs="Arial" w:eastAsia="Arial" w:hAnsi="Arial"/>
          <w:sz w:val="14"/>
          <w:szCs w:val="14"/>
          <w:color w:val="auto"/>
        </w:rPr>
        <w:t>Merrillville</w:t>
      </w:r>
    </w:p>
    <w:p>
      <w:pPr>
        <w:ind w:left="7"/>
        <w:spacing w:after="0"/>
        <w:rPr>
          <w:sz w:val="20"/>
          <w:szCs w:val="20"/>
          <w:color w:val="auto"/>
        </w:rPr>
      </w:pPr>
      <w:r>
        <w:rPr>
          <w:rFonts w:ascii="Arial" w:cs="Arial" w:eastAsia="Arial" w:hAnsi="Arial"/>
          <w:sz w:val="12"/>
          <w:szCs w:val="12"/>
          <w:color w:val="auto"/>
        </w:rPr>
        <w:t>Michigan City*</w:t>
      </w:r>
    </w:p>
    <w:p>
      <w:pPr>
        <w:ind w:left="7"/>
        <w:spacing w:after="0" w:line="237" w:lineRule="auto"/>
        <w:rPr>
          <w:sz w:val="20"/>
          <w:szCs w:val="20"/>
          <w:color w:val="auto"/>
        </w:rPr>
      </w:pPr>
      <w:r>
        <w:rPr>
          <w:rFonts w:ascii="Arial" w:cs="Arial" w:eastAsia="Arial" w:hAnsi="Arial"/>
          <w:sz w:val="14"/>
          <w:szCs w:val="14"/>
          <w:color w:val="auto"/>
        </w:rPr>
        <w:t>Mishawaka</w:t>
      </w:r>
    </w:p>
    <w:p>
      <w:pPr>
        <w:ind w:left="7"/>
        <w:spacing w:after="0"/>
        <w:rPr>
          <w:sz w:val="20"/>
          <w:szCs w:val="20"/>
          <w:color w:val="auto"/>
        </w:rPr>
      </w:pPr>
      <w:r>
        <w:rPr>
          <w:rFonts w:ascii="Arial" w:cs="Arial" w:eastAsia="Arial" w:hAnsi="Arial"/>
          <w:sz w:val="14"/>
          <w:szCs w:val="14"/>
          <w:color w:val="auto"/>
        </w:rPr>
        <w:t>Muncie</w:t>
      </w:r>
    </w:p>
    <w:p>
      <w:pPr>
        <w:spacing w:after="0" w:line="56" w:lineRule="exact"/>
        <w:rPr>
          <w:sz w:val="20"/>
          <w:szCs w:val="20"/>
          <w:color w:val="auto"/>
        </w:rPr>
      </w:pPr>
    </w:p>
    <w:p>
      <w:pPr>
        <w:ind w:left="347"/>
        <w:spacing w:after="0"/>
        <w:rPr>
          <w:sz w:val="20"/>
          <w:szCs w:val="20"/>
          <w:color w:val="auto"/>
        </w:rPr>
      </w:pPr>
      <w:r>
        <w:rPr>
          <w:rFonts w:ascii="Arial" w:cs="Arial" w:eastAsia="Arial" w:hAnsi="Arial"/>
          <w:sz w:val="14"/>
          <w:szCs w:val="14"/>
          <w:b w:val="1"/>
          <w:bCs w:val="1"/>
          <w:i w:val="1"/>
          <w:iCs w:val="1"/>
          <w:color w:val="auto"/>
        </w:rPr>
        <w:t>Iowa</w:t>
      </w:r>
    </w:p>
    <w:p>
      <w:pPr>
        <w:ind w:left="7"/>
        <w:spacing w:after="0" w:line="221" w:lineRule="auto"/>
        <w:rPr>
          <w:sz w:val="20"/>
          <w:szCs w:val="20"/>
          <w:color w:val="auto"/>
        </w:rPr>
      </w:pPr>
      <w:r>
        <w:rPr>
          <w:rFonts w:ascii="Arial" w:cs="Arial" w:eastAsia="Arial" w:hAnsi="Arial"/>
          <w:sz w:val="14"/>
          <w:szCs w:val="14"/>
          <w:color w:val="auto"/>
        </w:rPr>
        <w:t>Clive</w:t>
      </w:r>
    </w:p>
    <w:p>
      <w:pPr>
        <w:ind w:left="7"/>
        <w:spacing w:after="0" w:line="221" w:lineRule="auto"/>
        <w:rPr>
          <w:sz w:val="20"/>
          <w:szCs w:val="20"/>
          <w:color w:val="auto"/>
        </w:rPr>
      </w:pPr>
      <w:r>
        <w:rPr>
          <w:rFonts w:ascii="Arial" w:cs="Arial" w:eastAsia="Arial" w:hAnsi="Arial"/>
          <w:sz w:val="14"/>
          <w:szCs w:val="14"/>
          <w:color w:val="auto"/>
        </w:rPr>
        <w:t>Davenport</w:t>
      </w:r>
    </w:p>
    <w:p>
      <w:pPr>
        <w:ind w:left="7"/>
        <w:spacing w:after="0" w:line="222" w:lineRule="auto"/>
        <w:rPr>
          <w:sz w:val="20"/>
          <w:szCs w:val="20"/>
          <w:color w:val="auto"/>
        </w:rPr>
      </w:pPr>
      <w:r>
        <w:rPr>
          <w:rFonts w:ascii="Arial" w:cs="Arial" w:eastAsia="Arial" w:hAnsi="Arial"/>
          <w:sz w:val="14"/>
          <w:szCs w:val="14"/>
          <w:color w:val="auto"/>
        </w:rPr>
        <w:t>Marion</w:t>
      </w:r>
    </w:p>
    <w:p>
      <w:pPr>
        <w:ind w:left="7"/>
        <w:spacing w:after="0"/>
        <w:rPr>
          <w:sz w:val="20"/>
          <w:szCs w:val="20"/>
          <w:color w:val="auto"/>
        </w:rPr>
      </w:pPr>
      <w:r>
        <w:rPr>
          <w:rFonts w:ascii="Arial" w:cs="Arial" w:eastAsia="Arial" w:hAnsi="Arial"/>
          <w:sz w:val="14"/>
          <w:szCs w:val="14"/>
          <w:color w:val="auto"/>
        </w:rPr>
        <w:t>Williamsburg*</w:t>
      </w:r>
    </w:p>
    <w:p>
      <w:pPr>
        <w:spacing w:after="0" w:line="56" w:lineRule="exact"/>
        <w:rPr>
          <w:sz w:val="20"/>
          <w:szCs w:val="20"/>
          <w:color w:val="auto"/>
        </w:rPr>
      </w:pPr>
    </w:p>
    <w:p>
      <w:pPr>
        <w:ind w:left="287"/>
        <w:spacing w:after="0"/>
        <w:rPr>
          <w:sz w:val="20"/>
          <w:szCs w:val="20"/>
          <w:color w:val="auto"/>
        </w:rPr>
      </w:pPr>
      <w:r>
        <w:rPr>
          <w:rFonts w:ascii="Arial" w:cs="Arial" w:eastAsia="Arial" w:hAnsi="Arial"/>
          <w:sz w:val="14"/>
          <w:szCs w:val="14"/>
          <w:b w:val="1"/>
          <w:bCs w:val="1"/>
          <w:i w:val="1"/>
          <w:iCs w:val="1"/>
          <w:color w:val="auto"/>
        </w:rPr>
        <w:t>Kansas</w:t>
      </w:r>
    </w:p>
    <w:p>
      <w:pPr>
        <w:ind w:left="7"/>
        <w:spacing w:after="0"/>
        <w:rPr>
          <w:sz w:val="20"/>
          <w:szCs w:val="20"/>
          <w:color w:val="auto"/>
        </w:rPr>
      </w:pPr>
      <w:r>
        <w:rPr>
          <w:rFonts w:ascii="Arial" w:cs="Arial" w:eastAsia="Arial" w:hAnsi="Arial"/>
          <w:sz w:val="12"/>
          <w:szCs w:val="12"/>
          <w:color w:val="auto"/>
        </w:rPr>
        <w:t>Overland Park</w:t>
      </w:r>
    </w:p>
    <w:p>
      <w:pPr>
        <w:ind w:left="7"/>
        <w:spacing w:after="0" w:line="237" w:lineRule="auto"/>
        <w:rPr>
          <w:sz w:val="20"/>
          <w:szCs w:val="20"/>
          <w:color w:val="auto"/>
        </w:rPr>
      </w:pPr>
      <w:r>
        <w:rPr>
          <w:rFonts w:ascii="Arial" w:cs="Arial" w:eastAsia="Arial" w:hAnsi="Arial"/>
          <w:sz w:val="14"/>
          <w:szCs w:val="14"/>
          <w:color w:val="auto"/>
        </w:rPr>
        <w:t>Topeka</w:t>
      </w:r>
    </w:p>
    <w:p>
      <w:pPr>
        <w:ind w:left="7"/>
        <w:spacing w:after="0"/>
        <w:rPr>
          <w:sz w:val="20"/>
          <w:szCs w:val="20"/>
          <w:color w:val="auto"/>
        </w:rPr>
      </w:pPr>
      <w:r>
        <w:rPr>
          <w:rFonts w:ascii="Arial" w:cs="Arial" w:eastAsia="Arial" w:hAnsi="Arial"/>
          <w:sz w:val="14"/>
          <w:szCs w:val="14"/>
          <w:color w:val="auto"/>
        </w:rPr>
        <w:t>Wichita</w:t>
      </w:r>
    </w:p>
    <w:p>
      <w:pPr>
        <w:spacing w:after="0" w:line="56" w:lineRule="exact"/>
        <w:rPr>
          <w:sz w:val="20"/>
          <w:szCs w:val="20"/>
          <w:color w:val="auto"/>
        </w:rPr>
      </w:pPr>
    </w:p>
    <w:p>
      <w:pPr>
        <w:ind w:left="227"/>
        <w:spacing w:after="0"/>
        <w:rPr>
          <w:sz w:val="20"/>
          <w:szCs w:val="20"/>
          <w:color w:val="auto"/>
        </w:rPr>
      </w:pPr>
      <w:r>
        <w:rPr>
          <w:rFonts w:ascii="Arial" w:cs="Arial" w:eastAsia="Arial" w:hAnsi="Arial"/>
          <w:sz w:val="14"/>
          <w:szCs w:val="14"/>
          <w:b w:val="1"/>
          <w:bCs w:val="1"/>
          <w:i w:val="1"/>
          <w:iCs w:val="1"/>
          <w:color w:val="auto"/>
        </w:rPr>
        <w:t>Kentucky</w:t>
      </w:r>
    </w:p>
    <w:p>
      <w:pPr>
        <w:ind w:left="7"/>
        <w:spacing w:after="0"/>
        <w:rPr>
          <w:sz w:val="20"/>
          <w:szCs w:val="20"/>
          <w:color w:val="auto"/>
        </w:rPr>
      </w:pPr>
      <w:r>
        <w:rPr>
          <w:rFonts w:ascii="Arial" w:cs="Arial" w:eastAsia="Arial" w:hAnsi="Arial"/>
          <w:sz w:val="12"/>
          <w:szCs w:val="12"/>
          <w:color w:val="auto"/>
        </w:rPr>
        <w:t>Bowling Green</w:t>
      </w:r>
    </w:p>
    <w:p>
      <w:pPr>
        <w:ind w:left="7"/>
        <w:spacing w:after="0" w:line="237" w:lineRule="auto"/>
        <w:rPr>
          <w:sz w:val="20"/>
          <w:szCs w:val="20"/>
          <w:color w:val="auto"/>
        </w:rPr>
      </w:pPr>
      <w:r>
        <w:rPr>
          <w:rFonts w:ascii="Arial" w:cs="Arial" w:eastAsia="Arial" w:hAnsi="Arial"/>
          <w:sz w:val="14"/>
          <w:szCs w:val="14"/>
          <w:color w:val="auto"/>
        </w:rPr>
        <w:t>Florence</w:t>
      </w:r>
    </w:p>
    <w:p>
      <w:pPr>
        <w:ind w:left="7"/>
        <w:spacing w:after="0" w:line="221" w:lineRule="auto"/>
        <w:rPr>
          <w:sz w:val="20"/>
          <w:szCs w:val="20"/>
          <w:color w:val="auto"/>
        </w:rPr>
      </w:pPr>
      <w:r>
        <w:rPr>
          <w:rFonts w:ascii="Arial" w:cs="Arial" w:eastAsia="Arial" w:hAnsi="Arial"/>
          <w:sz w:val="14"/>
          <w:szCs w:val="14"/>
          <w:color w:val="auto"/>
        </w:rPr>
        <w:t>Lexington</w:t>
      </w:r>
    </w:p>
    <w:p>
      <w:pPr>
        <w:ind w:left="7"/>
        <w:spacing w:after="0"/>
        <w:rPr>
          <w:sz w:val="20"/>
          <w:szCs w:val="20"/>
          <w:color w:val="auto"/>
        </w:rPr>
      </w:pPr>
      <w:r>
        <w:rPr>
          <w:rFonts w:ascii="Arial" w:cs="Arial" w:eastAsia="Arial" w:hAnsi="Arial"/>
          <w:sz w:val="14"/>
          <w:szCs w:val="14"/>
          <w:color w:val="auto"/>
        </w:rPr>
        <w:t>Louisville (2)</w:t>
      </w:r>
    </w:p>
    <w:p>
      <w:pPr>
        <w:spacing w:after="0" w:line="57" w:lineRule="exact"/>
        <w:rPr>
          <w:sz w:val="20"/>
          <w:szCs w:val="20"/>
          <w:color w:val="auto"/>
        </w:rPr>
      </w:pPr>
    </w:p>
    <w:p>
      <w:pPr>
        <w:ind w:left="207"/>
        <w:spacing w:after="0"/>
        <w:rPr>
          <w:sz w:val="20"/>
          <w:szCs w:val="20"/>
          <w:color w:val="auto"/>
        </w:rPr>
      </w:pPr>
      <w:r>
        <w:rPr>
          <w:rFonts w:ascii="Arial" w:cs="Arial" w:eastAsia="Arial" w:hAnsi="Arial"/>
          <w:sz w:val="14"/>
          <w:szCs w:val="14"/>
          <w:b w:val="1"/>
          <w:bCs w:val="1"/>
          <w:i w:val="1"/>
          <w:iCs w:val="1"/>
          <w:color w:val="auto"/>
        </w:rPr>
        <w:t>Louisiana</w:t>
      </w:r>
    </w:p>
    <w:p>
      <w:pPr>
        <w:ind w:left="7"/>
        <w:spacing w:after="0" w:line="221" w:lineRule="auto"/>
        <w:rPr>
          <w:sz w:val="20"/>
          <w:szCs w:val="20"/>
          <w:color w:val="auto"/>
        </w:rPr>
      </w:pPr>
      <w:r>
        <w:rPr>
          <w:rFonts w:ascii="Arial" w:cs="Arial" w:eastAsia="Arial" w:hAnsi="Arial"/>
          <w:sz w:val="14"/>
          <w:szCs w:val="14"/>
          <w:color w:val="auto"/>
        </w:rPr>
        <w:t>Baton Rouge</w:t>
      </w:r>
    </w:p>
    <w:p>
      <w:pPr>
        <w:ind w:left="7"/>
        <w:spacing w:after="0" w:line="221" w:lineRule="auto"/>
        <w:rPr>
          <w:sz w:val="20"/>
          <w:szCs w:val="20"/>
          <w:color w:val="auto"/>
        </w:rPr>
      </w:pPr>
      <w:r>
        <w:rPr>
          <w:rFonts w:ascii="Arial" w:cs="Arial" w:eastAsia="Arial" w:hAnsi="Arial"/>
          <w:sz w:val="14"/>
          <w:szCs w:val="14"/>
          <w:color w:val="auto"/>
        </w:rPr>
        <w:t>Bossier City*</w:t>
      </w:r>
    </w:p>
    <w:p>
      <w:pPr>
        <w:ind w:left="7"/>
        <w:spacing w:after="0" w:line="222" w:lineRule="auto"/>
        <w:rPr>
          <w:sz w:val="20"/>
          <w:szCs w:val="20"/>
          <w:color w:val="auto"/>
        </w:rPr>
      </w:pPr>
      <w:r>
        <w:rPr>
          <w:rFonts w:ascii="Arial" w:cs="Arial" w:eastAsia="Arial" w:hAnsi="Arial"/>
          <w:sz w:val="14"/>
          <w:szCs w:val="14"/>
          <w:color w:val="auto"/>
        </w:rPr>
        <w:t>Gonzales*</w:t>
      </w:r>
    </w:p>
    <w:p>
      <w:pPr>
        <w:ind w:left="7"/>
        <w:spacing w:after="0" w:line="221" w:lineRule="auto"/>
        <w:rPr>
          <w:sz w:val="20"/>
          <w:szCs w:val="20"/>
          <w:color w:val="auto"/>
        </w:rPr>
      </w:pPr>
      <w:r>
        <w:rPr>
          <w:rFonts w:ascii="Arial" w:cs="Arial" w:eastAsia="Arial" w:hAnsi="Arial"/>
          <w:sz w:val="14"/>
          <w:szCs w:val="14"/>
          <w:color w:val="auto"/>
        </w:rPr>
        <w:t>Lafayette</w:t>
      </w:r>
    </w:p>
    <w:p>
      <w:pPr>
        <w:ind w:left="7"/>
        <w:spacing w:after="0"/>
        <w:rPr>
          <w:sz w:val="20"/>
          <w:szCs w:val="20"/>
          <w:color w:val="auto"/>
        </w:rPr>
      </w:pPr>
      <w:r>
        <w:rPr>
          <w:rFonts w:ascii="Arial" w:cs="Arial" w:eastAsia="Arial" w:hAnsi="Arial"/>
          <w:sz w:val="14"/>
          <w:szCs w:val="14"/>
          <w:color w:val="auto"/>
        </w:rPr>
        <w:t>Metairie</w:t>
      </w:r>
    </w:p>
    <w:p>
      <w:pPr>
        <w:spacing w:after="0" w:line="57" w:lineRule="exact"/>
        <w:rPr>
          <w:sz w:val="20"/>
          <w:szCs w:val="20"/>
          <w:color w:val="auto"/>
        </w:rPr>
      </w:pPr>
    </w:p>
    <w:p>
      <w:pPr>
        <w:ind w:left="307"/>
        <w:spacing w:after="0"/>
        <w:rPr>
          <w:sz w:val="20"/>
          <w:szCs w:val="20"/>
          <w:color w:val="auto"/>
        </w:rPr>
      </w:pPr>
      <w:r>
        <w:rPr>
          <w:rFonts w:ascii="Arial" w:cs="Arial" w:eastAsia="Arial" w:hAnsi="Arial"/>
          <w:sz w:val="14"/>
          <w:szCs w:val="14"/>
          <w:b w:val="1"/>
          <w:bCs w:val="1"/>
          <w:i w:val="1"/>
          <w:iCs w:val="1"/>
          <w:color w:val="auto"/>
        </w:rPr>
        <w:t>Maine</w:t>
      </w:r>
    </w:p>
    <w:p>
      <w:pPr>
        <w:ind w:left="7"/>
        <w:spacing w:after="0" w:line="221" w:lineRule="auto"/>
        <w:rPr>
          <w:sz w:val="20"/>
          <w:szCs w:val="20"/>
          <w:color w:val="auto"/>
        </w:rPr>
      </w:pPr>
      <w:r>
        <w:rPr>
          <w:rFonts w:ascii="Arial" w:cs="Arial" w:eastAsia="Arial" w:hAnsi="Arial"/>
          <w:sz w:val="14"/>
          <w:szCs w:val="14"/>
          <w:color w:val="auto"/>
        </w:rPr>
        <w:t>Kittery*</w:t>
      </w:r>
    </w:p>
    <w:p>
      <w:pPr>
        <w:ind w:left="7"/>
        <w:spacing w:after="0"/>
        <w:rPr>
          <w:sz w:val="20"/>
          <w:szCs w:val="20"/>
          <w:color w:val="auto"/>
        </w:rPr>
      </w:pPr>
      <w:r>
        <w:rPr>
          <w:rFonts w:ascii="Arial" w:cs="Arial" w:eastAsia="Arial" w:hAnsi="Arial"/>
          <w:sz w:val="12"/>
          <w:szCs w:val="12"/>
          <w:color w:val="auto"/>
        </w:rPr>
        <w:t>South Portland</w:t>
      </w:r>
    </w:p>
    <w:p>
      <w:pPr>
        <w:spacing w:after="0" w:line="79" w:lineRule="exact"/>
        <w:rPr>
          <w:sz w:val="20"/>
          <w:szCs w:val="20"/>
          <w:color w:val="auto"/>
        </w:rPr>
      </w:pPr>
    </w:p>
    <w:p>
      <w:pPr>
        <w:ind w:left="227"/>
        <w:spacing w:after="0"/>
        <w:rPr>
          <w:sz w:val="20"/>
          <w:szCs w:val="20"/>
          <w:color w:val="auto"/>
        </w:rPr>
      </w:pPr>
      <w:r>
        <w:rPr>
          <w:rFonts w:ascii="Arial" w:cs="Arial" w:eastAsia="Arial" w:hAnsi="Arial"/>
          <w:sz w:val="14"/>
          <w:szCs w:val="14"/>
          <w:b w:val="1"/>
          <w:bCs w:val="1"/>
          <w:i w:val="1"/>
          <w:iCs w:val="1"/>
          <w:color w:val="auto"/>
        </w:rPr>
        <w:t>Maryland</w:t>
      </w:r>
    </w:p>
    <w:p>
      <w:pPr>
        <w:ind w:left="7"/>
        <w:spacing w:after="0" w:line="221" w:lineRule="auto"/>
        <w:rPr>
          <w:sz w:val="20"/>
          <w:szCs w:val="20"/>
          <w:color w:val="auto"/>
        </w:rPr>
      </w:pPr>
      <w:r>
        <w:rPr>
          <w:rFonts w:ascii="Arial" w:cs="Arial" w:eastAsia="Arial" w:hAnsi="Arial"/>
          <w:sz w:val="14"/>
          <w:szCs w:val="14"/>
          <w:color w:val="auto"/>
        </w:rPr>
        <w:t>Annapolis</w:t>
      </w:r>
    </w:p>
    <w:p>
      <w:pPr>
        <w:ind w:left="7"/>
        <w:spacing w:after="0" w:line="221" w:lineRule="auto"/>
        <w:rPr>
          <w:sz w:val="20"/>
          <w:szCs w:val="20"/>
          <w:color w:val="auto"/>
        </w:rPr>
      </w:pPr>
      <w:r>
        <w:rPr>
          <w:rFonts w:ascii="Arial" w:cs="Arial" w:eastAsia="Arial" w:hAnsi="Arial"/>
          <w:sz w:val="14"/>
          <w:szCs w:val="14"/>
          <w:color w:val="auto"/>
        </w:rPr>
        <w:t>Baltimore</w:t>
      </w:r>
    </w:p>
    <w:p>
      <w:pPr>
        <w:ind w:left="7"/>
        <w:spacing w:after="0" w:line="222" w:lineRule="auto"/>
        <w:rPr>
          <w:sz w:val="20"/>
          <w:szCs w:val="20"/>
          <w:color w:val="auto"/>
        </w:rPr>
      </w:pPr>
      <w:r>
        <w:rPr>
          <w:rFonts w:ascii="Arial" w:cs="Arial" w:eastAsia="Arial" w:hAnsi="Arial"/>
          <w:sz w:val="14"/>
          <w:szCs w:val="14"/>
          <w:color w:val="auto"/>
        </w:rPr>
        <w:t>Columbia</w:t>
      </w:r>
    </w:p>
    <w:p>
      <w:pPr>
        <w:ind w:left="7"/>
        <w:spacing w:after="0"/>
        <w:rPr>
          <w:sz w:val="20"/>
          <w:szCs w:val="20"/>
          <w:color w:val="auto"/>
        </w:rPr>
      </w:pPr>
      <w:r>
        <w:rPr>
          <w:rFonts w:ascii="Arial" w:cs="Arial" w:eastAsia="Arial" w:hAnsi="Arial"/>
          <w:sz w:val="12"/>
          <w:szCs w:val="12"/>
          <w:color w:val="auto"/>
        </w:rPr>
        <w:t>District Heights</w:t>
      </w:r>
    </w:p>
    <w:p>
      <w:pPr>
        <w:spacing w:after="0" w:line="11" w:lineRule="exact"/>
        <w:rPr>
          <w:sz w:val="20"/>
          <w:szCs w:val="20"/>
          <w:color w:val="auto"/>
        </w:rPr>
      </w:pPr>
    </w:p>
    <w:p>
      <w:pPr>
        <w:ind w:left="7" w:right="440" w:hanging="7"/>
        <w:spacing w:after="0" w:line="263" w:lineRule="auto"/>
        <w:tabs>
          <w:tab w:leader="none" w:pos="157" w:val="left"/>
        </w:tabs>
        <w:numPr>
          <w:ilvl w:val="0"/>
          <w:numId w:val="6"/>
        </w:numPr>
        <w:rPr>
          <w:rFonts w:ascii="Arial" w:cs="Arial" w:eastAsia="Arial" w:hAnsi="Arial"/>
          <w:sz w:val="12"/>
          <w:szCs w:val="12"/>
          <w:color w:val="auto"/>
        </w:rPr>
      </w:pPr>
      <w:r>
        <w:rPr>
          <w:rFonts w:ascii="Arial" w:cs="Arial" w:eastAsia="Arial" w:hAnsi="Arial"/>
          <w:sz w:val="12"/>
          <w:szCs w:val="12"/>
          <w:color w:val="auto"/>
        </w:rPr>
        <w:t>Baltimore Frederick Glen Burnie Greenbelt Hagerstown* Largo Rockville Towson Waldorf</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1"/>
          <w:szCs w:val="11"/>
          <w:b w:val="1"/>
          <w:bCs w:val="1"/>
          <w:i w:val="1"/>
          <w:iCs w:val="1"/>
          <w:color w:val="auto"/>
        </w:rPr>
        <w:t>Massachusetts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Dedham</w:t>
      </w:r>
    </w:p>
    <w:p>
      <w:pPr>
        <w:spacing w:after="0" w:line="221" w:lineRule="auto"/>
        <w:rPr>
          <w:sz w:val="20"/>
          <w:szCs w:val="20"/>
          <w:color w:val="auto"/>
        </w:rPr>
      </w:pPr>
      <w:r>
        <w:rPr>
          <w:rFonts w:ascii="Arial" w:cs="Arial" w:eastAsia="Arial" w:hAnsi="Arial"/>
          <w:sz w:val="14"/>
          <w:szCs w:val="14"/>
          <w:color w:val="auto"/>
        </w:rPr>
        <w:t>Hanover</w:t>
      </w:r>
    </w:p>
    <w:p>
      <w:pPr>
        <w:spacing w:after="0" w:line="221" w:lineRule="auto"/>
        <w:rPr>
          <w:sz w:val="20"/>
          <w:szCs w:val="20"/>
          <w:color w:val="auto"/>
        </w:rPr>
      </w:pPr>
      <w:r>
        <w:rPr>
          <w:rFonts w:ascii="Arial" w:cs="Arial" w:eastAsia="Arial" w:hAnsi="Arial"/>
          <w:sz w:val="14"/>
          <w:szCs w:val="14"/>
          <w:color w:val="auto"/>
        </w:rPr>
        <w:t>Hyannis</w:t>
      </w:r>
    </w:p>
    <w:p>
      <w:pPr>
        <w:spacing w:after="0" w:line="222" w:lineRule="auto"/>
        <w:rPr>
          <w:sz w:val="20"/>
          <w:szCs w:val="20"/>
          <w:color w:val="auto"/>
        </w:rPr>
      </w:pPr>
      <w:r>
        <w:rPr>
          <w:rFonts w:ascii="Arial" w:cs="Arial" w:eastAsia="Arial" w:hAnsi="Arial"/>
          <w:sz w:val="14"/>
          <w:szCs w:val="14"/>
          <w:color w:val="auto"/>
        </w:rPr>
        <w:t>Medford</w:t>
      </w:r>
    </w:p>
    <w:p>
      <w:pPr>
        <w:spacing w:after="0" w:line="221" w:lineRule="auto"/>
        <w:rPr>
          <w:sz w:val="20"/>
          <w:szCs w:val="20"/>
          <w:color w:val="auto"/>
        </w:rPr>
      </w:pPr>
      <w:r>
        <w:rPr>
          <w:rFonts w:ascii="Arial" w:cs="Arial" w:eastAsia="Arial" w:hAnsi="Arial"/>
          <w:sz w:val="14"/>
          <w:szCs w:val="14"/>
          <w:color w:val="auto"/>
        </w:rPr>
        <w:t>Natick (H)</w:t>
      </w:r>
    </w:p>
    <w:p>
      <w:pPr>
        <w:spacing w:after="0" w:line="222" w:lineRule="auto"/>
        <w:rPr>
          <w:sz w:val="20"/>
          <w:szCs w:val="20"/>
          <w:color w:val="auto"/>
        </w:rPr>
      </w:pPr>
      <w:r>
        <w:rPr>
          <w:rFonts w:ascii="Arial" w:cs="Arial" w:eastAsia="Arial" w:hAnsi="Arial"/>
          <w:sz w:val="14"/>
          <w:szCs w:val="14"/>
          <w:color w:val="auto"/>
        </w:rPr>
        <w:t>North Attleboro</w:t>
      </w:r>
    </w:p>
    <w:p>
      <w:pPr>
        <w:spacing w:after="0" w:line="221" w:lineRule="auto"/>
        <w:rPr>
          <w:sz w:val="20"/>
          <w:szCs w:val="20"/>
          <w:color w:val="auto"/>
        </w:rPr>
      </w:pPr>
      <w:r>
        <w:rPr>
          <w:rFonts w:ascii="Arial" w:cs="Arial" w:eastAsia="Arial" w:hAnsi="Arial"/>
          <w:sz w:val="14"/>
          <w:szCs w:val="14"/>
          <w:color w:val="auto"/>
        </w:rPr>
        <w:t>North Dartmouth</w:t>
      </w:r>
    </w:p>
    <w:p>
      <w:pPr>
        <w:spacing w:after="0" w:line="222" w:lineRule="auto"/>
        <w:rPr>
          <w:sz w:val="20"/>
          <w:szCs w:val="20"/>
          <w:color w:val="auto"/>
        </w:rPr>
      </w:pPr>
      <w:r>
        <w:rPr>
          <w:rFonts w:ascii="Arial" w:cs="Arial" w:eastAsia="Arial" w:hAnsi="Arial"/>
          <w:sz w:val="14"/>
          <w:szCs w:val="14"/>
          <w:color w:val="auto"/>
        </w:rPr>
        <w:t>Saugus</w:t>
      </w:r>
    </w:p>
    <w:p>
      <w:pPr>
        <w:spacing w:after="0" w:line="221" w:lineRule="auto"/>
        <w:rPr>
          <w:sz w:val="20"/>
          <w:szCs w:val="20"/>
          <w:color w:val="auto"/>
        </w:rPr>
      </w:pPr>
      <w:r>
        <w:rPr>
          <w:rFonts w:ascii="Arial" w:cs="Arial" w:eastAsia="Arial" w:hAnsi="Arial"/>
          <w:sz w:val="14"/>
          <w:szCs w:val="14"/>
          <w:color w:val="auto"/>
        </w:rPr>
        <w:t>Shrewsbury</w:t>
      </w:r>
    </w:p>
    <w:p>
      <w:pPr>
        <w:spacing w:after="0" w:line="222" w:lineRule="auto"/>
        <w:rPr>
          <w:sz w:val="20"/>
          <w:szCs w:val="20"/>
          <w:color w:val="auto"/>
        </w:rPr>
      </w:pPr>
      <w:r>
        <w:rPr>
          <w:rFonts w:ascii="Arial" w:cs="Arial" w:eastAsia="Arial" w:hAnsi="Arial"/>
          <w:sz w:val="14"/>
          <w:szCs w:val="14"/>
          <w:color w:val="auto"/>
        </w:rPr>
        <w:t>Tyngsboro</w:t>
      </w:r>
    </w:p>
    <w:p>
      <w:pPr>
        <w:spacing w:after="0" w:line="221" w:lineRule="auto"/>
        <w:rPr>
          <w:sz w:val="20"/>
          <w:szCs w:val="20"/>
          <w:color w:val="auto"/>
        </w:rPr>
      </w:pPr>
      <w:r>
        <w:rPr>
          <w:rFonts w:ascii="Arial" w:cs="Arial" w:eastAsia="Arial" w:hAnsi="Arial"/>
          <w:sz w:val="14"/>
          <w:szCs w:val="14"/>
          <w:color w:val="auto"/>
        </w:rPr>
        <w:t>West Springfield</w:t>
      </w:r>
    </w:p>
    <w:p>
      <w:pPr>
        <w:spacing w:after="0"/>
        <w:rPr>
          <w:sz w:val="20"/>
          <w:szCs w:val="20"/>
          <w:color w:val="auto"/>
        </w:rPr>
      </w:pPr>
      <w:r>
        <w:rPr>
          <w:rFonts w:ascii="Arial" w:cs="Arial" w:eastAsia="Arial" w:hAnsi="Arial"/>
          <w:sz w:val="14"/>
          <w:szCs w:val="14"/>
          <w:color w:val="auto"/>
        </w:rPr>
        <w:t>Wrentham*</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Michigan</w:t>
      </w:r>
    </w:p>
    <w:p>
      <w:pPr>
        <w:spacing w:after="0" w:line="221" w:lineRule="auto"/>
        <w:rPr>
          <w:sz w:val="20"/>
          <w:szCs w:val="20"/>
          <w:color w:val="auto"/>
        </w:rPr>
      </w:pPr>
      <w:r>
        <w:rPr>
          <w:rFonts w:ascii="Arial" w:cs="Arial" w:eastAsia="Arial" w:hAnsi="Arial"/>
          <w:sz w:val="14"/>
          <w:szCs w:val="14"/>
          <w:color w:val="auto"/>
        </w:rPr>
        <w:t>Allen Park</w:t>
      </w:r>
    </w:p>
    <w:p>
      <w:pPr>
        <w:spacing w:after="0" w:line="221" w:lineRule="auto"/>
        <w:rPr>
          <w:sz w:val="20"/>
          <w:szCs w:val="20"/>
          <w:color w:val="auto"/>
        </w:rPr>
      </w:pPr>
      <w:r>
        <w:rPr>
          <w:rFonts w:ascii="Arial" w:cs="Arial" w:eastAsia="Arial" w:hAnsi="Arial"/>
          <w:sz w:val="14"/>
          <w:szCs w:val="14"/>
          <w:color w:val="auto"/>
        </w:rPr>
        <w:t>Ann Arbor</w:t>
      </w:r>
    </w:p>
    <w:p>
      <w:pPr>
        <w:spacing w:after="0" w:line="222" w:lineRule="auto"/>
        <w:rPr>
          <w:sz w:val="20"/>
          <w:szCs w:val="20"/>
          <w:color w:val="auto"/>
        </w:rPr>
      </w:pPr>
      <w:r>
        <w:rPr>
          <w:rFonts w:ascii="Arial" w:cs="Arial" w:eastAsia="Arial" w:hAnsi="Arial"/>
          <w:sz w:val="14"/>
          <w:szCs w:val="14"/>
          <w:color w:val="auto"/>
        </w:rPr>
        <w:t>Auburn Hills</w:t>
      </w:r>
    </w:p>
    <w:p>
      <w:pPr>
        <w:spacing w:after="0" w:line="221" w:lineRule="auto"/>
        <w:rPr>
          <w:sz w:val="20"/>
          <w:szCs w:val="20"/>
          <w:color w:val="auto"/>
        </w:rPr>
      </w:pPr>
      <w:r>
        <w:rPr>
          <w:rFonts w:ascii="Arial" w:cs="Arial" w:eastAsia="Arial" w:hAnsi="Arial"/>
          <w:sz w:val="14"/>
          <w:szCs w:val="14"/>
          <w:color w:val="auto"/>
        </w:rPr>
        <w:t>Birch Run*</w:t>
      </w:r>
    </w:p>
    <w:p>
      <w:pPr>
        <w:spacing w:after="0" w:line="222" w:lineRule="auto"/>
        <w:rPr>
          <w:sz w:val="20"/>
          <w:szCs w:val="20"/>
          <w:color w:val="auto"/>
        </w:rPr>
      </w:pPr>
      <w:r>
        <w:rPr>
          <w:rFonts w:ascii="Arial" w:cs="Arial" w:eastAsia="Arial" w:hAnsi="Arial"/>
          <w:sz w:val="14"/>
          <w:szCs w:val="14"/>
          <w:color w:val="auto"/>
        </w:rPr>
        <w:t>Flint</w:t>
      </w:r>
    </w:p>
    <w:p>
      <w:pPr>
        <w:spacing w:after="0" w:line="221" w:lineRule="auto"/>
        <w:rPr>
          <w:sz w:val="20"/>
          <w:szCs w:val="20"/>
          <w:color w:val="auto"/>
        </w:rPr>
      </w:pPr>
      <w:r>
        <w:rPr>
          <w:rFonts w:ascii="Arial" w:cs="Arial" w:eastAsia="Arial" w:hAnsi="Arial"/>
          <w:sz w:val="14"/>
          <w:szCs w:val="14"/>
          <w:color w:val="auto"/>
        </w:rPr>
        <w:t>Grand Rapids</w:t>
      </w:r>
    </w:p>
    <w:p>
      <w:pPr>
        <w:spacing w:after="0" w:line="222" w:lineRule="auto"/>
        <w:rPr>
          <w:sz w:val="20"/>
          <w:szCs w:val="20"/>
          <w:color w:val="auto"/>
        </w:rPr>
      </w:pPr>
      <w:r>
        <w:rPr>
          <w:rFonts w:ascii="Arial" w:cs="Arial" w:eastAsia="Arial" w:hAnsi="Arial"/>
          <w:sz w:val="14"/>
          <w:szCs w:val="14"/>
          <w:color w:val="auto"/>
        </w:rPr>
        <w:t>Howell*</w:t>
      </w:r>
    </w:p>
    <w:p>
      <w:pPr>
        <w:spacing w:after="0" w:line="221" w:lineRule="auto"/>
        <w:rPr>
          <w:sz w:val="20"/>
          <w:szCs w:val="20"/>
          <w:color w:val="auto"/>
        </w:rPr>
      </w:pPr>
      <w:r>
        <w:rPr>
          <w:rFonts w:ascii="Arial" w:cs="Arial" w:eastAsia="Arial" w:hAnsi="Arial"/>
          <w:sz w:val="14"/>
          <w:szCs w:val="14"/>
          <w:color w:val="auto"/>
        </w:rPr>
        <w:t>Lansing</w:t>
      </w:r>
    </w:p>
    <w:p>
      <w:pPr>
        <w:spacing w:after="0"/>
        <w:rPr>
          <w:sz w:val="20"/>
          <w:szCs w:val="20"/>
          <w:color w:val="auto"/>
        </w:rPr>
      </w:pPr>
      <w:r>
        <w:rPr>
          <w:rFonts w:ascii="Arial" w:cs="Arial" w:eastAsia="Arial" w:hAnsi="Arial"/>
          <w:sz w:val="12"/>
          <w:szCs w:val="12"/>
          <w:color w:val="auto"/>
        </w:rPr>
        <w:t>Lathrup Village (H)</w:t>
      </w:r>
    </w:p>
    <w:p>
      <w:pPr>
        <w:spacing w:after="0" w:line="237" w:lineRule="auto"/>
        <w:rPr>
          <w:sz w:val="20"/>
          <w:szCs w:val="20"/>
          <w:color w:val="auto"/>
        </w:rPr>
      </w:pPr>
      <w:r>
        <w:rPr>
          <w:rFonts w:ascii="Arial" w:cs="Arial" w:eastAsia="Arial" w:hAnsi="Arial"/>
          <w:sz w:val="14"/>
          <w:szCs w:val="14"/>
          <w:color w:val="auto"/>
        </w:rPr>
        <w:t>Livonia</w:t>
      </w:r>
    </w:p>
    <w:p>
      <w:pPr>
        <w:spacing w:after="0" w:line="221" w:lineRule="auto"/>
        <w:rPr>
          <w:sz w:val="20"/>
          <w:szCs w:val="20"/>
          <w:color w:val="auto"/>
        </w:rPr>
      </w:pPr>
      <w:r>
        <w:rPr>
          <w:rFonts w:ascii="Arial" w:cs="Arial" w:eastAsia="Arial" w:hAnsi="Arial"/>
          <w:sz w:val="14"/>
          <w:szCs w:val="14"/>
          <w:color w:val="auto"/>
        </w:rPr>
        <w:t>Madison Heights</w:t>
      </w:r>
    </w:p>
    <w:p>
      <w:pPr>
        <w:spacing w:after="0" w:line="222" w:lineRule="auto"/>
        <w:rPr>
          <w:sz w:val="20"/>
          <w:szCs w:val="20"/>
          <w:color w:val="auto"/>
        </w:rPr>
      </w:pPr>
      <w:r>
        <w:rPr>
          <w:rFonts w:ascii="Arial" w:cs="Arial" w:eastAsia="Arial" w:hAnsi="Arial"/>
          <w:sz w:val="14"/>
          <w:szCs w:val="14"/>
          <w:color w:val="auto"/>
        </w:rPr>
        <w:t>Novi (Detroit)</w:t>
      </w:r>
    </w:p>
    <w:p>
      <w:pPr>
        <w:spacing w:after="0" w:line="221" w:lineRule="auto"/>
        <w:rPr>
          <w:sz w:val="20"/>
          <w:szCs w:val="20"/>
          <w:color w:val="auto"/>
        </w:rPr>
      </w:pPr>
      <w:r>
        <w:rPr>
          <w:rFonts w:ascii="Arial" w:cs="Arial" w:eastAsia="Arial" w:hAnsi="Arial"/>
          <w:sz w:val="14"/>
          <w:szCs w:val="14"/>
          <w:color w:val="auto"/>
        </w:rPr>
        <w:t>Portage</w:t>
      </w:r>
    </w:p>
    <w:p>
      <w:pPr>
        <w:spacing w:after="0" w:line="222" w:lineRule="auto"/>
        <w:rPr>
          <w:sz w:val="20"/>
          <w:szCs w:val="20"/>
          <w:color w:val="auto"/>
        </w:rPr>
      </w:pPr>
      <w:r>
        <w:rPr>
          <w:rFonts w:ascii="Arial" w:cs="Arial" w:eastAsia="Arial" w:hAnsi="Arial"/>
          <w:sz w:val="14"/>
          <w:szCs w:val="14"/>
          <w:color w:val="auto"/>
        </w:rPr>
        <w:t>Roseville</w:t>
      </w:r>
    </w:p>
    <w:p>
      <w:pPr>
        <w:spacing w:after="0" w:line="221" w:lineRule="auto"/>
        <w:rPr>
          <w:sz w:val="20"/>
          <w:szCs w:val="20"/>
          <w:color w:val="auto"/>
        </w:rPr>
      </w:pPr>
      <w:r>
        <w:rPr>
          <w:rFonts w:ascii="Arial" w:cs="Arial" w:eastAsia="Arial" w:hAnsi="Arial"/>
          <w:sz w:val="14"/>
          <w:szCs w:val="14"/>
          <w:color w:val="auto"/>
        </w:rPr>
        <w:t>Saginaw</w:t>
      </w:r>
    </w:p>
    <w:p>
      <w:pPr>
        <w:spacing w:after="0" w:line="221" w:lineRule="auto"/>
        <w:rPr>
          <w:sz w:val="20"/>
          <w:szCs w:val="20"/>
          <w:color w:val="auto"/>
        </w:rPr>
      </w:pPr>
      <w:r>
        <w:rPr>
          <w:rFonts w:ascii="Arial" w:cs="Arial" w:eastAsia="Arial" w:hAnsi="Arial"/>
          <w:sz w:val="14"/>
          <w:szCs w:val="14"/>
          <w:color w:val="auto"/>
        </w:rPr>
        <w:t>Sterling Heights</w:t>
      </w:r>
    </w:p>
    <w:p>
      <w:pPr>
        <w:spacing w:after="0" w:line="222" w:lineRule="auto"/>
        <w:rPr>
          <w:sz w:val="20"/>
          <w:szCs w:val="20"/>
          <w:color w:val="auto"/>
        </w:rPr>
      </w:pPr>
      <w:r>
        <w:rPr>
          <w:rFonts w:ascii="Arial" w:cs="Arial" w:eastAsia="Arial" w:hAnsi="Arial"/>
          <w:sz w:val="14"/>
          <w:szCs w:val="14"/>
          <w:color w:val="auto"/>
        </w:rPr>
        <w:t>Taylor</w:t>
      </w:r>
    </w:p>
    <w:p>
      <w:pPr>
        <w:spacing w:after="0"/>
        <w:rPr>
          <w:sz w:val="20"/>
          <w:szCs w:val="20"/>
          <w:color w:val="auto"/>
        </w:rPr>
      </w:pPr>
      <w:r>
        <w:rPr>
          <w:rFonts w:ascii="Arial" w:cs="Arial" w:eastAsia="Arial" w:hAnsi="Arial"/>
          <w:sz w:val="14"/>
          <w:szCs w:val="14"/>
          <w:color w:val="auto"/>
        </w:rPr>
        <w:t>Westland</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Minnesota</w:t>
      </w:r>
    </w:p>
    <w:p>
      <w:pPr>
        <w:spacing w:after="0" w:line="221" w:lineRule="auto"/>
        <w:rPr>
          <w:sz w:val="20"/>
          <w:szCs w:val="20"/>
          <w:color w:val="auto"/>
        </w:rPr>
      </w:pPr>
      <w:r>
        <w:rPr>
          <w:rFonts w:ascii="Arial" w:cs="Arial" w:eastAsia="Arial" w:hAnsi="Arial"/>
          <w:sz w:val="14"/>
          <w:szCs w:val="14"/>
          <w:color w:val="auto"/>
        </w:rPr>
        <w:t>Albertville*</w:t>
      </w:r>
    </w:p>
    <w:p>
      <w:pPr>
        <w:spacing w:after="0" w:line="221" w:lineRule="auto"/>
        <w:rPr>
          <w:sz w:val="20"/>
          <w:szCs w:val="20"/>
          <w:color w:val="auto"/>
        </w:rPr>
      </w:pPr>
      <w:r>
        <w:rPr>
          <w:rFonts w:ascii="Arial" w:cs="Arial" w:eastAsia="Arial" w:hAnsi="Arial"/>
          <w:sz w:val="14"/>
          <w:szCs w:val="14"/>
          <w:color w:val="auto"/>
        </w:rPr>
        <w:t>Blaine</w:t>
      </w:r>
    </w:p>
    <w:p>
      <w:pPr>
        <w:spacing w:after="0" w:line="222" w:lineRule="auto"/>
        <w:rPr>
          <w:sz w:val="20"/>
          <w:szCs w:val="20"/>
          <w:color w:val="auto"/>
        </w:rPr>
      </w:pPr>
      <w:r>
        <w:rPr>
          <w:rFonts w:ascii="Arial" w:cs="Arial" w:eastAsia="Arial" w:hAnsi="Arial"/>
          <w:sz w:val="14"/>
          <w:szCs w:val="14"/>
          <w:color w:val="auto"/>
        </w:rPr>
        <w:t>Burnsville</w:t>
      </w:r>
    </w:p>
    <w:p>
      <w:pPr>
        <w:spacing w:after="0" w:line="221" w:lineRule="auto"/>
        <w:rPr>
          <w:sz w:val="20"/>
          <w:szCs w:val="20"/>
          <w:color w:val="auto"/>
        </w:rPr>
      </w:pPr>
      <w:r>
        <w:rPr>
          <w:rFonts w:ascii="Arial" w:cs="Arial" w:eastAsia="Arial" w:hAnsi="Arial"/>
          <w:sz w:val="14"/>
          <w:szCs w:val="14"/>
          <w:color w:val="auto"/>
        </w:rPr>
        <w:t>Duluth</w:t>
      </w:r>
    </w:p>
    <w:p>
      <w:pPr>
        <w:spacing w:after="0" w:line="222" w:lineRule="auto"/>
        <w:rPr>
          <w:sz w:val="20"/>
          <w:szCs w:val="20"/>
          <w:color w:val="auto"/>
        </w:rPr>
      </w:pPr>
      <w:r>
        <w:rPr>
          <w:rFonts w:ascii="Arial" w:cs="Arial" w:eastAsia="Arial" w:hAnsi="Arial"/>
          <w:sz w:val="14"/>
          <w:szCs w:val="14"/>
          <w:color w:val="auto"/>
        </w:rPr>
        <w:t>Maplewood</w:t>
      </w:r>
    </w:p>
    <w:p>
      <w:pPr>
        <w:spacing w:after="0" w:line="221" w:lineRule="auto"/>
        <w:rPr>
          <w:sz w:val="20"/>
          <w:szCs w:val="20"/>
          <w:color w:val="auto"/>
        </w:rPr>
      </w:pPr>
      <w:r>
        <w:rPr>
          <w:rFonts w:ascii="Arial" w:cs="Arial" w:eastAsia="Arial" w:hAnsi="Arial"/>
          <w:sz w:val="14"/>
          <w:szCs w:val="14"/>
          <w:color w:val="auto"/>
        </w:rPr>
        <w:t>Richfield</w:t>
      </w:r>
    </w:p>
    <w:p>
      <w:pPr>
        <w:spacing w:after="0" w:line="222" w:lineRule="auto"/>
        <w:rPr>
          <w:sz w:val="20"/>
          <w:szCs w:val="20"/>
          <w:color w:val="auto"/>
        </w:rPr>
      </w:pPr>
      <w:r>
        <w:rPr>
          <w:rFonts w:ascii="Arial" w:cs="Arial" w:eastAsia="Arial" w:hAnsi="Arial"/>
          <w:sz w:val="14"/>
          <w:szCs w:val="14"/>
          <w:color w:val="auto"/>
        </w:rPr>
        <w:t>Roseville</w:t>
      </w:r>
    </w:p>
    <w:p>
      <w:pPr>
        <w:spacing w:after="0"/>
        <w:rPr>
          <w:sz w:val="20"/>
          <w:szCs w:val="20"/>
          <w:color w:val="auto"/>
        </w:rPr>
      </w:pPr>
      <w:r>
        <w:rPr>
          <w:rFonts w:ascii="Arial" w:cs="Arial" w:eastAsia="Arial" w:hAnsi="Arial"/>
          <w:sz w:val="14"/>
          <w:szCs w:val="14"/>
          <w:color w:val="auto"/>
        </w:rPr>
        <w:t>Woodbury</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Mississippi</w:t>
      </w:r>
    </w:p>
    <w:p>
      <w:pPr>
        <w:spacing w:after="0" w:line="221" w:lineRule="auto"/>
        <w:rPr>
          <w:sz w:val="20"/>
          <w:szCs w:val="20"/>
          <w:color w:val="auto"/>
        </w:rPr>
      </w:pPr>
      <w:r>
        <w:rPr>
          <w:rFonts w:ascii="Arial" w:cs="Arial" w:eastAsia="Arial" w:hAnsi="Arial"/>
          <w:sz w:val="14"/>
          <w:szCs w:val="14"/>
          <w:color w:val="auto"/>
        </w:rPr>
        <w:t>Jackson</w:t>
      </w:r>
    </w:p>
    <w:p>
      <w:pPr>
        <w:spacing w:after="0"/>
        <w:rPr>
          <w:sz w:val="20"/>
          <w:szCs w:val="20"/>
          <w:color w:val="auto"/>
        </w:rPr>
      </w:pPr>
      <w:r>
        <w:rPr>
          <w:rFonts w:ascii="Arial" w:cs="Arial" w:eastAsia="Arial" w:hAnsi="Arial"/>
          <w:sz w:val="14"/>
          <w:szCs w:val="14"/>
          <w:color w:val="auto"/>
        </w:rPr>
        <w:t>Gulfport*</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Missouri</w:t>
      </w:r>
    </w:p>
    <w:p>
      <w:pPr>
        <w:spacing w:after="0" w:line="221" w:lineRule="auto"/>
        <w:rPr>
          <w:sz w:val="20"/>
          <w:szCs w:val="20"/>
          <w:color w:val="auto"/>
        </w:rPr>
      </w:pPr>
      <w:r>
        <w:rPr>
          <w:rFonts w:ascii="Arial" w:cs="Arial" w:eastAsia="Arial" w:hAnsi="Arial"/>
          <w:sz w:val="14"/>
          <w:szCs w:val="14"/>
          <w:color w:val="auto"/>
        </w:rPr>
        <w:t>Branson*</w:t>
      </w:r>
    </w:p>
    <w:p>
      <w:pPr>
        <w:spacing w:after="0" w:line="221" w:lineRule="auto"/>
        <w:rPr>
          <w:sz w:val="20"/>
          <w:szCs w:val="20"/>
          <w:color w:val="auto"/>
        </w:rPr>
      </w:pPr>
      <w:r>
        <w:rPr>
          <w:rFonts w:ascii="Arial" w:cs="Arial" w:eastAsia="Arial" w:hAnsi="Arial"/>
          <w:sz w:val="14"/>
          <w:szCs w:val="14"/>
          <w:color w:val="auto"/>
        </w:rPr>
        <w:t>Chesterfield</w:t>
      </w:r>
    </w:p>
    <w:p>
      <w:pPr>
        <w:spacing w:after="0" w:line="222" w:lineRule="auto"/>
        <w:rPr>
          <w:sz w:val="20"/>
          <w:szCs w:val="20"/>
          <w:color w:val="auto"/>
        </w:rPr>
      </w:pPr>
      <w:r>
        <w:rPr>
          <w:rFonts w:ascii="Arial" w:cs="Arial" w:eastAsia="Arial" w:hAnsi="Arial"/>
          <w:sz w:val="14"/>
          <w:szCs w:val="14"/>
          <w:color w:val="auto"/>
        </w:rPr>
        <w:t>Columbia</w:t>
      </w:r>
    </w:p>
    <w:p>
      <w:pPr>
        <w:spacing w:after="0" w:line="221" w:lineRule="auto"/>
        <w:rPr>
          <w:sz w:val="20"/>
          <w:szCs w:val="20"/>
          <w:color w:val="auto"/>
        </w:rPr>
      </w:pPr>
      <w:r>
        <w:rPr>
          <w:rFonts w:ascii="Arial" w:cs="Arial" w:eastAsia="Arial" w:hAnsi="Arial"/>
          <w:sz w:val="14"/>
          <w:szCs w:val="14"/>
          <w:color w:val="auto"/>
        </w:rPr>
        <w:t>Independence</w:t>
      </w:r>
    </w:p>
    <w:p>
      <w:pPr>
        <w:spacing w:after="0"/>
        <w:rPr>
          <w:sz w:val="20"/>
          <w:szCs w:val="20"/>
          <w:color w:val="auto"/>
        </w:rPr>
      </w:pPr>
      <w:r>
        <w:rPr>
          <w:rFonts w:ascii="Arial" w:cs="Arial" w:eastAsia="Arial" w:hAnsi="Arial"/>
          <w:sz w:val="14"/>
          <w:szCs w:val="14"/>
          <w:color w:val="auto"/>
        </w:rPr>
        <w:t>Kansas City</w:t>
      </w:r>
    </w:p>
    <w:p>
      <w:pPr>
        <w:sectPr>
          <w:pgSz w:w="11900" w:h="16838" w:orient="portrait"/>
          <w:cols w:equalWidth="0" w:num="5">
            <w:col w:w="2580" w:space="720"/>
            <w:col w:w="1600" w:space="720"/>
            <w:col w:w="1933" w:space="720"/>
            <w:col w:w="1167" w:space="720"/>
            <w:col w:w="1080"/>
          </w:cols>
          <w:pgMar w:left="240" w:top="459" w:right="41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Casual Male XL Retail, Casual Male XL Outlet and Casual Male XL Retail/Rochester Hybrid Stores, continued</w:t>
      </w:r>
    </w:p>
    <w:p>
      <w:pPr>
        <w:sectPr>
          <w:pgSz w:w="11900" w:h="16838" w:orient="portrait"/>
          <w:cols w:equalWidth="0" w:num="1">
            <w:col w:w="11360"/>
          </w:cols>
          <w:pgMar w:left="240" w:top="459" w:right="299" w:bottom="1440" w:gutter="0" w:footer="0" w:header="0"/>
        </w:sectPr>
      </w:pPr>
    </w:p>
    <w:p>
      <w:pPr>
        <w:spacing w:after="0" w:line="244" w:lineRule="exact"/>
        <w:rPr>
          <w:sz w:val="20"/>
          <w:szCs w:val="20"/>
          <w:color w:val="auto"/>
        </w:rPr>
      </w:pPr>
    </w:p>
    <w:p>
      <w:pPr>
        <w:ind w:left="960"/>
        <w:spacing w:after="0"/>
        <w:rPr>
          <w:sz w:val="20"/>
          <w:szCs w:val="20"/>
          <w:color w:val="auto"/>
        </w:rPr>
      </w:pPr>
      <w:r>
        <w:rPr>
          <w:rFonts w:ascii="Arial" w:cs="Arial" w:eastAsia="Arial" w:hAnsi="Arial"/>
          <w:sz w:val="12"/>
          <w:szCs w:val="12"/>
          <w:b w:val="1"/>
          <w:bCs w:val="1"/>
          <w:i w:val="1"/>
          <w:iCs w:val="1"/>
          <w:color w:val="auto"/>
        </w:rPr>
        <w:t>Missouri, cont.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Osage Beach*</w:t>
      </w:r>
    </w:p>
    <w:p>
      <w:pPr>
        <w:spacing w:after="0" w:line="221" w:lineRule="auto"/>
        <w:rPr>
          <w:sz w:val="20"/>
          <w:szCs w:val="20"/>
          <w:color w:val="auto"/>
        </w:rPr>
      </w:pPr>
      <w:r>
        <w:rPr>
          <w:rFonts w:ascii="Arial" w:cs="Arial" w:eastAsia="Arial" w:hAnsi="Arial"/>
          <w:sz w:val="14"/>
          <w:szCs w:val="14"/>
          <w:color w:val="auto"/>
        </w:rPr>
        <w:t>Richmond Heights</w:t>
      </w:r>
    </w:p>
    <w:p>
      <w:pPr>
        <w:spacing w:after="0" w:line="221" w:lineRule="auto"/>
        <w:rPr>
          <w:sz w:val="20"/>
          <w:szCs w:val="20"/>
          <w:color w:val="auto"/>
        </w:rPr>
      </w:pPr>
      <w:r>
        <w:rPr>
          <w:rFonts w:ascii="Arial" w:cs="Arial" w:eastAsia="Arial" w:hAnsi="Arial"/>
          <w:sz w:val="14"/>
          <w:szCs w:val="14"/>
          <w:color w:val="auto"/>
        </w:rPr>
        <w:t>St. Louis</w:t>
      </w:r>
    </w:p>
    <w:p>
      <w:pPr>
        <w:spacing w:after="0" w:line="222" w:lineRule="auto"/>
        <w:rPr>
          <w:sz w:val="20"/>
          <w:szCs w:val="20"/>
          <w:color w:val="auto"/>
        </w:rPr>
      </w:pPr>
      <w:r>
        <w:rPr>
          <w:rFonts w:ascii="Arial" w:cs="Arial" w:eastAsia="Arial" w:hAnsi="Arial"/>
          <w:sz w:val="14"/>
          <w:szCs w:val="14"/>
          <w:color w:val="auto"/>
        </w:rPr>
        <w:t>St. Peters</w:t>
      </w:r>
    </w:p>
    <w:p>
      <w:pPr>
        <w:spacing w:after="0"/>
        <w:rPr>
          <w:sz w:val="20"/>
          <w:szCs w:val="20"/>
          <w:color w:val="auto"/>
        </w:rPr>
      </w:pPr>
      <w:r>
        <w:rPr>
          <w:rFonts w:ascii="Arial" w:cs="Arial" w:eastAsia="Arial" w:hAnsi="Arial"/>
          <w:sz w:val="14"/>
          <w:szCs w:val="14"/>
          <w:color w:val="auto"/>
        </w:rPr>
        <w:t>Springfield</w:t>
      </w:r>
    </w:p>
    <w:p>
      <w:pPr>
        <w:spacing w:after="0" w:line="56" w:lineRule="exact"/>
        <w:rPr>
          <w:sz w:val="20"/>
          <w:szCs w:val="20"/>
          <w:color w:val="auto"/>
        </w:rPr>
      </w:pPr>
    </w:p>
    <w:p>
      <w:pPr>
        <w:ind w:left="1120"/>
        <w:spacing w:after="0"/>
        <w:rPr>
          <w:sz w:val="20"/>
          <w:szCs w:val="20"/>
          <w:color w:val="auto"/>
        </w:rPr>
      </w:pPr>
      <w:r>
        <w:rPr>
          <w:rFonts w:ascii="Arial" w:cs="Arial" w:eastAsia="Arial" w:hAnsi="Arial"/>
          <w:sz w:val="14"/>
          <w:szCs w:val="14"/>
          <w:b w:val="1"/>
          <w:bCs w:val="1"/>
          <w:i w:val="1"/>
          <w:iCs w:val="1"/>
          <w:color w:val="auto"/>
        </w:rPr>
        <w:t>Montana</w:t>
      </w:r>
    </w:p>
    <w:p>
      <w:pPr>
        <w:spacing w:after="0"/>
        <w:rPr>
          <w:sz w:val="20"/>
          <w:szCs w:val="20"/>
          <w:color w:val="auto"/>
        </w:rPr>
      </w:pPr>
      <w:r>
        <w:rPr>
          <w:rFonts w:ascii="Arial" w:cs="Arial" w:eastAsia="Arial" w:hAnsi="Arial"/>
          <w:sz w:val="14"/>
          <w:szCs w:val="14"/>
          <w:color w:val="auto"/>
        </w:rPr>
        <w:t>Billings</w:t>
      </w:r>
    </w:p>
    <w:p>
      <w:pPr>
        <w:spacing w:after="0" w:line="56" w:lineRule="exact"/>
        <w:rPr>
          <w:sz w:val="20"/>
          <w:szCs w:val="20"/>
          <w:color w:val="auto"/>
        </w:rPr>
      </w:pPr>
    </w:p>
    <w:p>
      <w:pPr>
        <w:ind w:left="1100"/>
        <w:spacing w:after="0"/>
        <w:rPr>
          <w:sz w:val="20"/>
          <w:szCs w:val="20"/>
          <w:color w:val="auto"/>
        </w:rPr>
      </w:pPr>
      <w:r>
        <w:rPr>
          <w:rFonts w:ascii="Arial" w:cs="Arial" w:eastAsia="Arial" w:hAnsi="Arial"/>
          <w:sz w:val="14"/>
          <w:szCs w:val="14"/>
          <w:b w:val="1"/>
          <w:bCs w:val="1"/>
          <w:i w:val="1"/>
          <w:iCs w:val="1"/>
          <w:color w:val="auto"/>
        </w:rPr>
        <w:t>Nebraska</w:t>
      </w:r>
    </w:p>
    <w:p>
      <w:pPr>
        <w:spacing w:after="0" w:line="221" w:lineRule="auto"/>
        <w:rPr>
          <w:sz w:val="20"/>
          <w:szCs w:val="20"/>
          <w:color w:val="auto"/>
        </w:rPr>
      </w:pPr>
      <w:r>
        <w:rPr>
          <w:rFonts w:ascii="Arial" w:cs="Arial" w:eastAsia="Arial" w:hAnsi="Arial"/>
          <w:sz w:val="14"/>
          <w:szCs w:val="14"/>
          <w:color w:val="auto"/>
        </w:rPr>
        <w:t>Lincoln</w:t>
      </w:r>
    </w:p>
    <w:p>
      <w:pPr>
        <w:spacing w:after="0"/>
        <w:rPr>
          <w:sz w:val="20"/>
          <w:szCs w:val="20"/>
          <w:color w:val="auto"/>
        </w:rPr>
      </w:pPr>
      <w:r>
        <w:rPr>
          <w:rFonts w:ascii="Arial" w:cs="Arial" w:eastAsia="Arial" w:hAnsi="Arial"/>
          <w:sz w:val="14"/>
          <w:szCs w:val="14"/>
          <w:color w:val="auto"/>
        </w:rPr>
        <w:t>Omaha (3)</w:t>
      </w:r>
    </w:p>
    <w:p>
      <w:pPr>
        <w:spacing w:after="0" w:line="56"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Nevada</w:t>
      </w:r>
    </w:p>
    <w:p>
      <w:pPr>
        <w:spacing w:after="0" w:line="221" w:lineRule="auto"/>
        <w:rPr>
          <w:sz w:val="20"/>
          <w:szCs w:val="20"/>
          <w:color w:val="auto"/>
        </w:rPr>
      </w:pPr>
      <w:r>
        <w:rPr>
          <w:rFonts w:ascii="Arial" w:cs="Arial" w:eastAsia="Arial" w:hAnsi="Arial"/>
          <w:sz w:val="14"/>
          <w:szCs w:val="14"/>
          <w:color w:val="auto"/>
        </w:rPr>
        <w:t>Henderson</w:t>
      </w:r>
    </w:p>
    <w:p>
      <w:pPr>
        <w:spacing w:after="0" w:line="221" w:lineRule="auto"/>
        <w:rPr>
          <w:sz w:val="20"/>
          <w:szCs w:val="20"/>
          <w:color w:val="auto"/>
        </w:rPr>
      </w:pPr>
      <w:r>
        <w:rPr>
          <w:rFonts w:ascii="Arial" w:cs="Arial" w:eastAsia="Arial" w:hAnsi="Arial"/>
          <w:sz w:val="14"/>
          <w:szCs w:val="14"/>
          <w:color w:val="auto"/>
        </w:rPr>
        <w:t>Las Vegas (3)</w:t>
      </w:r>
    </w:p>
    <w:p>
      <w:pPr>
        <w:spacing w:after="0" w:line="222" w:lineRule="auto"/>
        <w:rPr>
          <w:sz w:val="20"/>
          <w:szCs w:val="20"/>
          <w:color w:val="auto"/>
        </w:rPr>
      </w:pPr>
      <w:r>
        <w:rPr>
          <w:rFonts w:ascii="Arial" w:cs="Arial" w:eastAsia="Arial" w:hAnsi="Arial"/>
          <w:sz w:val="14"/>
          <w:szCs w:val="14"/>
          <w:color w:val="auto"/>
        </w:rPr>
        <w:t>Laughlin*</w:t>
      </w:r>
    </w:p>
    <w:p>
      <w:pPr>
        <w:spacing w:after="0"/>
        <w:rPr>
          <w:sz w:val="20"/>
          <w:szCs w:val="20"/>
          <w:color w:val="auto"/>
        </w:rPr>
      </w:pPr>
      <w:r>
        <w:rPr>
          <w:rFonts w:ascii="Arial" w:cs="Arial" w:eastAsia="Arial" w:hAnsi="Arial"/>
          <w:sz w:val="14"/>
          <w:szCs w:val="14"/>
          <w:color w:val="auto"/>
        </w:rPr>
        <w:t>Reno</w:t>
      </w:r>
    </w:p>
    <w:p>
      <w:pPr>
        <w:spacing w:after="0" w:line="56" w:lineRule="exact"/>
        <w:rPr>
          <w:sz w:val="20"/>
          <w:szCs w:val="20"/>
          <w:color w:val="auto"/>
        </w:rPr>
      </w:pPr>
    </w:p>
    <w:p>
      <w:pPr>
        <w:jc w:val="right"/>
        <w:ind w:right="880"/>
        <w:spacing w:after="0"/>
        <w:rPr>
          <w:sz w:val="20"/>
          <w:szCs w:val="20"/>
          <w:color w:val="auto"/>
        </w:rPr>
      </w:pPr>
      <w:r>
        <w:rPr>
          <w:rFonts w:ascii="Arial" w:cs="Arial" w:eastAsia="Arial" w:hAnsi="Arial"/>
          <w:sz w:val="14"/>
          <w:szCs w:val="14"/>
          <w:b w:val="1"/>
          <w:bCs w:val="1"/>
          <w:i w:val="1"/>
          <w:iCs w:val="1"/>
          <w:color w:val="auto"/>
        </w:rPr>
        <w:t>New Hampshire</w:t>
      </w:r>
    </w:p>
    <w:p>
      <w:pPr>
        <w:spacing w:after="0" w:line="221" w:lineRule="auto"/>
        <w:rPr>
          <w:sz w:val="20"/>
          <w:szCs w:val="20"/>
          <w:color w:val="auto"/>
        </w:rPr>
      </w:pPr>
      <w:r>
        <w:rPr>
          <w:rFonts w:ascii="Arial" w:cs="Arial" w:eastAsia="Arial" w:hAnsi="Arial"/>
          <w:sz w:val="14"/>
          <w:szCs w:val="14"/>
          <w:color w:val="auto"/>
        </w:rPr>
        <w:t>Salem</w:t>
      </w:r>
    </w:p>
    <w:p>
      <w:pPr>
        <w:spacing w:after="0" w:line="221" w:lineRule="auto"/>
        <w:rPr>
          <w:sz w:val="20"/>
          <w:szCs w:val="20"/>
          <w:color w:val="auto"/>
        </w:rPr>
      </w:pPr>
      <w:r>
        <w:rPr>
          <w:rFonts w:ascii="Arial" w:cs="Arial" w:eastAsia="Arial" w:hAnsi="Arial"/>
          <w:sz w:val="14"/>
          <w:szCs w:val="14"/>
          <w:color w:val="auto"/>
        </w:rPr>
        <w:t>Manchester</w:t>
      </w:r>
    </w:p>
    <w:p>
      <w:pPr>
        <w:spacing w:after="0"/>
        <w:rPr>
          <w:sz w:val="20"/>
          <w:szCs w:val="20"/>
          <w:color w:val="auto"/>
        </w:rPr>
      </w:pPr>
      <w:r>
        <w:rPr>
          <w:rFonts w:ascii="Arial" w:cs="Arial" w:eastAsia="Arial" w:hAnsi="Arial"/>
          <w:sz w:val="14"/>
          <w:szCs w:val="14"/>
          <w:color w:val="auto"/>
        </w:rPr>
        <w:t>Tilton*</w:t>
      </w:r>
    </w:p>
    <w:p>
      <w:pPr>
        <w:spacing w:after="0" w:line="57" w:lineRule="exact"/>
        <w:rPr>
          <w:sz w:val="20"/>
          <w:szCs w:val="20"/>
          <w:color w:val="auto"/>
        </w:rPr>
      </w:pPr>
    </w:p>
    <w:p>
      <w:pPr>
        <w:ind w:left="1060"/>
        <w:spacing w:after="0"/>
        <w:rPr>
          <w:sz w:val="20"/>
          <w:szCs w:val="20"/>
          <w:color w:val="auto"/>
        </w:rPr>
      </w:pPr>
      <w:r>
        <w:rPr>
          <w:rFonts w:ascii="Arial" w:cs="Arial" w:eastAsia="Arial" w:hAnsi="Arial"/>
          <w:sz w:val="12"/>
          <w:szCs w:val="12"/>
          <w:b w:val="1"/>
          <w:bCs w:val="1"/>
          <w:i w:val="1"/>
          <w:iCs w:val="1"/>
          <w:color w:val="auto"/>
        </w:rPr>
        <w:t>New Jersey</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Bloomfield</w:t>
      </w:r>
    </w:p>
    <w:p>
      <w:pPr>
        <w:spacing w:after="0" w:line="221" w:lineRule="auto"/>
        <w:rPr>
          <w:sz w:val="20"/>
          <w:szCs w:val="20"/>
          <w:color w:val="auto"/>
        </w:rPr>
      </w:pPr>
      <w:r>
        <w:rPr>
          <w:rFonts w:ascii="Arial" w:cs="Arial" w:eastAsia="Arial" w:hAnsi="Arial"/>
          <w:sz w:val="14"/>
          <w:szCs w:val="14"/>
          <w:color w:val="auto"/>
        </w:rPr>
        <w:t>Cherry Hill</w:t>
      </w:r>
    </w:p>
    <w:p>
      <w:pPr>
        <w:ind w:right="1840" w:firstLine="8"/>
        <w:spacing w:after="0" w:line="259" w:lineRule="auto"/>
        <w:tabs>
          <w:tab w:leader="none" w:pos="150" w:val="left"/>
        </w:tabs>
        <w:numPr>
          <w:ilvl w:val="0"/>
          <w:numId w:val="7"/>
        </w:numPr>
        <w:rPr>
          <w:rFonts w:ascii="Arial" w:cs="Arial" w:eastAsia="Arial" w:hAnsi="Arial"/>
          <w:sz w:val="12"/>
          <w:szCs w:val="12"/>
          <w:color w:val="auto"/>
        </w:rPr>
      </w:pPr>
      <w:r>
        <w:rPr>
          <w:rFonts w:ascii="Arial" w:cs="Arial" w:eastAsia="Arial" w:hAnsi="Arial"/>
          <w:sz w:val="12"/>
          <w:szCs w:val="12"/>
          <w:color w:val="auto"/>
        </w:rPr>
        <w:t>Brunswick East Rutherford Eatontown Hazlet Jackson* Lawrenceville Linden May’s Landing Menlo Park Paramus (H) Secaucus Somerville Succasunna Tom’s River Totowa Union</w:t>
      </w:r>
    </w:p>
    <w:p>
      <w:pPr>
        <w:spacing w:after="0" w:line="292" w:lineRule="exact"/>
        <w:rPr>
          <w:rFonts w:ascii="Arial" w:cs="Arial" w:eastAsia="Arial" w:hAnsi="Arial"/>
          <w:sz w:val="12"/>
          <w:szCs w:val="12"/>
          <w:color w:val="auto"/>
        </w:rPr>
      </w:pPr>
    </w:p>
    <w:p>
      <w:pPr>
        <w:ind w:right="2060"/>
        <w:spacing w:after="0" w:line="297" w:lineRule="auto"/>
        <w:rPr>
          <w:rFonts w:ascii="Arial" w:cs="Arial" w:eastAsia="Arial" w:hAnsi="Arial"/>
          <w:sz w:val="12"/>
          <w:szCs w:val="12"/>
          <w:color w:val="auto"/>
        </w:rPr>
      </w:pPr>
      <w:r>
        <w:rPr>
          <w:rFonts w:ascii="Arial" w:cs="Arial" w:eastAsia="Arial" w:hAnsi="Arial"/>
          <w:sz w:val="12"/>
          <w:szCs w:val="12"/>
          <w:color w:val="auto"/>
        </w:rPr>
        <w:t>West Berlin Woodbury</w:t>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12"/>
          <w:szCs w:val="12"/>
          <w:b w:val="1"/>
          <w:bCs w:val="1"/>
          <w:i w:val="1"/>
          <w:iCs w:val="1"/>
          <w:color w:val="auto"/>
        </w:rPr>
        <w:t>New Mexico</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Albuquerque (2)</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860"/>
        <w:spacing w:after="0"/>
        <w:rPr>
          <w:sz w:val="20"/>
          <w:szCs w:val="20"/>
          <w:color w:val="auto"/>
        </w:rPr>
      </w:pPr>
      <w:r>
        <w:rPr>
          <w:rFonts w:ascii="Arial" w:cs="Arial" w:eastAsia="Arial" w:hAnsi="Arial"/>
          <w:sz w:val="14"/>
          <w:szCs w:val="14"/>
          <w:b w:val="1"/>
          <w:bCs w:val="1"/>
          <w:i w:val="1"/>
          <w:iCs w:val="1"/>
          <w:color w:val="auto"/>
        </w:rPr>
        <w:t>New York</w:t>
      </w:r>
    </w:p>
    <w:p>
      <w:pPr>
        <w:spacing w:after="0" w:line="221" w:lineRule="auto"/>
        <w:rPr>
          <w:sz w:val="20"/>
          <w:szCs w:val="20"/>
          <w:color w:val="auto"/>
        </w:rPr>
      </w:pPr>
      <w:r>
        <w:rPr>
          <w:rFonts w:ascii="Arial" w:cs="Arial" w:eastAsia="Arial" w:hAnsi="Arial"/>
          <w:sz w:val="14"/>
          <w:szCs w:val="14"/>
          <w:color w:val="auto"/>
        </w:rPr>
        <w:t>Albany</w:t>
      </w:r>
    </w:p>
    <w:p>
      <w:pPr>
        <w:spacing w:after="0" w:line="221" w:lineRule="auto"/>
        <w:rPr>
          <w:sz w:val="20"/>
          <w:szCs w:val="20"/>
          <w:color w:val="auto"/>
        </w:rPr>
      </w:pPr>
      <w:r>
        <w:rPr>
          <w:rFonts w:ascii="Arial" w:cs="Arial" w:eastAsia="Arial" w:hAnsi="Arial"/>
          <w:sz w:val="14"/>
          <w:szCs w:val="14"/>
          <w:color w:val="auto"/>
        </w:rPr>
        <w:t>Bayshore L.I.</w:t>
      </w:r>
    </w:p>
    <w:p>
      <w:pPr>
        <w:spacing w:after="0" w:line="222" w:lineRule="auto"/>
        <w:rPr>
          <w:sz w:val="20"/>
          <w:szCs w:val="20"/>
          <w:color w:val="auto"/>
        </w:rPr>
      </w:pPr>
      <w:r>
        <w:rPr>
          <w:rFonts w:ascii="Arial" w:cs="Arial" w:eastAsia="Arial" w:hAnsi="Arial"/>
          <w:sz w:val="14"/>
          <w:szCs w:val="14"/>
          <w:color w:val="auto"/>
        </w:rPr>
        <w:t>Bronx</w:t>
      </w:r>
    </w:p>
    <w:p>
      <w:pPr>
        <w:spacing w:after="0" w:line="221" w:lineRule="auto"/>
        <w:rPr>
          <w:sz w:val="20"/>
          <w:szCs w:val="20"/>
          <w:color w:val="auto"/>
        </w:rPr>
      </w:pPr>
      <w:r>
        <w:rPr>
          <w:rFonts w:ascii="Arial" w:cs="Arial" w:eastAsia="Arial" w:hAnsi="Arial"/>
          <w:sz w:val="14"/>
          <w:szCs w:val="14"/>
          <w:color w:val="auto"/>
        </w:rPr>
        <w:t>Brooklyn (3)</w:t>
      </w:r>
    </w:p>
    <w:p>
      <w:pPr>
        <w:spacing w:after="0" w:line="222" w:lineRule="auto"/>
        <w:rPr>
          <w:sz w:val="20"/>
          <w:szCs w:val="20"/>
          <w:color w:val="auto"/>
        </w:rPr>
      </w:pPr>
      <w:r>
        <w:rPr>
          <w:rFonts w:ascii="Arial" w:cs="Arial" w:eastAsia="Arial" w:hAnsi="Arial"/>
          <w:sz w:val="14"/>
          <w:szCs w:val="14"/>
          <w:color w:val="auto"/>
        </w:rPr>
        <w:t>Carle Place</w:t>
      </w:r>
    </w:p>
    <w:p>
      <w:pPr>
        <w:spacing w:after="0" w:line="221" w:lineRule="auto"/>
        <w:rPr>
          <w:sz w:val="20"/>
          <w:szCs w:val="20"/>
          <w:color w:val="auto"/>
        </w:rPr>
      </w:pPr>
      <w:r>
        <w:rPr>
          <w:rFonts w:ascii="Arial" w:cs="Arial" w:eastAsia="Arial" w:hAnsi="Arial"/>
          <w:sz w:val="14"/>
          <w:szCs w:val="14"/>
          <w:color w:val="auto"/>
        </w:rPr>
        <w:t>Centereach</w:t>
      </w:r>
    </w:p>
    <w:p>
      <w:pPr>
        <w:spacing w:after="0" w:line="222" w:lineRule="auto"/>
        <w:rPr>
          <w:sz w:val="20"/>
          <w:szCs w:val="20"/>
          <w:color w:val="auto"/>
        </w:rPr>
      </w:pPr>
      <w:r>
        <w:rPr>
          <w:rFonts w:ascii="Arial" w:cs="Arial" w:eastAsia="Arial" w:hAnsi="Arial"/>
          <w:sz w:val="14"/>
          <w:szCs w:val="14"/>
          <w:color w:val="auto"/>
        </w:rPr>
        <w:t>Cheektowaga</w:t>
      </w:r>
    </w:p>
    <w:p>
      <w:pPr>
        <w:spacing w:after="0" w:line="221" w:lineRule="auto"/>
        <w:rPr>
          <w:sz w:val="20"/>
          <w:szCs w:val="20"/>
          <w:color w:val="auto"/>
        </w:rPr>
      </w:pPr>
      <w:r>
        <w:rPr>
          <w:rFonts w:ascii="Arial" w:cs="Arial" w:eastAsia="Arial" w:hAnsi="Arial"/>
          <w:sz w:val="14"/>
          <w:szCs w:val="14"/>
          <w:color w:val="auto"/>
        </w:rPr>
        <w:t>East Northport</w:t>
      </w:r>
    </w:p>
    <w:p>
      <w:pPr>
        <w:spacing w:after="0" w:line="222" w:lineRule="auto"/>
        <w:rPr>
          <w:sz w:val="20"/>
          <w:szCs w:val="20"/>
          <w:color w:val="auto"/>
        </w:rPr>
      </w:pPr>
      <w:r>
        <w:rPr>
          <w:rFonts w:ascii="Arial" w:cs="Arial" w:eastAsia="Arial" w:hAnsi="Arial"/>
          <w:sz w:val="14"/>
          <w:szCs w:val="14"/>
          <w:color w:val="auto"/>
        </w:rPr>
        <w:t>Elmhurst</w:t>
      </w:r>
    </w:p>
    <w:p>
      <w:pPr>
        <w:spacing w:after="0" w:line="221" w:lineRule="auto"/>
        <w:rPr>
          <w:sz w:val="20"/>
          <w:szCs w:val="20"/>
          <w:color w:val="auto"/>
        </w:rPr>
      </w:pPr>
      <w:r>
        <w:rPr>
          <w:rFonts w:ascii="Arial" w:cs="Arial" w:eastAsia="Arial" w:hAnsi="Arial"/>
          <w:sz w:val="14"/>
          <w:szCs w:val="14"/>
          <w:color w:val="auto"/>
        </w:rPr>
        <w:t>Greenburgh</w:t>
      </w:r>
    </w:p>
    <w:p>
      <w:pPr>
        <w:spacing w:after="0" w:line="222" w:lineRule="auto"/>
        <w:rPr>
          <w:sz w:val="20"/>
          <w:szCs w:val="20"/>
          <w:color w:val="auto"/>
        </w:rPr>
      </w:pPr>
      <w:r>
        <w:rPr>
          <w:rFonts w:ascii="Arial" w:cs="Arial" w:eastAsia="Arial" w:hAnsi="Arial"/>
          <w:sz w:val="14"/>
          <w:szCs w:val="14"/>
          <w:color w:val="auto"/>
        </w:rPr>
        <w:t>Irondequoit</w:t>
      </w:r>
    </w:p>
    <w:p>
      <w:pPr>
        <w:spacing w:after="0" w:line="221" w:lineRule="auto"/>
        <w:rPr>
          <w:sz w:val="20"/>
          <w:szCs w:val="20"/>
          <w:color w:val="auto"/>
        </w:rPr>
      </w:pPr>
      <w:r>
        <w:rPr>
          <w:rFonts w:ascii="Arial" w:cs="Arial" w:eastAsia="Arial" w:hAnsi="Arial"/>
          <w:sz w:val="14"/>
          <w:szCs w:val="14"/>
          <w:color w:val="auto"/>
        </w:rPr>
        <w:t>Johnson City</w:t>
      </w:r>
    </w:p>
    <w:p>
      <w:pPr>
        <w:spacing w:after="0" w:line="221" w:lineRule="auto"/>
        <w:rPr>
          <w:sz w:val="20"/>
          <w:szCs w:val="20"/>
          <w:color w:val="auto"/>
        </w:rPr>
      </w:pPr>
      <w:r>
        <w:rPr>
          <w:rFonts w:ascii="Arial" w:cs="Arial" w:eastAsia="Arial" w:hAnsi="Arial"/>
          <w:sz w:val="14"/>
          <w:szCs w:val="14"/>
          <w:color w:val="auto"/>
        </w:rPr>
        <w:t>Lake George*</w:t>
      </w:r>
    </w:p>
    <w:p>
      <w:pPr>
        <w:spacing w:after="0" w:line="222" w:lineRule="auto"/>
        <w:rPr>
          <w:sz w:val="20"/>
          <w:szCs w:val="20"/>
          <w:color w:val="auto"/>
        </w:rPr>
      </w:pPr>
      <w:r>
        <w:rPr>
          <w:rFonts w:ascii="Arial" w:cs="Arial" w:eastAsia="Arial" w:hAnsi="Arial"/>
          <w:sz w:val="14"/>
          <w:szCs w:val="14"/>
          <w:color w:val="auto"/>
        </w:rPr>
        <w:t>Massapequa</w:t>
      </w:r>
    </w:p>
    <w:p>
      <w:pPr>
        <w:spacing w:after="0" w:line="221" w:lineRule="auto"/>
        <w:rPr>
          <w:sz w:val="20"/>
          <w:szCs w:val="20"/>
          <w:color w:val="auto"/>
        </w:rPr>
      </w:pPr>
      <w:r>
        <w:rPr>
          <w:rFonts w:ascii="Arial" w:cs="Arial" w:eastAsia="Arial" w:hAnsi="Arial"/>
          <w:sz w:val="14"/>
          <w:szCs w:val="14"/>
          <w:color w:val="auto"/>
        </w:rPr>
        <w:t>Middleton</w:t>
      </w:r>
    </w:p>
    <w:p>
      <w:pPr>
        <w:spacing w:after="0" w:line="222" w:lineRule="auto"/>
        <w:rPr>
          <w:sz w:val="20"/>
          <w:szCs w:val="20"/>
          <w:color w:val="auto"/>
        </w:rPr>
      </w:pPr>
      <w:r>
        <w:rPr>
          <w:rFonts w:ascii="Arial" w:cs="Arial" w:eastAsia="Arial" w:hAnsi="Arial"/>
          <w:sz w:val="14"/>
          <w:szCs w:val="14"/>
          <w:color w:val="auto"/>
        </w:rPr>
        <w:t>Nanuet</w:t>
      </w:r>
    </w:p>
    <w:p>
      <w:pPr>
        <w:spacing w:after="0" w:line="221" w:lineRule="auto"/>
        <w:rPr>
          <w:sz w:val="20"/>
          <w:szCs w:val="20"/>
          <w:color w:val="auto"/>
        </w:rPr>
      </w:pPr>
      <w:r>
        <w:rPr>
          <w:rFonts w:ascii="Arial" w:cs="Arial" w:eastAsia="Arial" w:hAnsi="Arial"/>
          <w:sz w:val="14"/>
          <w:szCs w:val="14"/>
          <w:color w:val="auto"/>
        </w:rPr>
        <w:t>New Hyde Park</w:t>
      </w:r>
    </w:p>
    <w:p>
      <w:pPr>
        <w:spacing w:after="0" w:line="222" w:lineRule="auto"/>
        <w:rPr>
          <w:sz w:val="20"/>
          <w:szCs w:val="20"/>
          <w:color w:val="auto"/>
        </w:rPr>
      </w:pPr>
      <w:r>
        <w:rPr>
          <w:rFonts w:ascii="Arial" w:cs="Arial" w:eastAsia="Arial" w:hAnsi="Arial"/>
          <w:sz w:val="14"/>
          <w:szCs w:val="14"/>
          <w:color w:val="auto"/>
        </w:rPr>
        <w:t>New York</w:t>
      </w:r>
    </w:p>
    <w:p>
      <w:pPr>
        <w:spacing w:after="0" w:line="221" w:lineRule="auto"/>
        <w:rPr>
          <w:sz w:val="20"/>
          <w:szCs w:val="20"/>
          <w:color w:val="auto"/>
        </w:rPr>
      </w:pPr>
      <w:r>
        <w:rPr>
          <w:rFonts w:ascii="Arial" w:cs="Arial" w:eastAsia="Arial" w:hAnsi="Arial"/>
          <w:sz w:val="14"/>
          <w:szCs w:val="14"/>
          <w:color w:val="auto"/>
        </w:rPr>
        <w:t>Niagara Falls*</w:t>
      </w:r>
    </w:p>
    <w:p>
      <w:pPr>
        <w:spacing w:after="0" w:line="222" w:lineRule="auto"/>
        <w:rPr>
          <w:sz w:val="20"/>
          <w:szCs w:val="20"/>
          <w:color w:val="auto"/>
        </w:rPr>
      </w:pPr>
      <w:r>
        <w:rPr>
          <w:rFonts w:ascii="Arial" w:cs="Arial" w:eastAsia="Arial" w:hAnsi="Arial"/>
          <w:sz w:val="14"/>
          <w:szCs w:val="14"/>
          <w:color w:val="auto"/>
        </w:rPr>
        <w:t>Patchogue</w:t>
      </w:r>
    </w:p>
    <w:p>
      <w:pPr>
        <w:spacing w:after="0" w:line="221" w:lineRule="auto"/>
        <w:rPr>
          <w:sz w:val="20"/>
          <w:szCs w:val="20"/>
          <w:color w:val="auto"/>
        </w:rPr>
      </w:pPr>
      <w:r>
        <w:rPr>
          <w:rFonts w:ascii="Arial" w:cs="Arial" w:eastAsia="Arial" w:hAnsi="Arial"/>
          <w:sz w:val="14"/>
          <w:szCs w:val="14"/>
          <w:color w:val="auto"/>
        </w:rPr>
        <w:t>Poughkeepsie</w:t>
      </w:r>
    </w:p>
    <w:p>
      <w:pPr>
        <w:spacing w:after="0" w:line="222" w:lineRule="auto"/>
        <w:rPr>
          <w:sz w:val="20"/>
          <w:szCs w:val="20"/>
          <w:color w:val="auto"/>
        </w:rPr>
      </w:pPr>
      <w:r>
        <w:rPr>
          <w:rFonts w:ascii="Arial" w:cs="Arial" w:eastAsia="Arial" w:hAnsi="Arial"/>
          <w:sz w:val="14"/>
          <w:szCs w:val="14"/>
          <w:color w:val="auto"/>
        </w:rPr>
        <w:t>Riverhead*</w:t>
      </w:r>
    </w:p>
    <w:p>
      <w:pPr>
        <w:spacing w:after="0" w:line="221" w:lineRule="auto"/>
        <w:rPr>
          <w:sz w:val="20"/>
          <w:szCs w:val="20"/>
          <w:color w:val="auto"/>
        </w:rPr>
      </w:pPr>
      <w:r>
        <w:rPr>
          <w:rFonts w:ascii="Arial" w:cs="Arial" w:eastAsia="Arial" w:hAnsi="Arial"/>
          <w:sz w:val="14"/>
          <w:szCs w:val="14"/>
          <w:color w:val="auto"/>
        </w:rPr>
        <w:t>Rochester</w:t>
      </w:r>
    </w:p>
    <w:p>
      <w:pPr>
        <w:spacing w:after="0" w:line="222" w:lineRule="auto"/>
        <w:rPr>
          <w:sz w:val="20"/>
          <w:szCs w:val="20"/>
          <w:color w:val="auto"/>
        </w:rPr>
      </w:pPr>
      <w:r>
        <w:rPr>
          <w:rFonts w:ascii="Arial" w:cs="Arial" w:eastAsia="Arial" w:hAnsi="Arial"/>
          <w:sz w:val="14"/>
          <w:szCs w:val="14"/>
          <w:color w:val="auto"/>
        </w:rPr>
        <w:t>Staten Island</w:t>
      </w:r>
    </w:p>
    <w:p>
      <w:pPr>
        <w:spacing w:after="0" w:line="221" w:lineRule="auto"/>
        <w:rPr>
          <w:sz w:val="20"/>
          <w:szCs w:val="20"/>
          <w:color w:val="auto"/>
        </w:rPr>
      </w:pPr>
      <w:r>
        <w:rPr>
          <w:rFonts w:ascii="Arial" w:cs="Arial" w:eastAsia="Arial" w:hAnsi="Arial"/>
          <w:sz w:val="14"/>
          <w:szCs w:val="14"/>
          <w:color w:val="auto"/>
        </w:rPr>
        <w:t>Syracuse</w:t>
      </w:r>
    </w:p>
    <w:p>
      <w:pPr>
        <w:spacing w:after="0" w:line="221" w:lineRule="auto"/>
        <w:rPr>
          <w:sz w:val="20"/>
          <w:szCs w:val="20"/>
          <w:color w:val="auto"/>
        </w:rPr>
      </w:pPr>
      <w:r>
        <w:rPr>
          <w:rFonts w:ascii="Arial" w:cs="Arial" w:eastAsia="Arial" w:hAnsi="Arial"/>
          <w:sz w:val="14"/>
          <w:szCs w:val="14"/>
          <w:color w:val="auto"/>
        </w:rPr>
        <w:t>Tonawanda</w:t>
      </w:r>
    </w:p>
    <w:p>
      <w:pPr>
        <w:spacing w:after="0" w:line="222" w:lineRule="auto"/>
        <w:rPr>
          <w:sz w:val="20"/>
          <w:szCs w:val="20"/>
          <w:color w:val="auto"/>
        </w:rPr>
      </w:pPr>
      <w:r>
        <w:rPr>
          <w:rFonts w:ascii="Arial" w:cs="Arial" w:eastAsia="Arial" w:hAnsi="Arial"/>
          <w:sz w:val="14"/>
          <w:szCs w:val="14"/>
          <w:color w:val="auto"/>
        </w:rPr>
        <w:t>Valley Stream</w:t>
      </w:r>
    </w:p>
    <w:p>
      <w:pPr>
        <w:spacing w:after="0" w:line="221" w:lineRule="auto"/>
        <w:rPr>
          <w:sz w:val="20"/>
          <w:szCs w:val="20"/>
          <w:color w:val="auto"/>
        </w:rPr>
      </w:pPr>
      <w:r>
        <w:rPr>
          <w:rFonts w:ascii="Arial" w:cs="Arial" w:eastAsia="Arial" w:hAnsi="Arial"/>
          <w:sz w:val="14"/>
          <w:szCs w:val="14"/>
          <w:color w:val="auto"/>
        </w:rPr>
        <w:t>Waterloo*</w:t>
      </w:r>
    </w:p>
    <w:p>
      <w:pPr>
        <w:spacing w:after="0"/>
        <w:rPr>
          <w:sz w:val="20"/>
          <w:szCs w:val="20"/>
          <w:color w:val="auto"/>
        </w:rPr>
      </w:pPr>
      <w:r>
        <w:rPr>
          <w:rFonts w:ascii="Arial" w:cs="Arial" w:eastAsia="Arial" w:hAnsi="Arial"/>
          <w:sz w:val="14"/>
          <w:szCs w:val="14"/>
          <w:color w:val="auto"/>
        </w:rPr>
        <w:t>Yonkers</w:t>
      </w:r>
    </w:p>
    <w:p>
      <w:pPr>
        <w:spacing w:after="0" w:line="57" w:lineRule="exact"/>
        <w:rPr>
          <w:sz w:val="20"/>
          <w:szCs w:val="20"/>
          <w:color w:val="auto"/>
        </w:rPr>
      </w:pPr>
    </w:p>
    <w:p>
      <w:pPr>
        <w:jc w:val="right"/>
        <w:ind w:right="660"/>
        <w:spacing w:after="0"/>
        <w:rPr>
          <w:sz w:val="20"/>
          <w:szCs w:val="20"/>
          <w:color w:val="auto"/>
        </w:rPr>
      </w:pPr>
      <w:r>
        <w:rPr>
          <w:rFonts w:ascii="Arial" w:cs="Arial" w:eastAsia="Arial" w:hAnsi="Arial"/>
          <w:sz w:val="14"/>
          <w:szCs w:val="14"/>
          <w:b w:val="1"/>
          <w:bCs w:val="1"/>
          <w:i w:val="1"/>
          <w:iCs w:val="1"/>
          <w:color w:val="auto"/>
        </w:rPr>
        <w:t>North Carolina</w:t>
      </w:r>
    </w:p>
    <w:p>
      <w:pPr>
        <w:spacing w:after="0" w:line="221" w:lineRule="auto"/>
        <w:rPr>
          <w:sz w:val="20"/>
          <w:szCs w:val="20"/>
          <w:color w:val="auto"/>
        </w:rPr>
      </w:pPr>
      <w:r>
        <w:rPr>
          <w:rFonts w:ascii="Arial" w:cs="Arial" w:eastAsia="Arial" w:hAnsi="Arial"/>
          <w:sz w:val="14"/>
          <w:szCs w:val="14"/>
          <w:color w:val="auto"/>
        </w:rPr>
        <w:t>Asheville</w:t>
      </w:r>
    </w:p>
    <w:p>
      <w:pPr>
        <w:spacing w:after="0" w:line="221" w:lineRule="auto"/>
        <w:rPr>
          <w:sz w:val="20"/>
          <w:szCs w:val="20"/>
          <w:color w:val="auto"/>
        </w:rPr>
      </w:pPr>
      <w:r>
        <w:rPr>
          <w:rFonts w:ascii="Arial" w:cs="Arial" w:eastAsia="Arial" w:hAnsi="Arial"/>
          <w:sz w:val="14"/>
          <w:szCs w:val="14"/>
          <w:color w:val="auto"/>
        </w:rPr>
        <w:t>Burlington*</w:t>
      </w:r>
    </w:p>
    <w:p>
      <w:pPr>
        <w:spacing w:after="0" w:line="222" w:lineRule="auto"/>
        <w:rPr>
          <w:sz w:val="20"/>
          <w:szCs w:val="20"/>
          <w:color w:val="auto"/>
        </w:rPr>
      </w:pPr>
      <w:r>
        <w:rPr>
          <w:rFonts w:ascii="Arial" w:cs="Arial" w:eastAsia="Arial" w:hAnsi="Arial"/>
          <w:sz w:val="14"/>
          <w:szCs w:val="14"/>
          <w:color w:val="auto"/>
        </w:rPr>
        <w:t>Charlotte</w:t>
      </w:r>
    </w:p>
    <w:p>
      <w:pPr>
        <w:spacing w:after="0" w:line="221" w:lineRule="auto"/>
        <w:rPr>
          <w:sz w:val="20"/>
          <w:szCs w:val="20"/>
          <w:color w:val="auto"/>
        </w:rPr>
      </w:pPr>
      <w:r>
        <w:rPr>
          <w:rFonts w:ascii="Arial" w:cs="Arial" w:eastAsia="Arial" w:hAnsi="Arial"/>
          <w:sz w:val="14"/>
          <w:szCs w:val="14"/>
          <w:color w:val="auto"/>
        </w:rPr>
        <w:t>Fayetteville</w:t>
      </w:r>
    </w:p>
    <w:p>
      <w:pPr>
        <w:spacing w:after="0" w:line="222" w:lineRule="auto"/>
        <w:rPr>
          <w:sz w:val="20"/>
          <w:szCs w:val="20"/>
          <w:color w:val="auto"/>
        </w:rPr>
      </w:pPr>
      <w:r>
        <w:rPr>
          <w:rFonts w:ascii="Arial" w:cs="Arial" w:eastAsia="Arial" w:hAnsi="Arial"/>
          <w:sz w:val="14"/>
          <w:szCs w:val="14"/>
          <w:color w:val="auto"/>
        </w:rPr>
        <w:t>Greensboro</w:t>
      </w:r>
    </w:p>
    <w:p>
      <w:pPr>
        <w:spacing w:after="0" w:line="221" w:lineRule="auto"/>
        <w:rPr>
          <w:sz w:val="20"/>
          <w:szCs w:val="20"/>
          <w:color w:val="auto"/>
        </w:rPr>
      </w:pPr>
      <w:r>
        <w:rPr>
          <w:rFonts w:ascii="Arial" w:cs="Arial" w:eastAsia="Arial" w:hAnsi="Arial"/>
          <w:sz w:val="14"/>
          <w:szCs w:val="14"/>
          <w:color w:val="auto"/>
        </w:rPr>
        <w:t>Greenville</w:t>
      </w:r>
    </w:p>
    <w:p>
      <w:pPr>
        <w:spacing w:after="0" w:line="222" w:lineRule="auto"/>
        <w:rPr>
          <w:sz w:val="20"/>
          <w:szCs w:val="20"/>
          <w:color w:val="auto"/>
        </w:rPr>
      </w:pPr>
      <w:r>
        <w:rPr>
          <w:rFonts w:ascii="Arial" w:cs="Arial" w:eastAsia="Arial" w:hAnsi="Arial"/>
          <w:sz w:val="14"/>
          <w:szCs w:val="14"/>
          <w:color w:val="auto"/>
        </w:rPr>
        <w:t>Pineville</w:t>
      </w:r>
    </w:p>
    <w:p>
      <w:pPr>
        <w:spacing w:after="0" w:line="221" w:lineRule="auto"/>
        <w:rPr>
          <w:sz w:val="20"/>
          <w:szCs w:val="20"/>
          <w:color w:val="auto"/>
        </w:rPr>
      </w:pPr>
      <w:r>
        <w:rPr>
          <w:rFonts w:ascii="Arial" w:cs="Arial" w:eastAsia="Arial" w:hAnsi="Arial"/>
          <w:sz w:val="14"/>
          <w:szCs w:val="14"/>
          <w:color w:val="auto"/>
        </w:rPr>
        <w:t>Raleigh</w:t>
      </w:r>
    </w:p>
    <w:p>
      <w:pPr>
        <w:spacing w:after="0" w:line="222" w:lineRule="auto"/>
        <w:rPr>
          <w:sz w:val="20"/>
          <w:szCs w:val="20"/>
          <w:color w:val="auto"/>
        </w:rPr>
      </w:pPr>
      <w:r>
        <w:rPr>
          <w:rFonts w:ascii="Arial" w:cs="Arial" w:eastAsia="Arial" w:hAnsi="Arial"/>
          <w:sz w:val="14"/>
          <w:szCs w:val="14"/>
          <w:color w:val="auto"/>
        </w:rPr>
        <w:t>Smithfield*</w:t>
      </w:r>
    </w:p>
    <w:p>
      <w:pPr>
        <w:spacing w:after="0" w:line="221" w:lineRule="auto"/>
        <w:rPr>
          <w:sz w:val="20"/>
          <w:szCs w:val="20"/>
          <w:color w:val="auto"/>
        </w:rPr>
      </w:pPr>
      <w:r>
        <w:rPr>
          <w:rFonts w:ascii="Arial" w:cs="Arial" w:eastAsia="Arial" w:hAnsi="Arial"/>
          <w:sz w:val="14"/>
          <w:szCs w:val="14"/>
          <w:color w:val="auto"/>
        </w:rPr>
        <w:t>Wilmington</w:t>
      </w:r>
    </w:p>
    <w:p>
      <w:pPr>
        <w:spacing w:after="0"/>
        <w:rPr>
          <w:sz w:val="20"/>
          <w:szCs w:val="20"/>
          <w:color w:val="auto"/>
        </w:rPr>
      </w:pPr>
      <w:r>
        <w:rPr>
          <w:rFonts w:ascii="Arial" w:cs="Arial" w:eastAsia="Arial" w:hAnsi="Arial"/>
          <w:sz w:val="14"/>
          <w:szCs w:val="14"/>
          <w:color w:val="auto"/>
        </w:rPr>
        <w:t>Winston-Salem</w:t>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2"/>
          <w:szCs w:val="12"/>
          <w:b w:val="1"/>
          <w:bCs w:val="1"/>
          <w:i w:val="1"/>
          <w:iCs w:val="1"/>
          <w:color w:val="auto"/>
        </w:rPr>
        <w:t>North Dakota</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Fargo</w:t>
      </w:r>
    </w:p>
    <w:p>
      <w:pPr>
        <w:spacing w:after="0" w:line="57" w:lineRule="exact"/>
        <w:rPr>
          <w:sz w:val="20"/>
          <w:szCs w:val="20"/>
          <w:color w:val="auto"/>
        </w:rPr>
      </w:pPr>
    </w:p>
    <w:p>
      <w:pPr>
        <w:ind w:left="1000"/>
        <w:spacing w:after="0"/>
        <w:rPr>
          <w:sz w:val="20"/>
          <w:szCs w:val="20"/>
          <w:color w:val="auto"/>
        </w:rPr>
      </w:pPr>
      <w:r>
        <w:rPr>
          <w:rFonts w:ascii="Arial" w:cs="Arial" w:eastAsia="Arial" w:hAnsi="Arial"/>
          <w:sz w:val="14"/>
          <w:szCs w:val="14"/>
          <w:b w:val="1"/>
          <w:bCs w:val="1"/>
          <w:i w:val="1"/>
          <w:iCs w:val="1"/>
          <w:color w:val="auto"/>
        </w:rPr>
        <w:t>Ohio</w:t>
      </w:r>
    </w:p>
    <w:p>
      <w:pPr>
        <w:spacing w:after="0" w:line="221" w:lineRule="auto"/>
        <w:rPr>
          <w:sz w:val="20"/>
          <w:szCs w:val="20"/>
          <w:color w:val="auto"/>
        </w:rPr>
      </w:pPr>
      <w:r>
        <w:rPr>
          <w:rFonts w:ascii="Arial" w:cs="Arial" w:eastAsia="Arial" w:hAnsi="Arial"/>
          <w:sz w:val="14"/>
          <w:szCs w:val="14"/>
          <w:color w:val="auto"/>
        </w:rPr>
        <w:t>Boardman</w:t>
      </w:r>
    </w:p>
    <w:p>
      <w:pPr>
        <w:spacing w:after="0"/>
        <w:rPr>
          <w:sz w:val="20"/>
          <w:szCs w:val="20"/>
          <w:color w:val="auto"/>
        </w:rPr>
      </w:pPr>
      <w:r>
        <w:rPr>
          <w:rFonts w:ascii="Arial" w:cs="Arial" w:eastAsia="Arial" w:hAnsi="Arial"/>
          <w:sz w:val="14"/>
          <w:szCs w:val="14"/>
          <w:color w:val="auto"/>
        </w:rPr>
        <w:t>Canton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Ohio, cont.</w:t>
      </w:r>
    </w:p>
    <w:p>
      <w:pPr>
        <w:spacing w:after="0" w:line="221" w:lineRule="auto"/>
        <w:rPr>
          <w:sz w:val="20"/>
          <w:szCs w:val="20"/>
          <w:color w:val="auto"/>
        </w:rPr>
      </w:pPr>
      <w:r>
        <w:rPr>
          <w:rFonts w:ascii="Arial" w:cs="Arial" w:eastAsia="Arial" w:hAnsi="Arial"/>
          <w:sz w:val="14"/>
          <w:szCs w:val="14"/>
          <w:color w:val="auto"/>
        </w:rPr>
        <w:t>Cincinnati</w:t>
      </w:r>
    </w:p>
    <w:p>
      <w:pPr>
        <w:spacing w:after="0" w:line="221" w:lineRule="auto"/>
        <w:rPr>
          <w:sz w:val="20"/>
          <w:szCs w:val="20"/>
          <w:color w:val="auto"/>
        </w:rPr>
      </w:pPr>
      <w:r>
        <w:rPr>
          <w:rFonts w:ascii="Arial" w:cs="Arial" w:eastAsia="Arial" w:hAnsi="Arial"/>
          <w:sz w:val="14"/>
          <w:szCs w:val="14"/>
          <w:color w:val="auto"/>
        </w:rPr>
        <w:t>Columbus (4)*</w:t>
      </w:r>
    </w:p>
    <w:p>
      <w:pPr>
        <w:spacing w:after="0" w:line="222" w:lineRule="auto"/>
        <w:rPr>
          <w:sz w:val="20"/>
          <w:szCs w:val="20"/>
          <w:color w:val="auto"/>
        </w:rPr>
      </w:pPr>
      <w:r>
        <w:rPr>
          <w:rFonts w:ascii="Arial" w:cs="Arial" w:eastAsia="Arial" w:hAnsi="Arial"/>
          <w:sz w:val="14"/>
          <w:szCs w:val="14"/>
          <w:color w:val="auto"/>
        </w:rPr>
        <w:t>Fairlawn</w:t>
      </w:r>
    </w:p>
    <w:p>
      <w:pPr>
        <w:spacing w:after="0" w:line="221" w:lineRule="auto"/>
        <w:rPr>
          <w:sz w:val="20"/>
          <w:szCs w:val="20"/>
          <w:color w:val="auto"/>
        </w:rPr>
      </w:pPr>
      <w:r>
        <w:rPr>
          <w:rFonts w:ascii="Arial" w:cs="Arial" w:eastAsia="Arial" w:hAnsi="Arial"/>
          <w:sz w:val="14"/>
          <w:szCs w:val="14"/>
          <w:color w:val="auto"/>
        </w:rPr>
        <w:t>Grove City</w:t>
      </w:r>
    </w:p>
    <w:p>
      <w:pPr>
        <w:spacing w:after="0" w:line="222" w:lineRule="auto"/>
        <w:rPr>
          <w:sz w:val="20"/>
          <w:szCs w:val="20"/>
          <w:color w:val="auto"/>
        </w:rPr>
      </w:pPr>
      <w:r>
        <w:rPr>
          <w:rFonts w:ascii="Arial" w:cs="Arial" w:eastAsia="Arial" w:hAnsi="Arial"/>
          <w:sz w:val="14"/>
          <w:szCs w:val="14"/>
          <w:color w:val="auto"/>
        </w:rPr>
        <w:t>Jeffersonville*</w:t>
      </w:r>
    </w:p>
    <w:p>
      <w:pPr>
        <w:spacing w:after="0" w:line="221" w:lineRule="auto"/>
        <w:rPr>
          <w:sz w:val="20"/>
          <w:szCs w:val="20"/>
          <w:color w:val="auto"/>
        </w:rPr>
      </w:pPr>
      <w:r>
        <w:rPr>
          <w:rFonts w:ascii="Arial" w:cs="Arial" w:eastAsia="Arial" w:hAnsi="Arial"/>
          <w:sz w:val="14"/>
          <w:szCs w:val="14"/>
          <w:color w:val="auto"/>
        </w:rPr>
        <w:t>Mansfield</w:t>
      </w:r>
    </w:p>
    <w:p>
      <w:pPr>
        <w:spacing w:after="0" w:line="222" w:lineRule="auto"/>
        <w:rPr>
          <w:sz w:val="20"/>
          <w:szCs w:val="20"/>
          <w:color w:val="auto"/>
        </w:rPr>
      </w:pPr>
      <w:r>
        <w:rPr>
          <w:rFonts w:ascii="Arial" w:cs="Arial" w:eastAsia="Arial" w:hAnsi="Arial"/>
          <w:sz w:val="14"/>
          <w:szCs w:val="14"/>
          <w:color w:val="auto"/>
        </w:rPr>
        <w:t>Mentor</w:t>
      </w:r>
    </w:p>
    <w:p>
      <w:pPr>
        <w:spacing w:after="0" w:line="221" w:lineRule="auto"/>
        <w:rPr>
          <w:sz w:val="20"/>
          <w:szCs w:val="20"/>
          <w:color w:val="auto"/>
        </w:rPr>
      </w:pPr>
      <w:r>
        <w:rPr>
          <w:rFonts w:ascii="Arial" w:cs="Arial" w:eastAsia="Arial" w:hAnsi="Arial"/>
          <w:sz w:val="14"/>
          <w:szCs w:val="14"/>
          <w:color w:val="auto"/>
        </w:rPr>
        <w:t>Miamisburg</w:t>
      </w:r>
    </w:p>
    <w:p>
      <w:pPr>
        <w:spacing w:after="0" w:line="222" w:lineRule="auto"/>
        <w:rPr>
          <w:sz w:val="20"/>
          <w:szCs w:val="20"/>
          <w:color w:val="auto"/>
        </w:rPr>
      </w:pPr>
      <w:r>
        <w:rPr>
          <w:rFonts w:ascii="Arial" w:cs="Arial" w:eastAsia="Arial" w:hAnsi="Arial"/>
          <w:sz w:val="14"/>
          <w:szCs w:val="14"/>
          <w:color w:val="auto"/>
        </w:rPr>
        <w:t>North Olmsted</w:t>
      </w:r>
    </w:p>
    <w:p>
      <w:pPr>
        <w:spacing w:after="0" w:line="221" w:lineRule="auto"/>
        <w:rPr>
          <w:sz w:val="20"/>
          <w:szCs w:val="20"/>
          <w:color w:val="auto"/>
        </w:rPr>
      </w:pPr>
      <w:r>
        <w:rPr>
          <w:rFonts w:ascii="Arial" w:cs="Arial" w:eastAsia="Arial" w:hAnsi="Arial"/>
          <w:sz w:val="14"/>
          <w:szCs w:val="14"/>
          <w:color w:val="auto"/>
        </w:rPr>
        <w:t>North Randall</w:t>
      </w:r>
    </w:p>
    <w:p>
      <w:pPr>
        <w:spacing w:after="0" w:line="222" w:lineRule="auto"/>
        <w:rPr>
          <w:sz w:val="20"/>
          <w:szCs w:val="20"/>
          <w:color w:val="auto"/>
        </w:rPr>
      </w:pPr>
      <w:r>
        <w:rPr>
          <w:rFonts w:ascii="Arial" w:cs="Arial" w:eastAsia="Arial" w:hAnsi="Arial"/>
          <w:sz w:val="14"/>
          <w:szCs w:val="14"/>
          <w:color w:val="auto"/>
        </w:rPr>
        <w:t>Springdale</w:t>
      </w:r>
    </w:p>
    <w:p>
      <w:pPr>
        <w:spacing w:after="0"/>
        <w:rPr>
          <w:sz w:val="20"/>
          <w:szCs w:val="20"/>
          <w:color w:val="auto"/>
        </w:rPr>
      </w:pPr>
      <w:r>
        <w:rPr>
          <w:rFonts w:ascii="Arial" w:cs="Arial" w:eastAsia="Arial" w:hAnsi="Arial"/>
          <w:sz w:val="14"/>
          <w:szCs w:val="14"/>
          <w:color w:val="auto"/>
        </w:rPr>
        <w:t>Toledo</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Oklahoma</w:t>
      </w:r>
    </w:p>
    <w:p>
      <w:pPr>
        <w:spacing w:after="0"/>
        <w:rPr>
          <w:sz w:val="20"/>
          <w:szCs w:val="20"/>
          <w:color w:val="auto"/>
        </w:rPr>
      </w:pPr>
      <w:r>
        <w:rPr>
          <w:rFonts w:ascii="Arial" w:cs="Arial" w:eastAsia="Arial" w:hAnsi="Arial"/>
          <w:sz w:val="12"/>
          <w:szCs w:val="12"/>
          <w:color w:val="auto"/>
        </w:rPr>
        <w:t>Oklahoma City (2)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Tulsa</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Oregon</w:t>
      </w:r>
    </w:p>
    <w:p>
      <w:pPr>
        <w:spacing w:after="0" w:line="221" w:lineRule="auto"/>
        <w:rPr>
          <w:sz w:val="20"/>
          <w:szCs w:val="20"/>
          <w:color w:val="auto"/>
        </w:rPr>
      </w:pPr>
      <w:r>
        <w:rPr>
          <w:rFonts w:ascii="Arial" w:cs="Arial" w:eastAsia="Arial" w:hAnsi="Arial"/>
          <w:sz w:val="14"/>
          <w:szCs w:val="14"/>
          <w:color w:val="auto"/>
        </w:rPr>
        <w:t>Beaverton</w:t>
      </w:r>
    </w:p>
    <w:p>
      <w:pPr>
        <w:spacing w:after="0" w:line="221" w:lineRule="auto"/>
        <w:rPr>
          <w:sz w:val="20"/>
          <w:szCs w:val="20"/>
          <w:color w:val="auto"/>
        </w:rPr>
      </w:pPr>
      <w:r>
        <w:rPr>
          <w:rFonts w:ascii="Arial" w:cs="Arial" w:eastAsia="Arial" w:hAnsi="Arial"/>
          <w:sz w:val="14"/>
          <w:szCs w:val="14"/>
          <w:color w:val="auto"/>
        </w:rPr>
        <w:t>Clackamas</w:t>
      </w:r>
    </w:p>
    <w:p>
      <w:pPr>
        <w:spacing w:after="0" w:line="222" w:lineRule="auto"/>
        <w:rPr>
          <w:sz w:val="20"/>
          <w:szCs w:val="20"/>
          <w:color w:val="auto"/>
        </w:rPr>
      </w:pPr>
      <w:r>
        <w:rPr>
          <w:rFonts w:ascii="Arial" w:cs="Arial" w:eastAsia="Arial" w:hAnsi="Arial"/>
          <w:sz w:val="14"/>
          <w:szCs w:val="14"/>
          <w:color w:val="auto"/>
        </w:rPr>
        <w:t>Eugene</w:t>
      </w:r>
    </w:p>
    <w:p>
      <w:pPr>
        <w:spacing w:after="0" w:line="221" w:lineRule="auto"/>
        <w:rPr>
          <w:sz w:val="20"/>
          <w:szCs w:val="20"/>
          <w:color w:val="auto"/>
        </w:rPr>
      </w:pPr>
      <w:r>
        <w:rPr>
          <w:rFonts w:ascii="Arial" w:cs="Arial" w:eastAsia="Arial" w:hAnsi="Arial"/>
          <w:sz w:val="14"/>
          <w:szCs w:val="14"/>
          <w:color w:val="auto"/>
        </w:rPr>
        <w:t>Portland</w:t>
      </w:r>
    </w:p>
    <w:p>
      <w:pPr>
        <w:spacing w:after="0"/>
        <w:rPr>
          <w:sz w:val="20"/>
          <w:szCs w:val="20"/>
          <w:color w:val="auto"/>
        </w:rPr>
      </w:pPr>
      <w:r>
        <w:rPr>
          <w:rFonts w:ascii="Arial" w:cs="Arial" w:eastAsia="Arial" w:hAnsi="Arial"/>
          <w:sz w:val="14"/>
          <w:szCs w:val="14"/>
          <w:color w:val="auto"/>
        </w:rPr>
        <w:t>Salem</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Pennsylvania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Altoona</w:t>
      </w:r>
    </w:p>
    <w:p>
      <w:pPr>
        <w:spacing w:after="0" w:line="221" w:lineRule="auto"/>
        <w:rPr>
          <w:sz w:val="20"/>
          <w:szCs w:val="20"/>
          <w:color w:val="auto"/>
        </w:rPr>
      </w:pPr>
      <w:r>
        <w:rPr>
          <w:rFonts w:ascii="Arial" w:cs="Arial" w:eastAsia="Arial" w:hAnsi="Arial"/>
          <w:sz w:val="14"/>
          <w:szCs w:val="14"/>
          <w:color w:val="auto"/>
        </w:rPr>
        <w:t>Erie</w:t>
      </w:r>
    </w:p>
    <w:p>
      <w:pPr>
        <w:spacing w:after="0" w:line="221" w:lineRule="auto"/>
        <w:rPr>
          <w:sz w:val="20"/>
          <w:szCs w:val="20"/>
          <w:color w:val="auto"/>
        </w:rPr>
      </w:pPr>
      <w:r>
        <w:rPr>
          <w:rFonts w:ascii="Arial" w:cs="Arial" w:eastAsia="Arial" w:hAnsi="Arial"/>
          <w:sz w:val="14"/>
          <w:szCs w:val="14"/>
          <w:color w:val="auto"/>
        </w:rPr>
        <w:t>Fairless Hills</w:t>
      </w:r>
    </w:p>
    <w:p>
      <w:pPr>
        <w:spacing w:after="0" w:line="222" w:lineRule="auto"/>
        <w:rPr>
          <w:sz w:val="20"/>
          <w:szCs w:val="20"/>
          <w:color w:val="auto"/>
        </w:rPr>
      </w:pPr>
      <w:r>
        <w:rPr>
          <w:rFonts w:ascii="Arial" w:cs="Arial" w:eastAsia="Arial" w:hAnsi="Arial"/>
          <w:sz w:val="14"/>
          <w:szCs w:val="14"/>
          <w:color w:val="auto"/>
        </w:rPr>
        <w:t>Gettysburg*</w:t>
      </w:r>
    </w:p>
    <w:p>
      <w:pPr>
        <w:spacing w:after="0" w:line="221" w:lineRule="auto"/>
        <w:rPr>
          <w:sz w:val="20"/>
          <w:szCs w:val="20"/>
          <w:color w:val="auto"/>
        </w:rPr>
      </w:pPr>
      <w:r>
        <w:rPr>
          <w:rFonts w:ascii="Arial" w:cs="Arial" w:eastAsia="Arial" w:hAnsi="Arial"/>
          <w:sz w:val="14"/>
          <w:szCs w:val="14"/>
          <w:color w:val="auto"/>
        </w:rPr>
        <w:t>Greensburg</w:t>
      </w:r>
    </w:p>
    <w:p>
      <w:pPr>
        <w:spacing w:after="0" w:line="222" w:lineRule="auto"/>
        <w:rPr>
          <w:sz w:val="20"/>
          <w:szCs w:val="20"/>
          <w:color w:val="auto"/>
        </w:rPr>
      </w:pPr>
      <w:r>
        <w:rPr>
          <w:rFonts w:ascii="Arial" w:cs="Arial" w:eastAsia="Arial" w:hAnsi="Arial"/>
          <w:sz w:val="14"/>
          <w:szCs w:val="14"/>
          <w:color w:val="auto"/>
        </w:rPr>
        <w:t>Grove City*</w:t>
      </w:r>
    </w:p>
    <w:p>
      <w:pPr>
        <w:spacing w:after="0" w:line="221" w:lineRule="auto"/>
        <w:rPr>
          <w:sz w:val="20"/>
          <w:szCs w:val="20"/>
          <w:color w:val="auto"/>
        </w:rPr>
      </w:pPr>
      <w:r>
        <w:rPr>
          <w:rFonts w:ascii="Arial" w:cs="Arial" w:eastAsia="Arial" w:hAnsi="Arial"/>
          <w:sz w:val="14"/>
          <w:szCs w:val="14"/>
          <w:color w:val="auto"/>
        </w:rPr>
        <w:t>Harrisburg</w:t>
      </w:r>
    </w:p>
    <w:p>
      <w:pPr>
        <w:spacing w:after="0" w:line="222" w:lineRule="auto"/>
        <w:rPr>
          <w:sz w:val="20"/>
          <w:szCs w:val="20"/>
          <w:color w:val="auto"/>
        </w:rPr>
      </w:pPr>
      <w:r>
        <w:rPr>
          <w:rFonts w:ascii="Arial" w:cs="Arial" w:eastAsia="Arial" w:hAnsi="Arial"/>
          <w:sz w:val="14"/>
          <w:szCs w:val="14"/>
          <w:color w:val="auto"/>
        </w:rPr>
        <w:t>King Of Prussia</w:t>
      </w:r>
    </w:p>
    <w:p>
      <w:pPr>
        <w:spacing w:after="0" w:line="221" w:lineRule="auto"/>
        <w:rPr>
          <w:sz w:val="20"/>
          <w:szCs w:val="20"/>
          <w:color w:val="auto"/>
        </w:rPr>
      </w:pPr>
      <w:r>
        <w:rPr>
          <w:rFonts w:ascii="Arial" w:cs="Arial" w:eastAsia="Arial" w:hAnsi="Arial"/>
          <w:sz w:val="14"/>
          <w:szCs w:val="14"/>
          <w:color w:val="auto"/>
        </w:rPr>
        <w:t>Lancaster*</w:t>
      </w:r>
    </w:p>
    <w:p>
      <w:pPr>
        <w:spacing w:after="0" w:line="222" w:lineRule="auto"/>
        <w:rPr>
          <w:sz w:val="20"/>
          <w:szCs w:val="20"/>
          <w:color w:val="auto"/>
        </w:rPr>
      </w:pPr>
      <w:r>
        <w:rPr>
          <w:rFonts w:ascii="Arial" w:cs="Arial" w:eastAsia="Arial" w:hAnsi="Arial"/>
          <w:sz w:val="14"/>
          <w:szCs w:val="14"/>
          <w:color w:val="auto"/>
        </w:rPr>
        <w:t>Monroeville</w:t>
      </w:r>
    </w:p>
    <w:p>
      <w:pPr>
        <w:spacing w:after="0" w:line="221" w:lineRule="auto"/>
        <w:rPr>
          <w:sz w:val="20"/>
          <w:szCs w:val="20"/>
          <w:color w:val="auto"/>
        </w:rPr>
      </w:pPr>
      <w:r>
        <w:rPr>
          <w:rFonts w:ascii="Arial" w:cs="Arial" w:eastAsia="Arial" w:hAnsi="Arial"/>
          <w:sz w:val="14"/>
          <w:szCs w:val="14"/>
          <w:color w:val="auto"/>
        </w:rPr>
        <w:t>Philadelphia (3)</w:t>
      </w:r>
    </w:p>
    <w:p>
      <w:pPr>
        <w:spacing w:after="0" w:line="222" w:lineRule="auto"/>
        <w:rPr>
          <w:sz w:val="20"/>
          <w:szCs w:val="20"/>
          <w:color w:val="auto"/>
        </w:rPr>
      </w:pPr>
      <w:r>
        <w:rPr>
          <w:rFonts w:ascii="Arial" w:cs="Arial" w:eastAsia="Arial" w:hAnsi="Arial"/>
          <w:sz w:val="14"/>
          <w:szCs w:val="14"/>
          <w:color w:val="auto"/>
        </w:rPr>
        <w:t>Pittsburgh (2)</w:t>
      </w:r>
    </w:p>
    <w:p>
      <w:pPr>
        <w:spacing w:after="0" w:line="221" w:lineRule="auto"/>
        <w:rPr>
          <w:sz w:val="20"/>
          <w:szCs w:val="20"/>
          <w:color w:val="auto"/>
        </w:rPr>
      </w:pPr>
      <w:r>
        <w:rPr>
          <w:rFonts w:ascii="Arial" w:cs="Arial" w:eastAsia="Arial" w:hAnsi="Arial"/>
          <w:sz w:val="14"/>
          <w:szCs w:val="14"/>
          <w:color w:val="auto"/>
        </w:rPr>
        <w:t>Pottstown*</w:t>
      </w:r>
    </w:p>
    <w:p>
      <w:pPr>
        <w:spacing w:after="0" w:line="221" w:lineRule="auto"/>
        <w:rPr>
          <w:sz w:val="20"/>
          <w:szCs w:val="20"/>
          <w:color w:val="auto"/>
        </w:rPr>
      </w:pPr>
      <w:r>
        <w:rPr>
          <w:rFonts w:ascii="Arial" w:cs="Arial" w:eastAsia="Arial" w:hAnsi="Arial"/>
          <w:sz w:val="14"/>
          <w:szCs w:val="14"/>
          <w:color w:val="auto"/>
        </w:rPr>
        <w:t>Scranton</w:t>
      </w:r>
    </w:p>
    <w:p>
      <w:pPr>
        <w:spacing w:after="0" w:line="222" w:lineRule="auto"/>
        <w:rPr>
          <w:sz w:val="20"/>
          <w:szCs w:val="20"/>
          <w:color w:val="auto"/>
        </w:rPr>
      </w:pPr>
      <w:r>
        <w:rPr>
          <w:rFonts w:ascii="Arial" w:cs="Arial" w:eastAsia="Arial" w:hAnsi="Arial"/>
          <w:sz w:val="14"/>
          <w:szCs w:val="14"/>
          <w:color w:val="auto"/>
        </w:rPr>
        <w:t>Springfield</w:t>
      </w:r>
    </w:p>
    <w:p>
      <w:pPr>
        <w:spacing w:after="0" w:line="221" w:lineRule="auto"/>
        <w:rPr>
          <w:sz w:val="20"/>
          <w:szCs w:val="20"/>
          <w:color w:val="auto"/>
        </w:rPr>
      </w:pPr>
      <w:r>
        <w:rPr>
          <w:rFonts w:ascii="Arial" w:cs="Arial" w:eastAsia="Arial" w:hAnsi="Arial"/>
          <w:sz w:val="14"/>
          <w:szCs w:val="14"/>
          <w:color w:val="auto"/>
        </w:rPr>
        <w:t>Tannersville*</w:t>
      </w:r>
    </w:p>
    <w:p>
      <w:pPr>
        <w:spacing w:after="0" w:line="222" w:lineRule="auto"/>
        <w:rPr>
          <w:sz w:val="20"/>
          <w:szCs w:val="20"/>
          <w:color w:val="auto"/>
        </w:rPr>
      </w:pPr>
      <w:r>
        <w:rPr>
          <w:rFonts w:ascii="Arial" w:cs="Arial" w:eastAsia="Arial" w:hAnsi="Arial"/>
          <w:sz w:val="14"/>
          <w:szCs w:val="14"/>
          <w:color w:val="auto"/>
        </w:rPr>
        <w:t>Washington*</w:t>
      </w:r>
    </w:p>
    <w:p>
      <w:pPr>
        <w:spacing w:after="0" w:line="221" w:lineRule="auto"/>
        <w:rPr>
          <w:sz w:val="20"/>
          <w:szCs w:val="20"/>
          <w:color w:val="auto"/>
        </w:rPr>
      </w:pPr>
      <w:r>
        <w:rPr>
          <w:rFonts w:ascii="Arial" w:cs="Arial" w:eastAsia="Arial" w:hAnsi="Arial"/>
          <w:sz w:val="14"/>
          <w:szCs w:val="14"/>
          <w:color w:val="auto"/>
        </w:rPr>
        <w:t>West Mifflin</w:t>
      </w:r>
    </w:p>
    <w:p>
      <w:pPr>
        <w:spacing w:after="0" w:line="222" w:lineRule="auto"/>
        <w:rPr>
          <w:sz w:val="20"/>
          <w:szCs w:val="20"/>
          <w:color w:val="auto"/>
        </w:rPr>
      </w:pPr>
      <w:r>
        <w:rPr>
          <w:rFonts w:ascii="Arial" w:cs="Arial" w:eastAsia="Arial" w:hAnsi="Arial"/>
          <w:sz w:val="14"/>
          <w:szCs w:val="14"/>
          <w:color w:val="auto"/>
        </w:rPr>
        <w:t>Whitehall</w:t>
      </w:r>
    </w:p>
    <w:p>
      <w:pPr>
        <w:spacing w:after="0" w:line="221" w:lineRule="auto"/>
        <w:rPr>
          <w:sz w:val="20"/>
          <w:szCs w:val="20"/>
          <w:color w:val="auto"/>
        </w:rPr>
      </w:pPr>
      <w:r>
        <w:rPr>
          <w:rFonts w:ascii="Arial" w:cs="Arial" w:eastAsia="Arial" w:hAnsi="Arial"/>
          <w:sz w:val="14"/>
          <w:szCs w:val="14"/>
          <w:color w:val="auto"/>
        </w:rPr>
        <w:t>Wilkes Barre</w:t>
      </w:r>
    </w:p>
    <w:p>
      <w:pPr>
        <w:spacing w:after="0" w:line="222" w:lineRule="auto"/>
        <w:rPr>
          <w:sz w:val="20"/>
          <w:szCs w:val="20"/>
          <w:color w:val="auto"/>
        </w:rPr>
      </w:pPr>
      <w:r>
        <w:rPr>
          <w:rFonts w:ascii="Arial" w:cs="Arial" w:eastAsia="Arial" w:hAnsi="Arial"/>
          <w:sz w:val="14"/>
          <w:szCs w:val="14"/>
          <w:color w:val="auto"/>
        </w:rPr>
        <w:t>Willow Grove</w:t>
      </w:r>
    </w:p>
    <w:p>
      <w:pPr>
        <w:spacing w:after="0" w:line="221" w:lineRule="auto"/>
        <w:rPr>
          <w:sz w:val="20"/>
          <w:szCs w:val="20"/>
          <w:color w:val="auto"/>
        </w:rPr>
      </w:pPr>
      <w:r>
        <w:rPr>
          <w:rFonts w:ascii="Arial" w:cs="Arial" w:eastAsia="Arial" w:hAnsi="Arial"/>
          <w:sz w:val="14"/>
          <w:szCs w:val="14"/>
          <w:color w:val="auto"/>
        </w:rPr>
        <w:t>Wyomissing</w:t>
      </w:r>
    </w:p>
    <w:p>
      <w:pPr>
        <w:spacing w:after="0"/>
        <w:rPr>
          <w:sz w:val="20"/>
          <w:szCs w:val="20"/>
          <w:color w:val="auto"/>
        </w:rPr>
      </w:pPr>
      <w:r>
        <w:rPr>
          <w:rFonts w:ascii="Arial" w:cs="Arial" w:eastAsia="Arial" w:hAnsi="Arial"/>
          <w:sz w:val="14"/>
          <w:szCs w:val="14"/>
          <w:color w:val="auto"/>
        </w:rPr>
        <w:t>York</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2"/>
          <w:szCs w:val="12"/>
          <w:b w:val="1"/>
          <w:bCs w:val="1"/>
          <w:i w:val="1"/>
          <w:iCs w:val="1"/>
          <w:color w:val="auto"/>
        </w:rPr>
        <w:t>Rhode Island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Warwick</w:t>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South Carolina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Charleston</w:t>
      </w:r>
    </w:p>
    <w:p>
      <w:pPr>
        <w:spacing w:after="0" w:line="221" w:lineRule="auto"/>
        <w:rPr>
          <w:sz w:val="20"/>
          <w:szCs w:val="20"/>
          <w:color w:val="auto"/>
        </w:rPr>
      </w:pPr>
      <w:r>
        <w:rPr>
          <w:rFonts w:ascii="Arial" w:cs="Arial" w:eastAsia="Arial" w:hAnsi="Arial"/>
          <w:sz w:val="14"/>
          <w:szCs w:val="14"/>
          <w:color w:val="auto"/>
        </w:rPr>
        <w:t>Columbia</w:t>
      </w:r>
    </w:p>
    <w:p>
      <w:pPr>
        <w:spacing w:after="0" w:line="221" w:lineRule="auto"/>
        <w:rPr>
          <w:sz w:val="20"/>
          <w:szCs w:val="20"/>
          <w:color w:val="auto"/>
        </w:rPr>
      </w:pPr>
      <w:r>
        <w:rPr>
          <w:rFonts w:ascii="Arial" w:cs="Arial" w:eastAsia="Arial" w:hAnsi="Arial"/>
          <w:sz w:val="14"/>
          <w:szCs w:val="14"/>
          <w:color w:val="auto"/>
        </w:rPr>
        <w:t>Greenville</w:t>
      </w:r>
    </w:p>
    <w:p>
      <w:pPr>
        <w:spacing w:after="0" w:line="222" w:lineRule="auto"/>
        <w:rPr>
          <w:sz w:val="20"/>
          <w:szCs w:val="20"/>
          <w:color w:val="auto"/>
        </w:rPr>
      </w:pPr>
      <w:r>
        <w:rPr>
          <w:rFonts w:ascii="Arial" w:cs="Arial" w:eastAsia="Arial" w:hAnsi="Arial"/>
          <w:sz w:val="14"/>
          <w:szCs w:val="14"/>
          <w:color w:val="auto"/>
        </w:rPr>
        <w:t>Myrtle Beach*</w:t>
      </w:r>
    </w:p>
    <w:p>
      <w:pPr>
        <w:spacing w:after="0"/>
        <w:rPr>
          <w:sz w:val="20"/>
          <w:szCs w:val="20"/>
          <w:color w:val="auto"/>
        </w:rPr>
      </w:pPr>
      <w:r>
        <w:rPr>
          <w:rFonts w:ascii="Arial" w:cs="Arial" w:eastAsia="Arial" w:hAnsi="Arial"/>
          <w:sz w:val="14"/>
          <w:szCs w:val="14"/>
          <w:color w:val="auto"/>
        </w:rPr>
        <w:t>N. Charleston*</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2"/>
          <w:szCs w:val="12"/>
          <w:b w:val="1"/>
          <w:bCs w:val="1"/>
          <w:i w:val="1"/>
          <w:iCs w:val="1"/>
          <w:color w:val="auto"/>
        </w:rPr>
        <w:t>South Dakota</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Sioux Falls</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color w:val="auto"/>
        </w:rPr>
        <w:t>Tennessee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Antioch</w:t>
      </w:r>
    </w:p>
    <w:p>
      <w:pPr>
        <w:spacing w:after="0" w:line="221" w:lineRule="auto"/>
        <w:rPr>
          <w:sz w:val="20"/>
          <w:szCs w:val="20"/>
          <w:color w:val="auto"/>
        </w:rPr>
      </w:pPr>
      <w:r>
        <w:rPr>
          <w:rFonts w:ascii="Arial" w:cs="Arial" w:eastAsia="Arial" w:hAnsi="Arial"/>
          <w:sz w:val="14"/>
          <w:szCs w:val="14"/>
          <w:color w:val="auto"/>
        </w:rPr>
        <w:t>Chattanooga</w:t>
      </w:r>
    </w:p>
    <w:p>
      <w:pPr>
        <w:spacing w:after="0" w:line="221" w:lineRule="auto"/>
        <w:rPr>
          <w:sz w:val="20"/>
          <w:szCs w:val="20"/>
          <w:color w:val="auto"/>
        </w:rPr>
      </w:pPr>
      <w:r>
        <w:rPr>
          <w:rFonts w:ascii="Arial" w:cs="Arial" w:eastAsia="Arial" w:hAnsi="Arial"/>
          <w:sz w:val="14"/>
          <w:szCs w:val="14"/>
          <w:color w:val="auto"/>
        </w:rPr>
        <w:t>Knoxville</w:t>
      </w:r>
    </w:p>
    <w:p>
      <w:pPr>
        <w:spacing w:after="0" w:line="222" w:lineRule="auto"/>
        <w:rPr>
          <w:sz w:val="20"/>
          <w:szCs w:val="20"/>
          <w:color w:val="auto"/>
        </w:rPr>
      </w:pPr>
      <w:r>
        <w:rPr>
          <w:rFonts w:ascii="Arial" w:cs="Arial" w:eastAsia="Arial" w:hAnsi="Arial"/>
          <w:sz w:val="14"/>
          <w:szCs w:val="14"/>
          <w:color w:val="auto"/>
        </w:rPr>
        <w:t>Lakeland*</w:t>
      </w:r>
    </w:p>
    <w:p>
      <w:pPr>
        <w:spacing w:after="0" w:line="221" w:lineRule="auto"/>
        <w:rPr>
          <w:sz w:val="20"/>
          <w:szCs w:val="20"/>
          <w:color w:val="auto"/>
        </w:rPr>
      </w:pPr>
      <w:r>
        <w:rPr>
          <w:rFonts w:ascii="Arial" w:cs="Arial" w:eastAsia="Arial" w:hAnsi="Arial"/>
          <w:sz w:val="14"/>
          <w:szCs w:val="14"/>
          <w:color w:val="auto"/>
        </w:rPr>
        <w:t>Madison</w:t>
      </w:r>
    </w:p>
    <w:p>
      <w:pPr>
        <w:spacing w:after="0" w:line="222" w:lineRule="auto"/>
        <w:rPr>
          <w:sz w:val="20"/>
          <w:szCs w:val="20"/>
          <w:color w:val="auto"/>
        </w:rPr>
      </w:pPr>
      <w:r>
        <w:rPr>
          <w:rFonts w:ascii="Arial" w:cs="Arial" w:eastAsia="Arial" w:hAnsi="Arial"/>
          <w:sz w:val="14"/>
          <w:szCs w:val="14"/>
          <w:color w:val="auto"/>
        </w:rPr>
        <w:t>Memphis (2)</w:t>
      </w:r>
    </w:p>
    <w:p>
      <w:pPr>
        <w:spacing w:after="0"/>
        <w:rPr>
          <w:sz w:val="20"/>
          <w:szCs w:val="20"/>
          <w:color w:val="auto"/>
        </w:rPr>
      </w:pPr>
      <w:r>
        <w:rPr>
          <w:rFonts w:ascii="Arial" w:cs="Arial" w:eastAsia="Arial" w:hAnsi="Arial"/>
          <w:sz w:val="14"/>
          <w:szCs w:val="14"/>
          <w:color w:val="auto"/>
        </w:rPr>
        <w:t>Pigeon Forge*</w:t>
      </w:r>
    </w:p>
    <w:p>
      <w:pPr>
        <w:spacing w:after="0" w:line="56"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i w:val="1"/>
          <w:iCs w:val="1"/>
          <w:color w:val="auto"/>
        </w:rPr>
        <w:t>Texas</w:t>
      </w:r>
    </w:p>
    <w:p>
      <w:pPr>
        <w:spacing w:after="0" w:line="221" w:lineRule="auto"/>
        <w:rPr>
          <w:sz w:val="20"/>
          <w:szCs w:val="20"/>
          <w:color w:val="auto"/>
        </w:rPr>
      </w:pPr>
      <w:r>
        <w:rPr>
          <w:rFonts w:ascii="Arial" w:cs="Arial" w:eastAsia="Arial" w:hAnsi="Arial"/>
          <w:sz w:val="14"/>
          <w:szCs w:val="14"/>
          <w:color w:val="auto"/>
        </w:rPr>
        <w:t>Allen*</w:t>
      </w:r>
    </w:p>
    <w:p>
      <w:pPr>
        <w:spacing w:after="0" w:line="221" w:lineRule="auto"/>
        <w:rPr>
          <w:sz w:val="20"/>
          <w:szCs w:val="20"/>
          <w:color w:val="auto"/>
        </w:rPr>
      </w:pPr>
      <w:r>
        <w:rPr>
          <w:rFonts w:ascii="Arial" w:cs="Arial" w:eastAsia="Arial" w:hAnsi="Arial"/>
          <w:sz w:val="14"/>
          <w:szCs w:val="14"/>
          <w:color w:val="auto"/>
        </w:rPr>
        <w:t>Amarillo</w:t>
      </w:r>
    </w:p>
    <w:p>
      <w:pPr>
        <w:spacing w:after="0" w:line="222" w:lineRule="auto"/>
        <w:rPr>
          <w:sz w:val="20"/>
          <w:szCs w:val="20"/>
          <w:color w:val="auto"/>
        </w:rPr>
      </w:pPr>
      <w:r>
        <w:rPr>
          <w:rFonts w:ascii="Arial" w:cs="Arial" w:eastAsia="Arial" w:hAnsi="Arial"/>
          <w:sz w:val="14"/>
          <w:szCs w:val="14"/>
          <w:color w:val="auto"/>
        </w:rPr>
        <w:t>Arlington</w:t>
      </w:r>
    </w:p>
    <w:p>
      <w:pPr>
        <w:spacing w:after="0" w:line="221" w:lineRule="auto"/>
        <w:rPr>
          <w:sz w:val="20"/>
          <w:szCs w:val="20"/>
          <w:color w:val="auto"/>
        </w:rPr>
      </w:pPr>
      <w:r>
        <w:rPr>
          <w:rFonts w:ascii="Arial" w:cs="Arial" w:eastAsia="Arial" w:hAnsi="Arial"/>
          <w:sz w:val="14"/>
          <w:szCs w:val="14"/>
          <w:color w:val="auto"/>
        </w:rPr>
        <w:t>Austin (2)</w:t>
      </w:r>
    </w:p>
    <w:p>
      <w:pPr>
        <w:spacing w:after="0" w:line="222" w:lineRule="auto"/>
        <w:rPr>
          <w:sz w:val="20"/>
          <w:szCs w:val="20"/>
          <w:color w:val="auto"/>
        </w:rPr>
      </w:pPr>
      <w:r>
        <w:rPr>
          <w:rFonts w:ascii="Arial" w:cs="Arial" w:eastAsia="Arial" w:hAnsi="Arial"/>
          <w:sz w:val="14"/>
          <w:szCs w:val="14"/>
          <w:color w:val="auto"/>
        </w:rPr>
        <w:t>Canutillo*</w:t>
      </w:r>
    </w:p>
    <w:p>
      <w:pPr>
        <w:spacing w:after="0" w:line="221" w:lineRule="auto"/>
        <w:rPr>
          <w:sz w:val="20"/>
          <w:szCs w:val="20"/>
          <w:color w:val="auto"/>
        </w:rPr>
      </w:pPr>
      <w:r>
        <w:rPr>
          <w:rFonts w:ascii="Arial" w:cs="Arial" w:eastAsia="Arial" w:hAnsi="Arial"/>
          <w:sz w:val="14"/>
          <w:szCs w:val="14"/>
          <w:color w:val="auto"/>
        </w:rPr>
        <w:t>Conroe*</w:t>
      </w:r>
    </w:p>
    <w:p>
      <w:pPr>
        <w:spacing w:after="0" w:line="222" w:lineRule="auto"/>
        <w:rPr>
          <w:sz w:val="20"/>
          <w:szCs w:val="20"/>
          <w:color w:val="auto"/>
        </w:rPr>
      </w:pPr>
      <w:r>
        <w:rPr>
          <w:rFonts w:ascii="Arial" w:cs="Arial" w:eastAsia="Arial" w:hAnsi="Arial"/>
          <w:sz w:val="14"/>
          <w:szCs w:val="14"/>
          <w:color w:val="auto"/>
        </w:rPr>
        <w:t>Corpus Christi</w:t>
      </w:r>
    </w:p>
    <w:p>
      <w:pPr>
        <w:spacing w:after="0" w:line="221" w:lineRule="auto"/>
        <w:rPr>
          <w:sz w:val="20"/>
          <w:szCs w:val="20"/>
          <w:color w:val="auto"/>
        </w:rPr>
      </w:pPr>
      <w:r>
        <w:rPr>
          <w:rFonts w:ascii="Arial" w:cs="Arial" w:eastAsia="Arial" w:hAnsi="Arial"/>
          <w:sz w:val="14"/>
          <w:szCs w:val="14"/>
          <w:color w:val="auto"/>
        </w:rPr>
        <w:t>Cypress*</w:t>
      </w:r>
    </w:p>
    <w:p>
      <w:pPr>
        <w:spacing w:after="0" w:line="222" w:lineRule="auto"/>
        <w:rPr>
          <w:sz w:val="20"/>
          <w:szCs w:val="20"/>
          <w:color w:val="auto"/>
        </w:rPr>
      </w:pPr>
      <w:r>
        <w:rPr>
          <w:rFonts w:ascii="Arial" w:cs="Arial" w:eastAsia="Arial" w:hAnsi="Arial"/>
          <w:sz w:val="14"/>
          <w:szCs w:val="14"/>
          <w:color w:val="auto"/>
        </w:rPr>
        <w:t>Dallas (2)</w:t>
      </w:r>
    </w:p>
    <w:p>
      <w:pPr>
        <w:spacing w:after="0" w:line="221" w:lineRule="auto"/>
        <w:rPr>
          <w:sz w:val="20"/>
          <w:szCs w:val="20"/>
          <w:color w:val="auto"/>
        </w:rPr>
      </w:pPr>
      <w:r>
        <w:rPr>
          <w:rFonts w:ascii="Arial" w:cs="Arial" w:eastAsia="Arial" w:hAnsi="Arial"/>
          <w:sz w:val="14"/>
          <w:szCs w:val="14"/>
          <w:color w:val="auto"/>
        </w:rPr>
        <w:t>El Paso</w:t>
      </w:r>
    </w:p>
    <w:p>
      <w:pPr>
        <w:spacing w:after="0" w:line="222" w:lineRule="auto"/>
        <w:rPr>
          <w:sz w:val="20"/>
          <w:szCs w:val="20"/>
          <w:color w:val="auto"/>
        </w:rPr>
      </w:pPr>
      <w:r>
        <w:rPr>
          <w:rFonts w:ascii="Arial" w:cs="Arial" w:eastAsia="Arial" w:hAnsi="Arial"/>
          <w:sz w:val="14"/>
          <w:szCs w:val="14"/>
          <w:color w:val="auto"/>
        </w:rPr>
        <w:t>Fort Worth</w:t>
      </w:r>
    </w:p>
    <w:p>
      <w:pPr>
        <w:spacing w:after="0" w:line="221" w:lineRule="auto"/>
        <w:rPr>
          <w:sz w:val="20"/>
          <w:szCs w:val="20"/>
          <w:color w:val="auto"/>
        </w:rPr>
      </w:pPr>
      <w:r>
        <w:rPr>
          <w:rFonts w:ascii="Arial" w:cs="Arial" w:eastAsia="Arial" w:hAnsi="Arial"/>
          <w:sz w:val="14"/>
          <w:szCs w:val="14"/>
          <w:color w:val="auto"/>
        </w:rPr>
        <w:t>Houston (5)</w:t>
      </w:r>
    </w:p>
    <w:p>
      <w:pPr>
        <w:spacing w:after="0" w:line="221" w:lineRule="auto"/>
        <w:rPr>
          <w:sz w:val="20"/>
          <w:szCs w:val="20"/>
          <w:color w:val="auto"/>
        </w:rPr>
      </w:pPr>
      <w:r>
        <w:rPr>
          <w:rFonts w:ascii="Arial" w:cs="Arial" w:eastAsia="Arial" w:hAnsi="Arial"/>
          <w:sz w:val="14"/>
          <w:szCs w:val="14"/>
          <w:color w:val="auto"/>
        </w:rPr>
        <w:t>Humble</w:t>
      </w:r>
    </w:p>
    <w:p>
      <w:pPr>
        <w:spacing w:after="0" w:line="222" w:lineRule="auto"/>
        <w:rPr>
          <w:sz w:val="20"/>
          <w:szCs w:val="20"/>
          <w:color w:val="auto"/>
        </w:rPr>
      </w:pPr>
      <w:r>
        <w:rPr>
          <w:rFonts w:ascii="Arial" w:cs="Arial" w:eastAsia="Arial" w:hAnsi="Arial"/>
          <w:sz w:val="14"/>
          <w:szCs w:val="14"/>
          <w:color w:val="auto"/>
        </w:rPr>
        <w:t>Hurst</w:t>
      </w:r>
    </w:p>
    <w:p>
      <w:pPr>
        <w:spacing w:after="0" w:line="221" w:lineRule="auto"/>
        <w:rPr>
          <w:sz w:val="20"/>
          <w:szCs w:val="20"/>
          <w:color w:val="auto"/>
        </w:rPr>
      </w:pPr>
      <w:r>
        <w:rPr>
          <w:rFonts w:ascii="Arial" w:cs="Arial" w:eastAsia="Arial" w:hAnsi="Arial"/>
          <w:sz w:val="14"/>
          <w:szCs w:val="14"/>
          <w:color w:val="auto"/>
        </w:rPr>
        <w:t>Laredo</w:t>
      </w:r>
    </w:p>
    <w:p>
      <w:pPr>
        <w:spacing w:after="0" w:line="222" w:lineRule="auto"/>
        <w:rPr>
          <w:sz w:val="20"/>
          <w:szCs w:val="20"/>
          <w:color w:val="auto"/>
        </w:rPr>
      </w:pPr>
      <w:r>
        <w:rPr>
          <w:rFonts w:ascii="Arial" w:cs="Arial" w:eastAsia="Arial" w:hAnsi="Arial"/>
          <w:sz w:val="14"/>
          <w:szCs w:val="14"/>
          <w:color w:val="auto"/>
        </w:rPr>
        <w:t>Lewisville</w:t>
      </w:r>
    </w:p>
    <w:p>
      <w:pPr>
        <w:spacing w:after="0" w:line="221" w:lineRule="auto"/>
        <w:rPr>
          <w:sz w:val="20"/>
          <w:szCs w:val="20"/>
          <w:color w:val="auto"/>
        </w:rPr>
      </w:pPr>
      <w:r>
        <w:rPr>
          <w:rFonts w:ascii="Arial" w:cs="Arial" w:eastAsia="Arial" w:hAnsi="Arial"/>
          <w:sz w:val="14"/>
          <w:szCs w:val="14"/>
          <w:color w:val="auto"/>
        </w:rPr>
        <w:t>Lubbock</w:t>
      </w:r>
    </w:p>
    <w:p>
      <w:pPr>
        <w:spacing w:after="0" w:line="222" w:lineRule="auto"/>
        <w:rPr>
          <w:sz w:val="20"/>
          <w:szCs w:val="20"/>
          <w:color w:val="auto"/>
        </w:rPr>
      </w:pPr>
      <w:r>
        <w:rPr>
          <w:rFonts w:ascii="Arial" w:cs="Arial" w:eastAsia="Arial" w:hAnsi="Arial"/>
          <w:sz w:val="14"/>
          <w:szCs w:val="14"/>
          <w:color w:val="auto"/>
        </w:rPr>
        <w:t>Mercedes*</w:t>
      </w:r>
    </w:p>
    <w:p>
      <w:pPr>
        <w:spacing w:after="0" w:line="221" w:lineRule="auto"/>
        <w:rPr>
          <w:sz w:val="20"/>
          <w:szCs w:val="20"/>
          <w:color w:val="auto"/>
        </w:rPr>
      </w:pPr>
      <w:r>
        <w:rPr>
          <w:rFonts w:ascii="Arial" w:cs="Arial" w:eastAsia="Arial" w:hAnsi="Arial"/>
          <w:sz w:val="14"/>
          <w:szCs w:val="14"/>
          <w:color w:val="auto"/>
        </w:rPr>
        <w:t>Mesquite</w:t>
      </w:r>
    </w:p>
    <w:p>
      <w:pPr>
        <w:spacing w:after="0" w:line="222" w:lineRule="auto"/>
        <w:rPr>
          <w:sz w:val="20"/>
          <w:szCs w:val="20"/>
          <w:color w:val="auto"/>
        </w:rPr>
      </w:pPr>
      <w:r>
        <w:rPr>
          <w:rFonts w:ascii="Arial" w:cs="Arial" w:eastAsia="Arial" w:hAnsi="Arial"/>
          <w:sz w:val="14"/>
          <w:szCs w:val="14"/>
          <w:color w:val="auto"/>
        </w:rPr>
        <w:t>Midland</w:t>
      </w:r>
    </w:p>
    <w:p>
      <w:pPr>
        <w:spacing w:after="0" w:line="221" w:lineRule="auto"/>
        <w:rPr>
          <w:sz w:val="20"/>
          <w:szCs w:val="20"/>
          <w:color w:val="auto"/>
        </w:rPr>
      </w:pPr>
      <w:r>
        <w:rPr>
          <w:rFonts w:ascii="Arial" w:cs="Arial" w:eastAsia="Arial" w:hAnsi="Arial"/>
          <w:sz w:val="14"/>
          <w:szCs w:val="14"/>
          <w:color w:val="auto"/>
        </w:rPr>
        <w:t>Pasadena</w:t>
      </w:r>
    </w:p>
    <w:p>
      <w:pPr>
        <w:spacing w:after="0" w:line="222" w:lineRule="auto"/>
        <w:rPr>
          <w:sz w:val="20"/>
          <w:szCs w:val="20"/>
          <w:color w:val="auto"/>
        </w:rPr>
      </w:pPr>
      <w:r>
        <w:rPr>
          <w:rFonts w:ascii="Arial" w:cs="Arial" w:eastAsia="Arial" w:hAnsi="Arial"/>
          <w:sz w:val="14"/>
          <w:szCs w:val="14"/>
          <w:color w:val="auto"/>
        </w:rPr>
        <w:t>Plano</w:t>
      </w:r>
    </w:p>
    <w:p>
      <w:pPr>
        <w:spacing w:after="0" w:line="221" w:lineRule="auto"/>
        <w:rPr>
          <w:sz w:val="20"/>
          <w:szCs w:val="20"/>
          <w:color w:val="auto"/>
        </w:rPr>
      </w:pPr>
      <w:r>
        <w:rPr>
          <w:rFonts w:ascii="Arial" w:cs="Arial" w:eastAsia="Arial" w:hAnsi="Arial"/>
          <w:sz w:val="14"/>
          <w:szCs w:val="14"/>
          <w:color w:val="auto"/>
        </w:rPr>
        <w:t>Round Rock*</w:t>
      </w:r>
    </w:p>
    <w:p>
      <w:pPr>
        <w:spacing w:after="0" w:line="222" w:lineRule="auto"/>
        <w:rPr>
          <w:sz w:val="20"/>
          <w:szCs w:val="20"/>
          <w:color w:val="auto"/>
        </w:rPr>
      </w:pPr>
      <w:r>
        <w:rPr>
          <w:rFonts w:ascii="Arial" w:cs="Arial" w:eastAsia="Arial" w:hAnsi="Arial"/>
          <w:sz w:val="14"/>
          <w:szCs w:val="14"/>
          <w:color w:val="auto"/>
        </w:rPr>
        <w:t>San Antonio (3)</w:t>
      </w:r>
    </w:p>
    <w:p>
      <w:pPr>
        <w:spacing w:after="0"/>
        <w:rPr>
          <w:sz w:val="20"/>
          <w:szCs w:val="20"/>
          <w:color w:val="auto"/>
        </w:rPr>
      </w:pPr>
      <w:r>
        <w:rPr>
          <w:rFonts w:ascii="Arial" w:cs="Arial" w:eastAsia="Arial" w:hAnsi="Arial"/>
          <w:sz w:val="14"/>
          <w:szCs w:val="14"/>
          <w:color w:val="auto"/>
        </w:rPr>
        <w:t>San Marcos*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2"/>
          <w:szCs w:val="12"/>
          <w:b w:val="1"/>
          <w:bCs w:val="1"/>
          <w:i w:val="1"/>
          <w:iCs w:val="1"/>
          <w:color w:val="auto"/>
        </w:rPr>
        <w:t>Texas, cont.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Selma</w:t>
      </w:r>
    </w:p>
    <w:p>
      <w:pPr>
        <w:spacing w:after="0" w:line="221" w:lineRule="auto"/>
        <w:rPr>
          <w:sz w:val="20"/>
          <w:szCs w:val="20"/>
          <w:color w:val="auto"/>
        </w:rPr>
      </w:pPr>
      <w:r>
        <w:rPr>
          <w:rFonts w:ascii="Arial" w:cs="Arial" w:eastAsia="Arial" w:hAnsi="Arial"/>
          <w:sz w:val="14"/>
          <w:szCs w:val="14"/>
          <w:color w:val="auto"/>
        </w:rPr>
        <w:t>Shenandoah</w:t>
      </w:r>
    </w:p>
    <w:p>
      <w:pPr>
        <w:spacing w:after="0" w:line="221" w:lineRule="auto"/>
        <w:rPr>
          <w:sz w:val="20"/>
          <w:szCs w:val="20"/>
          <w:color w:val="auto"/>
        </w:rPr>
      </w:pPr>
      <w:r>
        <w:rPr>
          <w:rFonts w:ascii="Arial" w:cs="Arial" w:eastAsia="Arial" w:hAnsi="Arial"/>
          <w:sz w:val="14"/>
          <w:szCs w:val="14"/>
          <w:color w:val="auto"/>
        </w:rPr>
        <w:t>Tyler</w:t>
      </w:r>
    </w:p>
    <w:p>
      <w:pPr>
        <w:spacing w:after="0" w:line="222" w:lineRule="auto"/>
        <w:rPr>
          <w:sz w:val="20"/>
          <w:szCs w:val="20"/>
          <w:color w:val="auto"/>
        </w:rPr>
      </w:pPr>
      <w:r>
        <w:rPr>
          <w:rFonts w:ascii="Arial" w:cs="Arial" w:eastAsia="Arial" w:hAnsi="Arial"/>
          <w:sz w:val="14"/>
          <w:szCs w:val="14"/>
          <w:color w:val="auto"/>
        </w:rPr>
        <w:t>Waco</w:t>
      </w:r>
    </w:p>
    <w:p>
      <w:pPr>
        <w:spacing w:after="0"/>
        <w:rPr>
          <w:sz w:val="20"/>
          <w:szCs w:val="20"/>
          <w:color w:val="auto"/>
        </w:rPr>
      </w:pPr>
      <w:r>
        <w:rPr>
          <w:rFonts w:ascii="Arial" w:cs="Arial" w:eastAsia="Arial" w:hAnsi="Arial"/>
          <w:sz w:val="14"/>
          <w:szCs w:val="14"/>
          <w:color w:val="auto"/>
        </w:rPr>
        <w:t>Webster</w:t>
      </w:r>
    </w:p>
    <w:p>
      <w:pPr>
        <w:spacing w:after="0" w:line="5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Utah</w:t>
      </w:r>
    </w:p>
    <w:p>
      <w:pPr>
        <w:spacing w:after="0" w:line="221" w:lineRule="auto"/>
        <w:rPr>
          <w:sz w:val="20"/>
          <w:szCs w:val="20"/>
          <w:color w:val="auto"/>
        </w:rPr>
      </w:pPr>
      <w:r>
        <w:rPr>
          <w:rFonts w:ascii="Arial" w:cs="Arial" w:eastAsia="Arial" w:hAnsi="Arial"/>
          <w:sz w:val="14"/>
          <w:szCs w:val="14"/>
          <w:color w:val="auto"/>
        </w:rPr>
        <w:t>Murray</w:t>
      </w:r>
    </w:p>
    <w:p>
      <w:pPr>
        <w:spacing w:after="0" w:line="221" w:lineRule="auto"/>
        <w:rPr>
          <w:sz w:val="20"/>
          <w:szCs w:val="20"/>
          <w:color w:val="auto"/>
        </w:rPr>
      </w:pPr>
      <w:r>
        <w:rPr>
          <w:rFonts w:ascii="Arial" w:cs="Arial" w:eastAsia="Arial" w:hAnsi="Arial"/>
          <w:sz w:val="14"/>
          <w:szCs w:val="14"/>
          <w:color w:val="auto"/>
        </w:rPr>
        <w:t>Odgen</w:t>
      </w:r>
    </w:p>
    <w:p>
      <w:pPr>
        <w:spacing w:after="0"/>
        <w:rPr>
          <w:sz w:val="20"/>
          <w:szCs w:val="20"/>
          <w:color w:val="auto"/>
        </w:rPr>
      </w:pPr>
      <w:r>
        <w:rPr>
          <w:rFonts w:ascii="Arial" w:cs="Arial" w:eastAsia="Arial" w:hAnsi="Arial"/>
          <w:sz w:val="14"/>
          <w:szCs w:val="14"/>
          <w:color w:val="auto"/>
        </w:rPr>
        <w:t>Orem</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Vermont</w:t>
      </w:r>
    </w:p>
    <w:p>
      <w:pPr>
        <w:spacing w:after="0"/>
        <w:rPr>
          <w:sz w:val="20"/>
          <w:szCs w:val="20"/>
          <w:color w:val="auto"/>
        </w:rPr>
      </w:pPr>
      <w:r>
        <w:rPr>
          <w:rFonts w:ascii="Arial" w:cs="Arial" w:eastAsia="Arial" w:hAnsi="Arial"/>
          <w:sz w:val="14"/>
          <w:szCs w:val="14"/>
          <w:color w:val="auto"/>
        </w:rPr>
        <w:t>S. Burlington</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Virginia</w:t>
      </w:r>
    </w:p>
    <w:p>
      <w:pPr>
        <w:spacing w:after="0" w:line="221" w:lineRule="auto"/>
        <w:rPr>
          <w:sz w:val="20"/>
          <w:szCs w:val="20"/>
          <w:color w:val="auto"/>
        </w:rPr>
      </w:pPr>
      <w:r>
        <w:rPr>
          <w:rFonts w:ascii="Arial" w:cs="Arial" w:eastAsia="Arial" w:hAnsi="Arial"/>
          <w:sz w:val="14"/>
          <w:szCs w:val="14"/>
          <w:color w:val="auto"/>
        </w:rPr>
        <w:t>Alexandria</w:t>
      </w:r>
    </w:p>
    <w:p>
      <w:pPr>
        <w:spacing w:after="0" w:line="221" w:lineRule="auto"/>
        <w:rPr>
          <w:sz w:val="20"/>
          <w:szCs w:val="20"/>
          <w:color w:val="auto"/>
        </w:rPr>
      </w:pPr>
      <w:r>
        <w:rPr>
          <w:rFonts w:ascii="Arial" w:cs="Arial" w:eastAsia="Arial" w:hAnsi="Arial"/>
          <w:sz w:val="14"/>
          <w:szCs w:val="14"/>
          <w:color w:val="auto"/>
        </w:rPr>
        <w:t>Fairfax</w:t>
      </w:r>
    </w:p>
    <w:p>
      <w:pPr>
        <w:spacing w:after="0" w:line="222" w:lineRule="auto"/>
        <w:rPr>
          <w:sz w:val="20"/>
          <w:szCs w:val="20"/>
          <w:color w:val="auto"/>
        </w:rPr>
      </w:pPr>
      <w:r>
        <w:rPr>
          <w:rFonts w:ascii="Arial" w:cs="Arial" w:eastAsia="Arial" w:hAnsi="Arial"/>
          <w:sz w:val="14"/>
          <w:szCs w:val="14"/>
          <w:color w:val="auto"/>
        </w:rPr>
        <w:t>Fredericksburg</w:t>
      </w:r>
    </w:p>
    <w:p>
      <w:pPr>
        <w:spacing w:after="0" w:line="221" w:lineRule="auto"/>
        <w:rPr>
          <w:sz w:val="20"/>
          <w:szCs w:val="20"/>
          <w:color w:val="auto"/>
        </w:rPr>
      </w:pPr>
      <w:r>
        <w:rPr>
          <w:rFonts w:ascii="Arial" w:cs="Arial" w:eastAsia="Arial" w:hAnsi="Arial"/>
          <w:sz w:val="14"/>
          <w:szCs w:val="14"/>
          <w:color w:val="auto"/>
        </w:rPr>
        <w:t>Hampton</w:t>
      </w:r>
    </w:p>
    <w:p>
      <w:pPr>
        <w:spacing w:after="0" w:line="222" w:lineRule="auto"/>
        <w:rPr>
          <w:sz w:val="20"/>
          <w:szCs w:val="20"/>
          <w:color w:val="auto"/>
        </w:rPr>
      </w:pPr>
      <w:r>
        <w:rPr>
          <w:rFonts w:ascii="Arial" w:cs="Arial" w:eastAsia="Arial" w:hAnsi="Arial"/>
          <w:sz w:val="14"/>
          <w:szCs w:val="14"/>
          <w:color w:val="auto"/>
        </w:rPr>
        <w:t>Manassas</w:t>
      </w:r>
    </w:p>
    <w:p>
      <w:pPr>
        <w:spacing w:after="0" w:line="221" w:lineRule="auto"/>
        <w:rPr>
          <w:sz w:val="20"/>
          <w:szCs w:val="20"/>
          <w:color w:val="auto"/>
        </w:rPr>
      </w:pPr>
      <w:r>
        <w:rPr>
          <w:rFonts w:ascii="Arial" w:cs="Arial" w:eastAsia="Arial" w:hAnsi="Arial"/>
          <w:sz w:val="14"/>
          <w:szCs w:val="14"/>
          <w:color w:val="auto"/>
        </w:rPr>
        <w:t>Norfolk</w:t>
      </w:r>
    </w:p>
    <w:p>
      <w:pPr>
        <w:spacing w:after="0" w:line="222" w:lineRule="auto"/>
        <w:rPr>
          <w:sz w:val="20"/>
          <w:szCs w:val="20"/>
          <w:color w:val="auto"/>
        </w:rPr>
      </w:pPr>
      <w:r>
        <w:rPr>
          <w:rFonts w:ascii="Arial" w:cs="Arial" w:eastAsia="Arial" w:hAnsi="Arial"/>
          <w:sz w:val="14"/>
          <w:szCs w:val="14"/>
          <w:color w:val="auto"/>
        </w:rPr>
        <w:t>Richmond (2)</w:t>
      </w:r>
    </w:p>
    <w:p>
      <w:pPr>
        <w:spacing w:after="0" w:line="221" w:lineRule="auto"/>
        <w:rPr>
          <w:sz w:val="20"/>
          <w:szCs w:val="20"/>
          <w:color w:val="auto"/>
        </w:rPr>
      </w:pPr>
      <w:r>
        <w:rPr>
          <w:rFonts w:ascii="Arial" w:cs="Arial" w:eastAsia="Arial" w:hAnsi="Arial"/>
          <w:sz w:val="14"/>
          <w:szCs w:val="14"/>
          <w:color w:val="auto"/>
        </w:rPr>
        <w:t>Roanoke</w:t>
      </w:r>
    </w:p>
    <w:p>
      <w:pPr>
        <w:spacing w:after="0" w:line="222" w:lineRule="auto"/>
        <w:rPr>
          <w:sz w:val="20"/>
          <w:szCs w:val="20"/>
          <w:color w:val="auto"/>
        </w:rPr>
      </w:pPr>
      <w:r>
        <w:rPr>
          <w:rFonts w:ascii="Arial" w:cs="Arial" w:eastAsia="Arial" w:hAnsi="Arial"/>
          <w:sz w:val="14"/>
          <w:szCs w:val="14"/>
          <w:color w:val="auto"/>
        </w:rPr>
        <w:t>Sterling</w:t>
      </w:r>
    </w:p>
    <w:p>
      <w:pPr>
        <w:spacing w:after="0" w:line="221" w:lineRule="auto"/>
        <w:rPr>
          <w:sz w:val="20"/>
          <w:szCs w:val="20"/>
          <w:color w:val="auto"/>
        </w:rPr>
      </w:pPr>
      <w:r>
        <w:rPr>
          <w:rFonts w:ascii="Arial" w:cs="Arial" w:eastAsia="Arial" w:hAnsi="Arial"/>
          <w:sz w:val="14"/>
          <w:szCs w:val="14"/>
          <w:color w:val="auto"/>
        </w:rPr>
        <w:t>Virginia Beach</w:t>
      </w:r>
    </w:p>
    <w:p>
      <w:pPr>
        <w:spacing w:after="0" w:line="222" w:lineRule="auto"/>
        <w:rPr>
          <w:sz w:val="20"/>
          <w:szCs w:val="20"/>
          <w:color w:val="auto"/>
        </w:rPr>
      </w:pPr>
      <w:r>
        <w:rPr>
          <w:rFonts w:ascii="Arial" w:cs="Arial" w:eastAsia="Arial" w:hAnsi="Arial"/>
          <w:sz w:val="14"/>
          <w:szCs w:val="14"/>
          <w:color w:val="auto"/>
        </w:rPr>
        <w:t>Williamsburg*</w:t>
      </w:r>
    </w:p>
    <w:p>
      <w:pPr>
        <w:spacing w:after="0"/>
        <w:rPr>
          <w:sz w:val="20"/>
          <w:szCs w:val="20"/>
          <w:color w:val="auto"/>
        </w:rPr>
      </w:pPr>
      <w:r>
        <w:rPr>
          <w:rFonts w:ascii="Arial" w:cs="Arial" w:eastAsia="Arial" w:hAnsi="Arial"/>
          <w:sz w:val="14"/>
          <w:szCs w:val="14"/>
          <w:color w:val="auto"/>
        </w:rPr>
        <w:t>Woodbridge*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Washington</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Auburn*</w:t>
      </w:r>
    </w:p>
    <w:p>
      <w:pPr>
        <w:spacing w:after="0" w:line="221" w:lineRule="auto"/>
        <w:rPr>
          <w:sz w:val="20"/>
          <w:szCs w:val="20"/>
          <w:color w:val="auto"/>
        </w:rPr>
      </w:pPr>
      <w:r>
        <w:rPr>
          <w:rFonts w:ascii="Arial" w:cs="Arial" w:eastAsia="Arial" w:hAnsi="Arial"/>
          <w:sz w:val="14"/>
          <w:szCs w:val="14"/>
          <w:color w:val="auto"/>
        </w:rPr>
        <w:t>Bellevue</w:t>
      </w:r>
    </w:p>
    <w:p>
      <w:pPr>
        <w:spacing w:after="0" w:line="221" w:lineRule="auto"/>
        <w:rPr>
          <w:sz w:val="20"/>
          <w:szCs w:val="20"/>
          <w:color w:val="auto"/>
        </w:rPr>
      </w:pPr>
      <w:r>
        <w:rPr>
          <w:rFonts w:ascii="Arial" w:cs="Arial" w:eastAsia="Arial" w:hAnsi="Arial"/>
          <w:sz w:val="14"/>
          <w:szCs w:val="14"/>
          <w:color w:val="auto"/>
        </w:rPr>
        <w:t>Lynnwood</w:t>
      </w:r>
    </w:p>
    <w:p>
      <w:pPr>
        <w:spacing w:after="0" w:line="222" w:lineRule="auto"/>
        <w:rPr>
          <w:sz w:val="20"/>
          <w:szCs w:val="20"/>
          <w:color w:val="auto"/>
        </w:rPr>
      </w:pPr>
      <w:r>
        <w:rPr>
          <w:rFonts w:ascii="Arial" w:cs="Arial" w:eastAsia="Arial" w:hAnsi="Arial"/>
          <w:sz w:val="14"/>
          <w:szCs w:val="14"/>
          <w:color w:val="auto"/>
        </w:rPr>
        <w:t>Spokane (2)</w:t>
      </w:r>
    </w:p>
    <w:p>
      <w:pPr>
        <w:spacing w:after="0" w:line="221" w:lineRule="auto"/>
        <w:rPr>
          <w:sz w:val="20"/>
          <w:szCs w:val="20"/>
          <w:color w:val="auto"/>
        </w:rPr>
      </w:pPr>
      <w:r>
        <w:rPr>
          <w:rFonts w:ascii="Arial" w:cs="Arial" w:eastAsia="Arial" w:hAnsi="Arial"/>
          <w:sz w:val="14"/>
          <w:szCs w:val="14"/>
          <w:color w:val="auto"/>
        </w:rPr>
        <w:t>Tacoma</w:t>
      </w:r>
    </w:p>
    <w:p>
      <w:pPr>
        <w:spacing w:after="0"/>
        <w:rPr>
          <w:sz w:val="20"/>
          <w:szCs w:val="20"/>
          <w:color w:val="auto"/>
        </w:rPr>
      </w:pPr>
      <w:r>
        <w:rPr>
          <w:rFonts w:ascii="Arial" w:cs="Arial" w:eastAsia="Arial" w:hAnsi="Arial"/>
          <w:sz w:val="14"/>
          <w:szCs w:val="14"/>
          <w:color w:val="auto"/>
        </w:rPr>
        <w:t>Tukwila</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West Virginia</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South Charleston</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Wisconsin</w:t>
      </w:r>
    </w:p>
    <w:p>
      <w:pPr>
        <w:spacing w:after="0" w:line="221" w:lineRule="auto"/>
        <w:rPr>
          <w:sz w:val="20"/>
          <w:szCs w:val="20"/>
          <w:color w:val="auto"/>
        </w:rPr>
      </w:pPr>
      <w:r>
        <w:rPr>
          <w:rFonts w:ascii="Arial" w:cs="Arial" w:eastAsia="Arial" w:hAnsi="Arial"/>
          <w:sz w:val="14"/>
          <w:szCs w:val="14"/>
          <w:color w:val="auto"/>
        </w:rPr>
        <w:t>Brookfield</w:t>
      </w:r>
    </w:p>
    <w:p>
      <w:pPr>
        <w:spacing w:after="0" w:line="221" w:lineRule="auto"/>
        <w:rPr>
          <w:sz w:val="20"/>
          <w:szCs w:val="20"/>
          <w:color w:val="auto"/>
        </w:rPr>
      </w:pPr>
      <w:r>
        <w:rPr>
          <w:rFonts w:ascii="Arial" w:cs="Arial" w:eastAsia="Arial" w:hAnsi="Arial"/>
          <w:sz w:val="14"/>
          <w:szCs w:val="14"/>
          <w:color w:val="auto"/>
        </w:rPr>
        <w:t>Grand Chute</w:t>
      </w:r>
    </w:p>
    <w:p>
      <w:pPr>
        <w:spacing w:after="0" w:line="222" w:lineRule="auto"/>
        <w:rPr>
          <w:sz w:val="20"/>
          <w:szCs w:val="20"/>
          <w:color w:val="auto"/>
        </w:rPr>
      </w:pPr>
      <w:r>
        <w:rPr>
          <w:rFonts w:ascii="Arial" w:cs="Arial" w:eastAsia="Arial" w:hAnsi="Arial"/>
          <w:sz w:val="14"/>
          <w:szCs w:val="14"/>
          <w:color w:val="auto"/>
        </w:rPr>
        <w:t>Green Bay</w:t>
      </w:r>
    </w:p>
    <w:p>
      <w:pPr>
        <w:spacing w:after="0" w:line="221" w:lineRule="auto"/>
        <w:rPr>
          <w:sz w:val="20"/>
          <w:szCs w:val="20"/>
          <w:color w:val="auto"/>
        </w:rPr>
      </w:pPr>
      <w:r>
        <w:rPr>
          <w:rFonts w:ascii="Arial" w:cs="Arial" w:eastAsia="Arial" w:hAnsi="Arial"/>
          <w:sz w:val="14"/>
          <w:szCs w:val="14"/>
          <w:color w:val="auto"/>
        </w:rPr>
        <w:t>Greenfield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Johnson Creek*</w:t>
      </w:r>
    </w:p>
    <w:p>
      <w:pPr>
        <w:spacing w:after="0" w:line="237" w:lineRule="auto"/>
        <w:rPr>
          <w:sz w:val="20"/>
          <w:szCs w:val="20"/>
          <w:color w:val="auto"/>
        </w:rPr>
      </w:pPr>
      <w:r>
        <w:rPr>
          <w:rFonts w:ascii="Arial" w:cs="Arial" w:eastAsia="Arial" w:hAnsi="Arial"/>
          <w:sz w:val="14"/>
          <w:szCs w:val="14"/>
          <w:color w:val="auto"/>
        </w:rPr>
        <w:t>Madison</w:t>
      </w:r>
    </w:p>
    <w:p>
      <w:pPr>
        <w:spacing w:after="0" w:line="221" w:lineRule="auto"/>
        <w:rPr>
          <w:sz w:val="20"/>
          <w:szCs w:val="20"/>
          <w:color w:val="auto"/>
        </w:rPr>
      </w:pPr>
      <w:r>
        <w:rPr>
          <w:rFonts w:ascii="Arial" w:cs="Arial" w:eastAsia="Arial" w:hAnsi="Arial"/>
          <w:sz w:val="14"/>
          <w:szCs w:val="14"/>
          <w:color w:val="auto"/>
        </w:rPr>
        <w:t>Milwaukee</w:t>
      </w:r>
    </w:p>
    <w:p>
      <w:pPr>
        <w:spacing w:after="0"/>
        <w:rPr>
          <w:sz w:val="20"/>
          <w:szCs w:val="20"/>
          <w:color w:val="auto"/>
        </w:rPr>
      </w:pPr>
      <w:r>
        <w:rPr>
          <w:rFonts w:ascii="Arial" w:cs="Arial" w:eastAsia="Arial" w:hAnsi="Arial"/>
          <w:sz w:val="12"/>
          <w:szCs w:val="12"/>
          <w:color w:val="auto"/>
        </w:rPr>
        <w:t>Pleasant Prairie</w:t>
      </w:r>
    </w:p>
    <w:p>
      <w:pPr>
        <w:spacing w:after="0" w:line="573" w:lineRule="exact"/>
        <w:rPr>
          <w:sz w:val="20"/>
          <w:szCs w:val="20"/>
          <w:color w:val="auto"/>
        </w:rPr>
      </w:pPr>
    </w:p>
    <w:p>
      <w:pPr>
        <w:sectPr>
          <w:pgSz w:w="11900" w:h="16838" w:orient="portrait"/>
          <w:cols w:equalWidth="0" w:num="5">
            <w:col w:w="2700" w:space="720"/>
            <w:col w:w="2220" w:space="720"/>
            <w:col w:w="1320" w:space="720"/>
            <w:col w:w="1300" w:space="720"/>
            <w:col w:w="940"/>
          </w:cols>
          <w:pgMar w:left="240" w:top="459" w:right="29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Rochester Clothing (excludes Casual Male XL/Rochester Hybrid stores, denoted above by an “ H”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ind w:left="1080"/>
              <w:spacing w:after="0"/>
              <w:rPr>
                <w:sz w:val="20"/>
                <w:szCs w:val="20"/>
                <w:color w:val="auto"/>
              </w:rPr>
            </w:pPr>
            <w:r>
              <w:rPr>
                <w:rFonts w:ascii="Arial" w:cs="Arial" w:eastAsia="Arial" w:hAnsi="Arial"/>
                <w:sz w:val="14"/>
                <w:szCs w:val="14"/>
                <w:b w:val="1"/>
                <w:bCs w:val="1"/>
                <w:i w:val="1"/>
                <w:iCs w:val="1"/>
                <w:color w:val="auto"/>
              </w:rPr>
              <w:t>Southwest</w:t>
            </w:r>
          </w:p>
        </w:tc>
        <w:tc>
          <w:tcPr>
            <w:tcW w:w="2780" w:type="dxa"/>
            <w:vAlign w:val="bottom"/>
          </w:tcPr>
          <w:p>
            <w:pPr>
              <w:spacing w:after="0"/>
              <w:rPr>
                <w:sz w:val="14"/>
                <w:szCs w:val="14"/>
                <w:color w:val="auto"/>
              </w:rPr>
            </w:pPr>
          </w:p>
        </w:tc>
        <w:tc>
          <w:tcPr>
            <w:tcW w:w="2620" w:type="dxa"/>
            <w:vAlign w:val="bottom"/>
          </w:tcPr>
          <w:p>
            <w:pPr>
              <w:ind w:left="1460"/>
              <w:spacing w:after="0"/>
              <w:rPr>
                <w:sz w:val="20"/>
                <w:szCs w:val="20"/>
                <w:color w:val="auto"/>
              </w:rPr>
            </w:pPr>
            <w:r>
              <w:rPr>
                <w:rFonts w:ascii="Arial" w:cs="Arial" w:eastAsia="Arial" w:hAnsi="Arial"/>
                <w:sz w:val="14"/>
                <w:szCs w:val="14"/>
                <w:b w:val="1"/>
                <w:bCs w:val="1"/>
                <w:i w:val="1"/>
                <w:iCs w:val="1"/>
                <w:color w:val="auto"/>
              </w:rPr>
              <w:t>North</w:t>
            </w:r>
          </w:p>
        </w:tc>
        <w:tc>
          <w:tcPr>
            <w:tcW w:w="1540" w:type="dxa"/>
            <w:vAlign w:val="bottom"/>
          </w:tcPr>
          <w:p>
            <w:pPr>
              <w:spacing w:after="0"/>
              <w:rPr>
                <w:sz w:val="14"/>
                <w:szCs w:val="14"/>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Beverley Hills, CA</w:t>
            </w:r>
          </w:p>
        </w:tc>
        <w:tc>
          <w:tcPr>
            <w:tcW w:w="2780" w:type="dxa"/>
            <w:vAlign w:val="bottom"/>
          </w:tcPr>
          <w:p>
            <w:pPr>
              <w:ind w:left="880"/>
              <w:spacing w:after="0" w:line="149" w:lineRule="exact"/>
              <w:rPr>
                <w:sz w:val="20"/>
                <w:szCs w:val="20"/>
                <w:color w:val="auto"/>
              </w:rPr>
            </w:pPr>
            <w:r>
              <w:rPr>
                <w:rFonts w:ascii="Arial" w:cs="Arial" w:eastAsia="Arial" w:hAnsi="Arial"/>
                <w:sz w:val="14"/>
                <w:szCs w:val="14"/>
                <w:color w:val="auto"/>
              </w:rPr>
              <w:t>Las Vegas , NV</w:t>
            </w:r>
          </w:p>
        </w:tc>
        <w:tc>
          <w:tcPr>
            <w:tcW w:w="2620" w:type="dxa"/>
            <w:vAlign w:val="bottom"/>
          </w:tcPr>
          <w:p>
            <w:pPr>
              <w:ind w:left="1040"/>
              <w:spacing w:after="0" w:line="149" w:lineRule="exact"/>
              <w:rPr>
                <w:sz w:val="20"/>
                <w:szCs w:val="20"/>
                <w:color w:val="auto"/>
              </w:rPr>
            </w:pPr>
            <w:r>
              <w:rPr>
                <w:rFonts w:ascii="Arial" w:cs="Arial" w:eastAsia="Arial" w:hAnsi="Arial"/>
                <w:sz w:val="14"/>
                <w:szCs w:val="14"/>
                <w:color w:val="auto"/>
              </w:rPr>
              <w:t>Boston, MA</w:t>
            </w:r>
          </w:p>
        </w:tc>
        <w:tc>
          <w:tcPr>
            <w:tcW w:w="1540" w:type="dxa"/>
            <w:vAlign w:val="bottom"/>
          </w:tcPr>
          <w:p>
            <w:pPr>
              <w:ind w:left="460"/>
              <w:spacing w:after="0" w:line="149" w:lineRule="exact"/>
              <w:rPr>
                <w:sz w:val="20"/>
                <w:szCs w:val="20"/>
                <w:color w:val="auto"/>
              </w:rPr>
            </w:pPr>
            <w:r>
              <w:rPr>
                <w:rFonts w:ascii="Arial" w:cs="Arial" w:eastAsia="Arial" w:hAnsi="Arial"/>
                <w:sz w:val="14"/>
                <w:szCs w:val="14"/>
                <w:color w:val="auto"/>
                <w:w w:val="87"/>
              </w:rPr>
              <w:t>King of Prussia, PA</w:t>
            </w: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Costa Mesa, CA</w:t>
            </w:r>
          </w:p>
        </w:tc>
        <w:tc>
          <w:tcPr>
            <w:tcW w:w="2780" w:type="dxa"/>
            <w:vAlign w:val="bottom"/>
          </w:tcPr>
          <w:p>
            <w:pPr>
              <w:ind w:left="880"/>
              <w:spacing w:after="0" w:line="149" w:lineRule="exact"/>
              <w:rPr>
                <w:sz w:val="20"/>
                <w:szCs w:val="20"/>
                <w:color w:val="auto"/>
              </w:rPr>
            </w:pPr>
            <w:r>
              <w:rPr>
                <w:rFonts w:ascii="Arial" w:cs="Arial" w:eastAsia="Arial" w:hAnsi="Arial"/>
                <w:sz w:val="14"/>
                <w:szCs w:val="14"/>
                <w:color w:val="auto"/>
              </w:rPr>
              <w:t>Dallas, TX</w:t>
            </w:r>
          </w:p>
        </w:tc>
        <w:tc>
          <w:tcPr>
            <w:tcW w:w="2620" w:type="dxa"/>
            <w:vAlign w:val="bottom"/>
          </w:tcPr>
          <w:p>
            <w:pPr>
              <w:ind w:left="1040"/>
              <w:spacing w:after="0" w:line="149" w:lineRule="exact"/>
              <w:rPr>
                <w:sz w:val="20"/>
                <w:szCs w:val="20"/>
                <w:color w:val="auto"/>
              </w:rPr>
            </w:pPr>
            <w:r>
              <w:rPr>
                <w:rFonts w:ascii="Arial" w:cs="Arial" w:eastAsia="Arial" w:hAnsi="Arial"/>
                <w:sz w:val="14"/>
                <w:szCs w:val="14"/>
                <w:color w:val="auto"/>
              </w:rPr>
              <w:t>Chicago, IL</w:t>
            </w:r>
          </w:p>
        </w:tc>
        <w:tc>
          <w:tcPr>
            <w:tcW w:w="1540" w:type="dxa"/>
            <w:vAlign w:val="bottom"/>
          </w:tcPr>
          <w:p>
            <w:pPr>
              <w:ind w:left="460"/>
              <w:spacing w:after="0" w:line="149" w:lineRule="exact"/>
              <w:rPr>
                <w:sz w:val="20"/>
                <w:szCs w:val="20"/>
                <w:color w:val="auto"/>
              </w:rPr>
            </w:pPr>
            <w:r>
              <w:rPr>
                <w:rFonts w:ascii="Arial" w:cs="Arial" w:eastAsia="Arial" w:hAnsi="Arial"/>
                <w:sz w:val="14"/>
                <w:szCs w:val="14"/>
                <w:color w:val="auto"/>
              </w:rPr>
              <w:t>Manhasset, NY</w:t>
            </w: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San Francisco, CA</w:t>
            </w:r>
          </w:p>
        </w:tc>
        <w:tc>
          <w:tcPr>
            <w:tcW w:w="2780" w:type="dxa"/>
            <w:vAlign w:val="bottom"/>
          </w:tcPr>
          <w:p>
            <w:pPr>
              <w:ind w:left="880"/>
              <w:spacing w:after="0" w:line="149" w:lineRule="exact"/>
              <w:rPr>
                <w:sz w:val="20"/>
                <w:szCs w:val="20"/>
                <w:color w:val="auto"/>
              </w:rPr>
            </w:pPr>
            <w:r>
              <w:rPr>
                <w:rFonts w:ascii="Arial" w:cs="Arial" w:eastAsia="Arial" w:hAnsi="Arial"/>
                <w:sz w:val="14"/>
                <w:szCs w:val="14"/>
                <w:color w:val="auto"/>
              </w:rPr>
              <w:t>Houston, TX</w:t>
            </w:r>
          </w:p>
        </w:tc>
        <w:tc>
          <w:tcPr>
            <w:tcW w:w="2620" w:type="dxa"/>
            <w:vAlign w:val="bottom"/>
          </w:tcPr>
          <w:p>
            <w:pPr>
              <w:ind w:left="1040"/>
              <w:spacing w:after="0" w:line="149" w:lineRule="exact"/>
              <w:rPr>
                <w:sz w:val="20"/>
                <w:szCs w:val="20"/>
                <w:color w:val="auto"/>
              </w:rPr>
            </w:pPr>
            <w:r>
              <w:rPr>
                <w:rFonts w:ascii="Arial" w:cs="Arial" w:eastAsia="Arial" w:hAnsi="Arial"/>
                <w:sz w:val="14"/>
                <w:szCs w:val="14"/>
                <w:color w:val="auto"/>
              </w:rPr>
              <w:t>Central Valley, NY*</w:t>
            </w:r>
          </w:p>
        </w:tc>
        <w:tc>
          <w:tcPr>
            <w:tcW w:w="1540" w:type="dxa"/>
            <w:vAlign w:val="bottom"/>
          </w:tcPr>
          <w:p>
            <w:pPr>
              <w:ind w:left="460"/>
              <w:spacing w:after="0" w:line="149" w:lineRule="exact"/>
              <w:rPr>
                <w:sz w:val="20"/>
                <w:szCs w:val="20"/>
                <w:color w:val="auto"/>
              </w:rPr>
            </w:pPr>
            <w:r>
              <w:rPr>
                <w:rFonts w:ascii="Arial" w:cs="Arial" w:eastAsia="Arial" w:hAnsi="Arial"/>
                <w:sz w:val="14"/>
                <w:szCs w:val="14"/>
                <w:color w:val="auto"/>
              </w:rPr>
              <w:t>New York, NY</w:t>
            </w:r>
          </w:p>
        </w:tc>
      </w:tr>
      <w:tr>
        <w:trPr>
          <w:trHeight w:val="172"/>
        </w:trPr>
        <w:tc>
          <w:tcPr>
            <w:tcW w:w="2540" w:type="dxa"/>
            <w:vAlign w:val="bottom"/>
          </w:tcPr>
          <w:p>
            <w:pPr>
              <w:spacing w:after="0"/>
              <w:rPr>
                <w:sz w:val="20"/>
                <w:szCs w:val="20"/>
                <w:color w:val="auto"/>
              </w:rPr>
            </w:pPr>
            <w:r>
              <w:rPr>
                <w:rFonts w:ascii="Arial" w:cs="Arial" w:eastAsia="Arial" w:hAnsi="Arial"/>
                <w:sz w:val="14"/>
                <w:szCs w:val="14"/>
                <w:color w:val="auto"/>
              </w:rPr>
              <w:t>Walnut Creek, CA</w:t>
            </w:r>
          </w:p>
        </w:tc>
        <w:tc>
          <w:tcPr>
            <w:tcW w:w="27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540" w:type="dxa"/>
            <w:vAlign w:val="bottom"/>
          </w:tcPr>
          <w:p>
            <w:pPr>
              <w:ind w:left="460"/>
              <w:spacing w:after="0"/>
              <w:rPr>
                <w:sz w:val="20"/>
                <w:szCs w:val="20"/>
                <w:color w:val="auto"/>
              </w:rPr>
            </w:pPr>
            <w:r>
              <w:rPr>
                <w:rFonts w:ascii="Arial" w:cs="Arial" w:eastAsia="Arial" w:hAnsi="Arial"/>
                <w:sz w:val="14"/>
                <w:szCs w:val="14"/>
                <w:color w:val="auto"/>
              </w:rPr>
              <w:t>Seattle, WA</w:t>
            </w:r>
          </w:p>
        </w:tc>
      </w:tr>
    </w:tbl>
    <w:p>
      <w:pPr>
        <w:spacing w:after="0" w:line="200" w:lineRule="exact"/>
        <w:rPr>
          <w:sz w:val="20"/>
          <w:szCs w:val="20"/>
          <w:color w:val="auto"/>
        </w:rPr>
      </w:pPr>
    </w:p>
    <w:p>
      <w:pPr>
        <w:spacing w:after="0" w:line="3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Southeast</w:t>
      </w:r>
    </w:p>
    <w:p>
      <w:pPr>
        <w:spacing w:after="0" w:line="221" w:lineRule="auto"/>
        <w:rPr>
          <w:sz w:val="20"/>
          <w:szCs w:val="20"/>
          <w:color w:val="auto"/>
        </w:rPr>
      </w:pPr>
      <w:r>
        <w:rPr>
          <w:rFonts w:ascii="Arial" w:cs="Arial" w:eastAsia="Arial" w:hAnsi="Arial"/>
          <w:sz w:val="14"/>
          <w:szCs w:val="14"/>
          <w:color w:val="auto"/>
        </w:rPr>
        <w:t>Aventura, FL</w:t>
      </w:r>
    </w:p>
    <w:p>
      <w:pPr>
        <w:spacing w:after="0" w:line="221" w:lineRule="auto"/>
        <w:rPr>
          <w:sz w:val="20"/>
          <w:szCs w:val="20"/>
          <w:color w:val="auto"/>
        </w:rPr>
      </w:pPr>
      <w:r>
        <w:rPr>
          <w:rFonts w:ascii="Arial" w:cs="Arial" w:eastAsia="Arial" w:hAnsi="Arial"/>
          <w:sz w:val="14"/>
          <w:szCs w:val="14"/>
          <w:color w:val="auto"/>
        </w:rPr>
        <w:t>Atlanta, GA</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Boca Raton, FL</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Washington D.C.</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International</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London, England</w:t>
      </w:r>
    </w:p>
    <w:p>
      <w:pPr>
        <w:sectPr>
          <w:pgSz w:w="11900" w:h="16838" w:orient="portrait"/>
          <w:cols w:equalWidth="0" w:num="2">
            <w:col w:w="9700" w:space="720"/>
            <w:col w:w="940"/>
          </w:cols>
          <w:pgMar w:left="240" w:top="459" w:right="29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We believe that the resolution of these matters will not have an adverse impact on our operations or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Reserved</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for trading on the NASDAQ Global Select Market under the symbol “CMRG.”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for the periods indicated, the high and low per share sales prices for the common stock, as reported on Nasdaq.</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Fiscal Year Ended January 30, 2010</w:t>
            </w:r>
          </w:p>
        </w:tc>
        <w:tc>
          <w:tcPr>
            <w:tcW w:w="6080" w:type="dxa"/>
            <w:vAlign w:val="bottom"/>
          </w:tcPr>
          <w:p>
            <w:pPr>
              <w:spacing w:after="0"/>
              <w:rPr>
                <w:sz w:val="14"/>
                <w:szCs w:val="14"/>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Low</w:t>
            </w: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Second Quarter</w:t>
            </w:r>
          </w:p>
        </w:tc>
        <w:tc>
          <w:tcPr>
            <w:tcW w:w="6720" w:type="dxa"/>
            <w:vAlign w:val="bottom"/>
            <w:gridSpan w:val="3"/>
          </w:tcPr>
          <w:p>
            <w:pPr>
              <w:jc w:val="right"/>
              <w:ind w:right="240"/>
              <w:spacing w:after="0"/>
              <w:rPr>
                <w:sz w:val="20"/>
                <w:szCs w:val="20"/>
                <w:color w:val="auto"/>
              </w:rPr>
            </w:pPr>
            <w:r>
              <w:rPr>
                <w:rFonts w:ascii="Arial" w:cs="Arial" w:eastAsia="Arial" w:hAnsi="Arial"/>
                <w:sz w:val="18"/>
                <w:szCs w:val="18"/>
                <w:color w:val="auto"/>
              </w:rPr>
              <w:t>2.60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Fourth Quarter</w:t>
            </w:r>
          </w:p>
        </w:tc>
        <w:tc>
          <w:tcPr>
            <w:tcW w:w="6720" w:type="dxa"/>
            <w:vAlign w:val="bottom"/>
            <w:gridSpan w:val="3"/>
          </w:tcPr>
          <w:p>
            <w:pPr>
              <w:jc w:val="right"/>
              <w:ind w:right="240"/>
              <w:spacing w:after="0"/>
              <w:rPr>
                <w:sz w:val="20"/>
                <w:szCs w:val="20"/>
                <w:color w:val="auto"/>
              </w:rPr>
            </w:pPr>
            <w:r>
              <w:rPr>
                <w:rFonts w:ascii="Arial" w:cs="Arial" w:eastAsia="Arial" w:hAnsi="Arial"/>
                <w:sz w:val="18"/>
                <w:szCs w:val="18"/>
                <w:color w:val="auto"/>
              </w:rPr>
              <w:t>3.26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2.08</w:t>
            </w:r>
          </w:p>
        </w:tc>
      </w:tr>
      <w:tr>
        <w:trPr>
          <w:trHeight w:val="358"/>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Fiscal Year Ended January 31, 2009</w:t>
            </w:r>
          </w:p>
        </w:tc>
        <w:tc>
          <w:tcPr>
            <w:tcW w:w="6080" w:type="dxa"/>
            <w:vAlign w:val="bottom"/>
          </w:tcPr>
          <w:p>
            <w:pPr>
              <w:spacing w:after="0"/>
              <w:rPr>
                <w:sz w:val="24"/>
                <w:szCs w:val="24"/>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Low</w:t>
            </w: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$5.11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Second Quarter</w:t>
            </w:r>
          </w:p>
        </w:tc>
        <w:tc>
          <w:tcPr>
            <w:tcW w:w="6720" w:type="dxa"/>
            <w:vAlign w:val="bottom"/>
            <w:gridSpan w:val="3"/>
          </w:tcPr>
          <w:p>
            <w:pPr>
              <w:jc w:val="right"/>
              <w:ind w:right="240"/>
              <w:spacing w:after="0"/>
              <w:rPr>
                <w:sz w:val="20"/>
                <w:szCs w:val="20"/>
                <w:color w:val="auto"/>
              </w:rPr>
            </w:pPr>
            <w:r>
              <w:rPr>
                <w:rFonts w:ascii="Arial" w:cs="Arial" w:eastAsia="Arial" w:hAnsi="Arial"/>
                <w:sz w:val="18"/>
                <w:szCs w:val="18"/>
                <w:color w:val="auto"/>
              </w:rPr>
              <w:t>4.93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2.95</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Fourth Quarter</w:t>
            </w:r>
          </w:p>
        </w:tc>
        <w:tc>
          <w:tcPr>
            <w:tcW w:w="6720" w:type="dxa"/>
            <w:vAlign w:val="bottom"/>
            <w:gridSpan w:val="3"/>
          </w:tcPr>
          <w:p>
            <w:pPr>
              <w:jc w:val="right"/>
              <w:ind w:right="240"/>
              <w:spacing w:after="0"/>
              <w:rPr>
                <w:sz w:val="20"/>
                <w:szCs w:val="20"/>
                <w:color w:val="auto"/>
              </w:rPr>
            </w:pPr>
            <w:r>
              <w:rPr>
                <w:rFonts w:ascii="Arial" w:cs="Arial" w:eastAsia="Arial" w:hAnsi="Arial"/>
                <w:sz w:val="18"/>
                <w:szCs w:val="18"/>
                <w:color w:val="auto"/>
              </w:rPr>
              <w:t>1.99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0.35</w:t>
            </w:r>
          </w:p>
        </w:tc>
      </w:tr>
    </w:tbl>
    <w:p>
      <w:pPr>
        <w:spacing w:after="0" w:line="14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March 10, 2010, based upon data provided by independent shareholder communication services and the transfer agent for our common stock, there were approximately 224 holders of record of our common stock. The number of holders does not include individuals or entities who beneficially own shares but whose shares are held of record by a broker or clearing agent, but does include each such broker or clearing agency as one record holder.</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have not paid and do not anticipate paying cash dividends on our common stock. In addition, financial covenants in our loan agreement may restrict dividend payments. For a description of these financial covenants see Note C to the Notes to the Consolidated Financial Statements.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60"/>
          </w:cols>
          <w:pgMar w:left="240" w:top="459" w:right="3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following Performance Graph compares our cumulative stockholder return with that of a broad market index (Standard &amp; Poor’s Industrials Index) and one published industry index (Standard &amp; Poor’s 500—Composite Retail Index) for each of the most recent five years ended January 31. The cumulative stockholder return for shares of our common stock (“CMRG”) and each of the indices is calculated assuming that $100 was invested on January 31, 2005. We paid no cash dividends during the periods shown. The performance of the indices is shown on a total return (dividends reinvested) basis. The graph lines merely connect January 31 of each year and do not reflect fluctuations between those dates. In addition there is a chart of the annual percentage return of our common stock, the S &amp; P Industrials and Composite Retail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81280</wp:posOffset>
            </wp:positionV>
            <wp:extent cx="5068570" cy="2967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68570"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Return Percentage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Company/Index</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6"/>
              </w:rPr>
              <w:t>Years Ending</w:t>
            </w: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40" w:type="dxa"/>
            <w:vAlign w:val="bottom"/>
            <w:gridSpan w:val="3"/>
            <w:vMerge w:val="continue"/>
          </w:tcPr>
          <w:p>
            <w:pPr>
              <w:spacing w:after="0"/>
              <w:rPr>
                <w:sz w:val="12"/>
                <w:szCs w:val="12"/>
                <w:color w:val="auto"/>
              </w:rPr>
            </w:pPr>
          </w:p>
        </w:tc>
        <w:tc>
          <w:tcPr>
            <w:tcW w:w="68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1"/>
              </w:rPr>
              <w:t>Jan 06</w:t>
            </w:r>
          </w:p>
        </w:tc>
        <w:tc>
          <w:tcPr>
            <w:tcW w:w="68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1"/>
              </w:rPr>
              <w:t>Jan 07</w:t>
            </w:r>
          </w:p>
        </w:tc>
        <w:tc>
          <w:tcPr>
            <w:tcW w:w="90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6"/>
              </w:rPr>
              <w:t>Jan 08</w:t>
            </w:r>
          </w:p>
        </w:tc>
        <w:tc>
          <w:tcPr>
            <w:tcW w:w="8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Jan 09</w:t>
            </w:r>
          </w:p>
        </w:tc>
        <w:tc>
          <w:tcPr>
            <w:tcW w:w="58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Jan 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CMRG</w:t>
            </w:r>
          </w:p>
        </w:tc>
        <w:tc>
          <w:tcPr>
            <w:tcW w:w="67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32.41</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74.55</w:t>
            </w: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(60.10)</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(92.37)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S&amp;P INDUSTRIALS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9.29</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11.94</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1.01</w:t>
            </w: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(34.26)</w:t>
            </w:r>
          </w:p>
        </w:tc>
        <w:tc>
          <w:tcPr>
            <w:tcW w:w="580" w:type="dxa"/>
            <w:vAlign w:val="bottom"/>
          </w:tcPr>
          <w:p>
            <w:pPr>
              <w:jc w:val="right"/>
              <w:spacing w:after="0"/>
              <w:rPr>
                <w:sz w:val="20"/>
                <w:szCs w:val="20"/>
                <w:color w:val="auto"/>
              </w:rPr>
            </w:pPr>
            <w:r>
              <w:rPr>
                <w:rFonts w:ascii="Arial" w:cs="Arial" w:eastAsia="Arial" w:hAnsi="Arial"/>
                <w:sz w:val="18"/>
                <w:szCs w:val="18"/>
                <w:color w:val="auto"/>
              </w:rPr>
              <w:t>28.22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COMPOSITE RETAIL- 500</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13.97</w:t>
            </w: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(19.24)</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(39.03)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Indexed Returns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Company/Index</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Base Period</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00" w:type="dxa"/>
            <w:vAlign w:val="bottom"/>
            <w:gridSpan w:val="3"/>
            <w:vMerge w:val="continue"/>
          </w:tcPr>
          <w:p>
            <w:pPr>
              <w:spacing w:after="0"/>
              <w:rPr>
                <w:sz w:val="12"/>
                <w:szCs w:val="12"/>
                <w:color w:val="auto"/>
              </w:rPr>
            </w:pPr>
          </w:p>
        </w:tc>
        <w:tc>
          <w:tcPr>
            <w:tcW w:w="60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6"/>
              </w:rPr>
              <w:t>Jan 05</w:t>
            </w:r>
          </w:p>
        </w:tc>
        <w:tc>
          <w:tcPr>
            <w:tcW w:w="7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Jan 06</w:t>
            </w:r>
          </w:p>
        </w:tc>
        <w:tc>
          <w:tcPr>
            <w:tcW w:w="7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Jan 07</w:t>
            </w:r>
          </w:p>
        </w:tc>
        <w:tc>
          <w:tcPr>
            <w:tcW w:w="7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Jan 08</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Jan 09</w:t>
            </w:r>
          </w:p>
        </w:tc>
        <w:tc>
          <w:tcPr>
            <w:tcW w:w="120" w:type="dxa"/>
            <w:vAlign w:val="bottom"/>
          </w:tcPr>
          <w:p>
            <w:pPr>
              <w:spacing w:after="0"/>
              <w:rPr>
                <w:sz w:val="12"/>
                <w:szCs w:val="12"/>
                <w:color w:val="auto"/>
              </w:rPr>
            </w:pPr>
          </w:p>
        </w:tc>
        <w:tc>
          <w:tcPr>
            <w:tcW w:w="64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Jan 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CMRG</w:t>
            </w:r>
          </w:p>
        </w:tc>
        <w:tc>
          <w:tcPr>
            <w:tcW w:w="6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132.41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231.11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92.22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S&amp;P INDUSTRIALS</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109.29</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122.34</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123.58</w:t>
            </w:r>
          </w:p>
        </w:tc>
        <w:tc>
          <w:tcPr>
            <w:tcW w:w="520" w:type="dxa"/>
            <w:vAlign w:val="bottom"/>
          </w:tcPr>
          <w:p>
            <w:pPr>
              <w:jc w:val="right"/>
              <w:spacing w:after="0"/>
              <w:rPr>
                <w:sz w:val="20"/>
                <w:szCs w:val="20"/>
                <w:color w:val="auto"/>
              </w:rPr>
            </w:pPr>
            <w:r>
              <w:rPr>
                <w:rFonts w:ascii="Arial" w:cs="Arial" w:eastAsia="Arial" w:hAnsi="Arial"/>
                <w:sz w:val="18"/>
                <w:szCs w:val="18"/>
                <w:color w:val="auto"/>
              </w:rPr>
              <w:t>81.25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COMPOSITE RETAIL - 500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107.84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122.91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99.26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performance graph above shall not be deemed “filed” for purposes of Section 18 of the Securities Exchange Act of 1934, as amended (the “Exchange Act”), or otherwise subject to the liability of that section. This graph will not be deemed incorporated by reference into any filing under the Securities Act of 1933, as amended, or the Exchange Act, whether made before or after the date hereof, regardless of any general incorporation language in such filing.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following tables set forth selected consolidated financial data of our company as of and for each of the years in the five-year period ended January 30, 2010 and should be read in conjunction with “Management’s Discussion and Analysis of Financial Condition and Results of Operations” and our accompanying Consolidated Financial Statements and Notes thereto.</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selected consolidated financial data for the years ended January 30, 2010, January 31, 2009 and February 2, 2008 and as of January 30, 2010 and January 31, 2009 have been derived from our accompanying Consolidated Financial Statements which were audited by Ernst &amp; Young LLP, an independent registered public accounting firm. Our selected consolidated financial data for the years ended February 3, 2007 and January 28, 2006, and as of February 2, 2008, February 3, 2007 and January 28, 2006, have been derived from our Consolidated Financial Statements not included herein, which were audited by Ernst &amp; Young LLP.</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a discussion of certain factors that materially affect the comparability of the selected consolidated financial data or cause the data reflected herein not to be indicative of our future results of operations or financial condition, see Item 1A “Risk Factors” and Item 7 “Management’s Discussion and Analysis of Financial Condition and Results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Fiscal Years Ended(1)</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3"/>
          </w:tcPr>
          <w:p>
            <w:pPr>
              <w:jc w:val="right"/>
              <w:ind w:right="472"/>
              <w:spacing w:after="0" w:line="129" w:lineRule="exact"/>
              <w:rPr>
                <w:sz w:val="20"/>
                <w:szCs w:val="20"/>
                <w:color w:val="auto"/>
              </w:rPr>
            </w:pPr>
            <w:r>
              <w:rPr>
                <w:rFonts w:ascii="Arial" w:cs="Arial" w:eastAsia="Arial" w:hAnsi="Arial"/>
                <w:sz w:val="14"/>
                <w:szCs w:val="14"/>
                <w:b w:val="1"/>
                <w:bCs w:val="1"/>
                <w:color w:val="auto"/>
                <w:w w:val="90"/>
              </w:rPr>
              <w:t>January 31,</w:t>
            </w:r>
          </w:p>
        </w:tc>
        <w:tc>
          <w:tcPr>
            <w:tcW w:w="400" w:type="dxa"/>
            <w:vAlign w:val="bottom"/>
          </w:tcPr>
          <w:p>
            <w:pPr>
              <w:spacing w:after="0"/>
              <w:rPr>
                <w:sz w:val="11"/>
                <w:szCs w:val="11"/>
                <w:color w:val="auto"/>
              </w:rPr>
            </w:pPr>
          </w:p>
        </w:tc>
        <w:tc>
          <w:tcPr>
            <w:tcW w:w="1640" w:type="dxa"/>
            <w:vAlign w:val="bottom"/>
            <w:gridSpan w:val="3"/>
          </w:tcPr>
          <w:p>
            <w:pPr>
              <w:jc w:val="right"/>
              <w:ind w:right="940"/>
              <w:spacing w:after="0" w:line="129" w:lineRule="exact"/>
              <w:rPr>
                <w:sz w:val="20"/>
                <w:szCs w:val="20"/>
                <w:color w:val="auto"/>
              </w:rPr>
            </w:pPr>
            <w:r>
              <w:rPr>
                <w:rFonts w:ascii="Arial" w:cs="Arial" w:eastAsia="Arial" w:hAnsi="Arial"/>
                <w:sz w:val="14"/>
                <w:szCs w:val="14"/>
                <w:b w:val="1"/>
                <w:bCs w:val="1"/>
                <w:color w:val="auto"/>
                <w:w w:val="90"/>
              </w:rPr>
              <w:t>February 2,</w:t>
            </w:r>
          </w:p>
        </w:tc>
        <w:tc>
          <w:tcPr>
            <w:tcW w:w="16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February 3,</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10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January 30,</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2008</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2007</w:t>
            </w:r>
          </w:p>
        </w:tc>
        <w:tc>
          <w:tcPr>
            <w:tcW w:w="900" w:type="dxa"/>
            <w:vAlign w:val="bottom"/>
          </w:tcPr>
          <w:p>
            <w:pPr>
              <w:spacing w:after="0"/>
              <w:rPr>
                <w:sz w:val="12"/>
                <w:szCs w:val="12"/>
                <w:color w:val="auto"/>
              </w:rPr>
            </w:pPr>
          </w:p>
        </w:tc>
        <w:tc>
          <w:tcPr>
            <w:tcW w:w="10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January 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(Fiscal 2008)</w:t>
            </w:r>
          </w:p>
        </w:tc>
        <w:tc>
          <w:tcPr>
            <w:tcW w:w="400" w:type="dxa"/>
            <w:vAlign w:val="bottom"/>
          </w:tcPr>
          <w:p>
            <w:pPr>
              <w:spacing w:after="0"/>
              <w:rPr>
                <w:sz w:val="12"/>
                <w:szCs w:val="12"/>
                <w:color w:val="auto"/>
              </w:rPr>
            </w:pPr>
          </w:p>
        </w:tc>
        <w:tc>
          <w:tcPr>
            <w:tcW w:w="1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(Fiscal 2007)</w:t>
            </w:r>
          </w:p>
        </w:tc>
        <w:tc>
          <w:tcPr>
            <w:tcW w:w="1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(Fiscal 2006)</w:t>
            </w:r>
          </w:p>
        </w:tc>
        <w:tc>
          <w:tcPr>
            <w:tcW w:w="160" w:type="dxa"/>
            <w:vAlign w:val="bottom"/>
          </w:tcPr>
          <w:p>
            <w:pPr>
              <w:spacing w:after="0"/>
              <w:rPr>
                <w:sz w:val="12"/>
                <w:szCs w:val="12"/>
                <w:color w:val="auto"/>
              </w:rPr>
            </w:pPr>
          </w:p>
        </w:tc>
        <w:tc>
          <w:tcPr>
            <w:tcW w:w="58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5"/>
              </w:rPr>
              <w:t>(Fiscal 2009)</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94"/>
              <w:spacing w:after="0"/>
              <w:rPr>
                <w:sz w:val="20"/>
                <w:szCs w:val="20"/>
                <w:color w:val="auto"/>
              </w:rPr>
            </w:pPr>
            <w:r>
              <w:rPr>
                <w:rFonts w:ascii="Arial" w:cs="Arial" w:eastAsia="Arial" w:hAnsi="Arial"/>
                <w:sz w:val="14"/>
                <w:szCs w:val="14"/>
                <w:b w:val="1"/>
                <w:bCs w:val="1"/>
                <w:color w:val="auto"/>
              </w:rPr>
              <w:t>(2)</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78"/>
              </w:rPr>
              <w:t>except per share,</w:t>
            </w:r>
          </w:p>
        </w:tc>
        <w:tc>
          <w:tcPr>
            <w:tcW w:w="160" w:type="dxa"/>
            <w:vAlign w:val="bottom"/>
          </w:tcPr>
          <w:p>
            <w:pPr>
              <w:spacing w:after="0"/>
              <w:rPr>
                <w:sz w:val="14"/>
                <w:szCs w:val="14"/>
                <w:color w:val="auto"/>
              </w:rPr>
            </w:pPr>
          </w:p>
        </w:tc>
        <w:tc>
          <w:tcPr>
            <w:tcW w:w="580" w:type="dxa"/>
            <w:vAlign w:val="bottom"/>
          </w:tcPr>
          <w:p>
            <w:pPr>
              <w:jc w:val="right"/>
              <w:ind w:right="214"/>
              <w:spacing w:after="0"/>
              <w:rPr>
                <w:sz w:val="20"/>
                <w:szCs w:val="20"/>
                <w:color w:val="auto"/>
              </w:rPr>
            </w:pPr>
            <w:r>
              <w:rPr>
                <w:rFonts w:ascii="Arial" w:cs="Arial" w:eastAsia="Arial" w:hAnsi="Arial"/>
                <w:sz w:val="14"/>
                <w:szCs w:val="14"/>
                <w:b w:val="1"/>
                <w:bCs w:val="1"/>
                <w:color w:val="auto"/>
              </w:rPr>
              <w:t>(2)</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214"/>
              <w:spacing w:after="0"/>
              <w:rPr>
                <w:sz w:val="20"/>
                <w:szCs w:val="20"/>
                <w:color w:val="auto"/>
              </w:rPr>
            </w:pPr>
            <w:r>
              <w:rPr>
                <w:rFonts w:ascii="Arial" w:cs="Arial" w:eastAsia="Arial" w:hAnsi="Arial"/>
                <w:sz w:val="14"/>
                <w:szCs w:val="14"/>
                <w:b w:val="1"/>
                <w:bCs w:val="1"/>
                <w:color w:val="auto"/>
              </w:rPr>
              <w:t>(2)</w:t>
            </w:r>
          </w:p>
        </w:tc>
        <w:tc>
          <w:tcPr>
            <w:tcW w:w="90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(In millions,</w:t>
            </w:r>
          </w:p>
        </w:tc>
        <w:tc>
          <w:tcPr>
            <w:tcW w:w="920" w:type="dxa"/>
            <w:vAlign w:val="bottom"/>
            <w:gridSpan w:val="2"/>
            <w:vMerge w:val="continue"/>
          </w:tcPr>
          <w:p>
            <w:pPr>
              <w:spacing w:after="0"/>
              <w:rPr>
                <w:sz w:val="12"/>
                <w:szCs w:val="12"/>
                <w:color w:val="auto"/>
              </w:rPr>
            </w:pPr>
          </w:p>
        </w:tc>
        <w:tc>
          <w:tcPr>
            <w:tcW w:w="3280" w:type="dxa"/>
            <w:vAlign w:val="bottom"/>
            <w:gridSpan w:val="6"/>
          </w:tcPr>
          <w:p>
            <w:pPr>
              <w:jc w:val="right"/>
              <w:ind w:right="660"/>
              <w:spacing w:after="0" w:line="142" w:lineRule="exact"/>
              <w:rPr>
                <w:sz w:val="20"/>
                <w:szCs w:val="20"/>
                <w:color w:val="auto"/>
              </w:rPr>
            </w:pPr>
            <w:r>
              <w:rPr>
                <w:rFonts w:ascii="Arial" w:cs="Arial" w:eastAsia="Arial" w:hAnsi="Arial"/>
                <w:sz w:val="14"/>
                <w:szCs w:val="14"/>
                <w:b w:val="1"/>
                <w:bCs w:val="1"/>
                <w:color w:val="auto"/>
                <w:w w:val="86"/>
              </w:rPr>
              <w:t>weighted average shares and operating data)</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Sales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395.2</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444.2</w:t>
            </w:r>
          </w:p>
        </w:tc>
        <w:tc>
          <w:tcPr>
            <w:tcW w:w="520" w:type="dxa"/>
            <w:vAlign w:val="bottom"/>
          </w:tcPr>
          <w:p>
            <w:pPr>
              <w:spacing w:after="0"/>
              <w:rPr>
                <w:sz w:val="18"/>
                <w:szCs w:val="18"/>
                <w:color w:val="auto"/>
              </w:rPr>
            </w:pP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464.1</w:t>
            </w:r>
          </w:p>
        </w:tc>
        <w:tc>
          <w:tcPr>
            <w:tcW w:w="9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465.4</w:t>
            </w:r>
          </w:p>
        </w:tc>
        <w:tc>
          <w:tcPr>
            <w:tcW w:w="9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Gross profit, net of occupancy costs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206.0(6)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211.6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151.0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178.1</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178.1</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168.8</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employment contract termination</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Provision for impairment of assets, including</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32"/>
              <w:spacing w:after="0"/>
              <w:rPr>
                <w:sz w:val="20"/>
                <w:szCs w:val="20"/>
                <w:color w:val="auto"/>
              </w:rPr>
            </w:pPr>
            <w:r>
              <w:rPr>
                <w:rFonts w:ascii="Arial" w:cs="Arial" w:eastAsia="Arial" w:hAnsi="Arial"/>
                <w:sz w:val="18"/>
                <w:szCs w:val="18"/>
                <w:color w:val="auto"/>
              </w:rPr>
              <w:t>71.4(3)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92"/>
              <w:spacing w:after="0"/>
              <w:rPr>
                <w:sz w:val="20"/>
                <w:szCs w:val="20"/>
                <w:color w:val="auto"/>
              </w:rPr>
            </w:pPr>
            <w:r>
              <w:rPr>
                <w:rFonts w:ascii="Arial" w:cs="Arial" w:eastAsia="Arial" w:hAnsi="Arial"/>
                <w:sz w:val="18"/>
                <w:szCs w:val="18"/>
                <w:color w:val="auto"/>
              </w:rPr>
              <w:t>(77.0)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92"/>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84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1480" w:type="dxa"/>
            <w:vAlign w:val="bottom"/>
            <w:gridSpan w:val="2"/>
          </w:tcPr>
          <w:p>
            <w:pPr>
              <w:jc w:val="right"/>
              <w:ind w:right="84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before taxes</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(79.5)</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32"/>
              <w:spacing w:after="0"/>
              <w:rPr>
                <w:sz w:val="20"/>
                <w:szCs w:val="20"/>
                <w:color w:val="auto"/>
              </w:rPr>
            </w:pPr>
            <w:r>
              <w:rPr>
                <w:rFonts w:ascii="Arial" w:cs="Arial" w:eastAsia="Arial" w:hAnsi="Arial"/>
                <w:sz w:val="18"/>
                <w:szCs w:val="18"/>
                <w:color w:val="auto"/>
              </w:rPr>
              <w:t>28.9(4)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(21.1)(7)</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(108.4)</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92"/>
              <w:spacing w:after="0"/>
              <w:rPr>
                <w:sz w:val="20"/>
                <w:szCs w:val="20"/>
                <w:color w:val="auto"/>
              </w:rPr>
            </w:pPr>
            <w:r>
              <w:rPr>
                <w:rFonts w:ascii="Arial" w:cs="Arial" w:eastAsia="Arial" w:hAnsi="Arial"/>
                <w:sz w:val="18"/>
                <w:szCs w:val="18"/>
                <w:color w:val="auto"/>
              </w:rPr>
              <w:t>(0.9)(5)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18"/>
                <w:szCs w:val="18"/>
                <w:color w:val="auto"/>
              </w:rPr>
            </w:pPr>
          </w:p>
        </w:tc>
        <w:tc>
          <w:tcPr>
            <w:tcW w:w="1480" w:type="dxa"/>
            <w:vAlign w:val="bottom"/>
            <w:gridSpan w:val="2"/>
          </w:tcPr>
          <w:p>
            <w:pPr>
              <w:jc w:val="right"/>
              <w:ind w:right="84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(109.3)</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Income (loss) per share from continuing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operations—basic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0.14</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92"/>
              <w:spacing w:after="0"/>
              <w:rPr>
                <w:sz w:val="20"/>
                <w:szCs w:val="20"/>
                <w:color w:val="auto"/>
              </w:rPr>
            </w:pPr>
            <w:r>
              <w:rPr>
                <w:rFonts w:ascii="Arial" w:cs="Arial" w:eastAsia="Arial" w:hAnsi="Arial"/>
                <w:sz w:val="18"/>
                <w:szCs w:val="18"/>
                <w:color w:val="auto"/>
              </w:rPr>
              <w:t>(2.62)</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0.09</w:t>
            </w:r>
          </w:p>
        </w:tc>
        <w:tc>
          <w:tcPr>
            <w:tcW w:w="9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9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 from continuing</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0.14</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(2.62)</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Net income (loss) per share—basic</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0.14</w:t>
            </w:r>
          </w:p>
        </w:tc>
        <w:tc>
          <w:tcPr>
            <w:tcW w:w="480" w:type="dxa"/>
            <w:vAlign w:val="bottom"/>
            <w:gridSpan w:val="2"/>
          </w:tcPr>
          <w:p>
            <w:pPr>
              <w:ind w:left="3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(2.64)</w:t>
            </w:r>
          </w:p>
        </w:tc>
        <w:tc>
          <w:tcPr>
            <w:tcW w:w="56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9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9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0.14</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(2.64)</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0.98</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 net income (loss) per</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share—basic</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43,552</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41,412</w:t>
            </w: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41,707</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35,276</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34,306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for net income(loss) per share—diluted</w:t>
            </w:r>
          </w:p>
        </w:tc>
        <w:tc>
          <w:tcPr>
            <w:tcW w:w="16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43,982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41,412</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43,229</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46,457</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35,860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274"/>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Fiscal Years Ended(1)</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90"/>
              </w:rPr>
              <w:t>January 31,</w:t>
            </w:r>
          </w:p>
        </w:tc>
        <w:tc>
          <w:tcPr>
            <w:tcW w:w="400" w:type="dxa"/>
            <w:vAlign w:val="bottom"/>
          </w:tcPr>
          <w:p>
            <w:pPr>
              <w:spacing w:after="0"/>
              <w:rPr>
                <w:sz w:val="11"/>
                <w:szCs w:val="11"/>
                <w:color w:val="auto"/>
              </w:rPr>
            </w:pPr>
          </w:p>
        </w:tc>
        <w:tc>
          <w:tcPr>
            <w:tcW w:w="1320" w:type="dxa"/>
            <w:vAlign w:val="bottom"/>
            <w:gridSpan w:val="3"/>
          </w:tcPr>
          <w:p>
            <w:pPr>
              <w:jc w:val="right"/>
              <w:ind w:right="600"/>
              <w:spacing w:after="0" w:line="129" w:lineRule="exact"/>
              <w:rPr>
                <w:sz w:val="20"/>
                <w:szCs w:val="20"/>
                <w:color w:val="auto"/>
              </w:rPr>
            </w:pPr>
            <w:r>
              <w:rPr>
                <w:rFonts w:ascii="Arial" w:cs="Arial" w:eastAsia="Arial" w:hAnsi="Arial"/>
                <w:sz w:val="14"/>
                <w:szCs w:val="14"/>
                <w:b w:val="1"/>
                <w:bCs w:val="1"/>
                <w:color w:val="auto"/>
                <w:w w:val="92"/>
              </w:rPr>
              <w:t>February 2,</w:t>
            </w:r>
          </w:p>
        </w:tc>
        <w:tc>
          <w:tcPr>
            <w:tcW w:w="220" w:type="dxa"/>
            <w:vAlign w:val="bottom"/>
          </w:tcPr>
          <w:p>
            <w:pPr>
              <w:spacing w:after="0"/>
              <w:rPr>
                <w:sz w:val="11"/>
                <w:szCs w:val="11"/>
                <w:color w:val="auto"/>
              </w:rPr>
            </w:pPr>
          </w:p>
        </w:tc>
        <w:tc>
          <w:tcPr>
            <w:tcW w:w="15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February 3,</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January 30,</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2007</w:t>
            </w:r>
          </w:p>
        </w:tc>
        <w:tc>
          <w:tcPr>
            <w:tcW w:w="78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January 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(Fiscal 2008)</w:t>
            </w:r>
          </w:p>
        </w:tc>
        <w:tc>
          <w:tcPr>
            <w:tcW w:w="40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(Fiscal 2007)</w:t>
            </w:r>
          </w:p>
        </w:tc>
        <w:tc>
          <w:tcPr>
            <w:tcW w:w="22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(Fiscal 2006)</w:t>
            </w:r>
          </w:p>
        </w:tc>
        <w:tc>
          <w:tcPr>
            <w:tcW w:w="160" w:type="dxa"/>
            <w:vAlign w:val="bottom"/>
          </w:tcPr>
          <w:p>
            <w:pPr>
              <w:spacing w:after="0"/>
              <w:rPr>
                <w:sz w:val="12"/>
                <w:szCs w:val="12"/>
                <w:color w:val="auto"/>
              </w:rPr>
            </w:pPr>
          </w:p>
        </w:tc>
        <w:tc>
          <w:tcPr>
            <w:tcW w:w="58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(Fiscal 2009)</w:t>
            </w:r>
          </w:p>
        </w:tc>
        <w:tc>
          <w:tcPr>
            <w:tcW w:w="6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w:t>
            </w:r>
          </w:p>
        </w:tc>
        <w:tc>
          <w:tcPr>
            <w:tcW w:w="78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(Fiscal 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480" w:type="dxa"/>
            <w:vAlign w:val="bottom"/>
            <w:gridSpan w:val="11"/>
          </w:tcPr>
          <w:p>
            <w:pPr>
              <w:spacing w:after="0" w:line="142" w:lineRule="exact"/>
              <w:rPr>
                <w:sz w:val="20"/>
                <w:szCs w:val="20"/>
                <w:color w:val="auto"/>
              </w:rPr>
            </w:pPr>
            <w:r>
              <w:rPr>
                <w:rFonts w:ascii="Arial" w:cs="Arial" w:eastAsia="Arial" w:hAnsi="Arial"/>
                <w:sz w:val="14"/>
                <w:szCs w:val="14"/>
                <w:b w:val="1"/>
                <w:bCs w:val="1"/>
                <w:color w:val="auto"/>
                <w:w w:val="92"/>
              </w:rPr>
              <w:t>millions, except per share, weighted average shares and operating data)</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Working capital</w:t>
            </w:r>
          </w:p>
        </w:tc>
        <w:tc>
          <w:tcPr>
            <w:tcW w:w="11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45.6</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41.0</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66.8</w:t>
            </w:r>
          </w:p>
        </w:tc>
        <w:tc>
          <w:tcPr>
            <w:tcW w:w="7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52.2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59.1</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Long term debt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20" w:type="dxa"/>
            <w:vAlign w:val="bottom"/>
            <w:gridSpan w:val="2"/>
          </w:tcPr>
          <w:p>
            <w:pPr>
              <w:spacing w:after="0"/>
              <w:rPr>
                <w:sz w:val="20"/>
                <w:szCs w:val="20"/>
                <w:color w:val="auto"/>
              </w:rPr>
            </w:pPr>
            <w:r>
              <w:rPr>
                <w:rFonts w:ascii="Arial" w:cs="Arial" w:eastAsia="Arial" w:hAnsi="Arial"/>
                <w:sz w:val="18"/>
                <w:szCs w:val="18"/>
                <w:color w:val="auto"/>
              </w:rPr>
              <w:t>Cash flow provided by operations</w:t>
            </w:r>
          </w:p>
        </w:tc>
        <w:tc>
          <w:tcPr>
            <w:tcW w:w="11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30.8</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23.2</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11.7</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c>
          <w:tcPr>
            <w:tcW w:w="7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Less: capital expenditures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Less acquisitions(8)</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Free cash flow(8)</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OPERATING DATA:</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sales per square foot</w:t>
            </w:r>
          </w:p>
        </w:tc>
        <w:tc>
          <w:tcPr>
            <w:tcW w:w="11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Number of stores open at fiscal year end</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479</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494</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488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508</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fiscal year is a 52 or 53 week period ending on the Saturday closest to January 31. The fiscal year ending February 3, 2007 included 53 weeks.</w:t>
      </w:r>
    </w:p>
    <w:p>
      <w:pPr>
        <w:spacing w:after="0" w:line="38"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fourth quarter of fiscal 2007, we exited our Jared M. business. Therefore, we have shown the results of our Jared M. business, since its acquisition in fiscal 2006, as discontinued operations. Certain prior-year amounts on the Income Statement Data for fiscal 2006 have been reclassified to discontinued operations to conform to the current-year presentation.</w:t>
      </w:r>
    </w:p>
    <w:p>
      <w:pPr>
        <w:spacing w:after="0" w:line="1"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the fourth quarter of fiscal 2008, we recorded a full non-cash impairment charge related to our goodwill for $63.1 million and a partial impairment of our Rochester trademark of $2.5 million. These impairments were due to the downturn in the economy and the deterioration in the capital markets which had a direct impact on our business during fiscal 2008 and resulted in a significant decrease in the fair value of our Company at the end of the fourth quarter of fiscal 2008. In addition, we also recorded a non-cash charge of $5.8 million for the impairment of fixed assets.</w:t>
      </w:r>
    </w:p>
    <w:p>
      <w:pPr>
        <w:spacing w:after="0" w:line="2" w:lineRule="exact"/>
        <w:rPr>
          <w:rFonts w:ascii="Arial" w:cs="Arial" w:eastAsia="Arial" w:hAnsi="Arial"/>
          <w:sz w:val="16"/>
          <w:szCs w:val="16"/>
          <w:color w:val="auto"/>
        </w:rPr>
      </w:pPr>
    </w:p>
    <w:p>
      <w:pPr>
        <w:ind w:left="460" w:right="8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the fourth quarter of fiscal 2008, we recorded a non-cash charge of $28.6 million to establish a full valuation allowance against our deferred tax assets. As a result of our recent operating losses and the overall condition of the economy, the realizability of our deferred tax assets cannot be assured. For a discussion of the valuation allowance, see Note D to the Notes to the Consolidated Financial Statements.</w:t>
      </w:r>
    </w:p>
    <w:p>
      <w:pPr>
        <w:spacing w:after="0" w:line="2"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Discontinued operations for fiscal 2007 include a charge of $2.6 million recorded during the third and fourth quarters of fiscal 2007 related to the exiting of our Jared M. business. Of the $2.6 million charge, $1.1 million related to the write-down of inventory, $1.4 million for the impairment of fixed assets and $0.1 million for the write-down of accounts receivables and other assets. During the first quarter of fiscal 2008, we sold our Jared M. business for $250,000. No material gain or loss was recognized on the sale. See Note J to the Notes to the Consolidated Financial Statements for a complete description. In fiscal 2007, when we decided to exit our Jared M. operations, the Jared M. showroom was being sub-leased and therefore, we did not believe an accrual was needed at that time. However, during fiscal 2008, we were not able to secure a sub-lease agreement to completely satisfy our obligations under the lease agreement. Accordingly, during the fourth quarter of fiscal 2008, we recorded an additional charge of $0.9 million for the estimated lease obligation. No income tax benefit was realized on this charge during fiscal 2008 due to the establishment of our full valuation allowance against all of our deferred tax assets.</w:t>
      </w:r>
    </w:p>
    <w:p>
      <w:pPr>
        <w:spacing w:after="0" w:line="6"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fourth quarter of fiscal 2007, we recorded a charge to gross margin of approximately $6.1 million, or $0.08 per diluted share, for the write-down of inventory for both our Casual Male and Rochester businesses.</w:t>
      </w:r>
    </w:p>
    <w:p>
      <w:pPr>
        <w:ind w:left="46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fourth quarter of fiscal 2006, we reversed $31.0 million of our deferred tax valuation allowance of which $30.5 million was recognized as an income tax benefit and $0.5 million was recorded as an adjustment to additional paid-in capital. The income tax benefit of $30.5 million was partially offset by $8.9 million in tax provisions. In the fourth quarter of fiscal 2005, we recognized an income tax benefit of $2.8 million associated with the partial reversal of $3.1 million of our valuation allowance. This benefit was partially offset by $0.3 million in tax provisions. For a discussion of the valuation allowance reversals, see Note D to the Notes to the Consolidated Financial Statements.</w:t>
      </w:r>
    </w:p>
    <w:p>
      <w:pPr>
        <w:spacing w:after="0" w:line="3" w:lineRule="exact"/>
        <w:rPr>
          <w:rFonts w:ascii="Arial" w:cs="Arial" w:eastAsia="Arial" w:hAnsi="Arial"/>
          <w:sz w:val="16"/>
          <w:szCs w:val="16"/>
          <w:color w:val="auto"/>
        </w:rPr>
      </w:pPr>
    </w:p>
    <w:p>
      <w:pPr>
        <w:ind w:left="460" w:right="20" w:hanging="452"/>
        <w:spacing w:after="0" w:line="287"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Free cash flow is considered a non-GAAP financial measure under SEC regulations. We present this measure as supplemental information to help investors better understand trends in our business results over time. We use free cash flow to evaluate the performance of our business. Free cash flow is not equivalent to any measure of performance required to be reported under GAAP, nor should this data be considered an indicator of our overall financial performance or liquidity. Moreover, the free cash flow definition we use may not be comparable to similarly titled measurer used by other companies. We calculate free cash flows as cash flow from operating activities, less capital expenditures and discretionary store asset acquisitions. In the second quarter of fiscal 2009, we changed our method of calculating free cash flow to include, as a deduction, the use of cash for the acquisition of Dahle Big &amp; Tall stores in fiscal 2008 and the acquisition of Jared M. in fiscal 2006. Accordingly, free cash flow for fiscal 2008 and fiscal 2006, which were previously defined as cash flow from operating activities less capital expenditures, were restated to include the cash used for the Dahle acquisition of $3.0 million and the Jared M. acquisition of $3.0 million, respectively.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 xml:space="preserve">As noted above, this Annual Report on Form 10-K, including, without limitation, this Item 7, contains “forward-looking statements” within the meaning of the United States Private Securities Litigation Reform Act of 1995. Actual results or developments could differ materially from those projected in such statements as a result of numerous factors, including, without limitation those risks and uncertainties set forth in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which you are encouraged to read.</w:t>
      </w:r>
    </w:p>
    <w:p>
      <w:pPr>
        <w:spacing w:after="0" w:line="1"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light of those risks and uncertainties and in conjunction with our accompanying Consolidated Financial Statements and Notes thereto.</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2009 Financial Summary</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While the overall weakness in the economy during the past eighteen months directly impacted our business, particularly our sales volumes, fiscal 2009 was a very pivotal year for us. Beginning in fiscal 2008, we started to take the steps that we felt were necessary to be profitable and cash flow positive, given the potential for double-digit decreases in sales for fiscal 2009.</w:t>
      </w:r>
    </w:p>
    <w:p>
      <w:pPr>
        <w:spacing w:after="0" w:line="14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Instead of trying to maintain our top line during a weakened economy, we shifted our focus toward improving our operating income and optimizing our free cash flow, assuming a smaller sales base. We focused on strengthening our liquidity and efficiently managing our inventory levels to improve our gross margins. The result of these initiatives was an improvement in operating income of $11.7 million to $8.1 million for fiscal 2009, as compared to an adjusted operating loss of $(3.6) million for fiscal 2008, before non-cash charges and severance costs of $73.4 million. The fiscal 2008 adjusted operating loss of $(3.6) million is a non-GAAP financial measure; see Results of Operations – Net Income for a reconciliation to GAAP measures. This improvement in operating income, despite a sales decrease of $49.0 million, was the result of improved merchandise margins and a $27.0 million decrease in selling, general and administrative (“SG&amp;A”) expenses for fiscal 2009. As a result, our net income for fiscal 2009 was $6.1 million, or $0.14 per diluted share, as compared to a net loss of $(109.3) million, or $(2.64) per diluted share, for fiscal 2008.</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Of equal significance is the continued improvement in our financial position during fiscal 2009. We have reduced our total indebtedness to $11.1 million at January 30, 2010, which represents a decrease of $40.1 million, or 78.4%, as compared to the prior year. In addition, we have further reduced our inventory levels at January 30, 2010 by $8.7 million, or 8.8%, as compared to fiscal 2008. Over a two year period, we have reduced our inventories by approximately 23.6%. This aggressive approach to managing our inventory has been a key component to optimizing our merchandise margins, enabling us to avoid excessive promotional and clearance activity. Our resulting free cash flow (as defined below under “Presentation of Non-GAAP Measures”) for fiscal 2009 improved by $18.6 million and was approximately $26.2 million compared to free cash flow of $7.6 million for fiscal 2008. Accordingly, the amount of borrowing availability under our credit facility was $57.8 million at the end of 2009.</w:t>
      </w:r>
    </w:p>
    <w:p>
      <w:pPr>
        <w:spacing w:after="0" w:line="11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believe that with this restructured operating model, our existing business can remain stable and cash flow producing. However, we do not believe that new store growth in our current formats will produce the level of market share growth we hope to achieve. Given that, during fiscal 2009, we started to pursue new strategies to grow our business and increase our market share within the big &amp; tall market. We believe that in order to be successful and to become a growth business, we need to develop more compelling and convenient ways for our customers to shop, while attracting a largely untapped segment of the big &amp; tall market— the smaller waist customer (with sizes 42’ to 46’). Our market share of this component of the big &amp; tall market has significant opportunity for substantial growth.</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fiscal 2009, we converted five of our Casual Male store locations to a new hybrid store format and closed five Rochester Clothing locations. The hybrid store format is a combination Casual Male XL store and Rochester Clothing store. The combination allows our customers to see an extended offering of our merchandise across both brands. Even though our hybrid locations experienced similar sales trends as our other stores, the average store volume improved by 50% compared to the combined results of the two stand-alone locations in the prior year. Each combined location was substantially more profitable than the previous stand-alone location.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New Concept</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positive results in our hybrid stores confirmed an additional opportunity for us. Our target customer group is a very diverse group, and we currently try to cater to them in individual groups through our various channels and brands, such as B&amp;T Factory Direct for our value-oriented customers, Casual Male XL for our moderate-priced customer and Rochester Clothing for our high-end customers. Our new concept will merge all of our brands under one roof, making it easier for our customers to find the merchandise they are looking for without having to shop several stores.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fiscal 2010, we will be launching our new store concept, Destination XL. Destination XL will be a supercenter, averaging 11,000 square feet, offering a full assortment from all of our core brands, including Casual Male XL, Rochester Clothing and B&amp;T Factory Direct, as well as expanded assortments of Shoes XL and Living XL. All of our brands, across all channels, will be represented in our new store utilizing a good, better, best pricing structure. Our new store will be the first of its kind in the big &amp; tall market. Our family-friendly destination store will offer our customers one-stop shopping for all of their apparel needs while providing them with a comfortable and entertaining atmosphere, complete with interactive elements.</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economic proposition for the Destination XL concept is greater efficiencies in serving the market area resulting in higher operating margins, and potentially greater sales volumes with increased market share in each market by either a) gaining a larger share of our existing customers’ annual expenditures on apparel, or b) increasing our market penetration with our customers whose waist size is between 42’ and 46’, or both. Accordingly, the expectation is enhanced returns on capital and operating income from each market compared to our existing locations.</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conjunction with our new store concept, we will also be launching a cross-channel website, combining all of our existing e-commerce sites into one enhanced website, with state-of-the-art features and best practices. This will enable our customers to shop across all of our brands and product extensions with ease and will bring all of our customers under one concept. Their classification as a “Rochester” customer or a “Casual Male” customer will no longer limit their ability to access our full product assortment.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2010 Outlook</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Although we are seeing gradual improvements throughout the retail industry, we expect in our specific market that our sales volumes for fiscal 2010 will be relatively flat to fiscal 2009 consistent with the expectation that the rebound in consumer spending in the big &amp; tall market will be over an extended period of time. Based on these sales projections for fiscal 2010, we expect to make continued improvements in gross margins of between 40 and 100 basis points and SG&amp;A costs to decline approximately 2% from 2009 levels.</w:t>
      </w:r>
    </w:p>
    <w:p>
      <w:pPr>
        <w:spacing w:after="0" w:line="14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expect our earnings for fiscal 2010 to be between $0.23 and $0.26 per diluted share. On a quarterly basis, we expect to see earnings improvements in each of our fiscal quarters, with the exception of the second quarter of fiscal 2010. No improvement is expected in the second quarter due to the fact that we will have recognized a full year of our gross margin and SG&amp;A improvements and we are also forecasting a decrease in sales during the first half of fiscal 2010.</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From a liquidity perspective, we expect to generate free cash flow of approximately $20 million, which represents cash flow from operations of $30.0 million less budgeted capital expenditures of approximately $10.0 million. Our capital expenditure projects for fiscal 2010 are primarily related to our Destination XL store concept and the corresponding enhancement and launching of our multi-business e-commerce website.</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free cash flow we generate in fiscal 2010 is expected to be used to fully reduce our existing bank debt. At the end of fiscal 2010, we expect that we will be debt-free and cash positive. We expect that the availability under our revolver, which will not expire until October 2011, will be over $60 million by the end of the fiscal year.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Presentation of Non-GAAP Measures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presentation of non-GAAP free cash flow is not a measure determined by generally accepted accounting principles (“GAAP”) and should not be considered superior to or as a substitute for net income (loss) or cash flows from operating activities or any other measure of performance derived in accordance with GAAP. In addition, all companies do not calculate non-GAAP financial measures in the same manner and, accordingly, “free cash flows” presented in this report may not be comparable to similar measures used by other companies. We believe that inclusion of this non-GAAP measure helps investors gain a better understanding of our performance, especially when comparing such results to previous periods.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calculate free cash flows as cash flow from operating activities less capital expenditures and discretionary store asset acquisitions: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Projected Cash Flow</w:t>
            </w:r>
          </w:p>
        </w:tc>
      </w:tr>
      <w:tr>
        <w:trPr>
          <w:trHeight w:val="161"/>
        </w:trPr>
        <w:tc>
          <w:tcPr>
            <w:tcW w:w="49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2"/>
              </w:rPr>
              <w:t>Fiscal 2009</w:t>
            </w:r>
          </w:p>
        </w:tc>
        <w:tc>
          <w:tcPr>
            <w:tcW w:w="920" w:type="dxa"/>
            <w:vAlign w:val="bottom"/>
          </w:tcPr>
          <w:p>
            <w:pPr>
              <w:spacing w:after="0"/>
              <w:rPr>
                <w:sz w:val="14"/>
                <w:szCs w:val="14"/>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Fiscal 2008(1)</w:t>
            </w:r>
          </w:p>
        </w:tc>
        <w:tc>
          <w:tcPr>
            <w:tcW w:w="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6"/>
              </w:rPr>
              <w:t>Fiscal 2010</w:t>
            </w:r>
          </w:p>
        </w:tc>
        <w:tc>
          <w:tcPr>
            <w:tcW w:w="10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20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Less: Acquisition of Dahle Big &amp; Tall stores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1"/>
        </w:trPr>
        <w:tc>
          <w:tcPr>
            <w:tcW w:w="4960" w:type="dxa"/>
            <w:vAlign w:val="bottom"/>
          </w:tcPr>
          <w:p>
            <w:pPr>
              <w:spacing w:after="0"/>
              <w:rPr>
                <w:sz w:val="20"/>
                <w:szCs w:val="20"/>
                <w:color w:val="auto"/>
              </w:rPr>
            </w:pPr>
            <w:r>
              <w:rPr>
                <w:rFonts w:ascii="Arial" w:cs="Arial" w:eastAsia="Arial" w:hAnsi="Arial"/>
                <w:sz w:val="18"/>
                <w:szCs w:val="18"/>
                <w:color w:val="auto"/>
              </w:rPr>
              <w:t>Free Cash Flow</w:t>
            </w:r>
          </w:p>
        </w:tc>
        <w:tc>
          <w:tcPr>
            <w:tcW w:w="182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92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92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both"/>
        <w:ind w:left="460" w:right="200" w:hanging="452"/>
        <w:spacing w:after="0" w:line="306"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second quarter of fiscal 2009, we changed our method of calculating free cash flow to include, as a deduction, the use of cash for the acquisition of Dahle Big &amp; Tall stores in the second quarter of fiscal 2008. Accordingly, free cash flow for fiscal 2008, which was previously defined as cash flow from operating activities less capital expenditures, was restated to include the cash used for the Dahle acquisition of $3.0 million.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report our operations as one reportable segment, Big &amp; Tall Men’s Apparel, which consists of our two principal operating segments—Casual Male XL and Rochester Clothing. We consider our operating segments to be similar in terms of economic characteristic, production processes and operations, and have therefore aggregated them into a single reporting segment.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fiscal year is a 52- or 53-week period ending on the Saturday closest to January 31. Fiscal 2009, 2008 and 2007 were 52- week periods.</w:t>
      </w:r>
    </w:p>
    <w:p>
      <w:pPr>
        <w:spacing w:after="0" w:line="19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Comparable sales for all periods include our retail stores that have been open for at least one full fiscal year together with our e-commerce and catalog sales. Stores that have been remodeled, expanded or re-located during the period are also included in our determination of comparable sales. We include our direct businesses as part of our calculation of comparable sales since we are a multi-channel retailer, offering our customers convenient alternatives for their shopping. The method of calculating comparable sales varies across the retail industry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as a result, our calculation of comparable sales is not necessarily comparable to similarly titled measures reported by other companies.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Sales for fiscal 2009 decreased $49.0 million, or 11.0%, to $395.2 million as compared to $444.2 million for fiscal 2008. This decrease reflects the difficult economic and retail environment that we experienced this year. Reduced consumer spending and therefore lack of traffic to our stores resulted in a very challenging year for us from a sales perspective. The sales shortfall of $49.0 million was primarily attributable to a decrease in our comparable sales of 10.8%. Sales in our retail channel declined by 10.6%, while sales decreased 14.2% in our direct channel.</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With a total decrease of 20.6%, our higher-end Rochester business was affected the most by the downturn in the economy. Conversely, our value-oriented Casual Male XL outlet stores performed significantly better, with a comparable sales decrease of only 2.6% over the prior year. In addition, our B&amp;T Factory Direct business performed very well during fiscal 2009, with a 16.7% increase over fiscal 2008.</w:t>
      </w:r>
    </w:p>
    <w:p>
      <w:pPr>
        <w:spacing w:after="0" w:line="10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Sales across our direct marketing catalog and e-commerce businesses decreased 14.2%. The decrease was partially driven by a planned 35% reduction in catalog circulation to improve productivity. This resulted in a nearly 30% increase in our sales productivity per catalog.</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Sales for fiscal 2008 decreased $19.9 million, or 4.3%, to $444.2 million as compared to $464.1 million for fiscal 2007. We started to experience the lack of consumer traffic and spending during the latter half of fiscal 2008. The sales shortfall of $19.9 million was primarily attributable to a decrease in our comparable sales of 4.3%, with a total decrease of 12.5% from our higher-end Rochester business. Our value-oriented Casual Male XL outlet stores performed better with a comparable sales decrease of only 1% over fiscal 2007. Our non-core businesses, which include Living XL, Shoes XL, B&amp;T Factory Direct and our International Web stores, generated sales of $15.7 million for fiscal 2008 as compared to $8.9 million for fiscal 2007. Sales in our retail channel declined by 6.0%, while sales increased 4.4% in its direct channel.</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fourth quarter of fiscal 2009, we started to see a gradual improvement in traffic and our other store metrics. Although we are seeing some improvement, we are planning fiscal 2010 sales volumes to remain flat to fiscal 2009, expecting total sales for fiscal 2010 to be between $385.0-395.0 million with comparable sales to approximate between -1% to +1% . Consumer spending and an overall improvement in store traffic will most likely rebound very slowly, especially considering that although the overall economy has shown signs of improvement, unemployment rates, which have a direct impact on consumer spending, remain high.</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MARGIN</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Gross margin rate for fiscal 2009 was 44.2% as compared to 42.7% for fiscal 2008 and 44.4% for fiscal 2007. The increase of 150 basis points for fiscal 2009, as compared to fiscal 2008, was comprised of a 340 basis point increase in merchandise margin partially offset by an increase of 190 basis points in occupancy costs, due to the lower sales base. Our aggressive management of inventory and our reduced emphasis on promotional activities were the primary factors in the significant improvement of our merchandise margin in fiscal 2009. We very successfully aligned our inventory receipts with our revised sales forecast such that inventory levels were maintained at desired levels helping to minimize clearance markdowns. In addition, we continue to benefit from our growing global sourcing activities which have also contributed to maintaining our merchandise cost structure. Although our occupancy costs, as a percentage of sales, were unfavorable, our occupancy costs on a dollar basis for fiscal 2009 remained flat to fiscal 2008 as a result of our active re-negotiations of lease terms with many of our landlords.</w:t>
      </w:r>
    </w:p>
    <w:p>
      <w:pPr>
        <w:spacing w:after="0" w:line="11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decrease of 170 basis points in the gross margin rate for fiscal 2008, when compared to fiscal 2007, was comprised of a 60 basis point decrease in merchandise margin and a 110 basis point increase in occupancy costs, primarily due to a lower sales base. Throughout fiscal 2008, we took additional markdowns on our seasonal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merchandise to ensure that our inventory levels remained appropriate and, in some cases, accelerated our fourth quarter markdowns as a result of our fourth quarter sales shortfall. The increase in our occupancy costs for fiscal 2008 was only 4.0% over the prior year. However, because of the lower sales base, the percentage impact to our gross margin rate is considerably higher.</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fiscal 2009, we were very successful in re-negotiating existing lease terms with many of our landlords, enabling us to reduce future occupancy by approximately $9.0 million, which will be recognized over the remaining lease terms of those respective leases. As a result, we expect to leverage occupancy costs by approximately 15 to 30 basis points in fiscal 2010. In addition, we expect to continue with our aggressive management of inventory levels during fiscal 2010 to ensure a healthy inventory position and, accordingly, strong merchandise margins, with improvements of 25 to 70 basis points. Therefore, for fiscal 2010, we are expecting gross margin will improve by approximately 40 to 100 basis points.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expenses as a percentage of sales for fiscal 2009, 2008 and 2007 were 38.2%, 40.1% and 38.4%, respectively.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 dollar basis, SG&amp;A expenses of $151.0 million for fiscal 2009, represents a $27.0 million, or 15.2%, decrease as compared to $178.1 million for fiscal 2008. Approximately half of the savings for fiscal 2009 were the result of our revised marketing strategy, which has been refined to focus on our most productive customer base. The remainder of the savings resulted from our cost reduction efforts throughout our organization, including corporate overhead, distribution and field productivity improvements and staff reductions. These significant savings were partially offset by an increase of approximately $6.2 million related to a bonus accrual for both our annual incentive plan as well as our senior management long-term incentive plan.</w:t>
      </w:r>
    </w:p>
    <w:p>
      <w:pPr>
        <w:spacing w:after="0" w:line="116"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SG&amp;A expenses in fiscal 2008 of $178.1 million were flat to fiscal 2007. SG&amp;A expenses for our core businesses decreased $5.0 million, or 2.9%, as compared to fiscal 2007. The majority of the savings was from decreases in marketing, as a result of decreasing circulation of catalogs, productivity savings in our distribution center as a result of improved infrastructure and overall cost savings throughout the business. These cost savings were offset by an increase of approximately $3.5 million related to expenses to support our non-core direct businesses, which include Shoes XL, Living XL, B&amp;T Factory Direct and our International Web stores. Fiscal 2008 also includes a non-cash charge of $1.5 million for the acceleration of stock compensation expense associated with the repurchase of certain stock options and an additional $0.5 million related to non-recurring severance expense during the fourth quarter of fiscal 2008.</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ability to aggressively manage our SG&amp;A expenses has been a significant priority for us in fiscal 2009. We expect to retain a similar posture for fiscal 2010 and will continue to limit our SG&amp;A growth rates, except for certain programs to support our growth activities, unanticipated cost increases by our suppliers, and unanticipated costs that are necessary to support our overall activities. For fiscal 2010, we expect SG&amp;A costs to decrease an additional $3.0 million as our 2009 cost reduction initiatives annualize in the first quarter of fiscal 2010. This decrease will be partially offset by an increase in marketing and other areas to support our Destination XL concept.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IMPAIRMENT OF ASSETS, INCLUDING GOODWILL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fiscal 2009, we did not have any significant impairment with respect to our long-lived assets and intangible assets.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fiscal 2008, we recorded impairment charges totaling $71.4 million. This total included: (i) a charge of $63.1 million for the full impairment of our goodwill for both of our reporting units, (ii) a partial impairment of $2.5 million against our Rochester trademark and (iii) an impairment of long-lived assets of $5.8 million. For more information regarding these impairments, see “Critical Accounting Policies—Goodwill and Intangibles” and “Critical Accounting Policies —Impairment of Long-Lived Assets.”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Depreciation and amortization expense was $15.5 million for fiscal 2009, $17.1 million for fiscal 2008 and $17.4 million for fiscal 2007. Depreciation and amortization expense for fiscal 2009 has decreased as compared to fiscal 2008, as a result of the impairment charge incurred in fiscal 2008 as well as the reduced capital spending in fiscal 2009. The slight decrease in depreciation and amortization for fiscal 2008 as compared to fiscal 2007 was due to a reduction of assets related to the closing of Jared M. in fiscal 2007.</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 (EXPENSE)</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fiscal 2006, we sold our loss prevention subsidiary, LP Innovations, Inc. (“LPI”), for a purchase price of $5.2 million. In connection with the LPI sale, we received a note for $2.2 million, representing a portion of the sale price, which we reserved against at the time of the sale. We are recognizing income as realizability of this note is assured.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Net interest expense was $1.1 million in fiscal 2009 as compared to $3.0 million in fiscal 2008 and $4.3 million in fiscal 2007. The reduction in interest costs for fiscal 2009 as compared to fiscal 2008 was due to an overall reduction of 78.4% in total debt at year end as well as favorable interest rates on our credit facility. The average interest rate on our average borrowings for fiscal 2009 was approximately 2.5% as compared to approximately 4.6% for fiscal 2008.</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“Liquidity and Capital Resources” for more discussion regarding our current debt obligations and future liquidity needs.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results of operations for our Jared M. business which we exited during the fourth quarter of fiscal 2007.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7"/>
              </w:rPr>
              <w:t>Fiscal 2008(1)</w:t>
            </w:r>
          </w:p>
        </w:tc>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7"/>
              </w:rPr>
              <w:t>Fiscal 2007(2)</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Provision for impairment of assets</w:t>
            </w:r>
          </w:p>
        </w:tc>
        <w:tc>
          <w:tcPr>
            <w:tcW w:w="3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80" w:type="dxa"/>
            <w:vAlign w:val="bottom"/>
            <w:gridSpan w:val="2"/>
          </w:tcPr>
          <w:p>
            <w:pPr>
              <w:ind w:left="440"/>
              <w:spacing w:after="0"/>
              <w:rPr>
                <w:sz w:val="20"/>
                <w:szCs w:val="20"/>
                <w:color w:val="auto"/>
              </w:rPr>
            </w:pPr>
            <w:r>
              <w:rPr>
                <w:rFonts w:ascii="Arial" w:cs="Arial" w:eastAsia="Arial" w:hAnsi="Arial"/>
                <w:sz w:val="18"/>
                <w:szCs w:val="18"/>
                <w:color w:val="auto"/>
              </w:rPr>
              <w:t>Loss before taxes</w:t>
            </w:r>
          </w:p>
        </w:tc>
        <w:tc>
          <w:tcPr>
            <w:tcW w:w="3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7"/>
        </w:trPr>
        <w:tc>
          <w:tcPr>
            <w:tcW w:w="8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8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first quarter of fiscal 2008, we sold our Jared M. business to a third party for a cash purchase price of $250,000 and no gain or loss was realized on the sale. During the fourth quarter of fiscal 2008, we recorded a charge of $895,000 for the outstanding lease obligation for the Jared M. showroom. In fiscal 2007, when we decided to exit our Jared M. operations, the Jared M. showroom was being sub-leased and we did not believe any accrual was needed at that time. However, during fiscal 2008, we were not able to secure a sub-lease agreement to satisfy our obligations completely under the lease agreement. No income tax benefit was realized on this charge during fiscal 2008 due to the establishment of our full valuation allowance against all of our deferred tax assets.</w:t>
      </w:r>
    </w:p>
    <w:p>
      <w:pPr>
        <w:spacing w:after="0" w:line="4" w:lineRule="exact"/>
        <w:rPr>
          <w:rFonts w:ascii="Arial" w:cs="Arial" w:eastAsia="Arial" w:hAnsi="Arial"/>
          <w:sz w:val="18"/>
          <w:szCs w:val="18"/>
          <w:color w:val="auto"/>
        </w:rPr>
      </w:pPr>
    </w:p>
    <w:p>
      <w:pPr>
        <w:ind w:left="460" w:right="300" w:hanging="452"/>
        <w:spacing w:after="0" w:line="32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Discontinued operations for fiscal 2007 include a charge of $2.6 million, of which $1.1 million relates to the write-down of inventory and is included as part of gross margin. The remainder of the charge is for the impairment of fixed assets of $1.4 million and other current assets of $0.1 million.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Pursuant to accounting rules, realization of our deferred tax assets, which relate principally to federal net operating loss carryforwards, which expire from 2018 through 2029, is dependent on generating sufficient taxable income in the near term. We had previously established a full valuation allowance against our deferred tax assets during fiscal years 2001 and 2002, based on the historical losses in those years. Then, as a result of transforming our Company, through acquisitions and divestures, from an operator of Levi’s</w:t>
      </w:r>
      <w:r>
        <w:rPr>
          <w:rFonts w:ascii="Arial" w:cs="Arial" w:eastAsia="Arial" w:hAnsi="Arial"/>
          <w:sz w:val="11"/>
          <w:szCs w:val="11"/>
          <w:color w:val="auto"/>
        </w:rPr>
        <w:t>®</w:t>
      </w:r>
      <w:r>
        <w:rPr>
          <w:rFonts w:ascii="Arial" w:cs="Arial" w:eastAsia="Arial" w:hAnsi="Arial"/>
          <w:sz w:val="18"/>
          <w:szCs w:val="18"/>
          <w:color w:val="auto"/>
        </w:rPr>
        <w:t>/Dockers</w:t>
      </w:r>
      <w:r>
        <w:rPr>
          <w:rFonts w:ascii="Arial" w:cs="Arial" w:eastAsia="Arial" w:hAnsi="Arial"/>
          <w:sz w:val="11"/>
          <w:szCs w:val="11"/>
          <w:color w:val="auto"/>
        </w:rPr>
        <w:t>®</w:t>
      </w:r>
      <w:r>
        <w:rPr>
          <w:rFonts w:ascii="Arial" w:cs="Arial" w:eastAsia="Arial" w:hAnsi="Arial"/>
          <w:sz w:val="18"/>
          <w:szCs w:val="18"/>
          <w:color w:val="auto"/>
        </w:rPr>
        <w:t xml:space="preserve"> outlet stores to the market leader of men’s big &amp; tall apparel, our big &amp; tall business had become profitable from an operating perspective. In fiscal 2005, we reversed $3.1 million and in fiscal 2006, we reversed the majority of the remaining valuation allowance, or $31.0 million.</w:t>
      </w:r>
    </w:p>
    <w:p>
      <w:pPr>
        <w:spacing w:after="0" w:line="14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At the end of fiscal 2006, we considered the positive evidence of thirteen consecutive quarters of positive comparable sales, our continued improvement in operating income from fiscal 2002 to fiscal 2006, our expectations regarding the generation of future taxable income, and our market position and expected growth of our industry. However, the effect of the weakening economy on our retail business, especially in fiscal 2008, had a significant impact on our revenue and profitability. Further, the conditions of the economy have also negatively impacted our market value as a result of the deterioration of the capital markets which resulted in substantial impairments, contributing to our operating loss. Accordingly, due to our cumulative operating losses as well as our uncertainty regarding the economy and our ability to generate future taxable income to realize all of our deferred tax assets, in the fourth quarter of fiscal 2008, we recorded a charge of $28.6 million to establish a valuation allowance against our deferred tax assets.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of January 30, 2010, we have net operating loss carryforwards of $67.0 million for federal income tax purposes and $39.0 million for state income tax purposes that are available to offset future taxable income, subject to certain annual usage limitations, through fiscal year 2028. As a result of the Casual Male acquisition and the issuance of additional equity in fiscal 2002, at January 30, 2010, the utilization of approximately $10.3 million in federal net operating losses is subject to an annual limitation of approximately $4.8 million per year. Additionally, we have alternative minimum tax credit carryforwards of $2.3 million, which are available to further reduce income taxes over an indefinite period.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Net income for fiscal 2009 was $6.1 million, or $0.14 per diluted share, compared with a net loss for fiscal 2008 of $(109.3) million, or $(2.64) per diluted share, and net income of $0.4 million, or $0.01 per diluted share, in fiscal 2007.</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2009</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Fiscal 2008</w:t>
            </w:r>
          </w:p>
        </w:tc>
        <w:tc>
          <w:tcPr>
            <w:tcW w:w="3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Fiscal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Borders>
              <w:top w:val="single" w:sz="8" w:color="auto"/>
            </w:tcBorders>
            <w:gridSpan w:val="2"/>
          </w:tcPr>
          <w:p>
            <w:pPr>
              <w:ind w:left="80"/>
              <w:spacing w:after="0"/>
              <w:rPr>
                <w:sz w:val="20"/>
                <w:szCs w:val="20"/>
                <w:color w:val="auto"/>
              </w:rPr>
            </w:pPr>
            <w:r>
              <w:rPr>
                <w:rFonts w:ascii="Arial" w:cs="Arial" w:eastAsia="Arial" w:hAnsi="Arial"/>
                <w:sz w:val="12"/>
                <w:szCs w:val="12"/>
                <w:b w:val="1"/>
                <w:bCs w:val="1"/>
                <w:color w:val="auto"/>
                <w:w w:val="80"/>
              </w:rPr>
              <w:t>(in millions)</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 non-cash and severance charges</w:t>
            </w:r>
          </w:p>
        </w:tc>
        <w:tc>
          <w:tcPr>
            <w:tcW w:w="13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(3.6)(1)</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Severance costs and non-cash acceleration of stock compensation expense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impairment of assets, including goodwill</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w:t>
            </w:r>
          </w:p>
        </w:tc>
        <w:tc>
          <w:tcPr>
            <w:tcW w:w="1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40" w:type="dxa"/>
            <w:vAlign w:val="bottom"/>
            <w:gridSpan w:val="3"/>
            <w:vMerge w:val="continue"/>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8.1</w:t>
            </w:r>
          </w:p>
        </w:tc>
        <w:tc>
          <w:tcPr>
            <w:tcW w:w="7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(77.0)(2)</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(109.3)</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fiscal 2008, operating income (loss) before non-cash and severance charges of $(3.6) million is a non-GAAP measure and is not meant to be considered superior to or as a substitute for operating income (loss), on a GAAP basis, of $(77.0) million. Considering the materiality of the impairment-related charges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8" w:lineRule="auto"/>
        <w:rPr>
          <w:sz w:val="20"/>
          <w:szCs w:val="20"/>
          <w:color w:val="auto"/>
        </w:rPr>
      </w:pPr>
      <w:r>
        <w:rPr>
          <w:rFonts w:ascii="Arial" w:cs="Arial" w:eastAsia="Arial" w:hAnsi="Arial"/>
          <w:sz w:val="18"/>
          <w:szCs w:val="18"/>
          <w:color w:val="auto"/>
        </w:rPr>
        <w:t>incurred during fiscal 2008, we believe that the above table is a meaningful presentation to measure our operating performance, especially when comparing such results to fiscal 2009 and fiscal 2007.</w:t>
      </w:r>
    </w:p>
    <w:p>
      <w:pPr>
        <w:spacing w:after="0" w:line="1" w:lineRule="exact"/>
        <w:rPr>
          <w:sz w:val="20"/>
          <w:szCs w:val="20"/>
          <w:color w:val="auto"/>
        </w:rPr>
      </w:pPr>
    </w:p>
    <w:p>
      <w:pPr>
        <w:ind w:left="460" w:right="200" w:hanging="452"/>
        <w:spacing w:after="0" w:line="252"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Results for fiscal 2008 include total impairment charges of $71.4 million ($63.1 million for goodwill impairment, $2.5 million for impairment of the Rochester trademark and $5.8 million for the impairment of fixed assets). We also recorded an additional non-cash charge of $1.5 million for stock compensation expense related to the acceleration of vesting for certain stock options which were repurchased during fiscal 2008 and approximately $0.5 million for severance costs. We also established a reserve against our deferred tax assets at January 31, 2009, and accordingly, recorded a charge of $28.6 million.</w:t>
      </w:r>
    </w:p>
    <w:p>
      <w:pPr>
        <w:ind w:left="460" w:right="160" w:hanging="452"/>
        <w:spacing w:after="0" w:line="295"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Results for fiscal 2007 include a charge of approximately $2.6 million, or $0.04 per diluted share, which is included as part of discontinued operations, related to our decision in the fourth quarter of fiscal 2007 to exit our Jared M. business. Operating income included a charge for $6.1 million, or $0.08 per diluted share, which was recorded as part of gross margin related to inventory write-offs associated with markdowns and the write-off of excess inventory in addition to the correction of freight and other inventory adjustments which were deemed immaterial to the prior periods presented.</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SEASONALITY</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comparison of sales in each quarter of the past three fiscal years is presented below. The amounts shown are not necessarily indicative of actual trends, because such amounts also reflect the addition of new stores and the remodeling and closing of others during these periods. Consistent with the retail apparel industry, our business is seasonal. The majority of our operating income is generated in the fourth quarter as a result of the impact of the Christmas selling season. A comparison of quarterly sales, gross profit, and net income per share for the past two fiscal years is presented in Note L of the Notes to the Consolidated Financial Statements.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FISCAL 2009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FISCAL 2008</w:t>
            </w: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4"/>
              </w:rPr>
              <w:t xml:space="preserve">FISCAL 2007 </w:t>
            </w:r>
            <w:r>
              <w:rPr>
                <w:rFonts w:ascii="Arial" w:cs="Arial" w:eastAsia="Arial" w:hAnsi="Arial"/>
                <w:sz w:val="22"/>
                <w:szCs w:val="22"/>
                <w:b w:val="1"/>
                <w:bCs w:val="1"/>
                <w:color w:val="auto"/>
                <w:w w:val="94"/>
                <w:vertAlign w:val="superscript"/>
              </w:rPr>
              <w:t>(1)</w:t>
            </w:r>
          </w:p>
        </w:tc>
        <w:tc>
          <w:tcPr>
            <w:tcW w:w="200" w:type="dxa"/>
            <w:vAlign w:val="bottom"/>
          </w:tcPr>
          <w:p>
            <w:pPr>
              <w:spacing w:after="0"/>
              <w:rPr>
                <w:sz w:val="21"/>
                <w:szCs w:val="21"/>
                <w:color w:val="auto"/>
              </w:rPr>
            </w:pPr>
          </w:p>
        </w:tc>
      </w:tr>
      <w:tr>
        <w:trPr>
          <w:trHeight w:val="142"/>
        </w:trPr>
        <w:tc>
          <w:tcPr>
            <w:tcW w:w="40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84"/>
              </w:rPr>
              <w:t>(in millions, except percentages)</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w:t>
            </w:r>
          </w:p>
        </w:tc>
        <w:tc>
          <w:tcPr>
            <w:tcW w:w="6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24.7%</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$107.6</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$ 110.6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Second quarter</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98.2</w:t>
            </w:r>
          </w:p>
        </w:tc>
        <w:tc>
          <w:tcPr>
            <w:tcW w:w="680" w:type="dxa"/>
            <w:vAlign w:val="bottom"/>
            <w:gridSpan w:val="2"/>
          </w:tcPr>
          <w:p>
            <w:pPr>
              <w:jc w:val="right"/>
              <w:ind w:right="72"/>
              <w:spacing w:after="0"/>
              <w:rPr>
                <w:sz w:val="20"/>
                <w:szCs w:val="20"/>
                <w:color w:val="auto"/>
              </w:rPr>
            </w:pPr>
            <w:r>
              <w:rPr>
                <w:rFonts w:ascii="Arial" w:cs="Arial" w:eastAsia="Arial" w:hAnsi="Arial"/>
                <w:sz w:val="18"/>
                <w:szCs w:val="18"/>
                <w:color w:val="auto"/>
              </w:rPr>
              <w:t>24.9%</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113.5</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25.6%</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113.5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w:t>
            </w:r>
          </w:p>
        </w:tc>
        <w:tc>
          <w:tcPr>
            <w:tcW w:w="6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22.4%</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106.1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Fourth quarter</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110.7</w:t>
            </w:r>
          </w:p>
        </w:tc>
        <w:tc>
          <w:tcPr>
            <w:tcW w:w="220" w:type="dxa"/>
            <w:vAlign w:val="bottom"/>
          </w:tcPr>
          <w:p>
            <w:pPr>
              <w:spacing w:after="0"/>
              <w:rPr>
                <w:sz w:val="18"/>
                <w:szCs w:val="18"/>
                <w:color w:val="auto"/>
              </w:rPr>
            </w:pPr>
          </w:p>
        </w:tc>
        <w:tc>
          <w:tcPr>
            <w:tcW w:w="680" w:type="dxa"/>
            <w:vAlign w:val="bottom"/>
            <w:gridSpan w:val="2"/>
          </w:tcPr>
          <w:p>
            <w:pPr>
              <w:jc w:val="right"/>
              <w:ind w:right="72"/>
              <w:spacing w:after="0"/>
              <w:rPr>
                <w:sz w:val="20"/>
                <w:szCs w:val="20"/>
                <w:color w:val="auto"/>
              </w:rPr>
            </w:pPr>
            <w:r>
              <w:rPr>
                <w:rFonts w:ascii="Arial" w:cs="Arial" w:eastAsia="Arial" w:hAnsi="Arial"/>
                <w:sz w:val="18"/>
                <w:szCs w:val="18"/>
                <w:color w:val="auto"/>
              </w:rPr>
              <w:t>28.0%</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123.1</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27.7%</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133.9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r>
      <w:tr>
        <w:trPr>
          <w:trHeight w:val="27"/>
        </w:trPr>
        <w:tc>
          <w:tcPr>
            <w:tcW w:w="40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0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395.2</w:t>
            </w:r>
          </w:p>
        </w:tc>
        <w:tc>
          <w:tcPr>
            <w:tcW w:w="6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5"/>
              </w:rPr>
              <w:t>100.0%</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$444.2</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100.0%</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4"/>
              </w:rPr>
              <w:t>$464.1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results for fiscal 2007 exclude sales from the Jared M. discontinued operations.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primary sources of liquidity are our cash generated from operations and availability under our credit facility, as amended (“Credit Facility”), with Bank of America, N.A. Our current cash needs are primarily for working capital (essentially inventory requirements), capital expenditures and our growth initiatives.</w:t>
      </w:r>
    </w:p>
    <w:p>
      <w:pPr>
        <w:spacing w:after="0" w:line="85"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Despite the weakened retail environment that we experienced this year and ultimately its impact on our sales, as a result of our committed efforts to manage inventory effectively and reduce our cost structure, during fiscal 2009, we increased our free cash flow by $18.6 million to $26.2 million. See “Presentation of Non-GAAP Measures” above regarding non-GAAP free cash flow. Further, we were able to reduce our total indebtedness by $40.1 million to $11.1 million. Accordingly, the amount of borrowing availability under our Credit Facility at the end of fiscal 2009 was $57.8 million. We believe that our existing cash generated by operations, together with our availability under our Credit Facility, will be more than sufficient within current forecasts for us to meet our foreseeable liquidity requirements.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financial data regarding our liquidity position at the end of the past three fiscal years:</w:t>
      </w:r>
    </w:p>
    <w:p>
      <w:pPr>
        <w:spacing w:after="0" w:line="20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0</wp:posOffset>
            </wp:positionV>
            <wp:extent cx="14408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ind w:left="9240"/>
        <w:spacing w:after="0"/>
        <w:tabs>
          <w:tab w:leader="none" w:pos="10140" w:val="left"/>
          <w:tab w:leader="none" w:pos="1104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r>
        <w:rPr>
          <w:sz w:val="20"/>
          <w:szCs w:val="20"/>
          <w:color w:val="auto"/>
        </w:rPr>
        <w:tab/>
      </w:r>
      <w:r>
        <w:rPr>
          <w:rFonts w:ascii="Arial" w:cs="Arial" w:eastAsia="Arial" w:hAnsi="Arial"/>
          <w:sz w:val="11"/>
          <w:szCs w:val="11"/>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-6985</wp:posOffset>
            </wp:positionV>
            <wp:extent cx="2914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-6985</wp:posOffset>
            </wp:positionV>
            <wp:extent cx="2914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-6985</wp:posOffset>
            </wp:positionV>
            <wp:extent cx="2914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ind w:left="9540"/>
        <w:spacing w:after="0" w:line="223" w:lineRule="auto"/>
        <w:rPr>
          <w:sz w:val="20"/>
          <w:szCs w:val="20"/>
          <w:color w:val="auto"/>
        </w:rPr>
      </w:pPr>
      <w:r>
        <w:rPr>
          <w:rFonts w:ascii="Arial" w:cs="Arial" w:eastAsia="Arial" w:hAnsi="Arial"/>
          <w:sz w:val="14"/>
          <w:szCs w:val="14"/>
          <w:b w:val="1"/>
          <w:bCs w:val="1"/>
          <w:color w:val="auto"/>
        </w:rPr>
        <w:t>(in millions, except ratios)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operations</w:t>
            </w:r>
          </w:p>
        </w:tc>
        <w:tc>
          <w:tcPr>
            <w:tcW w:w="4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$ 30.8</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$ 23.2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Working capital</w:t>
            </w:r>
          </w:p>
        </w:tc>
        <w:tc>
          <w:tcPr>
            <w:tcW w:w="4260" w:type="dxa"/>
            <w:vAlign w:val="bottom"/>
          </w:tcPr>
          <w:p>
            <w:pPr>
              <w:jc w:val="right"/>
              <w:ind w:right="132"/>
              <w:spacing w:after="0"/>
              <w:rPr>
                <w:sz w:val="20"/>
                <w:szCs w:val="20"/>
                <w:color w:val="auto"/>
              </w:rPr>
            </w:pPr>
            <w:r>
              <w:rPr>
                <w:rFonts w:ascii="Arial" w:cs="Arial" w:eastAsia="Arial" w:hAnsi="Arial"/>
                <w:sz w:val="18"/>
                <w:szCs w:val="18"/>
                <w:color w:val="auto"/>
              </w:rPr>
              <w:t>$ 45.6</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$ 20.0</w:t>
            </w:r>
          </w:p>
        </w:tc>
        <w:tc>
          <w:tcPr>
            <w:tcW w:w="680" w:type="dxa"/>
            <w:vAlign w:val="bottom"/>
          </w:tcPr>
          <w:p>
            <w:pPr>
              <w:jc w:val="right"/>
              <w:spacing w:after="0"/>
              <w:rPr>
                <w:sz w:val="20"/>
                <w:szCs w:val="20"/>
                <w:color w:val="auto"/>
              </w:rPr>
            </w:pPr>
            <w:r>
              <w:rPr>
                <w:rFonts w:ascii="Arial" w:cs="Arial" w:eastAsia="Arial" w:hAnsi="Arial"/>
                <w:sz w:val="18"/>
                <w:szCs w:val="18"/>
                <w:color w:val="auto"/>
              </w:rPr>
              <w:t>$ 41.0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Current ratio</w:t>
            </w:r>
          </w:p>
        </w:tc>
        <w:tc>
          <w:tcPr>
            <w:tcW w:w="4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1.8:1</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bl>
    <w:p>
      <w:pPr>
        <w:spacing w:after="0" w:line="154"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For fiscal 2009, we generated an increase of $7.6 million in cash flow provided by operations as compared to fiscal 2008, primarily as a result of our improvement in operating income. The increase in cash flow from operations for fiscal 2008, as compared to fiscal 2007, was the result of our effective management of inventory and other working capital accounts which offset our lower profitability as compared to fiscal 2007.</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Common Stock</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During the third quarter of fiscal 2009, we raised gross proceeds of $13.6 million from the sale of 4.95 million shares of our common stock through a registered direct offering. Offering costs associated with the sale were approximately $1.1 million. The net proceeds of approximately $12.5 million from this offering were used for general corporate purposes, primarily the repayment of indebtedness.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Our Credit Facility, which matures October 29, 2011, provides for a total commitment of $110 million comprised of (i) a $100 million revolving credit facility which includes a sublimit of $20 million for commercial and standby letters of credit and a sublimit of up to $15 million for SwingLine Loans and (ii) a $10 million “Last Out” revolving credit facility, which will be subordinate to the $100 million revolving credit facility. If at any time our Excess Availability Ratio, as defined in the Credit Facility, is less than 50%, our borrowings must first be made from the “Last Out” revolving credit facility before borrowing from the $100 million revolving credit facility. Borrowings under the Credit Facility bear interest at variable rates based on Bank of America’s prime rate or the London Interbank Offering Rate (“LIBOR”) and vary depending on our levels of excess availability.</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January 30, 2010, we had borrowings outstanding under the Credit Facility of $3.5 million and outstanding standby letters of credit of $2.5 million and documentary letters of credit of $4.5 million. Average borrowings outstanding under this facility during fiscal 2009 were approximately $32.1 million, resulting in an average unused excess availability of approximately $37.1 million. Unused excess availability at January 30, 2010 was $57.8 million. Our ability to borrow under the Credit Facility is determined using an availability formula based on eligible assets, with increased advance rates based on seasonality. This facility contains no financial covenants.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Master Loan and Security Agreement</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July 20, 2007, we entered into a Master Loan and Security Agreement (the “Master Agreement”) with Banc of America Leasing &amp; Capital, LLC (“BALC”) for equipment financing. In conjunction with the Master Agreement, we entered into an Equipment Security Note (the “First Secured Note”), whereby we borrowed an aggregate of $17.4 million from BALC. The First Secured Note is due July 20, 2011.</w:t>
      </w:r>
    </w:p>
    <w:p>
      <w:pPr>
        <w:spacing w:after="0" w:line="14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On January 16, 2008, we entered into a second Equipment Security Note (the “Second Secured Note”), pursuant to the same terms and provisions of the Master Agreement, whereby we borrowed an additional $2.1 million. The Second Secured Note is due January 16, 2012.</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Both secured notes accrue interest at a per annum rate of 1.75% plus the rate of interest equal to the 30-day published LIBOR rate. Principal and interest, in arrears, are payable monthly on each note, commencing one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month after issuance of such note. We are subject to a prepayment penalty on both secured notes equal to 1% of the prepaid principal until the first anniversary of the respective secured note, 0.5% of the prepaid principal from the first day after the first anniversary through the end of the second anniversary and no prepayment penalty thereafter. At January 30, 2010, the outstanding balance of the secured notes was $7.6 million.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Both notes are secured by a security interest in all of our rights, title and interest in and to certain equipment.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January 30, 2010, total inventories were $90.0 million as compared to $98.6 million at January 31, 2009. The decrease in inventory of $8.6 million, or 8.8%, is the result of reductions of inventory across all divisions as part of our concerted effort to manage our inventory effectively during the economic downturn. This decrease was in addition to a reduction of $19.2 million in fiscal 2008 as compared to fiscal 2007. We have successfully reduced our inventory levels without sacrificing our broad selection of core basic merchandise and current fashion items. In addition, our merchandise margin improvement during fiscal 2009 is largely attributable to the management of our inventory levels.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off-balance sheet arrangements as defined by 303(a)(4) of Regulation S-K.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at January 30, 2010, and the effect such obligations are expected to have on our liquidity and cash flows in future periods: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6"/>
              </w:rPr>
              <w:t>Payments due by period</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8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820" w:type="dxa"/>
            <w:vAlign w:val="bottom"/>
            <w:gridSpan w:val="2"/>
          </w:tcPr>
          <w:p>
            <w:pPr>
              <w:jc w:val="center"/>
              <w:ind w:left="320"/>
              <w:spacing w:after="0" w:line="129" w:lineRule="exact"/>
              <w:rPr>
                <w:sz w:val="20"/>
                <w:szCs w:val="20"/>
                <w:color w:val="auto"/>
              </w:rPr>
            </w:pPr>
            <w:r>
              <w:rPr>
                <w:rFonts w:ascii="Arial" w:cs="Arial" w:eastAsia="Arial" w:hAnsi="Arial"/>
                <w:sz w:val="14"/>
                <w:szCs w:val="14"/>
                <w:b w:val="1"/>
                <w:bCs w:val="1"/>
                <w:color w:val="auto"/>
                <w:w w:val="88"/>
              </w:rPr>
              <w:t>1-3</w:t>
            </w:r>
          </w:p>
        </w:tc>
        <w:tc>
          <w:tcPr>
            <w:tcW w:w="280" w:type="dxa"/>
            <w:vAlign w:val="bottom"/>
          </w:tcPr>
          <w:p>
            <w:pPr>
              <w:spacing w:after="0"/>
              <w:rPr>
                <w:sz w:val="11"/>
                <w:szCs w:val="11"/>
                <w:color w:val="auto"/>
              </w:rPr>
            </w:pPr>
          </w:p>
        </w:tc>
        <w:tc>
          <w:tcPr>
            <w:tcW w:w="540" w:type="dxa"/>
            <w:vAlign w:val="bottom"/>
            <w:gridSpan w:val="2"/>
          </w:tcPr>
          <w:p>
            <w:pPr>
              <w:jc w:val="center"/>
              <w:ind w:left="39"/>
              <w:spacing w:after="0" w:line="129" w:lineRule="exact"/>
              <w:rPr>
                <w:sz w:val="20"/>
                <w:szCs w:val="20"/>
                <w:color w:val="auto"/>
              </w:rPr>
            </w:pPr>
            <w:r>
              <w:rPr>
                <w:rFonts w:ascii="Arial" w:cs="Arial" w:eastAsia="Arial" w:hAnsi="Arial"/>
                <w:sz w:val="14"/>
                <w:szCs w:val="14"/>
                <w:b w:val="1"/>
                <w:bCs w:val="1"/>
                <w:color w:val="auto"/>
                <w:w w:val="88"/>
              </w:rPr>
              <w:t>3-5</w:t>
            </w:r>
          </w:p>
        </w:tc>
        <w:tc>
          <w:tcPr>
            <w:tcW w:w="4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More than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Contractual Obligations</w:t>
            </w:r>
          </w:p>
        </w:tc>
        <w:tc>
          <w:tcPr>
            <w:tcW w:w="5780" w:type="dxa"/>
            <w:vAlign w:val="bottom"/>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3"/>
              </w:rPr>
              <w:t>1 year</w:t>
            </w:r>
          </w:p>
        </w:tc>
        <w:tc>
          <w:tcPr>
            <w:tcW w:w="42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81"/>
              </w:rPr>
              <w:t>(in</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years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years</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2"/>
              </w:rPr>
              <w:t>5 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$268.2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left="59"/>
              <w:spacing w:after="0"/>
              <w:rPr>
                <w:sz w:val="20"/>
                <w:szCs w:val="20"/>
                <w:color w:val="auto"/>
              </w:rPr>
            </w:pPr>
            <w:r>
              <w:rPr>
                <w:rFonts w:ascii="Arial" w:cs="Arial" w:eastAsia="Arial" w:hAnsi="Arial"/>
                <w:sz w:val="18"/>
                <w:szCs w:val="18"/>
                <w:color w:val="auto"/>
                <w:w w:val="88"/>
              </w:rPr>
              <w:t>$48.1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Long-Term Debt Obligations(2)</w:t>
            </w: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Non-merchandise Purchase Obligations(3)</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60" w:type="dxa"/>
            <w:vAlign w:val="bottom"/>
            <w:gridSpan w:val="2"/>
          </w:tcPr>
          <w:p>
            <w:pPr>
              <w:spacing w:after="0"/>
              <w:rPr>
                <w:sz w:val="20"/>
                <w:szCs w:val="20"/>
                <w:color w:val="auto"/>
              </w:rPr>
            </w:pPr>
            <w:r>
              <w:rPr>
                <w:rFonts w:ascii="Arial" w:cs="Arial" w:eastAsia="Arial" w:hAnsi="Arial"/>
                <w:sz w:val="18"/>
                <w:szCs w:val="18"/>
                <w:color w:val="auto"/>
              </w:rPr>
              <w:t>Total Commitments(4)</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276.6</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53.6</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82.1</w:t>
            </w:r>
          </w:p>
        </w:tc>
        <w:tc>
          <w:tcPr>
            <w:tcW w:w="280" w:type="dxa"/>
            <w:vAlign w:val="bottom"/>
          </w:tcPr>
          <w:p>
            <w:pPr>
              <w:spacing w:after="0"/>
              <w:rPr>
                <w:sz w:val="19"/>
                <w:szCs w:val="19"/>
                <w:color w:val="auto"/>
              </w:rPr>
            </w:pPr>
          </w:p>
        </w:tc>
        <w:tc>
          <w:tcPr>
            <w:tcW w:w="540" w:type="dxa"/>
            <w:vAlign w:val="bottom"/>
            <w:gridSpan w:val="2"/>
          </w:tcPr>
          <w:p>
            <w:pPr>
              <w:jc w:val="center"/>
              <w:ind w:left="59"/>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48.1</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18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amounts due on our 20-year lease agreement for our corporate headquarters and operating leases for all of our current store locations and certain equipment and auto leases.</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principal payments on our outstanding secured notes and the corresponding estimated interest costs.</w:t>
      </w:r>
    </w:p>
    <w:p>
      <w:pPr>
        <w:spacing w:after="0" w:line="9" w:lineRule="exact"/>
        <w:rPr>
          <w:rFonts w:ascii="Arial" w:cs="Arial" w:eastAsia="Arial" w:hAnsi="Arial"/>
          <w:sz w:val="18"/>
          <w:szCs w:val="18"/>
          <w:color w:val="auto"/>
        </w:rPr>
      </w:pPr>
    </w:p>
    <w:p>
      <w:pPr>
        <w:jc w:val="both"/>
        <w:ind w:left="460" w:right="8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Non-merchandise Purchase Obligations include an on-going consulting agreement with Jewelcor Management, Inc., pursuant to which we are obligated to pay $575,000 annually through April 29, 2011. See Note H —“Related Parties” to the Notes to the Consolidated Financial Statements for a full description of this agreement.</w:t>
      </w:r>
    </w:p>
    <w:p>
      <w:pPr>
        <w:spacing w:after="0" w:line="1"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table excludes Merchandise Purchase Obligations, which represent our outstanding obligations pursuant to open purchase orders. At January 30, 2010, we had approximately $52.2 million in open purchase orders. We estimate that approximately 70% of these purchase orders may be considered non-cancelable.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store openings, closings and remodels from January 31, 2009 to January 30, 2010 and related square footage: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2"/>
              </w:rPr>
              <w:t>Casual</w:t>
            </w: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r>
      <w:tr>
        <w:trPr>
          <w:trHeight w:val="16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Number of Stores:</w:t>
            </w:r>
          </w:p>
        </w:tc>
        <w:tc>
          <w:tcPr>
            <w:tcW w:w="5920" w:type="dxa"/>
            <w:vAlign w:val="bottom"/>
            <w:gridSpan w:val="2"/>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Male</w:t>
            </w:r>
          </w:p>
        </w:tc>
        <w:tc>
          <w:tcPr>
            <w:tcW w:w="5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Rochester</w:t>
            </w:r>
          </w:p>
        </w:tc>
        <w:tc>
          <w:tcPr>
            <w:tcW w:w="58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stores</w:t>
            </w:r>
          </w:p>
        </w:tc>
      </w:tr>
      <w:tr>
        <w:trPr>
          <w:trHeight w:val="210"/>
        </w:trPr>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January 31, 2009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16"/>
        </w:trPr>
        <w:tc>
          <w:tcPr>
            <w:tcW w:w="7060" w:type="dxa"/>
            <w:vAlign w:val="bottom"/>
            <w:gridSpan w:val="3"/>
          </w:tcPr>
          <w:p>
            <w:pPr>
              <w:ind w:left="440"/>
              <w:spacing w:after="0"/>
              <w:rPr>
                <w:sz w:val="20"/>
                <w:szCs w:val="20"/>
                <w:color w:val="auto"/>
              </w:rPr>
            </w:pPr>
            <w:r>
              <w:rPr>
                <w:rFonts w:ascii="Arial" w:cs="Arial" w:eastAsia="Arial" w:hAnsi="Arial"/>
                <w:sz w:val="18"/>
                <w:szCs w:val="18"/>
                <w:color w:val="auto"/>
              </w:rPr>
              <w:t>New retail stores</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Closed outlet stores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060" w:type="dxa"/>
            <w:vAlign w:val="bottom"/>
            <w:gridSpan w:val="3"/>
          </w:tcPr>
          <w:p>
            <w:pPr>
              <w:ind w:left="440"/>
              <w:spacing w:after="0"/>
              <w:rPr>
                <w:sz w:val="20"/>
                <w:szCs w:val="20"/>
                <w:color w:val="auto"/>
              </w:rPr>
            </w:pPr>
            <w:r>
              <w:rPr>
                <w:rFonts w:ascii="Arial" w:cs="Arial" w:eastAsia="Arial" w:hAnsi="Arial"/>
                <w:sz w:val="18"/>
                <w:szCs w:val="18"/>
                <w:color w:val="auto"/>
              </w:rPr>
              <w:t>Closed retail stores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January 30, 2010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16"/>
        </w:trPr>
        <w:tc>
          <w:tcPr>
            <w:tcW w:w="7060" w:type="dxa"/>
            <w:vAlign w:val="bottom"/>
            <w:gridSpan w:val="3"/>
          </w:tcPr>
          <w:p>
            <w:pPr>
              <w:spacing w:after="0"/>
              <w:rPr>
                <w:sz w:val="20"/>
                <w:szCs w:val="20"/>
                <w:color w:val="auto"/>
              </w:rPr>
            </w:pPr>
            <w:r>
              <w:rPr>
                <w:rFonts w:ascii="Arial" w:cs="Arial" w:eastAsia="Arial" w:hAnsi="Arial"/>
                <w:sz w:val="18"/>
                <w:szCs w:val="18"/>
                <w:color w:val="auto"/>
              </w:rPr>
              <w:t>Hybrids</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2009 Relocations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Square footage (in thousands)</w:t>
            </w:r>
          </w:p>
        </w:tc>
        <w:tc>
          <w:tcPr>
            <w:tcW w:w="5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0"/>
        </w:trPr>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January 30, 2010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1,807</w:t>
            </w:r>
          </w:p>
        </w:tc>
      </w:tr>
      <w:tr>
        <w:trPr>
          <w:trHeight w:val="222"/>
        </w:trPr>
        <w:tc>
          <w:tcPr>
            <w:tcW w:w="7060" w:type="dxa"/>
            <w:vAlign w:val="bottom"/>
            <w:gridSpan w:val="3"/>
          </w:tcPr>
          <w:p>
            <w:pPr>
              <w:spacing w:after="0"/>
              <w:rPr>
                <w:sz w:val="20"/>
                <w:szCs w:val="20"/>
                <w:color w:val="auto"/>
              </w:rPr>
            </w:pPr>
            <w:r>
              <w:rPr>
                <w:rFonts w:ascii="Arial" w:cs="Arial" w:eastAsia="Arial" w:hAnsi="Arial"/>
                <w:sz w:val="18"/>
                <w:szCs w:val="18"/>
                <w:color w:val="auto"/>
              </w:rPr>
              <w:t>at January 31, 2009</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1,635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1,855</w:t>
            </w:r>
          </w:p>
        </w:tc>
      </w:tr>
    </w:tbl>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fiscal 2009, we substantially reduced our capital expenditures to approximately $4.6 million, as compared to $12.6 million in fiscal 2008 and $21.4 million in fiscal 2007. Our capital projects for fiscal 2009 were limited to those that we believed would provide a significant financial benefit, such as our inventory integration project. Approximately $2.2 million of the $4.6 million was spent on management information projects, while approximately $1.5 million was spent on store capital, including the conversion of five of our Casual Male stores to Hybrid stores. The remainder of $0.9 million was used for general capital projects relating to our corporate offices and distribution center.</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fiscal 2010, our capital expenditures are expected to be approximately $10.0 million. The budget includes approximately $3.4 million related to the opening of our five new Destination XL concept stores and approximately $5.0 million for continued information technology projects, including the launch of our enhanced multi-branded e-commerce site, with the remainder for general overhead projects.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CRITICAL ACCOUNTING POLICIES</w:t>
      </w:r>
    </w:p>
    <w:p>
      <w:pPr>
        <w:spacing w:after="0" w:line="9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Our financial statements are based on the application of significant accounting policies, many of which require our management to make significant estimates and assumptions (see Note A to the Notes to the Consolidated Financial Statements). We believe that the following items involve some of the more critical judgments in the application of accounting policies that currently affect our financial condition and results of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measure compensation cost for all stock awards at fair value on date of grant and recognize compensation over the service period for awards expected to vest. The fair value of our stock options is determined using the Black-Scholes valuation model, which requires the input of highly subjective assumptions. These assumptions include estimating the length of time employees will retain their vested stock options before exercising them (the “expected term”), the estimated volatility of our common stock price over the expected term and the number of options that will ultimately not complete their vesting requirements (“forfeitures”). Changes in these subjective assumptions can materially affect the estimate of fair value of stock-based compensation and, consequently, the related amount recognized as an expense on the consolidated statements of operations. As required under the accounting rules, we review our valuation assumptions at each grant date and, as a result, we are likely to change our valuation assumptions used to value employee stock-based awards granted in future periods. The values derived from using the Black-Scholes model are recognized as expense over the service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period, net of estimated forfeitures. Actual results, and future changes in estimates, may differ substantially from these current estimates. For fiscal 2009, 2008 and 2007, we recognized total compensation expense of $0.6 million, $3.7 million and $2.1 million, respectively. Compensation expense for fiscal 2008 includes $1.5 million related to the acceleration of certain options which were repurchased and cancelled by us. See Note G to the Notes to the Consolidated Financial Statements.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Inventory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value inventory at the lower of cost or market, using a weighted-average cost method. We review our inventory to identify slow-moving and broken assortments and use markdowns to clear merchandise and will record inventory reserves if the estimated future selling price is less than cost. In addition, an inventory shrink estimate is made each period that reduces the value of inventory for lost or stolen merchandise. We perform physical inventories through the year and adjust the shrink reserves accordingly.</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fiscal 2007, we recorded approximately $6.1 million in inventory write-downs associated with the excess merchandise and the acceleration of markdowns associated with seasonal merchandise. The charge also included corrections of freight and other inventory adjustments which were deemed immaterial to the prior periods presented. In addition, during fiscal 2007 we recorded a charge of $1.1 million for the write-off of inventory related to our decision to exit our Jared M. operations. This charge was included as part of discontinued operations for fiscal 2007.</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review our long-lived assets for impairment when indicators of impairment are present and the undiscounted cash flow estimated to be generated by those assets is less than the assets’ carrying amount. We evaluate our long-lived assets for impairment at a store level for all our retail locations. If actual market conditions are less favorable than management’s projections, future write-offs may be necessary.</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fiscal 2008, we recorded an impairment charge for fixed assets of $5.8 million. See “Provision for Impairment of Assets, Including Goodwill” above for more information. In fiscal 2007, in connection with the exiting of our Jared M. operations, we recorded an impairment charge for fixed assets of $1.4 million which was included as part of discontinued operations for fiscal 2007.</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Goodwill and Intangibles.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In accordance with ASC Topic 350, </w:t>
      </w:r>
      <w:r>
        <w:rPr>
          <w:rFonts w:ascii="Arial" w:cs="Arial" w:eastAsia="Arial" w:hAnsi="Arial"/>
          <w:sz w:val="16"/>
          <w:szCs w:val="16"/>
          <w:i w:val="1"/>
          <w:iCs w:val="1"/>
          <w:color w:val="auto"/>
        </w:rPr>
        <w:t>Intangibles Goodwill and Other</w:t>
      </w:r>
      <w:r>
        <w:rPr>
          <w:rFonts w:ascii="Arial" w:cs="Arial" w:eastAsia="Arial" w:hAnsi="Arial"/>
          <w:sz w:val="16"/>
          <w:szCs w:val="16"/>
          <w:color w:val="auto"/>
        </w:rPr>
        <w:t>, we evaluate goodwill and intangible assets with indefinite-lives at least annually for impairment by analyzing the estimated fair value. As discussed above under “Provision for Impairment of Assets, Including Goodwill,” in the fourth quarter of fiscal 2008, we recorded a full impairment charge of $63.1 million against our goodwill and a partial impairment of $2.5 million against our Rochester trademark.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Goodwill:</w:t>
      </w:r>
    </w:p>
    <w:p>
      <w:pPr>
        <w:spacing w:after="0" w:line="90" w:lineRule="exact"/>
        <w:rPr>
          <w:sz w:val="20"/>
          <w:szCs w:val="20"/>
          <w:color w:val="auto"/>
        </w:rPr>
      </w:pPr>
    </w:p>
    <w:p>
      <w:pPr>
        <w:ind w:left="460" w:right="200"/>
        <w:spacing w:after="0" w:line="256" w:lineRule="auto"/>
        <w:rPr>
          <w:sz w:val="20"/>
          <w:szCs w:val="20"/>
          <w:color w:val="auto"/>
        </w:rPr>
      </w:pPr>
      <w:r>
        <w:rPr>
          <w:rFonts w:ascii="Arial" w:cs="Arial" w:eastAsia="Arial" w:hAnsi="Arial"/>
          <w:sz w:val="18"/>
          <w:szCs w:val="18"/>
          <w:color w:val="auto"/>
        </w:rPr>
        <w:t>During the fourth quarter of fiscal 2008, we performed our annual impairment assessment for each of our reporting units, largely as a result of the deterioration of our market capitalization due to the decline in the economy, and based on the implied fair value concluded that a full impairment had occurred with respect to the goodwill of both reporting units. Accordingly, in the fourth quarter of fiscal 2008, we recognized a full impairment charge of $63.1 million.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Trademark:</w:t>
      </w:r>
    </w:p>
    <w:p>
      <w:pPr>
        <w:spacing w:after="0" w:line="90"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Similar to goodwill, our trademarks are also considered indefinite-lived intangible assets and must also be tested annually for potential impairment. During the fourth quarter of fiscal 2008, we recognized a partial impairment of our Rochester trademark of $2.5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color w:val="auto"/>
        </w:rPr>
        <w:t>At January 30, 2010, we performed our annual testing of both our Casual Male trademark and our Rochester trademark for potential impairment. Utilizing an income approach with appropriate royalty rates applied, we concluded that the Casual Male trademark, with a carrying value of $29.2 million, and our Rochester trademark, with a carrying value of $1.5 million, were not impaired.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Deferred Taxes.</w:t>
      </w:r>
    </w:p>
    <w:p>
      <w:pPr>
        <w:spacing w:after="0" w:line="90"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We record a valuation allowance to reduce our deferred tax assets to the amount that is more likely than not to be realized. In fiscal 2008, we recorded a charge of $28.6 million to establish a valuation allowance against our deferred tax assets. See “Income Taxes” above for more discussion regarding this charge.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On July 1, 2009, the Financial Accounting Standards Board (“FASB”) released the Accounting Standards Codification (“ASC”). The ASC became the single source of authoritative nongovernmental U.S. GAAP and was effective for all interim and annual periods ending after September 15, 2009. All existing accounting standards documents were superseded and any other literature not included in the ASC is considered non-authoritative. The adoption of the ASC did not have any impact on our financial condition, results of operations and cash flows, as the ASC did not change existing U.S. GAAP. The adoption of the ASC changes the approach of referencing authoritative literature by topic (each a “Topic”) rather than by type of standard. Accordingly, references to former FASB positions, statements, interpretations, opinions, bulletins or other pronouncements in our Notes to Consolidated Financial Statements are now presented as references to the corresponding Topic in the ASC.</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December 2008, an accounting pronouncement was issued relating to employers’ disclosures about post-retirement benefit plan assets which requires a company, as a plan sponsor, to provide disclosures about plan assets, including categories of plan assets, the nature of concentrations of risk and disclosures about fair value measurements of plan assets (ASC Topic 715). This pronouncement is effective for financial statements issued for fiscal years ending after December 15, 2009. We adopted this pronouncement as of January 30, 2010. As this pronouncement relates specifically to disclosures, the adoption had no impact on our consolidated financial condition, results of operations or cash flows.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June 2009, an accounting pronouncement was issued relating to information a company needs to provide regarding the sales of securitized financial assets and similar transactions, particularly if the company has continuing exposure to the risks related to transferred financial assets (ASC Topic 860). This pronouncement eliminates the concept of a “qualifying special-purpose entity,” changes the requirements for derecognizing financial assets and requires additional disclosures. This pronouncement is effective for fiscal years beginning after November 15, 2009. We will adopt this pronouncement as of January 31, 2010. We do not expect this pronouncement will have any impact on our consolidated financial condition, results of operations or cash flows.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June 2009, a pronouncement was issued that clarified how a company determines whether an entity, that is insufficiently capitalized or not controlled through voting (or similar rights), should be capitalized (ASC Topic 810). This determination of whether a company is required to consolidate an entity is based on, among other things, an entity’s purpose and design and a company’s ability to direct the activities of the entity that most significantly impact the entity’s economic performance. This pronouncement requires an ongoing reassessment of whether a company is the primary beneficiary of a variable interest entity. This pronouncement also requires additional disclosures about a company’s involvement in variable interest entities and any significant changes in risk exposure due to that involvement. This pronouncement is effective for fiscal years beginning after November 15, 2009. We will adopt this pronouncement as of January 31, 2010. We do not expect this pronouncement will have any impact on our consolidated financial condition, results of operations or cash flows.</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August 1, 2009, we adopted prospectively the accounting pronouncement regarding the general standards of accounting for, and disclosure of, events that occur after the balance sheet date but before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are issued (ASC Topic 855). The implementation of this standard did not have any impact on our consolidated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events through March 19, 2010 have been evaluated for disclosure and recognition.</w:t>
      </w:r>
    </w:p>
    <w:p>
      <w:pPr>
        <w:spacing w:after="0" w:line="16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October 2009, a pronouncement was issued that amended the rules on revenue recognition for multiple-deliverable revenue arrangements. This amendment eliminated the residual method of allocation for multiple-deliverable revenue arrangements, and requires that arrangement consideration be allocated at the inception of an arrangement to all deliverables using the relative selling price method (ASC Topic 605). This pronouncement establishes a selling price hierarchy for determining the selling price of a deliverable, which includes: (1) vendor-specific objective evidence if available, (2) third-party evidence if vendor-specific objective evidence is not available, and (3) estimated selling price if neither vendor-specific nor third-party evidence is available. In addition, this pronouncement expands the disclosure requirements related to a vendor’s multiple-deliverable revenue arrangements. This pronouncement is effective for revenue arrangements entered into or materially modified in fiscal years beginning after June 15, 2010. We will adopt this pronouncement as of January 30, 2011. We are currently evaluating the potential impact, if any, of the adoption on our consolidated financial condition, results of operations and cash flows.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EFFECTS OF INFLATION</w:t>
      </w:r>
    </w:p>
    <w:p>
      <w:pPr>
        <w:spacing w:after="0" w:line="9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Although our operations are influenced by general economic trends, we do not believe that inflation has had a material effect on the results of our operations in the last three fiscal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2011, bear interest at variable rates based on Bank of America’s prime rate or LIBOR. At January 30, 2010, the interest rate on our prime based borrowings was 3.25%. We had no outstanding LIBOR contracts at January 30, 2010. Based upon a sensitivity analysis as of January 30, 2010, assuming average outstanding borrowing during fiscal 2008 of $32.1 million, a 50 basis point increase in interest rates would have resulted in a potential increase in interest expense of approximately $0.2 million.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Sears Canada catalog operations conduct business in Canadian dollars and our Rochester Clothing store located in London, England conducts business in British pounds. Our international e-commerce sites conduct business in Euros and British pounds. If the value of the Canadian dollar, British pound or Euro against the U.S. dollar weakens, the revenues and earnings of these operations will be reduced when they are translated or remeasured to U.S. dollars. Also, the value of these assets to U.S. dollars may decline. As of January 30, 2010, sales from our Sears Canada operations, our London Rochester Clothing store and our international e-commerce sites were immaterial to consolidated sales. As such, we believe that movement in foreign currency exchange rates will not have a material adverse affect on our financial position or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gridSpan w:val="5"/>
            <w:vMerge w:val="restart"/>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Report of Independent Registered Public Accounting Firm</w:t>
              </w:r>
            </w:hyperlink>
          </w:p>
        </w:tc>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7020" w:type="dxa"/>
            <w:vAlign w:val="bottom"/>
            <w:gridSpan w:val="5"/>
            <w:vMerge w:val="continue"/>
          </w:tcPr>
          <w:p>
            <w:pPr>
              <w:spacing w:after="0"/>
              <w:rPr>
                <w:sz w:val="14"/>
                <w:szCs w:val="14"/>
                <w:color w:val="auto"/>
              </w:rPr>
            </w:pPr>
          </w:p>
        </w:tc>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41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Consolidated Financial Statements:</w:t>
            </w:r>
          </w:p>
        </w:tc>
        <w:tc>
          <w:tcPr>
            <w:tcW w:w="290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60" w:type="dxa"/>
            <w:vAlign w:val="bottom"/>
          </w:tcPr>
          <w:p>
            <w:pPr>
              <w:spacing w:after="0"/>
              <w:rPr>
                <w:sz w:val="24"/>
                <w:szCs w:val="24"/>
                <w:color w:val="auto"/>
              </w:rPr>
            </w:pPr>
          </w:p>
        </w:tc>
        <w:tc>
          <w:tcPr>
            <w:tcW w:w="6560" w:type="dxa"/>
            <w:vAlign w:val="bottom"/>
            <w:gridSpan w:val="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Consolidated Balance Sheets at January 30, 2010 and January 31, 2009</w:t>
              </w:r>
            </w:hyperlink>
          </w:p>
        </w:tc>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656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48">
              <w:r>
                <w:rPr>
                  <w:rFonts w:ascii="Arial" w:cs="Arial" w:eastAsia="Arial" w:hAnsi="Arial"/>
                  <w:sz w:val="18"/>
                  <w:szCs w:val="18"/>
                  <w:color w:val="0000EE"/>
                  <w:w w:val="87"/>
                </w:rPr>
                <w:t>Consolidated Statements of Operations for the Fiscal Years Ended January 30, 2010, January</w:t>
              </w:r>
            </w:hyperlink>
          </w:p>
        </w:tc>
        <w:tc>
          <w:tcPr>
            <w:tcW w:w="1820" w:type="dxa"/>
            <w:vAlign w:val="bottom"/>
            <w:tcBorders>
              <w:bottom w:val="single" w:sz="8" w:color="0000EE"/>
            </w:tcBorders>
          </w:tcPr>
          <w:p>
            <w:pPr>
              <w:ind w:left="40"/>
              <w:spacing w:after="0"/>
              <w:rPr>
                <w:rFonts w:ascii="Arial" w:cs="Arial" w:eastAsia="Arial" w:hAnsi="Arial"/>
                <w:sz w:val="18"/>
                <w:szCs w:val="18"/>
                <w:color w:val="0000EE"/>
                <w:w w:val="87"/>
              </w:rPr>
            </w:pPr>
            <w:hyperlink w:anchor="page48">
              <w:r>
                <w:rPr>
                  <w:rFonts w:ascii="Arial" w:cs="Arial" w:eastAsia="Arial" w:hAnsi="Arial"/>
                  <w:sz w:val="18"/>
                  <w:szCs w:val="18"/>
                  <w:color w:val="0000EE"/>
                  <w:w w:val="87"/>
                </w:rPr>
                <w:t>31, 2009 and February 2,</w:t>
              </w:r>
            </w:hyperlink>
          </w:p>
        </w:tc>
        <w:tc>
          <w:tcPr>
            <w:tcW w:w="400" w:type="dxa"/>
            <w:vAlign w:val="bottom"/>
            <w:tcBorders>
              <w:bottom w:val="single" w:sz="8" w:color="0000EE"/>
            </w:tcBorders>
          </w:tcPr>
          <w:p>
            <w:pPr>
              <w:ind w:left="20"/>
              <w:spacing w:after="0"/>
              <w:rPr>
                <w:rFonts w:ascii="Arial" w:cs="Arial" w:eastAsia="Arial" w:hAnsi="Arial"/>
                <w:sz w:val="18"/>
                <w:szCs w:val="18"/>
                <w:color w:val="0000EE"/>
                <w:w w:val="84"/>
              </w:rPr>
            </w:pPr>
            <w:hyperlink w:anchor="page48">
              <w:r>
                <w:rPr>
                  <w:rFonts w:ascii="Arial" w:cs="Arial" w:eastAsia="Arial" w:hAnsi="Arial"/>
                  <w:sz w:val="18"/>
                  <w:szCs w:val="18"/>
                  <w:color w:val="0000EE"/>
                  <w:w w:val="84"/>
                </w:rPr>
                <w:t>2008</w:t>
              </w:r>
            </w:hyperlink>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83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Consolidated Statements of Changes in Stockholders’ Equity for the Fiscal Years Ended January 30, 2010, January 31,</w:t>
              </w:r>
            </w:hyperlink>
          </w:p>
        </w:tc>
        <w:tc>
          <w:tcPr>
            <w:tcW w:w="1920" w:type="dxa"/>
            <w:vAlign w:val="bottom"/>
            <w:tcBorders>
              <w:bottom w:val="single" w:sz="8" w:color="0000EE"/>
            </w:tcBorders>
            <w:gridSpan w:val="2"/>
          </w:tcPr>
          <w:p>
            <w:pPr>
              <w:ind w:left="20"/>
              <w:spacing w:after="0"/>
              <w:rPr>
                <w:rFonts w:ascii="Arial" w:cs="Arial" w:eastAsia="Arial" w:hAnsi="Arial"/>
                <w:sz w:val="18"/>
                <w:szCs w:val="18"/>
                <w:color w:val="0000EE"/>
                <w:w w:val="86"/>
              </w:rPr>
            </w:pPr>
            <w:hyperlink w:anchor="page49">
              <w:r>
                <w:rPr>
                  <w:rFonts w:ascii="Arial" w:cs="Arial" w:eastAsia="Arial" w:hAnsi="Arial"/>
                  <w:sz w:val="18"/>
                  <w:szCs w:val="18"/>
                  <w:color w:val="0000EE"/>
                  <w:w w:val="86"/>
                </w:rPr>
                <w:t>2009 and February 2, 2008</w:t>
              </w:r>
            </w:hyperlink>
          </w:p>
        </w:tc>
        <w:tc>
          <w:tcPr>
            <w:tcW w:w="3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6560" w:type="dxa"/>
            <w:vAlign w:val="bottom"/>
            <w:gridSpan w:val="4"/>
          </w:tcPr>
          <w:p>
            <w:pPr>
              <w:spacing w:after="0"/>
              <w:rPr>
                <w:rFonts w:ascii="Arial" w:cs="Arial" w:eastAsia="Arial" w:hAnsi="Arial"/>
                <w:sz w:val="18"/>
                <w:szCs w:val="18"/>
                <w:color w:val="0000EE"/>
                <w:w w:val="86"/>
              </w:rPr>
            </w:pPr>
            <w:hyperlink w:anchor="page50">
              <w:r>
                <w:rPr>
                  <w:rFonts w:ascii="Arial" w:cs="Arial" w:eastAsia="Arial" w:hAnsi="Arial"/>
                  <w:sz w:val="18"/>
                  <w:szCs w:val="18"/>
                  <w:color w:val="0000EE"/>
                  <w:w w:val="86"/>
                </w:rPr>
                <w:t>Consolidated Statements of Cash Flows for the Fiscal Years ended January 30, 2010, January</w:t>
              </w:r>
            </w:hyperlink>
          </w:p>
        </w:tc>
        <w:tc>
          <w:tcPr>
            <w:tcW w:w="4120" w:type="dxa"/>
            <w:vAlign w:val="bottom"/>
            <w:gridSpan w:val="4"/>
          </w:tcPr>
          <w:p>
            <w:pPr>
              <w:ind w:left="60"/>
              <w:spacing w:after="0"/>
              <w:rPr>
                <w:rFonts w:ascii="Arial" w:cs="Arial" w:eastAsia="Arial" w:hAnsi="Arial"/>
                <w:sz w:val="18"/>
                <w:szCs w:val="18"/>
                <w:color w:val="0000EE"/>
              </w:rPr>
            </w:pPr>
            <w:hyperlink w:anchor="page50">
              <w:r>
                <w:rPr>
                  <w:rFonts w:ascii="Arial" w:cs="Arial" w:eastAsia="Arial" w:hAnsi="Arial"/>
                  <w:sz w:val="18"/>
                  <w:szCs w:val="18"/>
                  <w:color w:val="0000EE"/>
                </w:rPr>
                <w:t>31, 2009 and February 2, 2008</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20" w:type="dxa"/>
            <w:vAlign w:val="bottom"/>
            <w:gridSpan w:val="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Notes to Consolidated Financial Statements</w:t>
              </w:r>
            </w:hyperlink>
          </w:p>
        </w:tc>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gridSpan w:val="2"/>
          </w:tcPr>
          <w:p>
            <w:pPr>
              <w:spacing w:after="0"/>
              <w:rPr>
                <w:sz w:val="24"/>
                <w:szCs w:val="24"/>
                <w:color w:val="auto"/>
              </w:rPr>
            </w:pPr>
          </w:p>
        </w:tc>
        <w:tc>
          <w:tcPr>
            <w:tcW w:w="3940" w:type="dxa"/>
            <w:vAlign w:val="bottom"/>
            <w:gridSpan w:val="3"/>
          </w:tcPr>
          <w:p>
            <w:pPr>
              <w:jc w:val="right"/>
              <w:ind w:right="1220"/>
              <w:spacing w:after="0"/>
              <w:rPr>
                <w:sz w:val="20"/>
                <w:szCs w:val="20"/>
                <w:color w:val="auto"/>
              </w:rPr>
            </w:pPr>
            <w:r>
              <w:rPr>
                <w:rFonts w:ascii="Arial" w:cs="Arial" w:eastAsia="Arial" w:hAnsi="Arial"/>
                <w:sz w:val="18"/>
                <w:szCs w:val="18"/>
                <w:color w:val="auto"/>
              </w:rPr>
              <w:t>45</w:t>
            </w:r>
          </w:p>
        </w:tc>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Casual Male Retail Group, Inc.</w:t>
      </w:r>
    </w:p>
    <w:p>
      <w:pPr>
        <w:spacing w:after="0" w:line="165"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Casual Male Retail Group, Inc. as of January 30, 2010 and January 31, 2009, and the related consolidated statements of operations, changes in stockholders’ equity, and cash flows for each of the three fiscal years in the period ended January 30, 2010.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Casual Male Retail Group, Inc. at January 30, 2010 and January 31, 2009, and the consolidated results of its operations and its cash flows for each of the three fiscal years in the period ended January 30, 2010, in conformity with U.S. generally accepted accounting principles.</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Casual Male Retail Group, Inc.’s internal control over financial reporting as of January 30, 2010, based on criteria established in Internal Control-Integrated Framework issued by the Committee of Sponsoring Organizations of the Treadway Commission and our report dated March 19, 2010 expressed an unqualified opinion thereon.</w:t>
      </w:r>
    </w:p>
    <w:p>
      <w:pPr>
        <w:spacing w:after="0" w:line="188"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19,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January 30, 2010 and January 31,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920" w:type="dxa"/>
            <w:vAlign w:val="bottom"/>
            <w:gridSpan w:val="4"/>
          </w:tcPr>
          <w:p>
            <w:pPr>
              <w:spacing w:after="0"/>
              <w:rPr>
                <w:sz w:val="20"/>
                <w:szCs w:val="20"/>
                <w:color w:val="auto"/>
              </w:rPr>
            </w:pPr>
            <w:r>
              <w:rPr>
                <w:rFonts w:ascii="Arial" w:cs="Arial" w:eastAsia="Arial" w:hAnsi="Arial"/>
                <w:sz w:val="14"/>
                <w:szCs w:val="14"/>
                <w:b w:val="1"/>
                <w:bCs w:val="1"/>
                <w:color w:val="auto"/>
              </w:rPr>
              <w:t>January 30, 2010</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31, 2009</w:t>
            </w:r>
          </w:p>
        </w:tc>
        <w:tc>
          <w:tcPr>
            <w:tcW w:w="0" w:type="dxa"/>
            <w:vAlign w:val="bottom"/>
          </w:tcPr>
          <w:p>
            <w:pPr>
              <w:spacing w:after="0"/>
              <w:rPr>
                <w:sz w:val="1"/>
                <w:szCs w:val="1"/>
                <w:color w:val="auto"/>
              </w:rPr>
            </w:pPr>
          </w:p>
        </w:tc>
      </w:tr>
      <w:tr>
        <w:trPr>
          <w:trHeight w:val="161"/>
        </w:trPr>
        <w:tc>
          <w:tcPr>
            <w:tcW w:w="8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7"/>
              </w:rPr>
              <w:t>(Fiscal 2009)</w:t>
            </w:r>
          </w:p>
        </w:tc>
        <w:tc>
          <w:tcPr>
            <w:tcW w:w="92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7"/>
              </w:rPr>
              <w:t>(Fiscal 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6"/>
          </w:tcPr>
          <w:p>
            <w:pPr>
              <w:jc w:val="right"/>
              <w:ind w:right="62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4,302</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2,494</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89,977</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98,633</w:t>
            </w:r>
          </w:p>
        </w:tc>
        <w:tc>
          <w:tcPr>
            <w:tcW w:w="0" w:type="dxa"/>
            <w:vAlign w:val="bottom"/>
          </w:tcPr>
          <w:p>
            <w:pPr>
              <w:spacing w:after="0"/>
              <w:rPr>
                <w:sz w:val="1"/>
                <w:szCs w:val="1"/>
                <w:color w:val="auto"/>
              </w:rPr>
            </w:pPr>
          </w:p>
        </w:tc>
      </w:tr>
      <w:tr>
        <w:trPr>
          <w:trHeight w:val="223"/>
        </w:trPr>
        <w:tc>
          <w:tcPr>
            <w:tcW w:w="8400" w:type="dxa"/>
            <w:vAlign w:val="bottom"/>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8,380</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105,153</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114,709</w:t>
            </w:r>
          </w:p>
        </w:tc>
        <w:tc>
          <w:tcPr>
            <w:tcW w:w="0" w:type="dxa"/>
            <w:vAlign w:val="bottom"/>
          </w:tcPr>
          <w:p>
            <w:pPr>
              <w:spacing w:after="0"/>
              <w:rPr>
                <w:sz w:val="1"/>
                <w:szCs w:val="1"/>
                <w:color w:val="auto"/>
              </w:rPr>
            </w:pPr>
          </w:p>
        </w:tc>
      </w:tr>
      <w:tr>
        <w:trPr>
          <w:trHeight w:val="228"/>
        </w:trPr>
        <w:tc>
          <w:tcPr>
            <w:tcW w:w="840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41,888</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52,208</w:t>
            </w:r>
          </w:p>
        </w:tc>
        <w:tc>
          <w:tcPr>
            <w:tcW w:w="0" w:type="dxa"/>
            <w:vAlign w:val="bottom"/>
          </w:tcPr>
          <w:p>
            <w:pPr>
              <w:spacing w:after="0"/>
              <w:rPr>
                <w:sz w:val="1"/>
                <w:szCs w:val="1"/>
                <w:color w:val="auto"/>
              </w:rPr>
            </w:pPr>
          </w:p>
        </w:tc>
      </w:tr>
      <w:tr>
        <w:trPr>
          <w:trHeight w:val="311"/>
        </w:trPr>
        <w:tc>
          <w:tcPr>
            <w:tcW w:w="84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32,809</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33,360</w:t>
            </w:r>
          </w:p>
        </w:tc>
        <w:tc>
          <w:tcPr>
            <w:tcW w:w="0" w:type="dxa"/>
            <w:vAlign w:val="bottom"/>
          </w:tcPr>
          <w:p>
            <w:pPr>
              <w:spacing w:after="0"/>
              <w:rPr>
                <w:sz w:val="1"/>
                <w:szCs w:val="1"/>
                <w:color w:val="auto"/>
              </w:rPr>
            </w:pPr>
          </w:p>
        </w:tc>
      </w:tr>
      <w:tr>
        <w:trPr>
          <w:trHeight w:val="223"/>
        </w:trPr>
        <w:tc>
          <w:tcPr>
            <w:tcW w:w="840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1,189</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181,039</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201,231</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4,874</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Current portion of deferred gain on sale-leaseback</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1,465</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19,753</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23,956</w:t>
            </w: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1,485</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28,531</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25,076</w:t>
            </w:r>
          </w:p>
        </w:tc>
        <w:tc>
          <w:tcPr>
            <w:tcW w:w="0" w:type="dxa"/>
            <w:vAlign w:val="bottom"/>
          </w:tcPr>
          <w:p>
            <w:pPr>
              <w:spacing w:after="0"/>
              <w:rPr>
                <w:sz w:val="1"/>
                <w:szCs w:val="1"/>
                <w:color w:val="auto"/>
              </w:rPr>
            </w:pPr>
          </w:p>
        </w:tc>
      </w:tr>
      <w:tr>
        <w:trPr>
          <w:trHeight w:val="223"/>
        </w:trPr>
        <w:tc>
          <w:tcPr>
            <w:tcW w:w="8400" w:type="dxa"/>
            <w:vAlign w:val="bottom"/>
          </w:tcPr>
          <w:p>
            <w:pPr>
              <w:ind w:left="440"/>
              <w:spacing w:after="0"/>
              <w:rPr>
                <w:sz w:val="20"/>
                <w:szCs w:val="20"/>
                <w:color w:val="auto"/>
              </w:rPr>
            </w:pPr>
            <w:r>
              <w:rPr>
                <w:rFonts w:ascii="Arial" w:cs="Arial" w:eastAsia="Arial" w:hAnsi="Arial"/>
                <w:sz w:val="18"/>
                <w:szCs w:val="18"/>
                <w:color w:val="auto"/>
              </w:rPr>
              <w:t>Notes payable</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3,475</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59,583</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94,662</w:t>
            </w:r>
          </w:p>
        </w:tc>
        <w:tc>
          <w:tcPr>
            <w:tcW w:w="0" w:type="dxa"/>
            <w:vAlign w:val="bottom"/>
          </w:tcPr>
          <w:p>
            <w:pPr>
              <w:spacing w:after="0"/>
              <w:rPr>
                <w:sz w:val="1"/>
                <w:szCs w:val="1"/>
                <w:color w:val="auto"/>
              </w:rPr>
            </w:pPr>
          </w:p>
        </w:tc>
      </w:tr>
      <w:tr>
        <w:trPr>
          <w:trHeight w:val="222"/>
        </w:trPr>
        <w:tc>
          <w:tcPr>
            <w:tcW w:w="840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2,702</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7,576</w:t>
            </w: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Deferred gain on sale-leaseback, net of current portion</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21,981</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23,447</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769</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00" w:type="dxa"/>
            <w:vAlign w:val="bottom"/>
          </w:tcPr>
          <w:p>
            <w:pPr>
              <w:ind w:left="44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2,781</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28,233</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34,738</w:t>
            </w:r>
          </w:p>
        </w:tc>
        <w:tc>
          <w:tcPr>
            <w:tcW w:w="0" w:type="dxa"/>
            <w:vAlign w:val="bottom"/>
          </w:tcPr>
          <w:p>
            <w:pPr>
              <w:spacing w:after="0"/>
              <w:rPr>
                <w:sz w:val="1"/>
                <w:szCs w:val="1"/>
                <w:color w:val="auto"/>
              </w:rPr>
            </w:pPr>
          </w:p>
        </w:tc>
      </w:tr>
      <w:tr>
        <w:trPr>
          <w:trHeight w:val="221"/>
        </w:trPr>
        <w:tc>
          <w:tcPr>
            <w:tcW w:w="8400" w:type="dxa"/>
            <w:vAlign w:val="bottom"/>
          </w:tcPr>
          <w:p>
            <w:pPr>
              <w:spacing w:after="0"/>
              <w:rPr>
                <w:sz w:val="20"/>
                <w:szCs w:val="20"/>
                <w:color w:val="auto"/>
              </w:rPr>
            </w:pPr>
            <w:r>
              <w:rPr>
                <w:rFonts w:ascii="Arial" w:cs="Arial" w:eastAsia="Arial" w:hAnsi="Arial"/>
                <w:sz w:val="18"/>
                <w:szCs w:val="18"/>
                <w:color w:val="auto"/>
              </w:rPr>
              <w:t>Commitments and contingencies (Note E)</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84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8400" w:type="dxa"/>
            <w:vAlign w:val="bottom"/>
          </w:tcPr>
          <w:p>
            <w:pPr>
              <w:ind w:left="440"/>
              <w:spacing w:after="0"/>
              <w:rPr>
                <w:sz w:val="20"/>
                <w:szCs w:val="20"/>
                <w:color w:val="auto"/>
              </w:rPr>
            </w:pPr>
            <w:r>
              <w:rPr>
                <w:rFonts w:ascii="Arial" w:cs="Arial" w:eastAsia="Arial" w:hAnsi="Arial"/>
                <w:sz w:val="18"/>
                <w:szCs w:val="18"/>
                <w:color w:val="auto"/>
                <w:w w:val="99"/>
              </w:rPr>
              <w:t>Common stock, $0.01 par value, 100,000,000 shares authorized, 58,046,235 and 52,327,609 shares</w:t>
            </w:r>
          </w:p>
        </w:tc>
        <w:tc>
          <w:tcPr>
            <w:tcW w:w="100" w:type="dxa"/>
            <w:vAlign w:val="bottom"/>
          </w:tcPr>
          <w:p>
            <w:pPr>
              <w:spacing w:after="0"/>
              <w:rPr>
                <w:sz w:val="18"/>
                <w:szCs w:val="18"/>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580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tcPr>
          <w:p>
            <w:pPr>
              <w:ind w:left="660"/>
              <w:spacing w:after="0"/>
              <w:rPr>
                <w:sz w:val="20"/>
                <w:szCs w:val="20"/>
                <w:color w:val="auto"/>
              </w:rPr>
            </w:pPr>
            <w:r>
              <w:rPr>
                <w:rFonts w:ascii="Arial" w:cs="Arial" w:eastAsia="Arial" w:hAnsi="Arial"/>
                <w:sz w:val="18"/>
                <w:szCs w:val="18"/>
                <w:color w:val="auto"/>
              </w:rPr>
              <w:t>issued at January 30, 2010 and January 31, 2009, respectively</w:t>
            </w:r>
          </w:p>
        </w:tc>
        <w:tc>
          <w:tcPr>
            <w:tcW w:w="1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288,367</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275,180</w:t>
            </w: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Treasury stock at cost, 10,877,439 shares at January 30, 2010 and January 31, 2009</w:t>
            </w:r>
          </w:p>
        </w:tc>
        <w:tc>
          <w:tcPr>
            <w:tcW w:w="100" w:type="dxa"/>
            <w:vAlign w:val="bottom"/>
          </w:tcPr>
          <w:p>
            <w:pPr>
              <w:spacing w:after="0"/>
              <w:rPr>
                <w:sz w:val="18"/>
                <w:szCs w:val="18"/>
                <w:color w:val="auto"/>
              </w:rPr>
            </w:pPr>
          </w:p>
        </w:tc>
        <w:tc>
          <w:tcPr>
            <w:tcW w:w="182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(87,977)</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(103,982)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(110,092)</w:t>
            </w:r>
          </w:p>
        </w:tc>
        <w:tc>
          <w:tcPr>
            <w:tcW w:w="0" w:type="dxa"/>
            <w:vAlign w:val="bottom"/>
          </w:tcPr>
          <w:p>
            <w:pPr>
              <w:spacing w:after="0"/>
              <w:rPr>
                <w:sz w:val="1"/>
                <w:szCs w:val="1"/>
                <w:color w:val="auto"/>
              </w:rPr>
            </w:pPr>
          </w:p>
        </w:tc>
      </w:tr>
      <w:tr>
        <w:trPr>
          <w:trHeight w:val="223"/>
        </w:trPr>
        <w:tc>
          <w:tcPr>
            <w:tcW w:w="8400" w:type="dxa"/>
            <w:vAlign w:val="bottom"/>
          </w:tcPr>
          <w:p>
            <w:pPr>
              <w:ind w:left="4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82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(3,765)</w:t>
            </w: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93,223</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tcPr>
          <w:p>
            <w:pPr>
              <w:ind w:left="13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181,039</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201,231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January 30, 2010, January 31, 2009 and February 2, 2008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280" w:type="dxa"/>
            <w:vAlign w:val="bottom"/>
            <w:gridSpan w:val="3"/>
          </w:tcPr>
          <w:p>
            <w:pPr>
              <w:jc w:val="right"/>
              <w:ind w:right="492"/>
              <w:spacing w:after="0"/>
              <w:rPr>
                <w:sz w:val="20"/>
                <w:szCs w:val="20"/>
                <w:color w:val="auto"/>
              </w:rPr>
            </w:pPr>
            <w:r>
              <w:rPr>
                <w:rFonts w:ascii="Arial" w:cs="Arial" w:eastAsia="Arial" w:hAnsi="Arial"/>
                <w:sz w:val="14"/>
                <w:szCs w:val="14"/>
                <w:b w:val="1"/>
                <w:bCs w:val="1"/>
                <w:color w:val="auto"/>
                <w:w w:val="90"/>
              </w:rPr>
              <w:t>January 30,</w:t>
            </w:r>
          </w:p>
        </w:tc>
        <w:tc>
          <w:tcPr>
            <w:tcW w:w="1280" w:type="dxa"/>
            <w:vAlign w:val="bottom"/>
            <w:gridSpan w:val="3"/>
          </w:tcPr>
          <w:p>
            <w:pPr>
              <w:jc w:val="center"/>
              <w:ind w:right="458"/>
              <w:spacing w:after="0"/>
              <w:rPr>
                <w:sz w:val="20"/>
                <w:szCs w:val="20"/>
                <w:color w:val="auto"/>
              </w:rPr>
            </w:pPr>
            <w:r>
              <w:rPr>
                <w:rFonts w:ascii="Arial" w:cs="Arial" w:eastAsia="Arial" w:hAnsi="Arial"/>
                <w:sz w:val="14"/>
                <w:szCs w:val="14"/>
                <w:b w:val="1"/>
                <w:bCs w:val="1"/>
                <w:color w:val="auto"/>
                <w:w w:val="88"/>
              </w:rPr>
              <w:t>January 31,</w:t>
            </w: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(Fiscal 2009)</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2008)</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(Fiscal 2007)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1"/>
              </w:rPr>
              <w:t>share data)</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7"/>
              </w:rPr>
              <w:t>(In thousands, except</w:t>
            </w:r>
          </w:p>
        </w:tc>
        <w:tc>
          <w:tcPr>
            <w:tcW w:w="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b w:val="1"/>
                <w:bCs w:val="1"/>
                <w:color w:val="auto"/>
                <w:w w:val="89"/>
              </w:rPr>
              <w:t>395,168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color w:val="auto"/>
                <w:w w:val="95"/>
              </w:rPr>
              <w:t>444,184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464,128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Cost of goods sold including occupancy costs</w:t>
            </w:r>
          </w:p>
        </w:tc>
        <w:tc>
          <w:tcPr>
            <w:tcW w:w="140" w:type="dxa"/>
            <w:vAlign w:val="bottom"/>
          </w:tcPr>
          <w:p>
            <w:pPr>
              <w:spacing w:after="0"/>
              <w:rPr>
                <w:sz w:val="18"/>
                <w:szCs w:val="18"/>
                <w:color w:val="auto"/>
              </w:rPr>
            </w:pPr>
          </w:p>
        </w:tc>
        <w:tc>
          <w:tcPr>
            <w:tcW w:w="114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w w:val="89"/>
              </w:rPr>
              <w:t>220,611</w:t>
            </w:r>
          </w:p>
        </w:tc>
        <w:tc>
          <w:tcPr>
            <w:tcW w:w="100" w:type="dxa"/>
            <w:vAlign w:val="bottom"/>
          </w:tcPr>
          <w:p>
            <w:pPr>
              <w:spacing w:after="0"/>
              <w:rPr>
                <w:sz w:val="18"/>
                <w:szCs w:val="18"/>
                <w:color w:val="auto"/>
              </w:rPr>
            </w:pPr>
          </w:p>
        </w:tc>
        <w:tc>
          <w:tcPr>
            <w:tcW w:w="1180" w:type="dxa"/>
            <w:vAlign w:val="bottom"/>
            <w:gridSpan w:val="2"/>
          </w:tcPr>
          <w:p>
            <w:pPr>
              <w:jc w:val="right"/>
              <w:ind w:right="478"/>
              <w:spacing w:after="0"/>
              <w:rPr>
                <w:sz w:val="20"/>
                <w:szCs w:val="20"/>
                <w:color w:val="auto"/>
              </w:rPr>
            </w:pPr>
            <w:r>
              <w:rPr>
                <w:rFonts w:ascii="Arial" w:cs="Arial" w:eastAsia="Arial" w:hAnsi="Arial"/>
                <w:sz w:val="18"/>
                <w:szCs w:val="18"/>
                <w:color w:val="auto"/>
                <w:w w:val="95"/>
              </w:rPr>
              <w:t>254,592</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258,155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b w:val="1"/>
                <w:bCs w:val="1"/>
                <w:color w:val="auto"/>
                <w:w w:val="89"/>
              </w:rPr>
              <w:t>174,557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color w:val="auto"/>
                <w:w w:val="95"/>
              </w:rPr>
              <w:t>189,592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205,973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b w:val="1"/>
                <w:bCs w:val="1"/>
                <w:color w:val="auto"/>
                <w:w w:val="89"/>
              </w:rPr>
              <w:t>151,045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color w:val="auto"/>
                <w:w w:val="95"/>
              </w:rPr>
              <w:t>178,072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178,055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Provision for impairment of assets, including goodwill</w:t>
            </w:r>
          </w:p>
        </w:tc>
        <w:tc>
          <w:tcPr>
            <w:tcW w:w="140" w:type="dxa"/>
            <w:vAlign w:val="bottom"/>
          </w:tcPr>
          <w:p>
            <w:pPr>
              <w:spacing w:after="0"/>
              <w:rPr>
                <w:sz w:val="18"/>
                <w:szCs w:val="18"/>
                <w:color w:val="auto"/>
              </w:rPr>
            </w:pPr>
          </w:p>
        </w:tc>
        <w:tc>
          <w:tcPr>
            <w:tcW w:w="114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78"/>
              <w:spacing w:after="0"/>
              <w:rPr>
                <w:sz w:val="20"/>
                <w:szCs w:val="20"/>
                <w:color w:val="auto"/>
              </w:rPr>
            </w:pPr>
            <w:r>
              <w:rPr>
                <w:rFonts w:ascii="Arial" w:cs="Arial" w:eastAsia="Arial" w:hAnsi="Arial"/>
                <w:sz w:val="18"/>
                <w:szCs w:val="18"/>
                <w:color w:val="auto"/>
              </w:rPr>
              <w:t>71,407</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15,501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color w:val="auto"/>
              </w:rPr>
              <w:t>17,100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17,408</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Total expenses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166,546</w:t>
            </w: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78"/>
              <w:spacing w:after="0"/>
              <w:rPr>
                <w:sz w:val="20"/>
                <w:szCs w:val="20"/>
                <w:color w:val="auto"/>
              </w:rPr>
            </w:pPr>
            <w:r>
              <w:rPr>
                <w:rFonts w:ascii="Arial" w:cs="Arial" w:eastAsia="Arial" w:hAnsi="Arial"/>
                <w:sz w:val="18"/>
                <w:szCs w:val="18"/>
                <w:color w:val="auto"/>
                <w:w w:val="95"/>
              </w:rPr>
              <w:t>266,579</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195,463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8,011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8"/>
              <w:spacing w:after="0"/>
              <w:rPr>
                <w:sz w:val="20"/>
                <w:szCs w:val="20"/>
                <w:color w:val="auto"/>
              </w:rPr>
            </w:pPr>
            <w:r>
              <w:rPr>
                <w:rFonts w:ascii="Arial" w:cs="Arial" w:eastAsia="Arial" w:hAnsi="Arial"/>
                <w:sz w:val="18"/>
                <w:szCs w:val="18"/>
                <w:color w:val="auto"/>
              </w:rPr>
              <w:t>(76,987)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114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635</w:t>
            </w:r>
          </w:p>
        </w:tc>
        <w:tc>
          <w:tcPr>
            <w:tcW w:w="100" w:type="dxa"/>
            <w:vAlign w:val="bottom"/>
          </w:tcPr>
          <w:p>
            <w:pPr>
              <w:spacing w:after="0"/>
              <w:rPr>
                <w:sz w:val="18"/>
                <w:szCs w:val="18"/>
                <w:color w:val="auto"/>
              </w:rPr>
            </w:pPr>
          </w:p>
        </w:tc>
        <w:tc>
          <w:tcPr>
            <w:tcW w:w="1180" w:type="dxa"/>
            <w:vAlign w:val="bottom"/>
            <w:gridSpan w:val="2"/>
          </w:tcPr>
          <w:p>
            <w:pPr>
              <w:jc w:val="right"/>
              <w:ind w:right="478"/>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(1,066)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8"/>
              <w:spacing w:after="0"/>
              <w:rPr>
                <w:sz w:val="20"/>
                <w:szCs w:val="20"/>
                <w:color w:val="auto"/>
              </w:rPr>
            </w:pPr>
            <w:r>
              <w:rPr>
                <w:rFonts w:ascii="Arial" w:cs="Arial" w:eastAsia="Arial" w:hAnsi="Arial"/>
                <w:sz w:val="18"/>
                <w:szCs w:val="18"/>
                <w:color w:val="auto"/>
              </w:rPr>
              <w:t>(2,961)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7,580</w:t>
            </w: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18"/>
              <w:spacing w:after="0"/>
              <w:rPr>
                <w:sz w:val="20"/>
                <w:szCs w:val="20"/>
                <w:color w:val="auto"/>
              </w:rPr>
            </w:pPr>
            <w:r>
              <w:rPr>
                <w:rFonts w:ascii="Arial" w:cs="Arial" w:eastAsia="Arial" w:hAnsi="Arial"/>
                <w:sz w:val="18"/>
                <w:szCs w:val="18"/>
                <w:color w:val="auto"/>
              </w:rPr>
              <w:t>(79,416)</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6,698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1,470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color w:val="auto"/>
              </w:rPr>
              <w:t>28,946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6,110</w:t>
            </w: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18"/>
              <w:spacing w:after="0"/>
              <w:rPr>
                <w:sz w:val="20"/>
                <w:szCs w:val="20"/>
                <w:color w:val="auto"/>
              </w:rPr>
            </w:pPr>
            <w:r>
              <w:rPr>
                <w:rFonts w:ascii="Arial" w:cs="Arial" w:eastAsia="Arial" w:hAnsi="Arial"/>
                <w:sz w:val="18"/>
                <w:szCs w:val="18"/>
                <w:color w:val="auto"/>
                <w:w w:val="88"/>
              </w:rPr>
              <w:t>(108,362)</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 benefit of $2.3 million in fiscal 2007)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8"/>
              <w:spacing w:after="0"/>
              <w:rPr>
                <w:sz w:val="20"/>
                <w:szCs w:val="20"/>
                <w:color w:val="auto"/>
              </w:rPr>
            </w:pPr>
            <w:r>
              <w:rPr>
                <w:rFonts w:ascii="Arial" w:cs="Arial" w:eastAsia="Arial" w:hAnsi="Arial"/>
                <w:sz w:val="18"/>
                <w:szCs w:val="18"/>
                <w:color w:val="auto"/>
              </w:rPr>
              <w:t>(895)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0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6,110</w:t>
            </w:r>
          </w:p>
        </w:tc>
        <w:tc>
          <w:tcPr>
            <w:tcW w:w="5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18"/>
              <w:spacing w:after="0"/>
              <w:rPr>
                <w:sz w:val="20"/>
                <w:szCs w:val="20"/>
                <w:color w:val="auto"/>
              </w:rPr>
            </w:pPr>
            <w:r>
              <w:rPr>
                <w:rFonts w:ascii="Arial" w:cs="Arial" w:eastAsia="Arial" w:hAnsi="Arial"/>
                <w:sz w:val="18"/>
                <w:szCs w:val="18"/>
                <w:color w:val="auto"/>
                <w:w w:val="88"/>
              </w:rPr>
              <w:t>(109,257)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share—basic</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0.14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18"/>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18"/>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0.14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18"/>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income (loss) per share—diluted</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0.14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18"/>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18"/>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0.14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18"/>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43,552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color w:val="auto"/>
              </w:rPr>
              <w:t>41,412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41,707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9"/>
                <w:szCs w:val="19"/>
                <w:color w:val="auto"/>
              </w:rPr>
            </w:pPr>
          </w:p>
        </w:tc>
        <w:tc>
          <w:tcPr>
            <w:tcW w:w="114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43,982</w:t>
            </w:r>
          </w:p>
        </w:tc>
        <w:tc>
          <w:tcPr>
            <w:tcW w:w="100" w:type="dxa"/>
            <w:vAlign w:val="bottom"/>
          </w:tcPr>
          <w:p>
            <w:pPr>
              <w:spacing w:after="0"/>
              <w:rPr>
                <w:sz w:val="19"/>
                <w:szCs w:val="19"/>
                <w:color w:val="auto"/>
              </w:rPr>
            </w:pPr>
          </w:p>
        </w:tc>
        <w:tc>
          <w:tcPr>
            <w:tcW w:w="1180" w:type="dxa"/>
            <w:vAlign w:val="bottom"/>
            <w:gridSpan w:val="2"/>
          </w:tcPr>
          <w:p>
            <w:pPr>
              <w:jc w:val="right"/>
              <w:ind w:right="478"/>
              <w:spacing w:after="0"/>
              <w:rPr>
                <w:sz w:val="20"/>
                <w:szCs w:val="20"/>
                <w:color w:val="auto"/>
              </w:rPr>
            </w:pPr>
            <w:r>
              <w:rPr>
                <w:rFonts w:ascii="Arial" w:cs="Arial" w:eastAsia="Arial" w:hAnsi="Arial"/>
                <w:sz w:val="18"/>
                <w:szCs w:val="18"/>
                <w:color w:val="auto"/>
              </w:rPr>
              <w:t>41,412</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43,229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For the fiscal years ended January 30, 2010, January 31, 2009 and February 2, 2008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6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w w:val="93"/>
              </w:rPr>
              <w:t>Common Stock</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46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2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right"/>
              <w:ind w:right="360"/>
              <w:spacing w:after="0" w:line="149" w:lineRule="exact"/>
              <w:rPr>
                <w:sz w:val="20"/>
                <w:szCs w:val="20"/>
                <w:color w:val="auto"/>
              </w:rPr>
            </w:pPr>
            <w:r>
              <w:rPr>
                <w:rFonts w:ascii="Arial" w:cs="Arial" w:eastAsia="Arial" w:hAnsi="Arial"/>
                <w:sz w:val="14"/>
                <w:szCs w:val="14"/>
                <w:b w:val="1"/>
                <w:bCs w:val="1"/>
                <w:color w:val="auto"/>
                <w:w w:val="89"/>
              </w:rPr>
              <w:t>Paid-in</w:t>
            </w:r>
          </w:p>
        </w:tc>
        <w:tc>
          <w:tcPr>
            <w:tcW w:w="1460" w:type="dxa"/>
            <w:vAlign w:val="bottom"/>
            <w:gridSpan w:val="5"/>
            <w:vMerge w:val="continue"/>
          </w:tcPr>
          <w:p>
            <w:pPr>
              <w:spacing w:after="0"/>
              <w:rPr>
                <w:sz w:val="8"/>
                <w:szCs w:val="8"/>
                <w:color w:val="auto"/>
              </w:rPr>
            </w:pPr>
          </w:p>
        </w:tc>
        <w:tc>
          <w:tcPr>
            <w:tcW w:w="10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98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76"/>
              </w:rPr>
              <w:t>Shares</w:t>
            </w:r>
          </w:p>
        </w:tc>
        <w:tc>
          <w:tcPr>
            <w:tcW w:w="1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8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Capital</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Amounts</w:t>
            </w:r>
          </w:p>
        </w:tc>
        <w:tc>
          <w:tcPr>
            <w:tcW w:w="12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February 3, 2007</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50,860</w:t>
            </w:r>
          </w:p>
        </w:tc>
        <w:tc>
          <w:tcPr>
            <w:tcW w:w="38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509</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258,334</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9"/>
              </w:rPr>
              <w:t>(6,686)</w:t>
            </w:r>
          </w:p>
        </w:tc>
        <w:tc>
          <w:tcPr>
            <w:tcW w:w="900" w:type="dxa"/>
            <w:vAlign w:val="bottom"/>
            <w:gridSpan w:val="3"/>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 (38,570)</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(1,249)</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(978)</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0"/>
              </w:rPr>
              <w:t>218,046</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4"/>
                <w:szCs w:val="14"/>
                <w:color w:val="auto"/>
              </w:rPr>
              <w:t>Repurchase of common stock</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w w:val="99"/>
              </w:rPr>
              <w:t>(4,191)</w:t>
            </w:r>
          </w:p>
        </w:tc>
        <w:tc>
          <w:tcPr>
            <w:tcW w:w="900" w:type="dxa"/>
            <w:vAlign w:val="bottom"/>
            <w:gridSpan w:val="3"/>
          </w:tcPr>
          <w:p>
            <w:pPr>
              <w:jc w:val="right"/>
              <w:ind w:right="220"/>
              <w:spacing w:after="0" w:line="143" w:lineRule="exact"/>
              <w:rPr>
                <w:sz w:val="20"/>
                <w:szCs w:val="20"/>
                <w:color w:val="auto"/>
              </w:rPr>
            </w:pPr>
            <w:r>
              <w:rPr>
                <w:rFonts w:ascii="Arial" w:cs="Arial" w:eastAsia="Arial" w:hAnsi="Arial"/>
                <w:sz w:val="14"/>
                <w:szCs w:val="14"/>
                <w:color w:val="auto"/>
              </w:rPr>
              <w:t>(49,407)</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95"/>
              </w:rPr>
              <w:t>(49,407)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Exercises under option program</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Exercises of warrants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1,029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8,740</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 compensation expense</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2,121</w:t>
            </w: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420"/>
              <w:spacing w:after="0" w:line="149" w:lineRule="exact"/>
              <w:rPr>
                <w:sz w:val="20"/>
                <w:szCs w:val="20"/>
                <w:color w:val="auto"/>
              </w:rPr>
            </w:pPr>
            <w:r>
              <w:rPr>
                <w:rFonts w:ascii="Arial" w:cs="Arial" w:eastAsia="Arial" w:hAnsi="Arial"/>
                <w:sz w:val="14"/>
                <w:szCs w:val="14"/>
                <w:color w:val="auto"/>
              </w:rPr>
              <w:t>Unrecognized loss associated with Pension Plan</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currency</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414</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38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00" w:type="dxa"/>
            <w:vAlign w:val="bottom"/>
            <w:gridSpan w:val="2"/>
          </w:tcPr>
          <w:p>
            <w:pPr>
              <w:spacing w:after="0" w:line="155" w:lineRule="exact"/>
              <w:rPr>
                <w:sz w:val="20"/>
                <w:szCs w:val="20"/>
                <w:color w:val="auto"/>
              </w:rPr>
            </w:pPr>
            <w:r>
              <w:rPr>
                <w:rFonts w:ascii="Arial" w:cs="Arial" w:eastAsia="Arial" w:hAnsi="Arial"/>
                <w:sz w:val="14"/>
                <w:szCs w:val="14"/>
                <w:color w:val="auto"/>
              </w:rPr>
              <w:t>Balance at February 2, 2008</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52,267</w:t>
            </w:r>
          </w:p>
        </w:tc>
        <w:tc>
          <w:tcPr>
            <w:tcW w:w="38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523</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271,354</w:t>
            </w:r>
          </w:p>
        </w:tc>
        <w:tc>
          <w:tcPr>
            <w:tcW w:w="260" w:type="dxa"/>
            <w:vAlign w:val="bottom"/>
          </w:tcPr>
          <w:p>
            <w:pPr>
              <w:spacing w:after="0"/>
              <w:rPr>
                <w:sz w:val="13"/>
                <w:szCs w:val="13"/>
                <w:color w:val="auto"/>
              </w:rPr>
            </w:pPr>
          </w:p>
        </w:tc>
        <w:tc>
          <w:tcPr>
            <w:tcW w:w="5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4"/>
              </w:rPr>
              <w:t>(10,877)</w:t>
            </w:r>
          </w:p>
        </w:tc>
        <w:tc>
          <w:tcPr>
            <w:tcW w:w="900" w:type="dxa"/>
            <w:vAlign w:val="bottom"/>
            <w:gridSpan w:val="3"/>
          </w:tcPr>
          <w:p>
            <w:pPr>
              <w:jc w:val="right"/>
              <w:ind w:right="220"/>
              <w:spacing w:after="0" w:line="155" w:lineRule="exact"/>
              <w:rPr>
                <w:sz w:val="20"/>
                <w:szCs w:val="20"/>
                <w:color w:val="auto"/>
              </w:rPr>
            </w:pPr>
            <w:r>
              <w:rPr>
                <w:rFonts w:ascii="Arial" w:cs="Arial" w:eastAsia="Arial" w:hAnsi="Arial"/>
                <w:sz w:val="14"/>
                <w:szCs w:val="14"/>
                <w:color w:val="auto"/>
              </w:rPr>
              <w:t>$ (87,977)</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(835)</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(1,124)</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0"/>
              </w:rPr>
              <w:t>181,941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9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Stock option repurchase</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(7)</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Stock option compensation expense</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3,691</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Unrecognized loss associated with Pension Plan</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(3,386)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(109,257)</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3"/>
              </w:rPr>
              <w:t>(109,257)</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loss</w:t>
            </w: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3"/>
              </w:rPr>
              <w:t>(113,936)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31, 2009</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52,328</w:t>
            </w:r>
          </w:p>
        </w:tc>
        <w:tc>
          <w:tcPr>
            <w:tcW w:w="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275,180</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4"/>
              </w:rPr>
              <w:t>(10,877)</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(87,977)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(110,092)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(5,803)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71,831</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4"/>
                <w:szCs w:val="14"/>
                <w:color w:val="auto"/>
              </w:rPr>
              <w:t>Issuance of common stock through a registered direct offering</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gridSpan w:val="2"/>
            <w:vMerge w:val="continue"/>
          </w:tcPr>
          <w:p>
            <w:pPr>
              <w:spacing w:after="0"/>
              <w:rPr>
                <w:sz w:val="12"/>
                <w:szCs w:val="12"/>
                <w:color w:val="auto"/>
              </w:rPr>
            </w:pPr>
          </w:p>
        </w:tc>
        <w:tc>
          <w:tcPr>
            <w:tcW w:w="380" w:type="dxa"/>
            <w:vAlign w:val="bottom"/>
          </w:tcPr>
          <w:p>
            <w:pPr>
              <w:jc w:val="right"/>
              <w:spacing w:after="0" w:line="143" w:lineRule="exact"/>
              <w:rPr>
                <w:sz w:val="20"/>
                <w:szCs w:val="20"/>
                <w:color w:val="auto"/>
              </w:rPr>
            </w:pPr>
            <w:r>
              <w:rPr>
                <w:rFonts w:ascii="Arial" w:cs="Arial" w:eastAsia="Arial" w:hAnsi="Arial"/>
                <w:sz w:val="14"/>
                <w:szCs w:val="14"/>
                <w:color w:val="auto"/>
              </w:rPr>
              <w:t>4,950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50</w:t>
            </w:r>
          </w:p>
        </w:tc>
        <w:tc>
          <w:tcPr>
            <w:tcW w:w="8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13,563</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13,613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Costs of raising capital</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(1,115)</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Exercises under option program</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Stock option compensation expense</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547</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420"/>
              <w:spacing w:after="0" w:line="149" w:lineRule="exact"/>
              <w:rPr>
                <w:sz w:val="20"/>
                <w:szCs w:val="20"/>
                <w:color w:val="auto"/>
              </w:rPr>
            </w:pPr>
            <w:r>
              <w:rPr>
                <w:rFonts w:ascii="Arial" w:cs="Arial" w:eastAsia="Arial" w:hAnsi="Arial"/>
                <w:sz w:val="14"/>
                <w:szCs w:val="14"/>
                <w:color w:val="auto"/>
              </w:rPr>
              <w:t>Unrecognized loss associated with Pension Plan</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1,360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currency</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Pr>
          <w:p>
            <w:pPr>
              <w:ind w:left="420"/>
              <w:spacing w:after="0" w:line="149" w:lineRule="exact"/>
              <w:rPr>
                <w:sz w:val="20"/>
                <w:szCs w:val="20"/>
                <w:color w:val="auto"/>
              </w:rPr>
            </w:pPr>
            <w:r>
              <w:rPr>
                <w:rFonts w:ascii="Arial" w:cs="Arial" w:eastAsia="Arial" w:hAnsi="Arial"/>
                <w:sz w:val="14"/>
                <w:szCs w:val="14"/>
                <w:color w:val="auto"/>
              </w:rPr>
              <w:t>Net income</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6,110</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38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8,148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00" w:type="dxa"/>
            <w:vAlign w:val="bottom"/>
            <w:gridSpan w:val="2"/>
          </w:tcPr>
          <w:p>
            <w:pPr>
              <w:spacing w:after="0" w:line="155" w:lineRule="exact"/>
              <w:rPr>
                <w:sz w:val="20"/>
                <w:szCs w:val="20"/>
                <w:color w:val="auto"/>
              </w:rPr>
            </w:pPr>
            <w:r>
              <w:rPr>
                <w:rFonts w:ascii="Arial" w:cs="Arial" w:eastAsia="Arial" w:hAnsi="Arial"/>
                <w:sz w:val="14"/>
                <w:szCs w:val="14"/>
                <w:color w:val="auto"/>
              </w:rPr>
              <w:t>Balance at January 30, 2010</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58,046</w:t>
            </w:r>
          </w:p>
        </w:tc>
        <w:tc>
          <w:tcPr>
            <w:tcW w:w="38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580</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288,367</w:t>
            </w:r>
          </w:p>
        </w:tc>
        <w:tc>
          <w:tcPr>
            <w:tcW w:w="260" w:type="dxa"/>
            <w:vAlign w:val="bottom"/>
          </w:tcPr>
          <w:p>
            <w:pPr>
              <w:spacing w:after="0"/>
              <w:rPr>
                <w:sz w:val="13"/>
                <w:szCs w:val="13"/>
                <w:color w:val="auto"/>
              </w:rPr>
            </w:pPr>
          </w:p>
        </w:tc>
        <w:tc>
          <w:tcPr>
            <w:tcW w:w="5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4"/>
              </w:rPr>
              <w:t>(10,877)</w:t>
            </w:r>
          </w:p>
        </w:tc>
        <w:tc>
          <w:tcPr>
            <w:tcW w:w="900" w:type="dxa"/>
            <w:vAlign w:val="bottom"/>
            <w:gridSpan w:val="3"/>
          </w:tcPr>
          <w:p>
            <w:pPr>
              <w:jc w:val="right"/>
              <w:ind w:right="220"/>
              <w:spacing w:after="0" w:line="155" w:lineRule="exact"/>
              <w:rPr>
                <w:sz w:val="20"/>
                <w:szCs w:val="20"/>
                <w:color w:val="auto"/>
              </w:rPr>
            </w:pPr>
            <w:r>
              <w:rPr>
                <w:rFonts w:ascii="Arial" w:cs="Arial" w:eastAsia="Arial" w:hAnsi="Arial"/>
                <w:sz w:val="14"/>
                <w:szCs w:val="14"/>
                <w:color w:val="auto"/>
              </w:rPr>
              <w:t>$ (87,977)</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(103,982)</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(3,765)</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93,223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January 30, 2010, January 31, 2009 and February 2, 2008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Fiscal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Fiscal</w:t>
            </w:r>
          </w:p>
        </w:tc>
        <w:tc>
          <w:tcPr>
            <w:tcW w:w="0" w:type="dxa"/>
            <w:vAlign w:val="bottom"/>
          </w:tcPr>
          <w:p>
            <w:pPr>
              <w:spacing w:after="0"/>
              <w:rPr>
                <w:sz w:val="1"/>
                <w:szCs w:val="1"/>
                <w:color w:val="auto"/>
              </w:rPr>
            </w:pPr>
          </w:p>
        </w:tc>
      </w:tr>
      <w:tr>
        <w:trPr>
          <w:trHeight w:val="161"/>
        </w:trPr>
        <w:tc>
          <w:tcPr>
            <w:tcW w:w="8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2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(In 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6,110</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(109,257)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from discontinued operations, net of tax</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16"/>
        </w:trPr>
        <w:tc>
          <w:tcPr>
            <w:tcW w:w="8420" w:type="dxa"/>
            <w:vAlign w:val="bottom"/>
          </w:tcPr>
          <w:p>
            <w:pPr>
              <w:ind w:left="880"/>
              <w:spacing w:after="0"/>
              <w:rPr>
                <w:sz w:val="20"/>
                <w:szCs w:val="20"/>
                <w:color w:val="auto"/>
              </w:rPr>
            </w:pPr>
            <w:r>
              <w:rPr>
                <w:rFonts w:ascii="Arial" w:cs="Arial" w:eastAsia="Arial" w:hAnsi="Arial"/>
                <w:sz w:val="18"/>
                <w:szCs w:val="18"/>
                <w:color w:val="auto"/>
              </w:rPr>
              <w:t>Amortization of deferred gain on sale leaseback</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Provision for impairment of assets, including goodwill</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tcPr>
          <w:p>
            <w:pPr>
              <w:ind w:left="880"/>
              <w:spacing w:after="0"/>
              <w:rPr>
                <w:sz w:val="20"/>
                <w:szCs w:val="20"/>
                <w:color w:val="auto"/>
              </w:rPr>
            </w:pPr>
            <w:r>
              <w:rPr>
                <w:rFonts w:ascii="Arial" w:cs="Arial" w:eastAsia="Arial" w:hAnsi="Arial"/>
                <w:sz w:val="18"/>
                <w:szCs w:val="18"/>
                <w:color w:val="auto"/>
              </w:rPr>
              <w:t>Provision for impairment of assets— discontinued operations</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15,501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17,408</w:t>
            </w:r>
          </w:p>
        </w:tc>
        <w:tc>
          <w:tcPr>
            <w:tcW w:w="0" w:type="dxa"/>
            <w:vAlign w:val="bottom"/>
          </w:tcPr>
          <w:p>
            <w:pPr>
              <w:spacing w:after="0"/>
              <w:rPr>
                <w:sz w:val="1"/>
                <w:szCs w:val="1"/>
                <w:color w:val="auto"/>
              </w:rPr>
            </w:pPr>
          </w:p>
        </w:tc>
      </w:tr>
      <w:tr>
        <w:trPr>
          <w:trHeight w:val="216"/>
        </w:trPr>
        <w:tc>
          <w:tcPr>
            <w:tcW w:w="8420" w:type="dxa"/>
            <w:vAlign w:val="bottom"/>
          </w:tcPr>
          <w:p>
            <w:pPr>
              <w:ind w:left="880"/>
              <w:spacing w:after="0"/>
              <w:rPr>
                <w:sz w:val="20"/>
                <w:szCs w:val="20"/>
                <w:color w:val="auto"/>
              </w:rPr>
            </w:pPr>
            <w:r>
              <w:rPr>
                <w:rFonts w:ascii="Arial" w:cs="Arial" w:eastAsia="Arial" w:hAnsi="Arial"/>
                <w:sz w:val="18"/>
                <w:szCs w:val="18"/>
                <w:color w:val="auto"/>
              </w:rPr>
              <w:t>Deferred taxes, net of valuation allowance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from disposal of property and equipment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420" w:type="dxa"/>
            <w:vAlign w:val="bottom"/>
          </w:tcPr>
          <w:p>
            <w:pPr>
              <w:ind w:left="880"/>
              <w:spacing w:after="0"/>
              <w:rPr>
                <w:sz w:val="20"/>
                <w:szCs w:val="20"/>
                <w:color w:val="auto"/>
              </w:rPr>
            </w:pPr>
            <w:r>
              <w:rPr>
                <w:rFonts w:ascii="Arial" w:cs="Arial" w:eastAsia="Arial" w:hAnsi="Arial"/>
                <w:sz w:val="18"/>
                <w:szCs w:val="18"/>
                <w:color w:val="auto"/>
              </w:rPr>
              <w:t>Stock option compensation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547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Issuance of common stock to Board of Directors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 net of effect of businesses acquired: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8420" w:type="dxa"/>
            <w:vAlign w:val="bottom"/>
          </w:tcPr>
          <w:p>
            <w:pPr>
              <w:ind w:left="88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8,656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8420" w:type="dxa"/>
            <w:vAlign w:val="bottom"/>
          </w:tcPr>
          <w:p>
            <w:pPr>
              <w:ind w:left="88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16"/>
        </w:trPr>
        <w:tc>
          <w:tcPr>
            <w:tcW w:w="8420" w:type="dxa"/>
            <w:vAlign w:val="bottom"/>
          </w:tcPr>
          <w:p>
            <w:pPr>
              <w:ind w:left="880"/>
              <w:spacing w:after="0"/>
              <w:rPr>
                <w:sz w:val="20"/>
                <w:szCs w:val="20"/>
                <w:color w:val="auto"/>
              </w:rPr>
            </w:pPr>
            <w:r>
              <w:rPr>
                <w:rFonts w:ascii="Arial" w:cs="Arial" w:eastAsia="Arial" w:hAnsi="Arial"/>
                <w:sz w:val="18"/>
                <w:szCs w:val="18"/>
                <w:color w:val="auto"/>
              </w:rPr>
              <w:t>Accrued liabilities for severance, store closings and impairment charges</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23"/>
        </w:trPr>
        <w:tc>
          <w:tcPr>
            <w:tcW w:w="8420" w:type="dxa"/>
            <w:vAlign w:val="bottom"/>
          </w:tcPr>
          <w:p>
            <w:pPr>
              <w:ind w:left="88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4,559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30,774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20" w:type="dxa"/>
            <w:vAlign w:val="bottom"/>
          </w:tcPr>
          <w:p>
            <w:pPr>
              <w:ind w:left="440"/>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Additions to property and equipment,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(4,634)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(21,377)</w:t>
            </w:r>
          </w:p>
        </w:tc>
        <w:tc>
          <w:tcPr>
            <w:tcW w:w="0" w:type="dxa"/>
            <w:vAlign w:val="bottom"/>
          </w:tcPr>
          <w:p>
            <w:pPr>
              <w:spacing w:after="0"/>
              <w:rPr>
                <w:sz w:val="1"/>
                <w:szCs w:val="1"/>
                <w:color w:val="auto"/>
              </w:rPr>
            </w:pPr>
          </w:p>
        </w:tc>
      </w:tr>
      <w:tr>
        <w:trPr>
          <w:trHeight w:val="216"/>
        </w:trPr>
        <w:tc>
          <w:tcPr>
            <w:tcW w:w="8420" w:type="dxa"/>
            <w:vAlign w:val="bottom"/>
          </w:tcPr>
          <w:p>
            <w:pPr>
              <w:ind w:left="880"/>
              <w:spacing w:after="0"/>
              <w:rPr>
                <w:sz w:val="20"/>
                <w:szCs w:val="20"/>
                <w:color w:val="auto"/>
              </w:rPr>
            </w:pPr>
            <w:r>
              <w:rPr>
                <w:rFonts w:ascii="Arial" w:cs="Arial" w:eastAsia="Arial" w:hAnsi="Arial"/>
                <w:sz w:val="18"/>
                <w:szCs w:val="18"/>
                <w:color w:val="auto"/>
              </w:rPr>
              <w:t>Proceeds from sale of businesses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 of earn-out provision for Rochester acquisition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8420" w:type="dxa"/>
            <w:vAlign w:val="bottom"/>
          </w:tcPr>
          <w:p>
            <w:pPr>
              <w:ind w:left="880"/>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(3,999)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(22,208)</w:t>
            </w:r>
          </w:p>
        </w:tc>
        <w:tc>
          <w:tcPr>
            <w:tcW w:w="0" w:type="dxa"/>
            <w:vAlign w:val="bottom"/>
          </w:tcPr>
          <w:p>
            <w:pPr>
              <w:spacing w:after="0"/>
              <w:rPr>
                <w:sz w:val="1"/>
                <w:szCs w:val="1"/>
                <w:color w:val="auto"/>
              </w:rPr>
            </w:pPr>
          </w:p>
        </w:tc>
      </w:tr>
      <w:tr>
        <w:trPr>
          <w:trHeight w:val="222"/>
        </w:trPr>
        <w:tc>
          <w:tcPr>
            <w:tcW w:w="8420" w:type="dxa"/>
            <w:vAlign w:val="bottom"/>
          </w:tcPr>
          <w:p>
            <w:pPr>
              <w:ind w:left="440"/>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borrowings (repayments) under credit facility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6"/>
              </w:rPr>
              <w:t>(35,243)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32,449</w:t>
            </w:r>
          </w:p>
        </w:tc>
        <w:tc>
          <w:tcPr>
            <w:tcW w:w="0" w:type="dxa"/>
            <w:vAlign w:val="bottom"/>
          </w:tcPr>
          <w:p>
            <w:pPr>
              <w:spacing w:after="0"/>
              <w:rPr>
                <w:sz w:val="1"/>
                <w:szCs w:val="1"/>
                <w:color w:val="auto"/>
              </w:rPr>
            </w:pPr>
          </w:p>
        </w:tc>
      </w:tr>
      <w:tr>
        <w:trPr>
          <w:trHeight w:val="216"/>
        </w:trPr>
        <w:tc>
          <w:tcPr>
            <w:tcW w:w="8420" w:type="dxa"/>
            <w:vAlign w:val="bottom"/>
          </w:tcPr>
          <w:p>
            <w:pPr>
              <w:ind w:left="880"/>
              <w:spacing w:after="0"/>
              <w:rPr>
                <w:sz w:val="20"/>
                <w:szCs w:val="20"/>
                <w:color w:val="auto"/>
              </w:rPr>
            </w:pPr>
            <w:r>
              <w:rPr>
                <w:rFonts w:ascii="Arial" w:cs="Arial" w:eastAsia="Arial" w:hAnsi="Arial"/>
                <w:sz w:val="18"/>
                <w:szCs w:val="18"/>
                <w:color w:val="auto"/>
              </w:rPr>
              <w:t>Net proceeds from the issuance of common stock through a direct offering</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12,498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the issuance of long-term debt, net of commissions and offering costs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19,496</w:t>
            </w:r>
          </w:p>
        </w:tc>
        <w:tc>
          <w:tcPr>
            <w:tcW w:w="0" w:type="dxa"/>
            <w:vAlign w:val="bottom"/>
          </w:tcPr>
          <w:p>
            <w:pPr>
              <w:spacing w:after="0"/>
              <w:rPr>
                <w:sz w:val="1"/>
                <w:szCs w:val="1"/>
                <w:color w:val="auto"/>
              </w:rPr>
            </w:pPr>
          </w:p>
        </w:tc>
      </w:tr>
      <w:tr>
        <w:trPr>
          <w:trHeight w:val="216"/>
        </w:trPr>
        <w:tc>
          <w:tcPr>
            <w:tcW w:w="8420" w:type="dxa"/>
            <w:vAlign w:val="bottom"/>
          </w:tcPr>
          <w:p>
            <w:pPr>
              <w:ind w:left="88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(4,874)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(4,874)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the exercise of warrants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16"/>
        </w:trPr>
        <w:tc>
          <w:tcPr>
            <w:tcW w:w="8420" w:type="dxa"/>
            <w:vAlign w:val="bottom"/>
          </w:tcPr>
          <w:p>
            <w:pPr>
              <w:ind w:left="880"/>
              <w:spacing w:after="0"/>
              <w:rPr>
                <w:sz w:val="20"/>
                <w:szCs w:val="20"/>
                <w:color w:val="auto"/>
              </w:rPr>
            </w:pPr>
            <w:r>
              <w:rPr>
                <w:rFonts w:ascii="Arial" w:cs="Arial" w:eastAsia="Arial" w:hAnsi="Arial"/>
                <w:sz w:val="18"/>
                <w:szCs w:val="18"/>
                <w:color w:val="auto"/>
              </w:rPr>
              <w:t>Repurchase of common stock</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(49,407)</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Repurchase of certain stock options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20" w:type="dxa"/>
            <w:vAlign w:val="bottom"/>
          </w:tcPr>
          <w:p>
            <w:pPr>
              <w:ind w:left="880"/>
              <w:spacing w:after="0"/>
              <w:rPr>
                <w:sz w:val="20"/>
                <w:szCs w:val="20"/>
                <w:color w:val="auto"/>
              </w:rPr>
            </w:pPr>
            <w:r>
              <w:rPr>
                <w:rFonts w:ascii="Arial" w:cs="Arial" w:eastAsia="Arial" w:hAnsi="Arial"/>
                <w:sz w:val="18"/>
                <w:szCs w:val="18"/>
                <w:color w:val="auto"/>
              </w:rPr>
              <w:t>Proceeds from the exercise of stock options under option program</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(used for) financing activities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6"/>
              </w:rPr>
              <w:t>(27,426)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10,438</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(651)</w:t>
            </w:r>
          </w:p>
        </w:tc>
        <w:tc>
          <w:tcPr>
            <w:tcW w:w="2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20" w:type="dxa"/>
            <w:vAlign w:val="bottom"/>
          </w:tcPr>
          <w:p>
            <w:pPr>
              <w:ind w:left="440"/>
              <w:spacing w:after="0"/>
              <w:rPr>
                <w:sz w:val="20"/>
                <w:szCs w:val="20"/>
                <w:color w:val="auto"/>
              </w:rPr>
            </w:pPr>
            <w:r>
              <w:rPr>
                <w:rFonts w:ascii="Arial" w:cs="Arial" w:eastAsia="Arial" w:hAnsi="Arial"/>
                <w:sz w:val="18"/>
                <w:szCs w:val="18"/>
                <w:color w:val="auto"/>
              </w:rPr>
              <w:t>Beginning of the year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End of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4,302</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JANUARY 30,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Casual Male Retail Group, Inc. (“Company”) is the largest specialty retailer of big &amp; tall men’s apparel. The Company operates under the trade names of Casual Male XL, Casual Male XL Outlets, Rochester Clothing, B &amp; T Factory Direct, Shoes XL and Living XL. At January 30, 2010, the Company operated 460 Casual Male XL retail and outlet stores located throughout the United States, 19 Rochester Clothing stores located in major U.S. cities, including one store in London, England. The Company also operates a direct business throughout the United States, Canada and Europe which includes several catalogs and e-commerce sites to support its brands and product extensions.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significant intercompany accounts, transactions and profits are eliminated.</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Standards Codification</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July 1, 2009, the Financial Accounting Standards Board (“FASB”) released the Accounting Standards Codification (“ASC”). The ASC became the single source of authoritative nongovernmental U.S. GAAP and is effective for all interim and annual periods ending after September 15, 2009. All existing accounting standards documents were superseded and any other literature not included in the ASC is considered non-authoritative. The adoption of the ASC did not have any impact on the Company’s financial condition, results of operations and cash flows, as the ASC did not change existing U.S. GAAP. The adoption of the ASC changes the approach of referencing authoritative literature by topic (each a “Topic”) rather than by type of standard. Accordingly, references to former FASB positions, statements, interpretations, opinions, bulletins or other pronouncements in the Company’s Notes to Consolidated Financial Statements are now presented as references to the corresponding Topic in the ASC.</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appropriate subsequent event disclosures, if any, have been made in these Notes to the Consolidated Financial Statements.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reports its operations as one reportable segment, Big &amp; Tall Men’s Apparel, which consists of its three operating segments—B&amp;T Factory Direct, Casual Male XL and Rochester Clothing. The Company considers its operating segments to be similar in terms of economic characteristic, production processes and operations, and have therefore aggregated them into a single reporting segment. The operating results and assets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of the Company’s direct businesses, Living XL, Shoes XL and the Company’s International Web Stores, are immaterial.</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Company’s fiscal year is a 52-week or 53-week period ending on the Saturday closest to January 31. Fiscal years 2009, 2008 and 2007 ended on January 30, 2010, January 31, 2009 and February 2, 2008,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Short-term investments, which have a maturity of ninety days or less when acquired, are considered cash equivalents.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requires disclosure of the fair value of certain financial instruments. The carrying amounts for the Company’s long-term debt approximate fair value as the interest rates and terms are substantially similar to those that could be obtained currently for similar instruments. The carrying amounts of cash and cash equivalents, accounts receivable, accounts payable, accrued expenses and short-term borrowings approximate fair value because of the short maturity of these instruments.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establishes a framework for measuring fair value and enhances disclosures about fair value measurements.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inventories are valued at the lower of cost or market, using a weighted-average cost method.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if any, is reflected in income. Depreciation is computed on the straight-line method over the assets’ estimated useful lives as follows:</w:t>
      </w:r>
    </w:p>
    <w:p>
      <w:pPr>
        <w:sectPr>
          <w:pgSz w:w="11900" w:h="16838" w:orient="portrait"/>
          <w:cols w:equalWidth="0" w:num="1">
            <w:col w:w="11400"/>
          </w:cols>
          <w:pgMar w:left="240" w:top="459" w:right="259" w:bottom="1440" w:gutter="0" w:footer="0" w:header="0"/>
        </w:sectPr>
      </w:pP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Furniture and fixtures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Equipment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Leasehold improvements</w:t>
      </w:r>
    </w:p>
    <w:p>
      <w:pPr>
        <w:spacing w:after="0" w:line="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Hardware and software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Lesser of useful lives or related lease term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Three to seven years</w:t>
      </w:r>
    </w:p>
    <w:p>
      <w:pPr>
        <w:spacing w:after="0" w:line="200" w:lineRule="exact"/>
        <w:rPr>
          <w:sz w:val="20"/>
          <w:szCs w:val="20"/>
          <w:color w:val="auto"/>
        </w:rPr>
      </w:pPr>
    </w:p>
    <w:p>
      <w:pPr>
        <w:sectPr>
          <w:pgSz w:w="11900" w:h="16838" w:orient="portrait"/>
          <w:cols w:equalWidth="0" w:num="2">
            <w:col w:w="5380" w:space="720"/>
            <w:col w:w="5300"/>
          </w:cols>
          <w:pgMar w:left="240" w:top="459" w:right="259" w:bottom="1440" w:gutter="0" w:footer="0" w:header="0"/>
          <w:type w:val="continuous"/>
        </w:sectPr>
      </w:pP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Intangibles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requires that all business combinations be accounted for under the purchase method. The statement further requires separate recognition of intangible assets that meet one of two criteria set forth in the statement. Under ASC Topic 350, </w:t>
      </w:r>
      <w:r>
        <w:rPr>
          <w:rFonts w:ascii="Arial" w:cs="Arial" w:eastAsia="Arial" w:hAnsi="Arial"/>
          <w:sz w:val="18"/>
          <w:szCs w:val="18"/>
          <w:i w:val="1"/>
          <w:iCs w:val="1"/>
          <w:color w:val="auto"/>
        </w:rPr>
        <w:t>Intangibles Goodwill and Other,</w:t>
      </w:r>
      <w:r>
        <w:rPr>
          <w:rFonts w:ascii="Arial" w:cs="Arial" w:eastAsia="Arial" w:hAnsi="Arial"/>
          <w:sz w:val="18"/>
          <w:szCs w:val="18"/>
          <w:color w:val="auto"/>
        </w:rPr>
        <w:t xml:space="preserve"> goodwill and intangible assets with indefinite lives are no longer amortized but are tested at least annually for impairment. Separable intangible assets with defined lives will continue to be amortized over their useful lives.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At least annually, as of the Company’s December month-end, the Company evaluates goodwill, based on two separate operating segments, its Casual Male business and its Rochester business. The goodwill assigned to each operating segment represents the initial purchase price allocation to goodwill as a result of their respective acquisitions. The Company also performs an impairment analysis and records an impairment charge for any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intangible assets with a carrying value in excess of its fair value. Although there were no impairments in fiscal 2009, the Company did incur charges during fiscal 2008 related to its goodwill and intangibles. The following is a discussion of the results of the Company’s impairment testing for fiscal 2008:</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Goodwill:</w:t>
      </w:r>
    </w:p>
    <w:p>
      <w:pPr>
        <w:spacing w:after="0" w:line="90"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At the end of the fourth quarter of fiscal 2008, the Company determined that a full impairment had occurred with respect to the goodwill of both reporting units and, accordingly, recognized an impairment charge of $63.1 million for the fourth quarter and fiscal year 2008. The implied fair value of the reporting units were determined using a combination of the income approach, which estimates the fair value of the reporting unit based on future discounted cash flows, and the market approach, which estimates the fair value of the reporting unit on comparable market prices. The income approach was based upon a set of assumptions regarding discounted future cash flows, which represented management’s best estimate of future performance at the time.</w:t>
      </w:r>
    </w:p>
    <w:p>
      <w:pPr>
        <w:spacing w:after="0" w:line="35"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Further, the aggregate estimated fair value of the reporting units was qualitatively reconciled to the market capitalization of the consolidated Company. In addition to traditional control premiums, certain reconciling items were identified that have led to a difference between the market capitalization and the fair value of the Company, primarily related to the market’s uncertainty regarding the Company’s future operating results and expected liquidity because no earnings guidance had been provided since the second quarter of fiscal 2008.</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Trademark:</w:t>
      </w:r>
    </w:p>
    <w:p>
      <w:pPr>
        <w:spacing w:after="0" w:line="90"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color w:val="auto"/>
        </w:rPr>
        <w:t>Similar to goodwill, the Company’s trademarks are also considered indefinite-lived intangible assets and must also be tested annually for potential impairment. At January 31, 2009, both the Casual Male trademark and the Rochester trademark were tested for potential impairment. Utilizing an income approach with applicable royalty rates applied, the Company concluded that the Casual Male trademark, with a carrying value of $29.2 million was not impaired. However, the Company concluded that a partial impairment of its Rochester trademark had occurred and, accordingly, a charge was recorded in the fourth quarter of fiscal 2008 for $2.5 million to reduce the value of the Rochester trademark to $1.5 million.</w:t>
      </w:r>
    </w:p>
    <w:p>
      <w:pPr>
        <w:spacing w:after="0" w:line="35"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The remaining trademark values were tested at January 30, 2010 and the Company concluded that no additional impairment to the value of its trademarks had occurred.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Below is a table showing the changes in the carrying value of the Company’s intangible assets from January 31, 2009 to January 30, 2010: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Write-off</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4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Due to</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1"/>
        </w:trPr>
        <w:tc>
          <w:tcPr>
            <w:tcW w:w="442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January 31, 2009</w:t>
            </w:r>
          </w:p>
        </w:tc>
        <w:tc>
          <w:tcPr>
            <w:tcW w:w="6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Additions</w:t>
            </w:r>
          </w:p>
        </w:tc>
        <w:tc>
          <w:tcPr>
            <w:tcW w:w="660" w:type="dxa"/>
            <w:vAlign w:val="bottom"/>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Impairment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Amortization(1)</w:t>
            </w:r>
          </w:p>
        </w:tc>
        <w:tc>
          <w:tcPr>
            <w:tcW w:w="78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January 30, 2010</w:t>
            </w:r>
          </w:p>
        </w:tc>
      </w:tr>
      <w:tr>
        <w:trPr>
          <w:trHeight w:val="142"/>
        </w:trPr>
        <w:tc>
          <w:tcPr>
            <w:tcW w:w="4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30,700</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30,700</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Other intangibles</w:t>
            </w:r>
          </w:p>
        </w:tc>
        <w:tc>
          <w:tcPr>
            <w:tcW w:w="300" w:type="dxa"/>
            <w:vAlign w:val="bottom"/>
          </w:tcPr>
          <w:p>
            <w:pPr>
              <w:spacing w:after="0"/>
              <w:rPr>
                <w:sz w:val="19"/>
                <w:szCs w:val="19"/>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2,660</w:t>
            </w:r>
          </w:p>
        </w:tc>
        <w:tc>
          <w:tcPr>
            <w:tcW w:w="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(551)</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0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Approximately $111,000 of the $551,000 of amortization, which relates to the amortization of favorable lease commitments, was included in costs of good sold (as part of occupancy costs) on the Consolidated Statement of Operations for fiscal 2009.</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Other intangibles, which include customer lists, non-compete agreements and favorable leases commitments, are the only intangible assets with defined lives, which range from 3 to 16 years based on each asset’s estimated economic useful life.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gross carrying amount and accumulated amortization of our intangibles, subject to amortization, were $4.4 million and $2.3 million, respectively, at January 30, 2010 and $4.4 million and $1.7 million, respectively, at January 31, 2009. Amortization expense for fiscal 2009, 2008 and 2007 was $551,000, $388,000 and $343,000, respectively. Amortization expense for other intangible assets for the next five fiscal years is as follows:</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FISCAL YEAR</w:t>
            </w:r>
          </w:p>
        </w:tc>
        <w:tc>
          <w:tcPr>
            <w:tcW w:w="6780" w:type="dxa"/>
            <w:vAlign w:val="bottom"/>
            <w:gridSpan w:val="3"/>
          </w:tcPr>
          <w:p>
            <w:pPr>
              <w:ind w:left="594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2010</w:t>
            </w:r>
          </w:p>
        </w:tc>
        <w:tc>
          <w:tcPr>
            <w:tcW w:w="6280" w:type="dxa"/>
            <w:vAlign w:val="bottom"/>
            <w:gridSpan w:val="2"/>
            <w:shd w:val="clear" w:color="auto" w:fill="CCEEFF"/>
          </w:tcPr>
          <w:p>
            <w:pPr>
              <w:ind w:left="59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2011</w:t>
            </w:r>
          </w:p>
        </w:tc>
        <w:tc>
          <w:tcPr>
            <w:tcW w:w="6280" w:type="dxa"/>
            <w:vAlign w:val="bottom"/>
            <w:gridSpan w:val="2"/>
          </w:tcPr>
          <w:p>
            <w:pPr>
              <w:ind w:left="59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2012</w:t>
            </w:r>
          </w:p>
        </w:tc>
        <w:tc>
          <w:tcPr>
            <w:tcW w:w="6280" w:type="dxa"/>
            <w:vAlign w:val="bottom"/>
            <w:gridSpan w:val="2"/>
            <w:shd w:val="clear" w:color="auto" w:fill="CCEEFF"/>
          </w:tcPr>
          <w:p>
            <w:pPr>
              <w:ind w:left="59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2013</w:t>
            </w:r>
          </w:p>
        </w:tc>
        <w:tc>
          <w:tcPr>
            <w:tcW w:w="6280" w:type="dxa"/>
            <w:vAlign w:val="bottom"/>
            <w:gridSpan w:val="2"/>
          </w:tcPr>
          <w:p>
            <w:pPr>
              <w:ind w:left="59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2014</w:t>
            </w:r>
          </w:p>
        </w:tc>
        <w:tc>
          <w:tcPr>
            <w:tcW w:w="6280" w:type="dxa"/>
            <w:vAlign w:val="bottom"/>
            <w:gridSpan w:val="2"/>
            <w:shd w:val="clear" w:color="auto" w:fill="CCEEFF"/>
          </w:tcPr>
          <w:p>
            <w:pPr>
              <w:ind w:left="59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expenses all pre-opening costs for its stores as incurred.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expenses in-store advertising costs as incurred. Direct response advertising costs, which consist of catalog production and postage costs, are deferred and amortized over the period of expected direct marketing revenues, which is less than one year. Direct response costs which were deferred at January 30, 2010 and January 31, 2009 were $0.7 million and $1.4 million, respectively. Advertising expense, which is included in selling, general and administrative expenses, was $19.1 million, $34.1 million and $34.4 million for fiscal 2009, 2008 and 2007,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Revenue from the Company’s retail store operation is recorded upon purchase of merchandise by customers, net of an allowance for sales returns and allowances. Revenue from the Company’s catalog and e-commerce operations is recognized at the time a customer order is shipped.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comprehensive income (loss) include amounts related to foreign currency and pension and are reported in the Consolidated Statements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Stockholders’ Equity. The components of the accumulated other comprehensive income (loss) at January 30, 2010 and January 31, 2009 are as follows:</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January 30, 2010</w:t>
            </w:r>
          </w:p>
        </w:tc>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(in thousands)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31,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Pension</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(3,878)</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other comprehensive loss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(3,765)</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At January 30, 2010, the Company operates a direct business in Canada and has one Rochester Clothing store located in London, England. Assets and liabilities of these operations are translated into U.S. dollars at the exchange rates in effect at each balance sheet date. Stockholders’ equity is translated at applicable historical exchange rates. Income, expense and cash flow items are translated at average exchange rates during the period. Resulting translation adjustments are reported as a separate component of stockholders’ equity.</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Shipping and handling costs are included in cost of sales for all periods presented.</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July 2006 the guidance within ASC Topic 740 related to accounting for income taxes was issued which clarified a company’s accounting for uncertain income tax positions that are recognized in its financial statements. ASC Topic 740 also provides guidance on a company’s de-recognition of uncertain positions, financial statement classification, accounting for interest and penalties, accounting for interim periods, and disclosure requirements. The Company adopted the accounting pronouncements for uncertain income tax positions as of February 4, 2007 and, accordingly, will recognize the benefit from a tax position only if it is more likely than not that the position would be sustained upon audit based solely on the technical merits of the tax position. At January 30, 2010 and January 31, 2009, the Company had no material unrecognized tax benefits based on the provisions of ASC Topic 740.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federal income tax matters for years through fiscal 1997, with remaining fiscal years subject to income tax examination by federal tax authorities.</w:t>
      </w:r>
    </w:p>
    <w:p>
      <w:pPr>
        <w:spacing w:after="0" w:line="18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Company’s policy is to recognize accrued interest and penalties related to unrecognized tax benefits in its income tax provision. The Company has not accrued or paid interest or penalties which were material to its results of operations for fiscal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90"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Basic earnings per share are computed by dividing net income by the weighted average number of shares of common stock outstanding during the respective period. Diluted earnings per share is determined by giving effect to un-vested shares of restricted stock and the exercise of stock options and warrants using the treasury stock method. The following table provides a reconciliation of the number of shares outstanding for basic and diluted earnings per share: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FISCAL YEARS ENDED</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30, 2010</w:t>
            </w:r>
          </w:p>
        </w:tc>
        <w:tc>
          <w:tcPr>
            <w:tcW w:w="520" w:type="dxa"/>
            <w:vAlign w:val="bottom"/>
          </w:tcPr>
          <w:p>
            <w:pPr>
              <w:spacing w:after="0"/>
              <w:rPr>
                <w:sz w:val="12"/>
                <w:szCs w:val="12"/>
                <w:color w:val="auto"/>
              </w:rPr>
            </w:pPr>
          </w:p>
        </w:tc>
        <w:tc>
          <w:tcPr>
            <w:tcW w:w="1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31, 2009</w:t>
            </w: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February 2, 2008</w:t>
            </w:r>
          </w:p>
        </w:tc>
        <w:tc>
          <w:tcPr>
            <w:tcW w:w="20" w:type="dxa"/>
            <w:vAlign w:val="bottom"/>
          </w:tcPr>
          <w:p>
            <w:pPr>
              <w:spacing w:after="0"/>
              <w:rPr>
                <w:sz w:val="12"/>
                <w:szCs w:val="12"/>
                <w:color w:val="auto"/>
              </w:rPr>
            </w:pPr>
          </w:p>
        </w:tc>
      </w:tr>
      <w:tr>
        <w:trPr>
          <w:trHeight w:val="142"/>
        </w:trPr>
        <w:tc>
          <w:tcPr>
            <w:tcW w:w="6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9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Net income (loss)—Basic and Diluted</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6,110</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(109,257)</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Weighted Average Shares Outstanding</w:t>
            </w: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Basic weighted-average common shares outstanding</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43,552</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41,412</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41,707</w:t>
            </w:r>
          </w:p>
        </w:tc>
        <w:tc>
          <w:tcPr>
            <w:tcW w:w="20" w:type="dxa"/>
            <w:vAlign w:val="bottom"/>
          </w:tcPr>
          <w:p>
            <w:pPr>
              <w:spacing w:after="0"/>
              <w:rPr>
                <w:sz w:val="18"/>
                <w:szCs w:val="18"/>
                <w:color w:val="auto"/>
              </w:rPr>
            </w:pPr>
          </w:p>
        </w:tc>
      </w:tr>
      <w:tr>
        <w:trPr>
          <w:trHeight w:val="208"/>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Stock options and warrants, excluding anti-dilutive options and warrants of</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6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183 shares for January 31, 2009</w:t>
            </w:r>
          </w:p>
        </w:tc>
        <w:tc>
          <w:tcPr>
            <w:tcW w:w="4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0" w:type="dxa"/>
            <w:vAlign w:val="bottom"/>
          </w:tcPr>
          <w:p>
            <w:pPr>
              <w:spacing w:after="0"/>
              <w:rPr>
                <w:sz w:val="19"/>
                <w:szCs w:val="19"/>
                <w:color w:val="auto"/>
              </w:rPr>
            </w:pPr>
          </w:p>
        </w:tc>
      </w:tr>
      <w:tr>
        <w:trPr>
          <w:trHeight w:val="221"/>
        </w:trPr>
        <w:tc>
          <w:tcPr>
            <w:tcW w:w="6200" w:type="dxa"/>
            <w:vAlign w:val="bottom"/>
          </w:tcPr>
          <w:p>
            <w:pPr>
              <w:ind w:left="440"/>
              <w:spacing w:after="0"/>
              <w:rPr>
                <w:sz w:val="20"/>
                <w:szCs w:val="20"/>
                <w:color w:val="auto"/>
              </w:rPr>
            </w:pPr>
            <w:r>
              <w:rPr>
                <w:rFonts w:ascii="Arial" w:cs="Arial" w:eastAsia="Arial" w:hAnsi="Arial"/>
                <w:sz w:val="18"/>
                <w:szCs w:val="18"/>
                <w:color w:val="auto"/>
              </w:rPr>
              <w:t>Diluted weighted-average shares outstanding</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43,982</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41,412</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43,229</w:t>
            </w:r>
          </w:p>
        </w:tc>
      </w:tr>
      <w:tr>
        <w:trPr>
          <w:trHeight w:val="372"/>
        </w:trPr>
        <w:tc>
          <w:tcPr>
            <w:tcW w:w="6200" w:type="dxa"/>
            <w:vAlign w:val="bottom"/>
          </w:tcPr>
          <w:p>
            <w:pPr>
              <w:ind w:left="5620"/>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 xml:space="preserve">The following potential common stock equivalents were excluded from the computation of diluted earnings per share in each year because the exercise price of such options and warrants was greater than the average market price per share of common stock for the respective periods or the impact of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primarily related to unearned compensation.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37"/>
              <w:spacing w:after="0"/>
              <w:rPr>
                <w:sz w:val="20"/>
                <w:szCs w:val="20"/>
                <w:color w:val="auto"/>
              </w:rPr>
            </w:pPr>
            <w:r>
              <w:rPr>
                <w:rFonts w:ascii="Arial" w:cs="Arial" w:eastAsia="Arial" w:hAnsi="Arial"/>
                <w:sz w:val="14"/>
                <w:szCs w:val="14"/>
                <w:b w:val="1"/>
                <w:bCs w:val="1"/>
                <w:color w:val="auto"/>
                <w:w w:val="96"/>
              </w:rPr>
              <w:t>FISCAL YEARS ENDED</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8"/>
              </w:rPr>
              <w:t>January 30, 2010</w:t>
            </w:r>
          </w:p>
        </w:tc>
        <w:tc>
          <w:tcPr>
            <w:tcW w:w="340" w:type="dxa"/>
            <w:vAlign w:val="bottom"/>
          </w:tcPr>
          <w:p>
            <w:pPr>
              <w:spacing w:after="0"/>
              <w:rPr>
                <w:sz w:val="12"/>
                <w:szCs w:val="12"/>
                <w:color w:val="auto"/>
              </w:rPr>
            </w:pPr>
          </w:p>
        </w:tc>
        <w:tc>
          <w:tcPr>
            <w:tcW w:w="12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January 31, 2009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8"/>
              </w:rPr>
              <w:t>February 2, 2008</w:t>
            </w:r>
          </w:p>
        </w:tc>
        <w:tc>
          <w:tcPr>
            <w:tcW w:w="20" w:type="dxa"/>
            <w:vAlign w:val="bottom"/>
          </w:tcPr>
          <w:p>
            <w:pPr>
              <w:spacing w:after="0"/>
              <w:rPr>
                <w:sz w:val="12"/>
                <w:szCs w:val="12"/>
                <w:color w:val="auto"/>
              </w:rPr>
            </w:pPr>
          </w:p>
        </w:tc>
      </w:tr>
      <w:tr>
        <w:trPr>
          <w:trHeight w:val="142"/>
        </w:trPr>
        <w:tc>
          <w:tcPr>
            <w:tcW w:w="5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320" w:type="dxa"/>
            <w:vAlign w:val="bottom"/>
            <w:gridSpan w:val="6"/>
          </w:tcPr>
          <w:p>
            <w:pPr>
              <w:jc w:val="center"/>
              <w:ind w:left="1072"/>
              <w:spacing w:after="0" w:line="142" w:lineRule="exact"/>
              <w:rPr>
                <w:sz w:val="20"/>
                <w:szCs w:val="20"/>
                <w:color w:val="auto"/>
              </w:rPr>
            </w:pPr>
            <w:r>
              <w:rPr>
                <w:rFonts w:ascii="Arial" w:cs="Arial" w:eastAsia="Arial" w:hAnsi="Arial"/>
                <w:sz w:val="14"/>
                <w:szCs w:val="14"/>
                <w:b w:val="1"/>
                <w:bCs w:val="1"/>
                <w:color w:val="auto"/>
                <w:w w:val="84"/>
              </w:rPr>
              <w:t>(in thousands, except exercise prices)</w:t>
            </w: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2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Warrants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1,058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Ranges of exercise prices of such Options and warrants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2.38 – $10.26</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3.15 – $10.26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 – $12.35</w:t>
            </w:r>
          </w:p>
        </w:tc>
        <w:tc>
          <w:tcPr>
            <w:tcW w:w="20" w:type="dxa"/>
            <w:vAlign w:val="bottom"/>
          </w:tcPr>
          <w:p>
            <w:pPr>
              <w:spacing w:after="0"/>
              <w:rPr>
                <w:sz w:val="18"/>
                <w:szCs w:val="18"/>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 xml:space="preserve">ASC Topic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requires measurement of compensation cost for all stock awards at fair value on date of grant and recognition of compensation over the service period for awards expected to vest.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 period, net of estimated forfeitures. The estimation of stock awards that will ultimately vest requires significant judgment. Actual results, and future changes in estimates, may differ from the Company’s current estimates.</w:t>
      </w:r>
    </w:p>
    <w:p>
      <w:pPr>
        <w:spacing w:after="0" w:line="10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fiscal 2009 and fiscal 2008, the Company recognized total compensation expense of $0.6 million and $3.7 million, respectively, with no corresponding tax benefit. Compensation expense for fiscal 2008 included $1.5 million related to the acceleration of certain options which were repurchased and cancelled by the Company. See Note G for additional information. For fiscal 2007, the Company recognized compensation expense of $2.1 million, or approximately $1.2 million after tax. Of the total compensation expense of $2.1 million, approximately $0.3 million was reflected in discontinued operations.</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total compensation cost related to non-vested awards not yet recognized is approximately $1.0 million which will be expensed, on a straight-line basis, over a weighted average remaining life of 21 months. The total fair value of options vested was $0.2 million for fiscal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Valuation Assumptions for Stock Options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 for grants in fiscal 2008 and 2007. There were no option grants during fiscal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7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FISCAL YEARS ENDED</w:t>
            </w:r>
          </w:p>
        </w:tc>
      </w:tr>
      <w:tr>
        <w:trPr>
          <w:trHeight w:val="142"/>
        </w:trPr>
        <w:tc>
          <w:tcPr>
            <w:tcW w:w="44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4"/>
              </w:rPr>
              <w:t>January 31, 2009</w:t>
            </w:r>
          </w:p>
        </w:tc>
        <w:tc>
          <w:tcPr>
            <w:tcW w:w="440" w:type="dxa"/>
            <w:vAlign w:val="bottom"/>
          </w:tcPr>
          <w:p>
            <w:pPr>
              <w:spacing w:after="0"/>
              <w:rPr>
                <w:sz w:val="12"/>
                <w:szCs w:val="12"/>
                <w:color w:val="auto"/>
              </w:rPr>
            </w:pPr>
          </w:p>
        </w:tc>
        <w:tc>
          <w:tcPr>
            <w:tcW w:w="11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5"/>
              </w:rPr>
              <w:t>February 2, 2008</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360" w:type="dxa"/>
            <w:vAlign w:val="bottom"/>
            <w:gridSpan w:val="2"/>
            <w:shd w:val="clear" w:color="auto" w:fill="CCEEFF"/>
          </w:tcPr>
          <w:p>
            <w:pPr>
              <w:jc w:val="center"/>
              <w:ind w:left="4112"/>
              <w:spacing w:after="0"/>
              <w:rPr>
                <w:sz w:val="20"/>
                <w:szCs w:val="20"/>
                <w:color w:val="auto"/>
              </w:rPr>
            </w:pPr>
            <w:r>
              <w:rPr>
                <w:rFonts w:ascii="Arial" w:cs="Arial" w:eastAsia="Arial" w:hAnsi="Arial"/>
                <w:sz w:val="18"/>
                <w:szCs w:val="18"/>
                <w:color w:val="auto"/>
                <w:w w:val="86"/>
              </w:rPr>
              <w:t>45.0%</w:t>
            </w:r>
          </w:p>
        </w:tc>
        <w:tc>
          <w:tcPr>
            <w:tcW w:w="160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6"/>
              </w:rPr>
              <w:t>40.0%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360" w:type="dxa"/>
            <w:vAlign w:val="bottom"/>
            <w:gridSpan w:val="2"/>
          </w:tcPr>
          <w:p>
            <w:pPr>
              <w:jc w:val="center"/>
              <w:ind w:left="4112"/>
              <w:spacing w:after="0"/>
              <w:rPr>
                <w:sz w:val="20"/>
                <w:szCs w:val="20"/>
                <w:color w:val="auto"/>
              </w:rPr>
            </w:pPr>
            <w:r>
              <w:rPr>
                <w:rFonts w:ascii="Arial" w:cs="Arial" w:eastAsia="Arial" w:hAnsi="Arial"/>
                <w:sz w:val="18"/>
                <w:szCs w:val="18"/>
                <w:color w:val="auto"/>
                <w:w w:val="88"/>
              </w:rPr>
              <w:t>2.39%-3.15%</w:t>
            </w:r>
          </w:p>
        </w:tc>
        <w:tc>
          <w:tcPr>
            <w:tcW w:w="1600" w:type="dxa"/>
            <w:vAlign w:val="bottom"/>
            <w:gridSpan w:val="2"/>
          </w:tcPr>
          <w:p>
            <w:pPr>
              <w:jc w:val="center"/>
              <w:ind w:left="352"/>
              <w:spacing w:after="0"/>
              <w:rPr>
                <w:sz w:val="20"/>
                <w:szCs w:val="20"/>
                <w:color w:val="auto"/>
              </w:rPr>
            </w:pPr>
            <w:r>
              <w:rPr>
                <w:rFonts w:ascii="Arial" w:cs="Arial" w:eastAsia="Arial" w:hAnsi="Arial"/>
                <w:sz w:val="18"/>
                <w:szCs w:val="18"/>
                <w:color w:val="auto"/>
                <w:w w:val="88"/>
              </w:rPr>
              <w:t>4.07%-4.85%</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5360" w:type="dxa"/>
            <w:vAlign w:val="bottom"/>
            <w:gridSpan w:val="2"/>
            <w:shd w:val="clear" w:color="auto" w:fill="CCEEFF"/>
          </w:tcPr>
          <w:p>
            <w:pPr>
              <w:jc w:val="center"/>
              <w:ind w:left="4112"/>
              <w:spacing w:after="0"/>
              <w:rPr>
                <w:sz w:val="20"/>
                <w:szCs w:val="20"/>
                <w:color w:val="auto"/>
              </w:rPr>
            </w:pPr>
            <w:r>
              <w:rPr>
                <w:rFonts w:ascii="Arial" w:cs="Arial" w:eastAsia="Arial" w:hAnsi="Arial"/>
                <w:sz w:val="18"/>
                <w:szCs w:val="18"/>
                <w:color w:val="auto"/>
                <w:w w:val="85"/>
              </w:rPr>
              <w:t>3.0-4.5</w:t>
            </w:r>
          </w:p>
        </w:tc>
        <w:tc>
          <w:tcPr>
            <w:tcW w:w="160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5"/>
              </w:rPr>
              <w:t>2.0-4.5</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Dividend rate</w:t>
            </w:r>
          </w:p>
        </w:tc>
        <w:tc>
          <w:tcPr>
            <w:tcW w:w="4200" w:type="dxa"/>
            <w:vAlign w:val="bottom"/>
          </w:tcPr>
          <w:p>
            <w:pPr>
              <w:spacing w:after="0"/>
              <w:rPr>
                <w:sz w:val="18"/>
                <w:szCs w:val="18"/>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w:t>
            </w:r>
          </w:p>
        </w:tc>
        <w:tc>
          <w:tcPr>
            <w:tcW w:w="5360" w:type="dxa"/>
            <w:vAlign w:val="bottom"/>
            <w:gridSpan w:val="2"/>
            <w:shd w:val="clear" w:color="auto" w:fill="CCEEFF"/>
          </w:tcPr>
          <w:p>
            <w:pPr>
              <w:jc w:val="center"/>
              <w:ind w:left="4112"/>
              <w:spacing w:after="0"/>
              <w:rPr>
                <w:sz w:val="20"/>
                <w:szCs w:val="20"/>
                <w:color w:val="auto"/>
              </w:rPr>
            </w:pPr>
            <w:r>
              <w:rPr>
                <w:rFonts w:ascii="Arial" w:cs="Arial" w:eastAsia="Arial" w:hAnsi="Arial"/>
                <w:sz w:val="18"/>
                <w:szCs w:val="18"/>
                <w:color w:val="auto"/>
                <w:w w:val="88"/>
              </w:rPr>
              <w:t>$1.61</w:t>
            </w:r>
          </w:p>
        </w:tc>
        <w:tc>
          <w:tcPr>
            <w:tcW w:w="160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$3.62</w:t>
            </w:r>
          </w:p>
        </w:tc>
      </w:tr>
      <w:tr>
        <w:trPr>
          <w:trHeight w:val="363"/>
        </w:trPr>
        <w:tc>
          <w:tcPr>
            <w:tcW w:w="4460" w:type="dxa"/>
            <w:vAlign w:val="bottom"/>
          </w:tcPr>
          <w:p>
            <w:pPr>
              <w:spacing w:after="0"/>
              <w:rPr>
                <w:sz w:val="24"/>
                <w:szCs w:val="24"/>
                <w:color w:val="auto"/>
              </w:rPr>
            </w:pPr>
          </w:p>
        </w:tc>
        <w:tc>
          <w:tcPr>
            <w:tcW w:w="4200" w:type="dxa"/>
            <w:vAlign w:val="bottom"/>
          </w:tcPr>
          <w:p>
            <w:pPr>
              <w:jc w:val="right"/>
              <w:ind w:right="2772"/>
              <w:spacing w:after="0"/>
              <w:rPr>
                <w:sz w:val="20"/>
                <w:szCs w:val="20"/>
                <w:color w:val="auto"/>
              </w:rPr>
            </w:pPr>
            <w:r>
              <w:rPr>
                <w:rFonts w:ascii="Arial" w:cs="Arial" w:eastAsia="Arial" w:hAnsi="Arial"/>
                <w:sz w:val="18"/>
                <w:szCs w:val="18"/>
                <w:color w:val="auto"/>
              </w:rPr>
              <w:t>56</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impairment charges in fiscal 2009.</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fiscal 2008, the Company recorded an impairment charge of $5.8 million related to the impairment of its long-lived assets. Approximately $5.0 million of the $5.8 million was for the write-down of assets for the Company’s Rochester Clothing stores and the remaining $0.8 million was for certain underperforming Casual Male XL stores. For fiscal 2007, the Company recorded an impairment charge of $1.4 million related to the Company’s decision to exit its Jared M. operations. The charge of $1.4 million was included as part of discontinued operations for fiscal 2007.</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December 2008, an accounting pronouncement was issued relating to employers’ disclosures about post-retirement benefit plan assets which requires a company, as a plan sponsor, to provide disclosures about plan assets, including categories of plan assets, the nature of concentrations of risk and disclosures about fair value measurements of plan assets (ASC Topic 715). This pronouncement is effective for financial statements issued for fiscal years ending after December 15, 2009. The Company adopted this pronouncement as of January 30, 2010. As this pronouncement relates specifically to disclosures, the adoption had no impact on the Company’s consolidated financial condition, results of operations or cash flows.</w:t>
      </w:r>
    </w:p>
    <w:p>
      <w:pPr>
        <w:spacing w:after="0" w:line="116"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In June 2009, a pronouncement was issued that clarified how a company determines whether an entity, that is insufficiently capitalized or not controlled through voting (or similar rights), should be capitalized (ASC Topic 810). This determination of whether a company is required to consolidate an entity is based on, among other things, an entity’s purpose and design and a company’s ability to direct the activities of the entity that most significantly impact the entity’s economic performance. This pronouncement requires an ongoing reassessment of whether a company is the primary beneficiary of a variable interest entity. This pronouncement also requires additional disclosures about a company’s involvement in variable interest entities and any significant changes in risk exposure due to that involvement. This pronouncement is effective for fiscal years beginning after November 15, 2009. The Company will adopt this pronouncement as of January 31, 2010. This pronouncement is not expected to have any impact on its consolidated financial condition, results of operations or cash flows.</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October 2009, a pronouncement was issued that amended the rules on revenue recognition for multiple-deliverable revenue arrangements. This amendment eliminated the residual method of allocation for multiple-deliverable revenue arrangements, and requires that arrangement consideration be allocated at the inception of an arrangement to all deliverables using the relative selling price method (ASC Topic 605). This pronouncement establishes a selling price hierarchy for determining the selling price of a deliverable, which includes: (1) vendor-specific objective evidence if available, (2) third-party evidence if vendor-specific objective evidence is not available, and (3) estimated selling price if neither vendor-specific nor third-party evidence is available. In addition, this pronouncement expands the disclosure requirements related to a vendor’s multiple-deliverable revenue arrangements. This pronouncement is effective for revenue arrangements entered into or materially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modified in fiscal years beginning after June 15, 2010. The Company will adopt this pronouncement as of January 30, 2011. The Company is currently evaluating the potential impact, if any, of the adoption on its consolidated financial condition, results of operations and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consisted of the following at the dates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January 30,</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88"/>
              </w:rPr>
              <w:t>January 31,</w:t>
            </w:r>
          </w:p>
        </w:tc>
      </w:tr>
      <w:tr>
        <w:trPr>
          <w:trHeight w:val="161"/>
        </w:trPr>
        <w:tc>
          <w:tcPr>
            <w:tcW w:w="9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142"/>
        </w:trPr>
        <w:tc>
          <w:tcPr>
            <w:tcW w:w="9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0" w:type="dxa"/>
            <w:vAlign w:val="bottom"/>
          </w:tcPr>
          <w:p>
            <w:pPr>
              <w:spacing w:after="0"/>
              <w:rPr>
                <w:sz w:val="12"/>
                <w:szCs w:val="12"/>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w w:val="77"/>
              </w:rPr>
              <w:t>thousands)</w:t>
            </w:r>
          </w:p>
        </w:tc>
        <w:tc>
          <w:tcPr>
            <w:tcW w:w="6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37,456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37,787</w:t>
            </w:r>
          </w:p>
        </w:tc>
        <w:tc>
          <w:tcPr>
            <w:tcW w:w="20" w:type="dxa"/>
            <w:vAlign w:val="bottom"/>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12,121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13,121</w:t>
            </w:r>
          </w:p>
        </w:tc>
        <w:tc>
          <w:tcPr>
            <w:tcW w:w="2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24,295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24,572</w:t>
            </w:r>
          </w:p>
        </w:tc>
        <w:tc>
          <w:tcPr>
            <w:tcW w:w="20" w:type="dxa"/>
            <w:vAlign w:val="bottom"/>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Hardware and software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38,922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36,329</w:t>
            </w:r>
          </w:p>
        </w:tc>
        <w:tc>
          <w:tcPr>
            <w:tcW w:w="2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0" w:type="dxa"/>
            <w:vAlign w:val="bottom"/>
          </w:tcPr>
          <w:p>
            <w:pPr>
              <w:spacing w:after="0"/>
              <w:rPr>
                <w:sz w:val="18"/>
                <w:szCs w:val="18"/>
                <w:color w:val="auto"/>
              </w:rPr>
            </w:pPr>
          </w:p>
        </w:tc>
      </w:tr>
      <w:tr>
        <w:trPr>
          <w:trHeight w:val="221"/>
        </w:trPr>
        <w:tc>
          <w:tcPr>
            <w:tcW w:w="9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113,475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112,939</w:t>
            </w:r>
          </w:p>
        </w:tc>
      </w:tr>
      <w:tr>
        <w:trPr>
          <w:trHeight w:val="218"/>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71,587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60,731</w:t>
            </w:r>
          </w:p>
        </w:tc>
        <w:tc>
          <w:tcPr>
            <w:tcW w:w="20" w:type="dxa"/>
            <w:vAlign w:val="bottom"/>
          </w:tcPr>
          <w:p>
            <w:pPr>
              <w:spacing w:after="0"/>
              <w:rPr>
                <w:sz w:val="18"/>
                <w:szCs w:val="18"/>
                <w:color w:val="auto"/>
              </w:rPr>
            </w:pPr>
          </w:p>
        </w:tc>
      </w:tr>
      <w:tr>
        <w:trPr>
          <w:trHeight w:val="222"/>
        </w:trPr>
        <w:tc>
          <w:tcPr>
            <w:tcW w:w="948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41,888</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52,208</w:t>
            </w:r>
          </w:p>
        </w:tc>
        <w:tc>
          <w:tcPr>
            <w:tcW w:w="20" w:type="dxa"/>
            <w:vAlign w:val="bottom"/>
          </w:tcPr>
          <w:p>
            <w:pPr>
              <w:spacing w:after="0"/>
              <w:rPr>
                <w:sz w:val="19"/>
                <w:szCs w:val="19"/>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related to continuing operations for fiscal 2009, 2008 and 2007 was $14.9 million, $16.6 million and $16.9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fiscal 2007 excludes depreciation expense recorded in discontinued operations of $0.2 million.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DEBT OBLIGATIONS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Agreement with Bank of America, N.A.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a credit facility with Bank of America, N.A., most recently amended on December 20, 2007 (the “Credit Facility”).</w:t>
      </w:r>
    </w:p>
    <w:p>
      <w:pPr>
        <w:spacing w:after="0" w:line="17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Credit Facility provides for a total commitment of $110 million comprised of (i) a $100 million revolving credit facility which includes a sublimit of $20 million for commercial and standby letters of credit and a sublimit of up to $15 million for SwingLine Loans and (ii) a $10 million “Last Out” revolving credit facility, which will be subordinate to the $100 million revolving credit facility. If at any time the Company’s Excess Availability Ratio, as defined in the Credit Facility, is less than 50%, the Company’s borrowings must first be made from the “Last Out” revolving credit facility before borrowing from the $100 million revolving credit facility. Borrowings under the Credit Facility bear interest at variable rates based on Bank of America’s prime rate or the London Interbank Offering Rate (“LIBOR”) and vary depending on our levels of excess availability. The maturity date of the Credit Facility is October 29, 2011.</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Company’s obligations under the Credit Facility are secured by a lien on all of its assets. The Credit Facility includes certain covenants and events of default customary for credit facilities of this nature, including change of control provisions and limitations on payment of dividends by the Company. The Company was in compliance with all debt covenants under the Credit Facility at January 30, 2010.</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At January 30, 2010, the Company had borrowings outstanding under the Credit Facility of $3.5 million and outstanding standby letters of credit of $2.5 million and documentary letters of credit of $4.5 million. Unused excess availability at January 30, 2010 was $57.8 million. Average borrowings outstanding under this facility during fiscal 2009 were approximately $32.1 million, resulting in an average unused excess availability of approximately $37.1 million. The Company’s ability to borrow under the Credit Facility is determined using an availability formula based on eligible assets, with increased advance rates based on seasonality.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The fair value of amounts outstanding under the Credit Facility approximates the carrying value at January 30, 2010 and January 31, 2009. At the Company’s option, any portion of the outstanding borrowings can be converted to LIBOR-based contracts; the remainder bears interest based on prime. At January 30, 2010, all of the Company’s outstanding borrowings were prime-based at an interest rate of 3.25%.</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Components of long-term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January 30,</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336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(4,874)</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36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Master Loan and Security Agreement with Banc of America Leasing &amp; Capital, LLC</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On July 20, 2007, the Company entered into a Master Loan and Security Agreement (the “Master Agreement”) with Banc of America Leasing &amp; Capital, LLC (“BALC”) for equipment financing. In conjunction with the Master Agreement, the Company entered into an Equipment Security Note (the “First Secured Note”), whereby it borrowed an aggregate of $17.4 million from BALC. The First Secured Note is due July 20, 2011.</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On January 16, 2008, the Company entered into a second Equipment Security Note (the “Second Secured Note”) pursuant to the same terms and provisions of the Master Agreement, whereby it borrowed an additional $2.1 million. The Second Secured Note is due January 16, 2012.</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Both secured notes accrue interest at a per annum rate of 1.75% plus the rate of interest equal to the 30-day published LIBOR rate. Principal and interest, in arrears, are payable monthly, commencing one month after issuance of such note. The Company is subject to a prepayment penalty on both secured notes equal to 1% of the prepaid principal until the first anniversary of the respective secured note, 0.5% of the prepaid principal from the first day after the first anniversary through the end of the second anniversary and no prepayment penalty thereafter. At January 30, 2010, the outstanding balance of the secured notes was $7.6 million.</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Both notes are secured by a security interest in all of the Company’s rights, title and interest in and to certain equipment. The Master Agreement includes certain debt covenants similar to, and no more restrictive than, those under the Company’s Credit Facility with Bank of America, N.A. The Company was in compliance with all debt covenants under the Master Agreement at January 30,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Long-term debt maturities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Annual maturities of long-term debt for the next five fiscal years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5720" w:type="dxa"/>
            <w:vAlign w:val="bottom"/>
            <w:gridSpan w:val="2"/>
          </w:tcPr>
          <w:p>
            <w:pPr>
              <w:ind w:left="4900"/>
              <w:spacing w:after="0"/>
              <w:rPr>
                <w:sz w:val="20"/>
                <w:szCs w:val="20"/>
                <w:color w:val="auto"/>
              </w:rPr>
            </w:pPr>
            <w:r>
              <w:rPr>
                <w:rFonts w:ascii="Arial" w:cs="Arial" w:eastAsia="Arial" w:hAnsi="Arial"/>
                <w:sz w:val="14"/>
                <w:szCs w:val="14"/>
                <w:b w:val="1"/>
                <w:bCs w:val="1"/>
                <w:color w:val="auto"/>
                <w:w w:val="82"/>
              </w:rPr>
              <w:t>(in thousands)</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Fiscal 2010</w:t>
            </w:r>
          </w:p>
        </w:tc>
        <w:tc>
          <w:tcPr>
            <w:tcW w:w="5160" w:type="dxa"/>
            <w:vAlign w:val="bottom"/>
            <w:shd w:val="clear" w:color="auto" w:fill="CCEEFF"/>
          </w:tcPr>
          <w:p>
            <w:pPr>
              <w:ind w:left="49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8"/>
              </w:rPr>
              <w:t>4,874</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Fiscal 2011</w:t>
            </w:r>
          </w:p>
        </w:tc>
        <w:tc>
          <w:tcPr>
            <w:tcW w:w="5160" w:type="dxa"/>
            <w:vAlign w:val="bottom"/>
          </w:tcPr>
          <w:p>
            <w:pPr>
              <w:spacing w:after="0"/>
              <w:rPr>
                <w:sz w:val="18"/>
                <w:szCs w:val="18"/>
                <w:color w:val="auto"/>
              </w:rPr>
            </w:pPr>
          </w:p>
        </w:tc>
        <w:tc>
          <w:tcPr>
            <w:tcW w:w="560" w:type="dxa"/>
            <w:vAlign w:val="bottom"/>
          </w:tcPr>
          <w:p>
            <w:pPr>
              <w:jc w:val="center"/>
              <w:ind w:left="72"/>
              <w:spacing w:after="0"/>
              <w:rPr>
                <w:sz w:val="20"/>
                <w:szCs w:val="20"/>
                <w:color w:val="auto"/>
              </w:rPr>
            </w:pPr>
            <w:r>
              <w:rPr>
                <w:rFonts w:ascii="Arial" w:cs="Arial" w:eastAsia="Arial" w:hAnsi="Arial"/>
                <w:sz w:val="18"/>
                <w:szCs w:val="18"/>
                <w:color w:val="auto"/>
                <w:w w:val="88"/>
              </w:rPr>
              <w:t>2,702</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Fiscal 2012</w:t>
            </w:r>
          </w:p>
        </w:tc>
        <w:tc>
          <w:tcPr>
            <w:tcW w:w="5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99"/>
              </w:rPr>
              <w: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Fiscal 2013</w:t>
            </w:r>
          </w:p>
        </w:tc>
        <w:tc>
          <w:tcPr>
            <w:tcW w:w="5160" w:type="dxa"/>
            <w:vAlign w:val="bottom"/>
          </w:tcPr>
          <w:p>
            <w:pPr>
              <w:spacing w:after="0"/>
              <w:rPr>
                <w:sz w:val="18"/>
                <w:szCs w:val="18"/>
                <w:color w:val="auto"/>
              </w:rPr>
            </w:pPr>
          </w:p>
        </w:tc>
        <w:tc>
          <w:tcPr>
            <w:tcW w:w="560" w:type="dxa"/>
            <w:vAlign w:val="bottom"/>
          </w:tcPr>
          <w:p>
            <w:pPr>
              <w:jc w:val="center"/>
              <w:ind w:left="132"/>
              <w:spacing w:after="0"/>
              <w:rPr>
                <w:sz w:val="20"/>
                <w:szCs w:val="20"/>
                <w:color w:val="auto"/>
              </w:rPr>
            </w:pPr>
            <w:r>
              <w:rPr>
                <w:rFonts w:ascii="Arial" w:cs="Arial" w:eastAsia="Arial" w:hAnsi="Arial"/>
                <w:sz w:val="18"/>
                <w:szCs w:val="18"/>
                <w:color w:val="auto"/>
                <w:w w:val="99"/>
              </w:rPr>
              <w:t>—</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Fiscal 2014</w:t>
            </w:r>
          </w:p>
        </w:tc>
        <w:tc>
          <w:tcPr>
            <w:tcW w:w="5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99"/>
              </w:rPr>
              <w:t>—</w:t>
            </w:r>
          </w:p>
        </w:tc>
      </w:tr>
    </w:tbl>
    <w:p>
      <w:pPr>
        <w:spacing w:after="0" w:line="15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paid interest and fees on all the above described debt obligations totaling $1.4 million, $3.1 million and $4.8 million for fiscal 2009, fiscal 2008 and fiscal 2007,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INCOME TAXES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Under ASC Topic 740, deferred tax assets and liabilities are recognized based on temporary differences between the financial statement and tax basis of assets and liabilities using enacted tax rates in effect in the years in which the differences are expected to reverse. The accounting regulation requires current recognition of net deferred tax assets to the extent it is more likely than not such net assets will be realized. To the extent that the Company believes its net deferred tax assets will not be realized, a valuation allowance must be recorded against those assets.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Realization of the Company’s deferred tax assets, relating principally to federal net operating loss carryforwards, which expire from 2018 through 2029, is dependent on generating sufficient taxable income in the near term. The effect of the weakening economy on the Company’s retail business in fiscal 2008 had a significant impact on the Company’s revenue and profitability. Further, the conditions of the economy also negatively impacted its market value as a result of the deterioration of the capital markets and resulted in substantial impairments which contributed to the operating loss. Accordingly, in the fourth quarter of fiscal 2008, the Company recorded a valuation allowance of $28.6 million against its deferred tax assets.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the Company’s future performance continues to result in overall profitability, the Company will be able to reduce its valuation allowance.</w:t>
      </w:r>
    </w:p>
    <w:p>
      <w:pPr>
        <w:spacing w:after="0" w:line="194"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As of January 30, 2010, the Company had net operating loss carryforwards of $67.0 million for federal income tax purposes and $39.0 million for state income tax purposes that are available to offset future taxable income, subject to certain annual usage limitations, through fiscal year 2029. As a result of the Casual Male acquisition and the issuance of additional equity in fiscal 2002, at January 30, 2010, the utilization of approximately $10.3 million in federal net operating losses is subject to an annual limitation of approximately $4.8 million per year. Additionally, the Company has alternative minimum tax credit carryforwards of $2.3 million, which are available to further reduce income taxes over an indefinite period.</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Included in the net operating loss carryforwards for both federal and state income tax is approximately $4.2 million relating to disqualifying dispositions of incentive stock options, the tax benefit from which, if realized, will be credited to additional paid in capital.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net deferred tax assets as of January 30, 2010 and January 31, 2009 are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January 30,</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Inventory reserves</w:t>
            </w:r>
          </w:p>
        </w:tc>
        <w:tc>
          <w:tcPr>
            <w:tcW w:w="4500" w:type="dxa"/>
            <w:vAlign w:val="bottom"/>
            <w:gridSpan w:val="2"/>
          </w:tcPr>
          <w:p>
            <w:pPr>
              <w:ind w:left="440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w:t>
            </w:r>
          </w:p>
        </w:tc>
        <w:tc>
          <w:tcPr>
            <w:tcW w:w="4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2,933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Gain on sale-leaseback</w:t>
            </w: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9,262</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LPI</w:t>
            </w:r>
          </w:p>
        </w:tc>
        <w:tc>
          <w:tcPr>
            <w:tcW w:w="4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Rabbi trust</w:t>
            </w: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 accruals</w:t>
            </w:r>
          </w:p>
        </w:tc>
        <w:tc>
          <w:tcPr>
            <w:tcW w:w="4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2,778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Net operating loss carryforward</w:t>
            </w: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25,808</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tax credit carryforward</w:t>
            </w:r>
          </w:p>
        </w:tc>
        <w:tc>
          <w:tcPr>
            <w:tcW w:w="4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Unrecognized loss on foreign exchange</w:t>
            </w: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Unrecognized loss on pension</w:t>
            </w:r>
          </w:p>
        </w:tc>
        <w:tc>
          <w:tcPr>
            <w:tcW w:w="4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2,227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Alternative minimum tax credit carryforward</w:t>
            </w: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2,311</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of book over tax depreciation/amortization</w:t>
            </w:r>
          </w:p>
        </w:tc>
        <w:tc>
          <w:tcPr>
            <w:tcW w:w="4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1,596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Goodwill and intangibles</w:t>
            </w: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6,127</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4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55,678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Valuation allowance</w:t>
            </w: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(56,447)</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(59,492)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 (liabilities)</w:t>
            </w:r>
          </w:p>
        </w:tc>
        <w:tc>
          <w:tcPr>
            <w:tcW w:w="4500" w:type="dxa"/>
            <w:vAlign w:val="bottom"/>
            <w:gridSpan w:val="2"/>
            <w:shd w:val="clear" w:color="auto" w:fill="CCEEFF"/>
          </w:tcPr>
          <w:p>
            <w:pPr>
              <w:ind w:left="440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400" w:type="dxa"/>
            <w:vAlign w:val="bottom"/>
            <w:vMerge w:val="restart"/>
          </w:tcPr>
          <w:p>
            <w:pPr>
              <w:jc w:val="right"/>
              <w:ind w:right="3312"/>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from continuing operations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6"/>
              </w:rPr>
              <w:t>FISCAL YEARS ENDED</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30,</w:t>
            </w:r>
          </w:p>
        </w:tc>
        <w:tc>
          <w:tcPr>
            <w:tcW w:w="480" w:type="dxa"/>
            <w:vAlign w:val="bottom"/>
          </w:tcPr>
          <w:p>
            <w:pPr>
              <w:spacing w:after="0"/>
              <w:rPr>
                <w:sz w:val="11"/>
                <w:szCs w:val="11"/>
                <w:color w:val="auto"/>
              </w:rPr>
            </w:pPr>
          </w:p>
        </w:tc>
        <w:tc>
          <w:tcPr>
            <w:tcW w:w="1320" w:type="dxa"/>
            <w:vAlign w:val="bottom"/>
            <w:gridSpan w:val="3"/>
          </w:tcPr>
          <w:p>
            <w:pPr>
              <w:jc w:val="center"/>
              <w:ind w:right="640"/>
              <w:spacing w:after="0" w:line="129" w:lineRule="exact"/>
              <w:rPr>
                <w:sz w:val="20"/>
                <w:szCs w:val="20"/>
                <w:color w:val="auto"/>
              </w:rPr>
            </w:pPr>
            <w:r>
              <w:rPr>
                <w:rFonts w:ascii="Arial" w:cs="Arial" w:eastAsia="Arial" w:hAnsi="Arial"/>
                <w:sz w:val="14"/>
                <w:szCs w:val="14"/>
                <w:b w:val="1"/>
                <w:bCs w:val="1"/>
                <w:color w:val="auto"/>
                <w:w w:val="88"/>
              </w:rPr>
              <w:t>January 31,</w:t>
            </w: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February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2009</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Federal and state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628</w:t>
            </w:r>
          </w:p>
        </w:tc>
        <w:tc>
          <w:tcPr>
            <w:tcW w:w="160" w:type="dxa"/>
            <w:vAlign w:val="bottom"/>
          </w:tcPr>
          <w:p>
            <w:pPr>
              <w:spacing w:after="0"/>
              <w:rPr>
                <w:sz w:val="18"/>
                <w:szCs w:val="18"/>
                <w:color w:val="auto"/>
              </w:rPr>
            </w:pP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246</w:t>
            </w:r>
          </w:p>
        </w:tc>
        <w:tc>
          <w:tcPr>
            <w:tcW w:w="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329</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Federal and state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28,395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28,617</w:t>
            </w:r>
          </w:p>
        </w:tc>
        <w:tc>
          <w:tcPr>
            <w:tcW w:w="6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28,946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vMerge w:val="restart"/>
          </w:tcPr>
          <w:p>
            <w:pPr>
              <w:ind w:left="440"/>
              <w:spacing w:after="0"/>
              <w:rPr>
                <w:sz w:val="20"/>
                <w:szCs w:val="20"/>
                <w:color w:val="auto"/>
              </w:rPr>
            </w:pPr>
            <w:r>
              <w:rPr>
                <w:rFonts w:ascii="Arial" w:cs="Arial" w:eastAsia="Arial" w:hAnsi="Arial"/>
                <w:sz w:val="18"/>
                <w:szCs w:val="18"/>
                <w:color w:val="auto"/>
                <w:w w:val="99"/>
              </w:rPr>
              <w:t>The following is a reconciliation between the statutory and effective income tax rates in dollars: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7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6"/>
              </w:rPr>
              <w:t>FISCAL YEARS ENDED</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30,</w:t>
            </w:r>
          </w:p>
        </w:tc>
        <w:tc>
          <w:tcPr>
            <w:tcW w:w="480" w:type="dxa"/>
            <w:vAlign w:val="bottom"/>
          </w:tcPr>
          <w:p>
            <w:pPr>
              <w:spacing w:after="0"/>
              <w:rPr>
                <w:sz w:val="11"/>
                <w:szCs w:val="11"/>
                <w:color w:val="auto"/>
              </w:rPr>
            </w:pPr>
          </w:p>
        </w:tc>
        <w:tc>
          <w:tcPr>
            <w:tcW w:w="1320" w:type="dxa"/>
            <w:vAlign w:val="bottom"/>
            <w:gridSpan w:val="3"/>
          </w:tcPr>
          <w:p>
            <w:pPr>
              <w:jc w:val="center"/>
              <w:ind w:right="640"/>
              <w:spacing w:after="0" w:line="129" w:lineRule="exact"/>
              <w:rPr>
                <w:sz w:val="20"/>
                <w:szCs w:val="20"/>
                <w:color w:val="auto"/>
              </w:rPr>
            </w:pPr>
            <w:r>
              <w:rPr>
                <w:rFonts w:ascii="Arial" w:cs="Arial" w:eastAsia="Arial" w:hAnsi="Arial"/>
                <w:sz w:val="14"/>
                <w:szCs w:val="14"/>
                <w:b w:val="1"/>
                <w:bCs w:val="1"/>
                <w:color w:val="auto"/>
                <w:w w:val="88"/>
              </w:rPr>
              <w:t>January 31,</w:t>
            </w: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February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2009</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at the statutory rate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6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 (28,109)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State income and other taxes, net of federal tax benefit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(2,357)</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Repurchase and cancellation of stock options</w:t>
            </w:r>
          </w:p>
        </w:tc>
        <w:tc>
          <w:tcPr>
            <w:tcW w:w="1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1,975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Charge/(income) for valuation allowance </w:t>
            </w:r>
            <w:r>
              <w:rPr>
                <w:rFonts w:ascii="Arial" w:cs="Arial" w:eastAsia="Arial" w:hAnsi="Arial"/>
                <w:sz w:val="11"/>
                <w:szCs w:val="11"/>
                <w:color w:val="auto"/>
              </w:rPr>
              <w:t>(1)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56,838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 from continuing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28,946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fiscal 2008, approximately $1.4 million of the $58.2 million increase in valuation allowance was charged to Accumulated Other Comprehensive Loss for increase in unrecognized pension losses and therefore did not affect the income tax provision.</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made tax payments of $0.2 million, $0.2 million and $2.1 million for fiscal years 2009, 2008 and 2007,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COMMITMENTS AND CONTINGENCIES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At January 30, 2010, the Company was obligated under operating leases covering store and office space, automobiles and certain equipment for future minimum rentals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160" w:type="dxa"/>
            <w:vAlign w:val="bottom"/>
            <w:vMerge w:val="continue"/>
          </w:tcPr>
          <w:p>
            <w:pPr>
              <w:spacing w:after="0"/>
              <w:rPr>
                <w:sz w:val="12"/>
                <w:szCs w:val="12"/>
                <w:color w:val="auto"/>
              </w:rPr>
            </w:pPr>
          </w:p>
        </w:tc>
        <w:tc>
          <w:tcPr>
            <w:tcW w:w="65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2010</w:t>
            </w:r>
          </w:p>
        </w:tc>
        <w:tc>
          <w:tcPr>
            <w:tcW w:w="6660" w:type="dxa"/>
            <w:vAlign w:val="bottom"/>
            <w:gridSpan w:val="2"/>
            <w:shd w:val="clear" w:color="auto" w:fill="CCEEFF"/>
          </w:tcPr>
          <w:p>
            <w:pPr>
              <w:ind w:left="65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440"/>
              <w:spacing w:after="0"/>
              <w:rPr>
                <w:sz w:val="20"/>
                <w:szCs w:val="20"/>
                <w:color w:val="auto"/>
              </w:rPr>
            </w:pPr>
            <w:r>
              <w:rPr>
                <w:rFonts w:ascii="Arial" w:cs="Arial" w:eastAsia="Arial" w:hAnsi="Arial"/>
                <w:sz w:val="18"/>
                <w:szCs w:val="18"/>
                <w:color w:val="auto"/>
              </w:rPr>
              <w:t>2011</w:t>
            </w:r>
          </w:p>
        </w:tc>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2012</w:t>
            </w:r>
          </w:p>
        </w:tc>
        <w:tc>
          <w:tcPr>
            <w:tcW w:w="6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440"/>
              <w:spacing w:after="0"/>
              <w:rPr>
                <w:sz w:val="20"/>
                <w:szCs w:val="20"/>
                <w:color w:val="auto"/>
              </w:rPr>
            </w:pPr>
            <w:r>
              <w:rPr>
                <w:rFonts w:ascii="Arial" w:cs="Arial" w:eastAsia="Arial" w:hAnsi="Arial"/>
                <w:sz w:val="18"/>
                <w:szCs w:val="18"/>
                <w:color w:val="auto"/>
              </w:rPr>
              <w:t>2013</w:t>
            </w:r>
          </w:p>
        </w:tc>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2014</w:t>
            </w:r>
          </w:p>
        </w:tc>
        <w:tc>
          <w:tcPr>
            <w:tcW w:w="6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60" w:type="dxa"/>
            <w:vAlign w:val="bottom"/>
          </w:tcPr>
          <w:p>
            <w:pPr>
              <w:ind w:left="440"/>
              <w:spacing w:after="0"/>
              <w:rPr>
                <w:sz w:val="20"/>
                <w:szCs w:val="20"/>
                <w:color w:val="auto"/>
              </w:rPr>
            </w:pPr>
            <w:r>
              <w:rPr>
                <w:rFonts w:ascii="Arial" w:cs="Arial" w:eastAsia="Arial" w:hAnsi="Arial"/>
                <w:sz w:val="18"/>
                <w:szCs w:val="18"/>
                <w:color w:val="auto"/>
              </w:rPr>
              <w:t>Thereafter</w:t>
            </w:r>
          </w:p>
        </w:tc>
        <w:tc>
          <w:tcPr>
            <w:tcW w:w="6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ind w:left="65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6520" w:type="dxa"/>
            <w:vAlign w:val="bottom"/>
            <w:vMerge w:val="restart"/>
          </w:tcPr>
          <w:p>
            <w:pPr>
              <w:jc w:val="right"/>
              <w:ind w:right="4252"/>
              <w:spacing w:after="0"/>
              <w:rPr>
                <w:sz w:val="20"/>
                <w:szCs w:val="20"/>
                <w:color w:val="auto"/>
              </w:rPr>
            </w:pPr>
            <w:r>
              <w:rPr>
                <w:rFonts w:ascii="Arial" w:cs="Arial" w:eastAsia="Arial" w:hAnsi="Arial"/>
                <w:sz w:val="18"/>
                <w:szCs w:val="18"/>
                <w:color w:val="auto"/>
              </w:rPr>
              <w:t>61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60" w:type="dxa"/>
            <w:vAlign w:val="bottom"/>
          </w:tcPr>
          <w:p>
            <w:pPr>
              <w:spacing w:after="0"/>
              <w:rPr>
                <w:sz w:val="24"/>
                <w:szCs w:val="24"/>
                <w:color w:val="auto"/>
              </w:rPr>
            </w:pPr>
          </w:p>
        </w:tc>
        <w:tc>
          <w:tcPr>
            <w:tcW w:w="6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future minimum rental payments, many of the store leases include provisions for common area maintenance, mall charges, escalation clauses and additional rents based on a percentage of store sales above designated levels. The store leases are generally five years in length and contain renewal options extending their terms to between 5 and 10 years.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Amounts charged to operations for all occupancy costs, automobile and leased equipment expense were $55.6 million, $55.0 million and $53.0 million for fiscal 2009, fiscal 2008 and fiscal 2007, respectively.</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first quarter of fiscal 2006, as part of a sale-leaseback transaction with a subsidiary of Spirit Finance Corp. (“Spirit”), the Company entered into a twenty-year lease agreement for its corporate headquarters and distribution center whereby the Company agreed to lease the property it sold to Spirit back for an annual rent of $4.6 million. The Company realized a gain of approximately $29.3 million on the sale of this property, which has been deferred and is being amortized over the initial 20 years of the related lease agreement. At the end of the initial term, the Company will have the opportunity to extend the Lease Agreement for six additional successive periods of five years. In addition, on February 1, 2011, the fifth anniversary of the Lease Agreement, and for every fifth anniversary thereafter, the base rent will be subject to a rent increase not to exceed the lesser of 7% or a percentage based on changes in the Consumer Price Index. Accordingly, the Company’s annual rent of $4.6 million will be offset each lease year by $1.5 million related to the amortization of this deferred gain. This lease commitment, excluding the impact of the gain, is included in the above table of expected future minimum rentals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Common Stock</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During the third quarter of fiscal 2009, the Company raised gross proceeds of $13.6 million from the sale of 4.95 million shares of its common stock through a registered direct offering. Offering costs associated with the sale were approximately $1.1 million. The net proceeds of approximately $12.5 million from this offering were used for general corporate purposes, primarily the repayment of indebtedness.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has a Shareholder Rights Agreement, dated as of December 8, 2008, as amended on June 29, 2009 and December 7, 2009 (as amended, the “Rights Agreement”). Pursuant to the Rights Agreement, the Board of Directors authorized and declared a dividend of one preferred stock purchase right (a “Right” and collectively, the “Rights”) for each share of the Company’s common stock outstanding at the close of business of December 8, 2009. Each Right entitles the registered holder to purchase from the Company one one-thousandth of a share of Series A Junior Participating Preferred Stock, par value $0.01 per share, at a purchase price of $5.00 per share, subject to adjustment.</w:t>
      </w:r>
    </w:p>
    <w:p>
      <w:pPr>
        <w:spacing w:after="0" w:line="11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Initially, these Rights are not exercisable and will trade with the shares of the Company’s common stock. The Rights will become exercisable in accordance with the terms of the Rights Agreement in the event that any person or group of associated persons is deemed an “Acquiring Person” within the definition of the Rights Agreement. The Rights will expire at 12:00 midnight at the end of the day June 1, 2010, unless earlier redeemed or exchanged by the Company.</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Performance Share Bonus Plan</w:t>
      </w:r>
    </w:p>
    <w:p>
      <w:pPr>
        <w:spacing w:after="0" w:line="90"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On May 1, 2008, the Company adopted its Long-Term Incentive Plan for which certain key members of senior management are eligible to participate. Pursuant to the plan, if the Company achieves EBITDA and operating margin percent targets (collectively the “Metrics”) as set each year by the Company’s Board of Directors, each participant in the plan will be entitled to receive an award (depending on the target level achieved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for each Metric) of the participant’s “target cash value” which is defined as the participant’s respective actual annual base salary (which is a blend of salary plus any salary adjustments made during the course of the relevant fiscal year) multiplied by the long-term incentive program percentage in such participant’s employment agreement. The Company did not achieve the Metrics for fiscal 2008 and accordingly, no awards were issued.</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fiscal 2009, the minimum threshold to receive an award was achievement of 80% of each Metric and the maximum award was capped at 150% of the target level for each Metric. Awards are payable, based on the irrevocable election of each participant, in either cash, stock options and/or restricted shares or any combination thereof. Based on the operating results for fiscal 2009, the Company will grant an award of 125%, which approximates a total payout of $4.2 million, and will vest ratably through fiscal 2013. Since the awards contain a performance feature that is forfeited if not achieved and the targets for fiscal 2009 were authorized and approved by the Board of Directors in May 2009, the service inception date precedes the grant date, and therefore, the Company recognized compensation expense of $755,000 of the $4.2 million in fiscal 2009.</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Certain participants elected to receive their award in restricted shares and stock options in lieu of cash. Accordingly, subsequent to January 30, 2010, the Compensation Committee of the Board of Directors is expected to approve the granting of approximately 250,000 shares of restricted stock and stock options to purchase approximately 16,000 shares of common stock. The actual number of awards will not be determinable until the actual date of grant. The awards will vest ratably over three years, with the first one-third vesting on the first anniversary of the date of grant.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STOCK OPTIONS AND RESTRICTED STOCK</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has one share-based compensation plan, the 2006 Incentive Compensation Plan (as amended, the “2006 Plan”). Grants still remain outstanding under the Company’s previous 1992 Stock Incentive Plan (the “1992 Plan”); however, as a result of the adoption of the 2006 Plan, no further grants can be made under the 1992 Plan.</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 terms of the 2006 Plan, up to 3,250,000 shares of common stock were available for the granting of awards; provided, however, that the maximum number of shares available for the granting of awards other than stock options and stock appreciation rights, or SARs, cannot exceed 1,250,000 shares. The terms of the 2006 Plan provide for grants of stock options, SARs, restricted stock, deferred stock, other stock-related awards and performance awards that may be settled in cash, stock or other property.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2006 Plan is administered by the Compensation Committee, all of the members of which are non-employee directors who qualify as independent under the listing standards of the Nasdaq Global Select Market. The Compensation Committee makes all determinations with respect to amounts and conditions covering awards. Options are not granted at a price less than fair value on the date of the grant. Options granted to employees and executives typically vest over three years and options granted to non-employee directors vest over two years. Generally, options expire ten years from the date of grant; however, in fiscal 2008, the Company granted to Messrs. Levin and Hernreich options with a maturity date limited to 4 years.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Repurchase and Cancellation of Options</w:t>
      </w:r>
    </w:p>
    <w:p>
      <w:pPr>
        <w:spacing w:after="0" w:line="90"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In the fourth quarter of fiscal 2008, the Board of Directors approved the repurchase of certain stock options with exercise prices significantly in excess of market price from certain directors and executive officers. The Company repurchased and cancelled the eligible options in exchange for cash payments equal to the fair value of the applicable options on the date of repurchase, as determined using Black-Scholes. The Black-Scholes value of each option repurchased was calculated based upon the closing stock price of the Company’s common stock on January 29, 2009.</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repurchased options with underlying shares totaling 2,291,512 for an aggregate purchase price of $7,192. These options had exercise prices ranging from $4.54 to $12.35 per share. Of the 2,291,512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shares underlying the repurchased and cancelled options, options covering 1,246,004 shares were issued under the 2006 Plan and, in accordance with the terms of the 2006 Plan, became available for future issuance under the 2006 Plan. In connection with the one-time repurchase and cancellation of these options, the Company recognized additional stock compensation expense of approximately $1.5 million in the fourth quarter of fiscal 2008 related to the acceleration of vesting. The Company has no intention of repurchasing any options in the future, nor has any options been repurchased prior to this event.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2006 Plan—Stock Option and Restricted Share Award Activity</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under the 2006 Plan for fiscal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94"/>
              </w:rPr>
              <w:t>average</w:t>
            </w: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0"/>
              </w:rPr>
              <w:t>Exercise</w:t>
            </w: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average</w:t>
            </w: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Number</w:t>
            </w:r>
          </w:p>
        </w:tc>
        <w:tc>
          <w:tcPr>
            <w:tcW w:w="66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per</w:t>
            </w: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Remaining</w:t>
            </w:r>
          </w:p>
        </w:tc>
        <w:tc>
          <w:tcPr>
            <w:tcW w:w="6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1"/>
        </w:trPr>
        <w:tc>
          <w:tcPr>
            <w:tcW w:w="6660" w:type="dxa"/>
            <w:vAlign w:val="bottom"/>
            <w:gridSpan w:val="3"/>
          </w:tcPr>
          <w:p>
            <w:pPr>
              <w:spacing w:after="0"/>
              <w:rPr>
                <w:sz w:val="20"/>
                <w:szCs w:val="20"/>
                <w:color w:val="auto"/>
              </w:rPr>
            </w:pPr>
            <w:r>
              <w:rPr>
                <w:rFonts w:ascii="Arial" w:cs="Arial" w:eastAsia="Arial" w:hAnsi="Arial"/>
                <w:sz w:val="14"/>
                <w:szCs w:val="14"/>
                <w:b w:val="1"/>
                <w:bCs w:val="1"/>
                <w:color w:val="auto"/>
              </w:rPr>
              <w:t>Stock Options</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4"/>
              </w:rPr>
              <w:t>of Shares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Option</w:t>
            </w:r>
          </w:p>
        </w:tc>
        <w:tc>
          <w:tcPr>
            <w:tcW w:w="16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Contractual Term</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Value (1)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options at beginning of year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690,000</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4.75</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1.48</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options at end of year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670,000</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4.72</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 years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Vested and expected to vest at end of year</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665,200</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4.71</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4.7 years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163,341</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5.06</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 years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6" w:lineRule="exact"/>
        <w:rPr>
          <w:sz w:val="20"/>
          <w:szCs w:val="20"/>
          <w:color w:val="auto"/>
        </w:rPr>
      </w:pPr>
    </w:p>
    <w:p>
      <w:pPr>
        <w:ind w:left="460" w:right="2580" w:hanging="452"/>
        <w:spacing w:after="0" w:line="456" w:lineRule="auto"/>
        <w:tabs>
          <w:tab w:leader="none" w:pos="4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was no aggregate intrinsic value at January 31, 2009 due to the fact that all outstanding options were underwater. There were no option exercises under the 2006 Plan during the past three fiscal years.</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Share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for non-vested shares (“restricted shares”) under the 2006 Plan for fiscal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138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1"/>
        </w:trPr>
        <w:tc>
          <w:tcPr>
            <w:tcW w:w="9440" w:type="dxa"/>
            <w:vAlign w:val="bottom"/>
            <w:gridSpan w:val="3"/>
          </w:tcPr>
          <w:p>
            <w:pPr>
              <w:spacing w:after="0"/>
              <w:rPr>
                <w:sz w:val="20"/>
                <w:szCs w:val="20"/>
                <w:color w:val="auto"/>
              </w:rPr>
            </w:pPr>
            <w:r>
              <w:rPr>
                <w:rFonts w:ascii="Arial" w:cs="Arial" w:eastAsia="Arial" w:hAnsi="Arial"/>
                <w:sz w:val="14"/>
                <w:szCs w:val="14"/>
                <w:b w:val="1"/>
                <w:bCs w:val="1"/>
                <w:color w:val="auto"/>
              </w:rPr>
              <w:t>Restricted Shares</w:t>
            </w:r>
          </w:p>
        </w:tc>
        <w:tc>
          <w:tcPr>
            <w:tcW w:w="13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4"/>
              </w:rPr>
              <w:t>of Shares</w:t>
            </w:r>
          </w:p>
        </w:tc>
        <w:tc>
          <w:tcPr>
            <w:tcW w:w="100" w:type="dxa"/>
            <w:vAlign w:val="bottom"/>
          </w:tcPr>
          <w:p>
            <w:pPr>
              <w:spacing w:after="0"/>
              <w:rPr>
                <w:sz w:val="14"/>
                <w:szCs w:val="14"/>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shares outstanding at beginning of year</w:t>
            </w:r>
          </w:p>
        </w:tc>
        <w:tc>
          <w:tcPr>
            <w:tcW w:w="1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Restricted shares granted</w:t>
            </w: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w w:val="86"/>
              </w:rPr>
              <w:t>672,500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1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Restricted shares canceled</w:t>
            </w: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57,500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shares exercised</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40" w:type="dxa"/>
            <w:vAlign w:val="bottom"/>
            <w:gridSpan w:val="3"/>
          </w:tcPr>
          <w:p>
            <w:pPr>
              <w:spacing w:after="0"/>
              <w:rPr>
                <w:sz w:val="20"/>
                <w:szCs w:val="20"/>
                <w:color w:val="auto"/>
              </w:rPr>
            </w:pPr>
            <w:r>
              <w:rPr>
                <w:rFonts w:ascii="Arial" w:cs="Arial" w:eastAsia="Arial" w:hAnsi="Arial"/>
                <w:sz w:val="18"/>
                <w:szCs w:val="18"/>
                <w:color w:val="auto"/>
              </w:rPr>
              <w:t>Restricted shares outstanding at end of year</w:t>
            </w: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w w:val="86"/>
              </w:rPr>
              <w:t>615,000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Approximately $0.6 million of the total unrecognized stock compensation cost of $1.0 million is related to restricted shares at January 30, 2010. The cost of the $0.6 million is expected to be recognized over a weighted-average period of 27.5 months.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Share Availability Under the 2006 Plan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January 30, 2010, the Company has 1,881,387 shares available for future grant under the 2006 Plan. Of this amount, 551,387 shares remain available for awards other than options and stock appreciation rights. See Note F, Equity, above for a further discussion of potential grants subsequent to January 30, 2010 as it relates to the Company’s Long-Term Incentive Plan.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1992 Plan—Stock Option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under the 1992 Plan for fiscal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average</w:t>
            </w:r>
          </w:p>
        </w:tc>
        <w:tc>
          <w:tcPr>
            <w:tcW w:w="17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Weighted-</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Exercise</w:t>
            </w:r>
          </w:p>
        </w:tc>
        <w:tc>
          <w:tcPr>
            <w:tcW w:w="17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per</w:t>
            </w:r>
          </w:p>
        </w:tc>
        <w:tc>
          <w:tcPr>
            <w:tcW w:w="17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Remaining</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4720" w:type="dxa"/>
            <w:vAlign w:val="bottom"/>
            <w:gridSpan w:val="3"/>
          </w:tcPr>
          <w:p>
            <w:pPr>
              <w:spacing w:after="0"/>
              <w:rPr>
                <w:sz w:val="20"/>
                <w:szCs w:val="20"/>
                <w:color w:val="auto"/>
              </w:rPr>
            </w:pPr>
            <w:r>
              <w:rPr>
                <w:rFonts w:ascii="Arial" w:cs="Arial" w:eastAsia="Arial" w:hAnsi="Arial"/>
                <w:sz w:val="14"/>
                <w:szCs w:val="14"/>
                <w:b w:val="1"/>
                <w:bCs w:val="1"/>
                <w:color w:val="auto"/>
              </w:rPr>
              <w:t>Stock Options</w:t>
            </w:r>
          </w:p>
        </w:tc>
        <w:tc>
          <w:tcPr>
            <w:tcW w:w="178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of 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8"/>
              </w:rPr>
              <w:t>Option</w:t>
            </w:r>
          </w:p>
        </w:tc>
        <w:tc>
          <w:tcPr>
            <w:tcW w:w="17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7"/>
              </w:rPr>
              <w:t>Contractual Term</w:t>
            </w: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2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2,141,925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5.54</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17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2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9.41</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17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127,500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1.22</w:t>
            </w: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1,999,425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5.78</w:t>
            </w: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 years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$ 70,219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Vested and expected to vest at end of year</w:t>
            </w:r>
          </w:p>
        </w:tc>
        <w:tc>
          <w:tcPr>
            <w:tcW w:w="2820" w:type="dxa"/>
            <w:vAlign w:val="bottom"/>
            <w:gridSpan w:val="3"/>
          </w:tcPr>
          <w:p>
            <w:pPr>
              <w:jc w:val="right"/>
              <w:ind w:right="340"/>
              <w:spacing w:after="0"/>
              <w:rPr>
                <w:sz w:val="20"/>
                <w:szCs w:val="20"/>
                <w:color w:val="auto"/>
              </w:rPr>
            </w:pPr>
            <w:r>
              <w:rPr>
                <w:rFonts w:ascii="Arial" w:cs="Arial" w:eastAsia="Arial" w:hAnsi="Arial"/>
                <w:sz w:val="18"/>
                <w:szCs w:val="18"/>
                <w:color w:val="auto"/>
              </w:rPr>
              <w:t>1,999,425</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5.78</w:t>
            </w: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3.6 years</w:t>
            </w:r>
          </w:p>
        </w:tc>
        <w:tc>
          <w:tcPr>
            <w:tcW w:w="600" w:type="dxa"/>
            <w:vAlign w:val="bottom"/>
          </w:tcPr>
          <w:p>
            <w:pPr>
              <w:jc w:val="center"/>
              <w:spacing w:after="0"/>
              <w:rPr>
                <w:sz w:val="20"/>
                <w:szCs w:val="20"/>
                <w:color w:val="auto"/>
              </w:rPr>
            </w:pPr>
            <w:r>
              <w:rPr>
                <w:rFonts w:ascii="Arial" w:cs="Arial" w:eastAsia="Arial" w:hAnsi="Arial"/>
                <w:sz w:val="18"/>
                <w:szCs w:val="18"/>
                <w:color w:val="auto"/>
                <w:w w:val="85"/>
              </w:rPr>
              <w:t>$ 70,219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2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1,999,425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5.78</w:t>
            </w: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 years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$ 70,219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intrinsic value of options exercised was $0.3 million for fiscal 2009 and $1.7 million for fiscal 2007. There were no option exercises during fiscal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Options granted outside of the Company’s 1992 Plan and 2006 Plan</w:t>
      </w:r>
    </w:p>
    <w:p>
      <w:pPr>
        <w:spacing w:after="0" w:line="90"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Below is a summary of options granted outside of the Company’s 1992 Plan and 2006 Plan. These outstanding options represent options which were granted to consultants of the Company prior to August 2003 and options granted to its executives, prior to fiscal 2004, in excess of the 1992 Plan’s annual maximum grant of 500,000.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5"/>
              </w:rPr>
              <w:t>Weighted-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66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Weighted-</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Exercise</w:t>
            </w:r>
          </w:p>
        </w:tc>
        <w:tc>
          <w:tcPr>
            <w:tcW w:w="66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average</w:t>
            </w:r>
          </w:p>
        </w:tc>
        <w:tc>
          <w:tcPr>
            <w:tcW w:w="3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price per</w:t>
            </w:r>
          </w:p>
        </w:tc>
        <w:tc>
          <w:tcPr>
            <w:tcW w:w="66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Remaining</w:t>
            </w:r>
          </w:p>
        </w:tc>
        <w:tc>
          <w:tcPr>
            <w:tcW w:w="3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6380" w:type="dxa"/>
            <w:vAlign w:val="bottom"/>
            <w:gridSpan w:val="3"/>
          </w:tcPr>
          <w:p>
            <w:pPr>
              <w:spacing w:after="0"/>
              <w:rPr>
                <w:sz w:val="20"/>
                <w:szCs w:val="20"/>
                <w:color w:val="auto"/>
              </w:rPr>
            </w:pPr>
            <w:r>
              <w:rPr>
                <w:rFonts w:ascii="Arial" w:cs="Arial" w:eastAsia="Arial" w:hAnsi="Arial"/>
                <w:sz w:val="14"/>
                <w:szCs w:val="14"/>
                <w:b w:val="1"/>
                <w:bCs w:val="1"/>
                <w:color w:val="auto"/>
              </w:rPr>
              <w:t>Stock Options</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of Shares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5"/>
              <w:spacing w:after="0"/>
              <w:rPr>
                <w:sz w:val="20"/>
                <w:szCs w:val="20"/>
                <w:color w:val="auto"/>
              </w:rPr>
            </w:pPr>
            <w:r>
              <w:rPr>
                <w:rFonts w:ascii="Arial" w:cs="Arial" w:eastAsia="Arial" w:hAnsi="Arial"/>
                <w:sz w:val="14"/>
                <w:szCs w:val="14"/>
                <w:b w:val="1"/>
                <w:bCs w:val="1"/>
                <w:color w:val="auto"/>
                <w:w w:val="84"/>
              </w:rPr>
              <w:t>Option</w:t>
            </w:r>
          </w:p>
        </w:tc>
        <w:tc>
          <w:tcPr>
            <w:tcW w:w="66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7"/>
              </w:rPr>
              <w:t>Contractual Term</w:t>
            </w:r>
          </w:p>
        </w:tc>
        <w:tc>
          <w:tcPr>
            <w:tcW w:w="340" w:type="dxa"/>
            <w:vAlign w:val="bottom"/>
          </w:tcPr>
          <w:p>
            <w:pPr>
              <w:spacing w:after="0"/>
              <w:rPr>
                <w:sz w:val="14"/>
                <w:szCs w:val="14"/>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1,011,126</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26,126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w:t>
            </w: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985,000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 years</w:t>
            </w:r>
          </w:p>
        </w:tc>
        <w:tc>
          <w:tcPr>
            <w:tcW w:w="10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0"/>
              </w:rPr>
              <w:t>$375,563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Vested and expected to vest at end of year</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985,000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3.03</w:t>
            </w:r>
          </w:p>
        </w:tc>
        <w:tc>
          <w:tcPr>
            <w:tcW w:w="66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1.5 years</w:t>
            </w:r>
          </w:p>
        </w:tc>
        <w:tc>
          <w:tcPr>
            <w:tcW w:w="10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$375,563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985,000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 years</w:t>
            </w:r>
          </w:p>
        </w:tc>
        <w:tc>
          <w:tcPr>
            <w:tcW w:w="10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0"/>
              </w:rPr>
              <w:t>$375,563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intrinsic value of options exercised outside of the Company’s 1992 Plan and 2006 Plan was $33,811 for fiscal 2009 and $19,000 for fiscal 2007.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 exercises during fiscal 2008.</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Issuance of Warrants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of the Company’s outstanding warrants for fiscal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5"/>
              </w:rPr>
              <w:t>Weighted-</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740" w:type="dxa"/>
            <w:vAlign w:val="bottom"/>
          </w:tcPr>
          <w:p>
            <w:pPr>
              <w:spacing w:after="0"/>
              <w:rPr>
                <w:sz w:val="12"/>
                <w:szCs w:val="12"/>
                <w:color w:val="auto"/>
              </w:rPr>
            </w:pPr>
          </w:p>
        </w:tc>
        <w:tc>
          <w:tcPr>
            <w:tcW w:w="18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Exercise</w:t>
            </w:r>
          </w:p>
        </w:tc>
        <w:tc>
          <w:tcPr>
            <w:tcW w:w="740" w:type="dxa"/>
            <w:vAlign w:val="bottom"/>
          </w:tcPr>
          <w:p>
            <w:pPr>
              <w:spacing w:after="0"/>
              <w:rPr>
                <w:sz w:val="12"/>
                <w:szCs w:val="12"/>
                <w:color w:val="auto"/>
              </w:rPr>
            </w:pPr>
          </w:p>
        </w:tc>
        <w:tc>
          <w:tcPr>
            <w:tcW w:w="18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average</w:t>
            </w: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4"/>
              </w:rPr>
              <w:t>price per</w:t>
            </w:r>
          </w:p>
        </w:tc>
        <w:tc>
          <w:tcPr>
            <w:tcW w:w="740" w:type="dxa"/>
            <w:vAlign w:val="bottom"/>
          </w:tcPr>
          <w:p>
            <w:pPr>
              <w:spacing w:after="0"/>
              <w:rPr>
                <w:sz w:val="11"/>
                <w:szCs w:val="11"/>
                <w:color w:val="auto"/>
              </w:rPr>
            </w:pPr>
          </w:p>
        </w:tc>
        <w:tc>
          <w:tcPr>
            <w:tcW w:w="1800" w:type="dxa"/>
            <w:vAlign w:val="bottom"/>
            <w:gridSpan w:val="2"/>
          </w:tcPr>
          <w:p>
            <w:pPr>
              <w:jc w:val="center"/>
              <w:ind w:right="740"/>
              <w:spacing w:after="0" w:line="135" w:lineRule="exact"/>
              <w:rPr>
                <w:sz w:val="20"/>
                <w:szCs w:val="20"/>
                <w:color w:val="auto"/>
              </w:rPr>
            </w:pPr>
            <w:r>
              <w:rPr>
                <w:rFonts w:ascii="Arial" w:cs="Arial" w:eastAsia="Arial" w:hAnsi="Arial"/>
                <w:sz w:val="14"/>
                <w:szCs w:val="14"/>
                <w:b w:val="1"/>
                <w:bCs w:val="1"/>
                <w:color w:val="auto"/>
                <w:w w:val="86"/>
              </w:rPr>
              <w:t>Remaining</w:t>
            </w:r>
          </w:p>
        </w:tc>
        <w:tc>
          <w:tcPr>
            <w:tcW w:w="6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6"/>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Warrants</w:t>
            </w:r>
          </w:p>
        </w:tc>
        <w:tc>
          <w:tcPr>
            <w:tcW w:w="164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of Shares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5"/>
              <w:spacing w:after="0"/>
              <w:rPr>
                <w:sz w:val="20"/>
                <w:szCs w:val="20"/>
                <w:color w:val="auto"/>
              </w:rPr>
            </w:pPr>
            <w:r>
              <w:rPr>
                <w:rFonts w:ascii="Arial" w:cs="Arial" w:eastAsia="Arial" w:hAnsi="Arial"/>
                <w:sz w:val="14"/>
                <w:szCs w:val="14"/>
                <w:b w:val="1"/>
                <w:bCs w:val="1"/>
                <w:color w:val="auto"/>
                <w:w w:val="84"/>
              </w:rPr>
              <w:t>Option</w:t>
            </w:r>
          </w:p>
        </w:tc>
        <w:tc>
          <w:tcPr>
            <w:tcW w:w="740" w:type="dxa"/>
            <w:vAlign w:val="bottom"/>
          </w:tcPr>
          <w:p>
            <w:pPr>
              <w:spacing w:after="0"/>
              <w:rPr>
                <w:sz w:val="15"/>
                <w:szCs w:val="15"/>
                <w:color w:val="auto"/>
              </w:rPr>
            </w:pPr>
          </w:p>
        </w:tc>
        <w:tc>
          <w:tcPr>
            <w:tcW w:w="18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7"/>
              </w:rPr>
              <w:t>Contractual Term</w:t>
            </w:r>
          </w:p>
        </w:tc>
        <w:tc>
          <w:tcPr>
            <w:tcW w:w="600" w:type="dxa"/>
            <w:vAlign w:val="bottom"/>
            <w:gridSpan w:val="2"/>
          </w:tcPr>
          <w:p>
            <w:pPr>
              <w:ind w:left="60"/>
              <w:spacing w:after="0" w:line="176" w:lineRule="exact"/>
              <w:rPr>
                <w:sz w:val="20"/>
                <w:szCs w:val="20"/>
                <w:color w:val="auto"/>
              </w:rPr>
            </w:pPr>
            <w:r>
              <w:rPr>
                <w:rFonts w:ascii="Arial" w:cs="Arial" w:eastAsia="Arial" w:hAnsi="Arial"/>
                <w:sz w:val="13"/>
                <w:szCs w:val="13"/>
                <w:b w:val="1"/>
                <w:bCs w:val="1"/>
                <w:color w:val="auto"/>
                <w:w w:val="95"/>
              </w:rPr>
              <w:t xml:space="preserve">Value </w:t>
            </w:r>
            <w:r>
              <w:rPr>
                <w:rFonts w:ascii="Arial" w:cs="Arial" w:eastAsia="Arial" w:hAnsi="Arial"/>
                <w:sz w:val="20"/>
                <w:szCs w:val="20"/>
                <w:b w:val="1"/>
                <w:bCs w:val="1"/>
                <w:color w:val="auto"/>
                <w:w w:val="95"/>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outstanding at beginning of year</w:t>
            </w:r>
          </w:p>
        </w:tc>
        <w:tc>
          <w:tcPr>
            <w:tcW w:w="2720" w:type="dxa"/>
            <w:vAlign w:val="bottom"/>
            <w:gridSpan w:val="3"/>
            <w:shd w:val="clear" w:color="auto" w:fill="CCEEFF"/>
          </w:tcPr>
          <w:p>
            <w:pPr>
              <w:jc w:val="center"/>
              <w:ind w:left="1172"/>
              <w:spacing w:after="0"/>
              <w:rPr>
                <w:sz w:val="20"/>
                <w:szCs w:val="20"/>
                <w:color w:val="auto"/>
              </w:rPr>
            </w:pPr>
            <w:r>
              <w:rPr>
                <w:rFonts w:ascii="Arial" w:cs="Arial" w:eastAsia="Arial" w:hAnsi="Arial"/>
                <w:sz w:val="18"/>
                <w:szCs w:val="18"/>
                <w:color w:val="auto"/>
                <w:w w:val="87"/>
              </w:rPr>
              <w:t>1,058,000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Warrants issued</w:t>
            </w:r>
          </w:p>
        </w:tc>
        <w:tc>
          <w:tcPr>
            <w:tcW w:w="164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canceled</w:t>
            </w:r>
          </w:p>
        </w:tc>
        <w:tc>
          <w:tcPr>
            <w:tcW w:w="1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Warrants exercised</w:t>
            </w:r>
          </w:p>
        </w:tc>
        <w:tc>
          <w:tcPr>
            <w:tcW w:w="16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outstanding at end of year</w:t>
            </w:r>
          </w:p>
        </w:tc>
        <w:tc>
          <w:tcPr>
            <w:tcW w:w="2720" w:type="dxa"/>
            <w:vAlign w:val="bottom"/>
            <w:gridSpan w:val="3"/>
            <w:shd w:val="clear" w:color="auto" w:fill="CCEEFF"/>
          </w:tcPr>
          <w:p>
            <w:pPr>
              <w:jc w:val="center"/>
              <w:ind w:left="1172"/>
              <w:spacing w:after="0"/>
              <w:rPr>
                <w:sz w:val="20"/>
                <w:szCs w:val="20"/>
                <w:color w:val="auto"/>
              </w:rPr>
            </w:pPr>
            <w:r>
              <w:rPr>
                <w:rFonts w:ascii="Arial" w:cs="Arial" w:eastAsia="Arial" w:hAnsi="Arial"/>
                <w:sz w:val="18"/>
                <w:szCs w:val="18"/>
                <w:color w:val="auto"/>
                <w:w w:val="87"/>
              </w:rPr>
              <w:t>1,058,000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7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0.8 years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Vested and expected to vest at end of year</w:t>
            </w:r>
          </w:p>
        </w:tc>
        <w:tc>
          <w:tcPr>
            <w:tcW w:w="2720" w:type="dxa"/>
            <w:vAlign w:val="bottom"/>
            <w:gridSpan w:val="3"/>
          </w:tcPr>
          <w:p>
            <w:pPr>
              <w:jc w:val="center"/>
              <w:ind w:left="1172"/>
              <w:spacing w:after="0"/>
              <w:rPr>
                <w:sz w:val="20"/>
                <w:szCs w:val="20"/>
                <w:color w:val="auto"/>
              </w:rPr>
            </w:pPr>
            <w:r>
              <w:rPr>
                <w:rFonts w:ascii="Arial" w:cs="Arial" w:eastAsia="Arial" w:hAnsi="Arial"/>
                <w:sz w:val="18"/>
                <w:szCs w:val="18"/>
                <w:color w:val="auto"/>
                <w:w w:val="87"/>
              </w:rPr>
              <w:t>1,058,000</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6.36</w:t>
            </w:r>
          </w:p>
        </w:tc>
        <w:tc>
          <w:tcPr>
            <w:tcW w:w="740" w:type="dxa"/>
            <w:vAlign w:val="bottom"/>
          </w:tcPr>
          <w:p>
            <w:pPr>
              <w:spacing w:after="0"/>
              <w:rPr>
                <w:sz w:val="18"/>
                <w:szCs w:val="18"/>
                <w:color w:val="auto"/>
              </w:rPr>
            </w:pPr>
          </w:p>
        </w:tc>
        <w:tc>
          <w:tcPr>
            <w:tcW w:w="1800" w:type="dxa"/>
            <w:vAlign w:val="bottom"/>
            <w:gridSpan w:val="2"/>
          </w:tcPr>
          <w:p>
            <w:pPr>
              <w:jc w:val="right"/>
              <w:ind w:right="760"/>
              <w:spacing w:after="0"/>
              <w:rPr>
                <w:sz w:val="20"/>
                <w:szCs w:val="20"/>
                <w:color w:val="auto"/>
              </w:rPr>
            </w:pPr>
            <w:r>
              <w:rPr>
                <w:rFonts w:ascii="Arial" w:cs="Arial" w:eastAsia="Arial" w:hAnsi="Arial"/>
                <w:sz w:val="18"/>
                <w:szCs w:val="18"/>
                <w:color w:val="auto"/>
              </w:rPr>
              <w:t>0.8 years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exercisable at end of year</w:t>
            </w:r>
          </w:p>
        </w:tc>
        <w:tc>
          <w:tcPr>
            <w:tcW w:w="2720" w:type="dxa"/>
            <w:vAlign w:val="bottom"/>
            <w:gridSpan w:val="3"/>
            <w:shd w:val="clear" w:color="auto" w:fill="CCEEFF"/>
          </w:tcPr>
          <w:p>
            <w:pPr>
              <w:jc w:val="center"/>
              <w:ind w:left="1172"/>
              <w:spacing w:after="0"/>
              <w:rPr>
                <w:sz w:val="20"/>
                <w:szCs w:val="20"/>
                <w:color w:val="auto"/>
              </w:rPr>
            </w:pPr>
            <w:r>
              <w:rPr>
                <w:rFonts w:ascii="Arial" w:cs="Arial" w:eastAsia="Arial" w:hAnsi="Arial"/>
                <w:sz w:val="18"/>
                <w:szCs w:val="18"/>
                <w:color w:val="auto"/>
                <w:w w:val="87"/>
              </w:rPr>
              <w:t>1,058,000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7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0.8 years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2500" w:hanging="5612"/>
        <w:spacing w:after="0" w:line="440" w:lineRule="auto"/>
        <w:tabs>
          <w:tab w:leader="none" w:pos="4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was no aggregate intrinsic value at January 30, 2010 due to the fact that all outstanding warrants were underwater. 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exercises of warrants in fiscal 2009 or fiscal 2008.</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above warrants were issued in connection with two separate private placements of subordinated notes in fiscal 2002 and fiscal 2003. In total, the Company issued warrants to purchase 4,073,871 shares of common stock with a total fair value of $15.2 million at the respective dates of grant. The fair value was reflected as a component of stockholders’ equity as a discount on the debt and was initially amortized over the term of the corresponding debt until the Company prepaid both series of subordinated notes in fiscal 2003 and fiscal 2004, at which time the unamortized value of the warrants was written off.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RELATED PARTIES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Seymour Holtzman and Jewelcor Management, Inc.</w:t>
      </w:r>
    </w:p>
    <w:p>
      <w:pPr>
        <w:spacing w:after="0" w:line="90"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Seymour Holtzman, the Chairman of the Board of Directors of the Company, is compensated by the Company both directly (as an employee of the Company) and indirectly (as the president and chief executive officer and, together with his wife, indirectly, the indirect majority shareholders of Jewelcor Management Inc. (“JMI”)).</w:t>
      </w:r>
    </w:p>
    <w:p>
      <w:pPr>
        <w:spacing w:after="0" w:line="140"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Since October 1999, the Company has had an ongoing consulting agreement with JMI to provide the Company with services as may be agreed upon between JMI and the Company. Mr. Holtzman, who has been the Company’s Chairman of the Board since April 11, 2000, is the beneficial holder of approximately 11.6% of the outstanding common stock of the Company.</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Pursuant to the consulting agreement, which was most recently amended in May 2009, Mr. Holtzman, both directly and indirectly through JMI, receives in aggregate annual consulting and employment compensation of $575,000, payable in cash. The consulting agreement, as amended, is scheduled to expire on April 29,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EMPLOYEE BENEFIT PLANS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The Company accounts for its employee benefit plans in accordance with ASC Topic 715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ASC Topic 715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postretirement plan in the year in which the changes occur.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Noncontributory Pension Plan</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connection with the Casual Male acquisition,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Pension Plan’s funded status at January 30, 2010 and January 31, 2009:</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4"/>
              </w:rPr>
              <w:t>January 30, 2010</w:t>
            </w:r>
          </w:p>
        </w:tc>
        <w:tc>
          <w:tcPr>
            <w:tcW w:w="9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3"/>
              </w:rPr>
              <w:t>(in thousands)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31, 2009</w:t>
            </w: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2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Balance at beginning of period</w:t>
            </w:r>
          </w:p>
        </w:tc>
        <w:tc>
          <w:tcPr>
            <w:tcW w:w="3140" w:type="dxa"/>
            <w:vAlign w:val="bottom"/>
            <w:gridSpan w:val="2"/>
          </w:tcPr>
          <w:p>
            <w:pPr>
              <w:ind w:left="28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12,267</w:t>
            </w:r>
          </w:p>
        </w:tc>
        <w:tc>
          <w:tcPr>
            <w:tcW w:w="8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13,674</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and expenses paid</w:t>
            </w:r>
          </w:p>
        </w:tc>
        <w:tc>
          <w:tcPr>
            <w:tcW w:w="2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Service and interest costs</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w:t>
            </w:r>
          </w:p>
        </w:tc>
        <w:tc>
          <w:tcPr>
            <w:tcW w:w="2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Actuarial (gain) loss</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end of year</w:t>
            </w:r>
          </w:p>
        </w:tc>
        <w:tc>
          <w:tcPr>
            <w:tcW w:w="2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12,267</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Change in fair value of plan assets</w:t>
            </w:r>
          </w:p>
        </w:tc>
        <w:tc>
          <w:tcPr>
            <w:tcW w:w="2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vMerge w:val="continue"/>
          </w:tcPr>
          <w:p>
            <w:pPr>
              <w:spacing w:after="0"/>
              <w:rPr>
                <w:sz w:val="18"/>
                <w:szCs w:val="18"/>
                <w:color w:val="auto"/>
              </w:rPr>
            </w:pP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beginning of period</w:t>
            </w:r>
          </w:p>
        </w:tc>
        <w:tc>
          <w:tcPr>
            <w:tcW w:w="314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9,039</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13,832</w:t>
            </w: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Actual return on plan assets</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Employer contributions</w:t>
            </w:r>
          </w:p>
        </w:tc>
        <w:tc>
          <w:tcPr>
            <w:tcW w:w="2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Settlements</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(1,050)</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and expenses paid</w:t>
            </w:r>
          </w:p>
        </w:tc>
        <w:tc>
          <w:tcPr>
            <w:tcW w:w="2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440"/>
              <w:spacing w:after="0"/>
              <w:rPr>
                <w:sz w:val="20"/>
                <w:szCs w:val="20"/>
                <w:color w:val="auto"/>
              </w:rPr>
            </w:pPr>
            <w:r>
              <w:rPr>
                <w:rFonts w:ascii="Arial" w:cs="Arial" w:eastAsia="Arial" w:hAnsi="Arial"/>
                <w:sz w:val="18"/>
                <w:szCs w:val="18"/>
                <w:color w:val="auto"/>
              </w:rPr>
              <w:t>Balance at end of period</w:t>
            </w:r>
          </w:p>
        </w:tc>
        <w:tc>
          <w:tcPr>
            <w:tcW w:w="2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vMerge w:val="continue"/>
          </w:tcPr>
          <w:p>
            <w:pPr>
              <w:spacing w:after="0"/>
              <w:rPr>
                <w:sz w:val="19"/>
                <w:szCs w:val="19"/>
                <w:color w:val="auto"/>
              </w:rPr>
            </w:pPr>
          </w:p>
        </w:tc>
        <w:tc>
          <w:tcPr>
            <w:tcW w:w="284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9,469</w:t>
            </w:r>
          </w:p>
        </w:tc>
        <w:tc>
          <w:tcPr>
            <w:tcW w:w="8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Funded Status</w:t>
            </w:r>
          </w:p>
        </w:tc>
        <w:tc>
          <w:tcPr>
            <w:tcW w:w="2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Projected benefit obligation</w:t>
            </w:r>
          </w:p>
        </w:tc>
        <w:tc>
          <w:tcPr>
            <w:tcW w:w="3140" w:type="dxa"/>
            <w:vAlign w:val="bottom"/>
            <w:gridSpan w:val="2"/>
          </w:tcPr>
          <w:p>
            <w:pPr>
              <w:ind w:left="28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11,763</w:t>
            </w:r>
          </w:p>
        </w:tc>
        <w:tc>
          <w:tcPr>
            <w:tcW w:w="8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12,267</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Fair value of plan assets</w:t>
            </w:r>
          </w:p>
        </w:tc>
        <w:tc>
          <w:tcPr>
            <w:tcW w:w="28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60" w:type="dxa"/>
            <w:vAlign w:val="bottom"/>
          </w:tcPr>
          <w:p>
            <w:pPr>
              <w:ind w:left="440"/>
              <w:spacing w:after="0"/>
              <w:rPr>
                <w:sz w:val="20"/>
                <w:szCs w:val="20"/>
                <w:color w:val="auto"/>
              </w:rPr>
            </w:pPr>
            <w:r>
              <w:rPr>
                <w:rFonts w:ascii="Arial" w:cs="Arial" w:eastAsia="Arial" w:hAnsi="Arial"/>
                <w:sz w:val="18"/>
                <w:szCs w:val="18"/>
                <w:color w:val="auto"/>
              </w:rPr>
              <w:t>Unfunded Status</w:t>
            </w:r>
          </w:p>
        </w:tc>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(2,294)</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18"/>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Balance Sheet Classification</w:t>
            </w:r>
          </w:p>
        </w:tc>
        <w:tc>
          <w:tcPr>
            <w:tcW w:w="2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tcPr>
          <w:p>
            <w:pPr>
              <w:ind w:left="440"/>
              <w:spacing w:after="0"/>
              <w:rPr>
                <w:sz w:val="20"/>
                <w:szCs w:val="20"/>
                <w:color w:val="auto"/>
              </w:rPr>
            </w:pPr>
            <w:r>
              <w:rPr>
                <w:rFonts w:ascii="Arial" w:cs="Arial" w:eastAsia="Arial" w:hAnsi="Arial"/>
                <w:sz w:val="18"/>
                <w:szCs w:val="18"/>
                <w:color w:val="auto"/>
              </w:rPr>
              <w:t>Other long-term liabilities</w:t>
            </w:r>
          </w:p>
        </w:tc>
        <w:tc>
          <w:tcPr>
            <w:tcW w:w="3140" w:type="dxa"/>
            <w:vAlign w:val="bottom"/>
            <w:gridSpan w:val="2"/>
          </w:tcPr>
          <w:p>
            <w:pPr>
              <w:ind w:left="28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2,294</w:t>
            </w:r>
          </w:p>
        </w:tc>
        <w:tc>
          <w:tcPr>
            <w:tcW w:w="8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plan expense and other amounts recognized in accumulated other comprehensive loss for the year ended January 30, 2010, January 31, 2009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February 2, 2008 include the following components: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January 30, 2010</w:t>
            </w:r>
          </w:p>
        </w:tc>
        <w:tc>
          <w:tcPr>
            <w:tcW w:w="196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31, 2009</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7"/>
              </w:rPr>
              <w:t>February 2,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9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Interest cost on projected benefit obligation</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778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18"/>
                <w:szCs w:val="18"/>
                <w:color w:val="auto"/>
              </w:rPr>
            </w:pPr>
          </w:p>
        </w:tc>
        <w:tc>
          <w:tcPr>
            <w:tcW w:w="1580" w:type="dxa"/>
            <w:vAlign w:val="bottom"/>
            <w:gridSpan w:val="2"/>
          </w:tcPr>
          <w:p>
            <w:pPr>
              <w:jc w:val="right"/>
              <w:ind w:right="860"/>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8"/>
                <w:szCs w:val="18"/>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(1,089)</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loss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311</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2"/>
        </w:trPr>
        <w:tc>
          <w:tcPr>
            <w:tcW w:w="6440" w:type="dxa"/>
            <w:vAlign w:val="bottom"/>
            <w:gridSpan w:val="2"/>
          </w:tcPr>
          <w:p>
            <w:pPr>
              <w:spacing w:after="0"/>
              <w:rPr>
                <w:sz w:val="20"/>
                <w:szCs w:val="20"/>
                <w:color w:val="auto"/>
              </w:rPr>
            </w:pPr>
            <w:r>
              <w:rPr>
                <w:rFonts w:ascii="Arial" w:cs="Arial" w:eastAsia="Arial" w:hAnsi="Arial"/>
                <w:sz w:val="18"/>
                <w:szCs w:val="18"/>
                <w:color w:val="auto"/>
              </w:rPr>
              <w:t>Net pension cost</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9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Other changes recognized in other comprehensive loss, before taxes (</w:t>
            </w:r>
            <w:r>
              <w:rPr>
                <w:rFonts w:ascii="Arial" w:cs="Arial" w:eastAsia="Arial" w:hAnsi="Arial"/>
                <w:sz w:val="18"/>
                <w:szCs w:val="18"/>
                <w:i w:val="1"/>
                <w:iCs w:val="1"/>
                <w:color w:val="auto"/>
              </w:rPr>
              <w:t>in</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thousands</w:t>
            </w: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Unrecognized losses at the beginning of the year</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920"/>
              <w:spacing w:after="0"/>
              <w:rPr>
                <w:sz w:val="20"/>
                <w:szCs w:val="20"/>
                <w:color w:val="auto"/>
              </w:rPr>
            </w:pPr>
            <w:r>
              <w:rPr>
                <w:rFonts w:ascii="Arial" w:cs="Arial" w:eastAsia="Arial" w:hAnsi="Arial"/>
                <w:sz w:val="18"/>
                <w:szCs w:val="18"/>
                <w:color w:val="auto"/>
              </w:rPr>
              <w:t>6,447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960"/>
              <w:spacing w:after="0"/>
              <w:rPr>
                <w:sz w:val="20"/>
                <w:szCs w:val="20"/>
                <w:color w:val="auto"/>
              </w:rPr>
            </w:pPr>
            <w:r>
              <w:rPr>
                <w:rFonts w:ascii="Arial" w:cs="Arial" w:eastAsia="Arial" w:hAnsi="Arial"/>
                <w:sz w:val="18"/>
                <w:szCs w:val="18"/>
                <w:color w:val="auto"/>
              </w:rPr>
              <w:t>3,061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periodic pension cost</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Change in plan assets and benefit obligations, before taxes</w:t>
            </w:r>
          </w:p>
        </w:tc>
        <w:tc>
          <w:tcPr>
            <w:tcW w:w="340" w:type="dxa"/>
            <w:vAlign w:val="bottom"/>
          </w:tcPr>
          <w:p>
            <w:pPr>
              <w:spacing w:after="0"/>
              <w:rPr>
                <w:sz w:val="18"/>
                <w:szCs w:val="18"/>
                <w:color w:val="auto"/>
              </w:rPr>
            </w:pPr>
          </w:p>
        </w:tc>
        <w:tc>
          <w:tcPr>
            <w:tcW w:w="1580" w:type="dxa"/>
            <w:vAlign w:val="bottom"/>
            <w:gridSpan w:val="2"/>
          </w:tcPr>
          <w:p>
            <w:pPr>
              <w:jc w:val="right"/>
              <w:ind w:right="86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8"/>
                <w:szCs w:val="18"/>
                <w:color w:val="auto"/>
              </w:rPr>
            </w:pPr>
          </w:p>
        </w:tc>
        <w:tc>
          <w:tcPr>
            <w:tcW w:w="1860" w:type="dxa"/>
            <w:vAlign w:val="bottom"/>
            <w:gridSpan w:val="2"/>
          </w:tcPr>
          <w:p>
            <w:pPr>
              <w:jc w:val="right"/>
              <w:ind w:right="960"/>
              <w:spacing w:after="0"/>
              <w:rPr>
                <w:sz w:val="20"/>
                <w:szCs w:val="20"/>
                <w:color w:val="auto"/>
              </w:rPr>
            </w:pPr>
            <w:r>
              <w:rPr>
                <w:rFonts w:ascii="Arial" w:cs="Arial" w:eastAsia="Arial" w:hAnsi="Arial"/>
                <w:sz w:val="18"/>
                <w:szCs w:val="18"/>
                <w:color w:val="auto"/>
              </w:rPr>
              <w:t>3,386</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Unrecognized losses at the end of year</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6,447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fiscal 2010, the Company is expecting to make a contribution of $0.5 million to the plan.</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Assumptions used to determine the benefit obligations as of January 30, 2010 and January 31, 2009 include a discount rate of 6.00% for fiscal 2009 and 6.25% for fiscal 2008. Assumptions used to determine the net periodic benefit cost for the years ended January 30, 2010, January 31, 2009 and February 2, 2008 included a discount rate of 6.00% for fiscal 2009, 6.25% for fiscal 2008 and 5.75% for fiscal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expected long term rate of return for both the benefit obligation and the net periodic benefit cost was assumed to be 8.00% for fiscal 2009 and fiscal 2008. The expected long-term rate of return assumption was developed considering historical and future expectations for returns for each asset class.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Estimated Future Benefit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benefits for the next ten fiscal years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77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(in thousands)</w:t>
            </w: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8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2011</w:t>
            </w:r>
          </w:p>
        </w:tc>
        <w:tc>
          <w:tcPr>
            <w:tcW w:w="8600" w:type="dxa"/>
            <w:vAlign w:val="bottom"/>
            <w:gridSpan w:val="2"/>
          </w:tcPr>
          <w:p>
            <w:pPr>
              <w:jc w:val="right"/>
              <w:spacing w:after="0"/>
              <w:rPr>
                <w:sz w:val="20"/>
                <w:szCs w:val="20"/>
                <w:color w:val="auto"/>
              </w:rPr>
            </w:pPr>
            <w:r>
              <w:rPr>
                <w:rFonts w:ascii="Arial" w:cs="Arial" w:eastAsia="Arial" w:hAnsi="Arial"/>
                <w:sz w:val="18"/>
                <w:szCs w:val="18"/>
                <w:color w:val="auto"/>
              </w:rPr>
              <w:t>561</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8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2013</w:t>
            </w:r>
          </w:p>
        </w:tc>
        <w:tc>
          <w:tcPr>
            <w:tcW w:w="8600" w:type="dxa"/>
            <w:vAlign w:val="bottom"/>
            <w:gridSpan w:val="2"/>
          </w:tcPr>
          <w:p>
            <w:pPr>
              <w:jc w:val="right"/>
              <w:spacing w:after="0"/>
              <w:rPr>
                <w:sz w:val="20"/>
                <w:szCs w:val="20"/>
                <w:color w:val="auto"/>
              </w:rPr>
            </w:pPr>
            <w:r>
              <w:rPr>
                <w:rFonts w:ascii="Arial" w:cs="Arial" w:eastAsia="Arial" w:hAnsi="Arial"/>
                <w:sz w:val="18"/>
                <w:szCs w:val="18"/>
                <w:color w:val="auto"/>
              </w:rPr>
              <w:t>671</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8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2015-2019</w:t>
            </w:r>
          </w:p>
        </w:tc>
        <w:tc>
          <w:tcPr>
            <w:tcW w:w="8600" w:type="dxa"/>
            <w:vAlign w:val="bottom"/>
            <w:gridSpan w:val="2"/>
          </w:tcPr>
          <w:p>
            <w:pPr>
              <w:jc w:val="right"/>
              <w:spacing w:after="0"/>
              <w:rPr>
                <w:sz w:val="20"/>
                <w:szCs w:val="20"/>
                <w:color w:val="auto"/>
              </w:rPr>
            </w:pPr>
            <w:r>
              <w:rPr>
                <w:rFonts w:ascii="Arial" w:cs="Arial" w:eastAsia="Arial" w:hAnsi="Arial"/>
                <w:sz w:val="18"/>
                <w:szCs w:val="18"/>
                <w:color w:val="auto"/>
              </w:rPr>
              <w:t>4,269</w:t>
            </w: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Plan Assets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fair values of the Company’s noncontributory defined benefit retirement plan assets at the end of fiscal 2009 consists of Level 1 assets totaling $7.1 million and Level 2 assets of $2.4 million. The following is a description of fair value measurements:</w:t>
      </w:r>
    </w:p>
    <w:p>
      <w:pPr>
        <w:spacing w:after="0" w:line="13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Level 1 – Quoted, active market prices for identical assets. Share prices of the funds, referred to as a fund’s Net Asset Value (“NAV”), are calculated daily based on the closing market prices and accruals of securities in the fund’s total portfolio (total value of the fund) divided by the number of fund shares currently issued and outstanding. Redemptions of the mutual funds occur by contract at the respective fund’s redemption date NAV.</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Level 2 – Observable inputs other than Level 1 prices, based on model-derived valuations in which all significant inputs are observable in active markets. The NAVs of the funds are calculated monthly based on the closing market prices and accruals of securities in the fund’s total portfolio (total value of the fund) divided by the number of fund shares currently issued and outstanding. Redemptions of the mutual funds occur by contract at the respective fund’s redemption date NAV.</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 Unobservable inputs based on the Company’s own assumptions.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Company’s target asset allocation for fiscal 2010 and its asset allocation at January 30, 2010 and January 31, 2009 were as follows, by asset category: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5"/>
              </w:rPr>
              <w:t>Target allocation</w:t>
            </w:r>
          </w:p>
        </w:tc>
        <w:tc>
          <w:tcPr>
            <w:tcW w:w="328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Percentage of plan assets at</w:t>
            </w:r>
          </w:p>
        </w:tc>
        <w:tc>
          <w:tcPr>
            <w:tcW w:w="0" w:type="dxa"/>
            <w:vAlign w:val="bottom"/>
          </w:tcPr>
          <w:p>
            <w:pPr>
              <w:spacing w:after="0"/>
              <w:rPr>
                <w:sz w:val="1"/>
                <w:szCs w:val="1"/>
                <w:color w:val="auto"/>
              </w:rPr>
            </w:pPr>
          </w:p>
        </w:tc>
      </w:tr>
      <w:tr>
        <w:trPr>
          <w:trHeight w:val="142"/>
        </w:trPr>
        <w:tc>
          <w:tcPr>
            <w:tcW w:w="6080" w:type="dxa"/>
            <w:vAlign w:val="bottom"/>
            <w:gridSpan w:val="3"/>
            <w:vMerge w:val="continue"/>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Fiscal 2010</w:t>
            </w:r>
          </w:p>
        </w:tc>
        <w:tc>
          <w:tcPr>
            <w:tcW w:w="1060" w:type="dxa"/>
            <w:vAlign w:val="bottom"/>
          </w:tcPr>
          <w:p>
            <w:pPr>
              <w:spacing w:after="0"/>
              <w:rPr>
                <w:sz w:val="12"/>
                <w:szCs w:val="12"/>
                <w:color w:val="auto"/>
              </w:rPr>
            </w:pPr>
          </w:p>
        </w:tc>
        <w:tc>
          <w:tcPr>
            <w:tcW w:w="2080" w:type="dxa"/>
            <w:vAlign w:val="bottom"/>
            <w:tcBorders>
              <w:top w:val="single" w:sz="8" w:color="auto"/>
            </w:tcBorders>
            <w:gridSpan w:val="2"/>
          </w:tcPr>
          <w:p>
            <w:pPr>
              <w:jc w:val="right"/>
              <w:ind w:right="1080"/>
              <w:spacing w:after="0" w:line="142" w:lineRule="exact"/>
              <w:rPr>
                <w:sz w:val="20"/>
                <w:szCs w:val="20"/>
                <w:color w:val="auto"/>
              </w:rPr>
            </w:pPr>
            <w:r>
              <w:rPr>
                <w:rFonts w:ascii="Arial" w:cs="Arial" w:eastAsia="Arial" w:hAnsi="Arial"/>
                <w:sz w:val="14"/>
                <w:szCs w:val="14"/>
                <w:b w:val="1"/>
                <w:bCs w:val="1"/>
                <w:color w:val="auto"/>
                <w:w w:val="87"/>
              </w:rPr>
              <w:t>January 30, 2010</w:t>
            </w: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January 31, 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70.00%</w:t>
            </w:r>
          </w:p>
        </w:tc>
        <w:tc>
          <w:tcPr>
            <w:tcW w:w="20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51.95%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2060" w:type="dxa"/>
            <w:vAlign w:val="bottom"/>
            <w:gridSpan w:val="2"/>
          </w:tcPr>
          <w:p>
            <w:pPr>
              <w:jc w:val="right"/>
              <w:ind w:right="920"/>
              <w:spacing w:after="0"/>
              <w:rPr>
                <w:sz w:val="20"/>
                <w:szCs w:val="20"/>
                <w:color w:val="auto"/>
              </w:rPr>
            </w:pPr>
            <w:r>
              <w:rPr>
                <w:rFonts w:ascii="Arial" w:cs="Arial" w:eastAsia="Arial" w:hAnsi="Arial"/>
                <w:sz w:val="18"/>
                <w:szCs w:val="18"/>
                <w:color w:val="auto"/>
              </w:rPr>
              <w:t>20.00%</w:t>
            </w:r>
          </w:p>
        </w:tc>
        <w:tc>
          <w:tcPr>
            <w:tcW w:w="2080" w:type="dxa"/>
            <w:vAlign w:val="bottom"/>
            <w:gridSpan w:val="2"/>
          </w:tcPr>
          <w:p>
            <w:pPr>
              <w:jc w:val="right"/>
              <w:ind w:right="940"/>
              <w:spacing w:after="0"/>
              <w:rPr>
                <w:sz w:val="20"/>
                <w:szCs w:val="20"/>
                <w:color w:val="auto"/>
              </w:rPr>
            </w:pPr>
            <w:r>
              <w:rPr>
                <w:rFonts w:ascii="Arial" w:cs="Arial" w:eastAsia="Arial" w:hAnsi="Arial"/>
                <w:sz w:val="18"/>
                <w:szCs w:val="18"/>
                <w:color w:val="auto"/>
              </w:rPr>
              <w:t>30.70%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contracts</w:t>
            </w:r>
          </w:p>
        </w:tc>
        <w:tc>
          <w:tcPr>
            <w:tcW w:w="20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10.00%</w:t>
            </w:r>
          </w:p>
        </w:tc>
        <w:tc>
          <w:tcPr>
            <w:tcW w:w="20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16.91%</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Cash</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2080" w:type="dxa"/>
            <w:vAlign w:val="bottom"/>
            <w:gridSpan w:val="2"/>
          </w:tcPr>
          <w:p>
            <w:pPr>
              <w:jc w:val="right"/>
              <w:ind w:right="940"/>
              <w:spacing w:after="0"/>
              <w:rPr>
                <w:sz w:val="20"/>
                <w:szCs w:val="20"/>
                <w:color w:val="auto"/>
              </w:rPr>
            </w:pPr>
            <w:r>
              <w:rPr>
                <w:rFonts w:ascii="Arial" w:cs="Arial" w:eastAsia="Arial" w:hAnsi="Arial"/>
                <w:sz w:val="18"/>
                <w:szCs w:val="18"/>
                <w:color w:val="auto"/>
              </w:rPr>
              <w:t>0.44%</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100.00%</w:t>
            </w:r>
          </w:p>
        </w:tc>
        <w:tc>
          <w:tcPr>
            <w:tcW w:w="20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100.00%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target policy is set to maximize returns with consideration to the long-term nature of the obligations and maintaining a lower level of overall volatility through the allocation of fixed income. The asset allocation is reviewed throughout the year for adherence to the target policy and is rebalanced periodically towards the target weights.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Supplemental Retirement Plan</w:t>
      </w:r>
    </w:p>
    <w:p>
      <w:pPr>
        <w:spacing w:after="0" w:line="90"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In connection with the Casual Male acquisition, the Company also assumed the liability of the Casual Male Supplemental Retirement Plan (the “Supplemental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Supplemental Plan’s funded status at January 30, 2010 and January 31, 2009:</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30, 2010</w:t>
            </w:r>
          </w:p>
        </w:tc>
        <w:tc>
          <w:tcPr>
            <w:tcW w:w="1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31, 2009</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Balance at beginning of period</w:t>
            </w:r>
          </w:p>
        </w:tc>
        <w:tc>
          <w:tcPr>
            <w:tcW w:w="3160" w:type="dxa"/>
            <w:vAlign w:val="bottom"/>
            <w:gridSpan w:val="2"/>
          </w:tcPr>
          <w:p>
            <w:pPr>
              <w:ind w:left="27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and expenses paid</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Actuarial loss (gain)</w:t>
            </w: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and interest costs</w:t>
            </w:r>
          </w:p>
        </w:tc>
        <w:tc>
          <w:tcPr>
            <w:tcW w:w="27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440"/>
              <w:spacing w:after="0"/>
              <w:rPr>
                <w:sz w:val="20"/>
                <w:szCs w:val="20"/>
                <w:color w:val="auto"/>
              </w:rPr>
            </w:pPr>
            <w:r>
              <w:rPr>
                <w:rFonts w:ascii="Arial" w:cs="Arial" w:eastAsia="Arial" w:hAnsi="Arial"/>
                <w:sz w:val="18"/>
                <w:szCs w:val="18"/>
                <w:color w:val="auto"/>
              </w:rPr>
              <w:t>Balance at end of year</w:t>
            </w:r>
          </w:p>
        </w:tc>
        <w:tc>
          <w:tcPr>
            <w:tcW w:w="3160" w:type="dxa"/>
            <w:vAlign w:val="bottom"/>
            <w:gridSpan w:val="2"/>
          </w:tcPr>
          <w:p>
            <w:pPr>
              <w:ind w:left="27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plan assets</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Balance at beginning of period</w:t>
            </w:r>
          </w:p>
        </w:tc>
        <w:tc>
          <w:tcPr>
            <w:tcW w:w="3160" w:type="dxa"/>
            <w:vAlign w:val="bottom"/>
            <w:gridSpan w:val="2"/>
          </w:tcPr>
          <w:p>
            <w:pPr>
              <w:ind w:left="27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Employer contributions</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5380" w:type="dxa"/>
            <w:vAlign w:val="bottom"/>
          </w:tcPr>
          <w:p>
            <w:pPr>
              <w:ind w:left="440"/>
              <w:spacing w:after="0"/>
              <w:rPr>
                <w:sz w:val="20"/>
                <w:szCs w:val="20"/>
                <w:color w:val="auto"/>
              </w:rPr>
            </w:pPr>
            <w:r>
              <w:rPr>
                <w:rFonts w:ascii="Arial" w:cs="Arial" w:eastAsia="Arial" w:hAnsi="Arial"/>
                <w:sz w:val="18"/>
                <w:szCs w:val="18"/>
                <w:color w:val="auto"/>
              </w:rPr>
              <w:t>Benefits and expenses paid</w:t>
            </w:r>
          </w:p>
        </w:tc>
        <w:tc>
          <w:tcPr>
            <w:tcW w:w="2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end of year</w:t>
            </w:r>
          </w:p>
        </w:tc>
        <w:tc>
          <w:tcPr>
            <w:tcW w:w="278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440"/>
              <w:spacing w:after="0"/>
              <w:rPr>
                <w:sz w:val="20"/>
                <w:szCs w:val="20"/>
                <w:color w:val="auto"/>
              </w:rPr>
            </w:pPr>
            <w:r>
              <w:rPr>
                <w:rFonts w:ascii="Arial" w:cs="Arial" w:eastAsia="Arial" w:hAnsi="Arial"/>
                <w:sz w:val="18"/>
                <w:szCs w:val="18"/>
                <w:color w:val="auto"/>
              </w:rPr>
              <w:t>Projected benefit obligation</w:t>
            </w:r>
          </w:p>
        </w:tc>
        <w:tc>
          <w:tcPr>
            <w:tcW w:w="3160" w:type="dxa"/>
            <w:vAlign w:val="bottom"/>
            <w:gridSpan w:val="2"/>
          </w:tcPr>
          <w:p>
            <w:pPr>
              <w:ind w:left="27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Funded Status</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Projected benefit obligation</w:t>
            </w:r>
          </w:p>
        </w:tc>
        <w:tc>
          <w:tcPr>
            <w:tcW w:w="3160" w:type="dxa"/>
            <w:vAlign w:val="bottom"/>
            <w:gridSpan w:val="2"/>
          </w:tcPr>
          <w:p>
            <w:pPr>
              <w:ind w:left="27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loss</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tcPr>
          <w:p>
            <w:pPr>
              <w:ind w:left="440"/>
              <w:spacing w:after="0"/>
              <w:rPr>
                <w:sz w:val="20"/>
                <w:szCs w:val="20"/>
                <w:color w:val="auto"/>
              </w:rPr>
            </w:pPr>
            <w:r>
              <w:rPr>
                <w:rFonts w:ascii="Arial" w:cs="Arial" w:eastAsia="Arial" w:hAnsi="Arial"/>
                <w:sz w:val="18"/>
                <w:szCs w:val="18"/>
                <w:color w:val="auto"/>
              </w:rPr>
              <w:t>Fair value of plan assets</w:t>
            </w:r>
          </w:p>
        </w:tc>
        <w:tc>
          <w:tcPr>
            <w:tcW w:w="27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Underfunded Status</w:t>
            </w:r>
          </w:p>
        </w:tc>
        <w:tc>
          <w:tcPr>
            <w:tcW w:w="316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Assumptions used to determine the benefit obligations as of January 30, 2010 and January 31, 2009 included a discount rate of 6.00% for fiscal 2009 and 6.25% for fiscal 2008. Assumptions used to determine the net periodic benefit cost for the years ended January 30, 2010, January 31, 2009 and February 2, 2008 included a discount rate of 6.00% for fiscal 2009, 6.25% for fiscal 2008 and 5.75% for fiscal 2007.</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has two defined contribution plans, the Casual Male 401(k) Salaried Plan and the Casual Male 401(k) Hourly plan (the “401(k) Plans”). The 401(k) Plans cover all eligible employees who are at least 21 years of age and have completed the required months of service, which is six months or twelve months depending on the plan. Effective January 1, 2008, the Company adopted the Safe Harbor matching and vesting provisions permitted under the Pension Protection Act of 2006 for its 401(k) Plans. Accordingly, beginning in fiscal 2008, the Company matched 100% of the first 1% of deferred compensation and 50% of the next 5% (with a maximum contribution of 3.5% of eligible compensation).</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May 2009, in connection with our cost reduction initiatives, the Board of Directors voted to cease any further employer contributions to the 401(k) Plan, effective May 31, 2009. As a result of that vote, the Company will no longer be within the safe harbor; accordingly, should highly-compensated individuals elect to defer the maximum amount allowable under the 401(k) Plan, they will be subject to a return of excess deferred compensation upon completion of year-end discrimination testing.</w:t>
      </w:r>
    </w:p>
    <w:p>
      <w:pPr>
        <w:spacing w:after="0" w:line="143" w:lineRule="exact"/>
        <w:rPr>
          <w:sz w:val="20"/>
          <w:szCs w:val="20"/>
          <w:color w:val="auto"/>
        </w:rPr>
      </w:pPr>
    </w:p>
    <w:p>
      <w:pPr>
        <w:jc w:val="center"/>
        <w:ind w:right="480"/>
        <w:spacing w:after="0" w:line="440" w:lineRule="auto"/>
        <w:rPr>
          <w:sz w:val="20"/>
          <w:szCs w:val="20"/>
          <w:color w:val="auto"/>
        </w:rPr>
      </w:pPr>
      <w:r>
        <w:rPr>
          <w:rFonts w:ascii="Arial" w:cs="Arial" w:eastAsia="Arial" w:hAnsi="Arial"/>
          <w:sz w:val="18"/>
          <w:szCs w:val="18"/>
          <w:color w:val="auto"/>
        </w:rPr>
        <w:t>The Company recognized $0.4 million, $1.3 million and $0.9 million of expense under these plans in fiscal 2009, 2008 and 2007, respectively. 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DISCONTINUED OPERATIONS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During the first quarter of fiscal 2008, the Company sold its Jared M. business to a third party for a cash purchase price of $250,000. The Company did not recognize any material gain or loss on the sale. When the Company recorded its initial charges in fiscal 2007, its Jared M. showroom was being sub-leased and the Company believed no excess lease obligation existed. However, during fiscal 2008, the Company was not able to secure a long-term sub-lease agreement to completely satisfy its obligations under the lease agreement. Accordingly, during the fourth quarter of fiscal 2008, the Company recorded an additional charge of $0.9 million for the estimated lease obligation. No tax benefit was realized on the $0.9 million charge in fiscal 2008 due to the consolidated tax position of the Company, see Note D—Income Taxes.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SALE OF LP INNOVATIONS, INC.</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fiscal 2006, the Company sold its loss prevention subsidiary, LP Innovations, Inc. (“LPI”), to a private equity group for a purchase price of $5.2 million. The Company received $3.0 million of the purchase price in cash at the closing and entered into a note for the remaining purchase price of $2.2 million. The note requires LPI to make quarterly payments to the Company commencing on the first anniversary of the note. The Company recognized an initial gain on the sale of LPI in the amount of $1.5 million which was recognized as “other income” for fiscal 2006. Due to the uncertainty regarding the collection of the note, the Company has partially reserved the balance of the note on the Consolidated Balance Sheets and recognizes income on the note when realizability is assured. For each of the fiscal years 2009, 2008 and 2007, the Company recognized $0.6 million, $0.5 million and $0.5 million, respectively, as “other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SELECTED QUARTERLY DATA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4"/>
                <w:szCs w:val="14"/>
                <w:color w:val="auto"/>
              </w:rPr>
            </w:pPr>
          </w:p>
        </w:tc>
        <w:tc>
          <w:tcPr>
            <w:tcW w:w="100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14"/>
                <w:szCs w:val="14"/>
                <w:color w:val="auto"/>
              </w:rPr>
            </w:pPr>
          </w:p>
        </w:tc>
        <w:tc>
          <w:tcPr>
            <w:tcW w:w="84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4"/>
                <w:szCs w:val="1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FOURTH</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5"/>
              </w:rPr>
              <w:t>QUARTER</w:t>
            </w:r>
          </w:p>
        </w:tc>
        <w:tc>
          <w:tcPr>
            <w:tcW w:w="3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7"/>
              </w:rPr>
              <w:t>Thousands, Except</w:t>
            </w:r>
          </w:p>
        </w:tc>
        <w:tc>
          <w:tcPr>
            <w:tcW w:w="1180" w:type="dxa"/>
            <w:vAlign w:val="bottom"/>
            <w:gridSpan w:val="4"/>
          </w:tcPr>
          <w:p>
            <w:pPr>
              <w:jc w:val="center"/>
              <w:ind w:right="92"/>
              <w:spacing w:after="0" w:line="142" w:lineRule="exact"/>
              <w:rPr>
                <w:sz w:val="20"/>
                <w:szCs w:val="20"/>
                <w:color w:val="auto"/>
              </w:rPr>
            </w:pPr>
            <w:r>
              <w:rPr>
                <w:rFonts w:ascii="Arial" w:cs="Arial" w:eastAsia="Arial" w:hAnsi="Arial"/>
                <w:sz w:val="14"/>
                <w:szCs w:val="14"/>
                <w:b w:val="1"/>
                <w:bCs w:val="1"/>
                <w:color w:val="auto"/>
                <w:w w:val="88"/>
              </w:rPr>
              <w:t>Per Share Data)</w:t>
            </w:r>
          </w:p>
        </w:tc>
        <w:tc>
          <w:tcPr>
            <w:tcW w:w="2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2009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97,561</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72"/>
              <w:spacing w:after="0"/>
              <w:rPr>
                <w:sz w:val="20"/>
                <w:szCs w:val="20"/>
                <w:color w:val="auto"/>
              </w:rPr>
            </w:pPr>
            <w:r>
              <w:rPr>
                <w:rFonts w:ascii="Arial" w:cs="Arial" w:eastAsia="Arial" w:hAnsi="Arial"/>
                <w:sz w:val="18"/>
                <w:szCs w:val="18"/>
                <w:color w:val="auto"/>
                <w:w w:val="98"/>
              </w:rPr>
              <w:t>98,252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88,689</w:t>
            </w:r>
          </w:p>
        </w:tc>
        <w:tc>
          <w:tcPr>
            <w:tcW w:w="260" w:type="dxa"/>
            <w:vAlign w:val="bottom"/>
          </w:tcPr>
          <w:p>
            <w:pPr>
              <w:spacing w:after="0"/>
              <w:rPr>
                <w:sz w:val="18"/>
                <w:szCs w:val="18"/>
                <w:color w:val="auto"/>
              </w:rPr>
            </w:pPr>
          </w:p>
        </w:tc>
        <w:tc>
          <w:tcPr>
            <w:tcW w:w="28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110,666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395,168</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98"/>
              </w:rPr>
              <w:t>43,825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51,311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174,557</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72"/>
              <w:spacing w:after="0"/>
              <w:rPr>
                <w:sz w:val="20"/>
                <w:szCs w:val="20"/>
                <w:color w:val="auto"/>
              </w:rPr>
            </w:pPr>
            <w:r>
              <w:rPr>
                <w:rFonts w:ascii="Arial" w:cs="Arial" w:eastAsia="Arial" w:hAnsi="Arial"/>
                <w:sz w:val="18"/>
                <w:szCs w:val="18"/>
                <w:color w:val="auto"/>
              </w:rPr>
              <w:t>4,332</w:t>
            </w:r>
          </w:p>
        </w:tc>
        <w:tc>
          <w:tcPr>
            <w:tcW w:w="100" w:type="dxa"/>
            <w:vAlign w:val="bottom"/>
          </w:tcPr>
          <w:p>
            <w:pPr>
              <w:spacing w:after="0"/>
              <w:rPr>
                <w:sz w:val="18"/>
                <w:szCs w:val="18"/>
                <w:color w:val="auto"/>
              </w:rPr>
            </w:pP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rPr>
              <w:t>(1,309)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4,378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8,011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4,130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(1,471)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72"/>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3,626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(1,410)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Earnings (loss) per share—basic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72"/>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rPr>
              <w:t>(0.03)</w:t>
            </w:r>
          </w:p>
        </w:tc>
        <w:tc>
          <w:tcPr>
            <w:tcW w:w="28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share—diluted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(0.03)</w:t>
            </w:r>
          </w:p>
        </w:tc>
        <w:tc>
          <w:tcPr>
            <w:tcW w:w="2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322"/>
        </w:trPr>
        <w:tc>
          <w:tcPr>
            <w:tcW w:w="6260" w:type="dxa"/>
            <w:vAlign w:val="bottom"/>
          </w:tcPr>
          <w:p>
            <w:pPr>
              <w:spacing w:after="0"/>
              <w:rPr>
                <w:sz w:val="20"/>
                <w:szCs w:val="20"/>
                <w:color w:val="auto"/>
              </w:rPr>
            </w:pPr>
            <w:r>
              <w:rPr>
                <w:rFonts w:ascii="Arial" w:cs="Arial" w:eastAsia="Arial" w:hAnsi="Arial"/>
                <w:sz w:val="18"/>
                <w:szCs w:val="18"/>
                <w:b w:val="1"/>
                <w:bCs w:val="1"/>
                <w:color w:val="auto"/>
              </w:rPr>
              <w:t>FISCAL YEAR 2008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107,642</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2"/>
              </w:rPr>
              <w:t>113,475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100,009</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123,058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444,184</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Gross margin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48,339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72"/>
              <w:spacing w:after="0"/>
              <w:rPr>
                <w:sz w:val="20"/>
                <w:szCs w:val="20"/>
                <w:color w:val="auto"/>
              </w:rPr>
            </w:pPr>
            <w:r>
              <w:rPr>
                <w:rFonts w:ascii="Arial" w:cs="Arial" w:eastAsia="Arial" w:hAnsi="Arial"/>
                <w:sz w:val="18"/>
                <w:szCs w:val="18"/>
                <w:color w:val="auto"/>
                <w:w w:val="98"/>
              </w:rPr>
              <w:t>51,338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47,702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189,592</w:t>
            </w:r>
          </w:p>
        </w:tc>
        <w:tc>
          <w:tcPr>
            <w:tcW w:w="0" w:type="dxa"/>
            <w:vAlign w:val="bottom"/>
          </w:tcPr>
          <w:p>
            <w:pPr>
              <w:spacing w:after="0"/>
              <w:rPr>
                <w:sz w:val="1"/>
                <w:szCs w:val="1"/>
                <w:color w:val="auto"/>
              </w:rPr>
            </w:pPr>
          </w:p>
        </w:tc>
      </w:tr>
      <w:tr>
        <w:trPr>
          <w:trHeight w:val="208"/>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impairment of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including goodwill(1)</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71,407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71,407</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72"/>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18"/>
                <w:szCs w:val="18"/>
                <w:color w:val="auto"/>
              </w:rPr>
            </w:pP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rPr>
              <w:t>(4,673)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(76,911)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(76,987)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3,145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(77,384)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(79,416)</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Income tax provision (benefit)(2)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72"/>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18"/>
                <w:szCs w:val="18"/>
                <w:color w:val="auto"/>
              </w:rPr>
            </w:pP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rPr>
              <w:t>(2,135)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29,759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28,946</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discontinuing operations(3)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72"/>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18"/>
                <w:szCs w:val="18"/>
                <w:color w:val="auto"/>
              </w:rPr>
            </w:pP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rPr>
              <w:t>(3,202)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(108,038)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(109,257)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share—basic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(0.08)</w:t>
            </w:r>
          </w:p>
        </w:tc>
        <w:tc>
          <w:tcPr>
            <w:tcW w:w="2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2"/>
        </w:trPr>
        <w:tc>
          <w:tcPr>
            <w:tcW w:w="6260" w:type="dxa"/>
            <w:vAlign w:val="bottom"/>
          </w:tcPr>
          <w:p>
            <w:pPr>
              <w:spacing w:after="0"/>
              <w:rPr>
                <w:sz w:val="20"/>
                <w:szCs w:val="20"/>
                <w:color w:val="auto"/>
              </w:rPr>
            </w:pPr>
            <w:r>
              <w:rPr>
                <w:rFonts w:ascii="Arial" w:cs="Arial" w:eastAsia="Arial" w:hAnsi="Arial"/>
                <w:sz w:val="18"/>
                <w:szCs w:val="18"/>
                <w:color w:val="auto"/>
              </w:rPr>
              <w:t>Earnings (loss) per share—diluted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72"/>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rPr>
              <w:t>(0.08)</w:t>
            </w:r>
          </w:p>
        </w:tc>
        <w:tc>
          <w:tcPr>
            <w:tcW w:w="28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8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fourth quarter of fiscal 2008, the Company recorded a full non-cash impairment charge against its goodwill for $63.1 million and a partial impairment against its Rochester trademark for $2.5 million.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740"/>
        <w:spacing w:after="0" w:line="268" w:lineRule="auto"/>
        <w:rPr>
          <w:sz w:val="20"/>
          <w:szCs w:val="20"/>
          <w:color w:val="auto"/>
        </w:rPr>
      </w:pPr>
      <w:r>
        <w:rPr>
          <w:rFonts w:ascii="Arial" w:cs="Arial" w:eastAsia="Arial" w:hAnsi="Arial"/>
          <w:sz w:val="18"/>
          <w:szCs w:val="18"/>
          <w:color w:val="auto"/>
        </w:rPr>
        <w:t>addition, the Company also recorded a non-cash charge of $5.8 million for the impairment of fixed assets. See Note A—Summary of Significant Accounting Policies.</w:t>
      </w:r>
    </w:p>
    <w:p>
      <w:pPr>
        <w:spacing w:after="0" w:line="64" w:lineRule="exact"/>
        <w:rPr>
          <w:sz w:val="20"/>
          <w:szCs w:val="20"/>
          <w:color w:val="auto"/>
        </w:rPr>
      </w:pPr>
    </w:p>
    <w:p>
      <w:pPr>
        <w:ind w:left="460" w:right="4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the fourth quarter of fiscal 2008, the Company recorded a non-cash charge of $28.6 million to establish a valuation allowance against its deferred tax assets. As a result of its recent operating losses and the overall condition of the economy, the realizability of its deferred tax assets could not be assured at that time. See Note D—Income Taxes.</w:t>
      </w:r>
    </w:p>
    <w:p>
      <w:pPr>
        <w:spacing w:after="0" w:line="59" w:lineRule="exact"/>
        <w:rPr>
          <w:rFonts w:ascii="Arial" w:cs="Arial" w:eastAsia="Arial" w:hAnsi="Arial"/>
          <w:sz w:val="18"/>
          <w:szCs w:val="18"/>
          <w:color w:val="auto"/>
        </w:rPr>
      </w:pPr>
    </w:p>
    <w:p>
      <w:pPr>
        <w:ind w:left="460" w:right="7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fourth quarter of fiscal 2008, the Company recorded an additional $0.9 million to accrue for an estimated lease obligation for the Jared M. showroom. See Note J—Discontinued Operations.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Historically, and consistent with the retail industry, the Company has experienced seasonal fluctuations as it relates to its operating income and net income.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Traditionally, a significant portion of the Company’s operating income and net income is generated in the fourth quarter, as a result of the “Holiday” season.</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Conclusions Regarding the Effectiveness of Disclosure Controls and Procedures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January 30, 2010. Based on this evaluation, our Chief Executive Officer and Chief Financial Officer concluded that, as of January 30, 2010, our disclosure controls and procedures were effective.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32" w:lineRule="exact"/>
        <w:rPr>
          <w:sz w:val="20"/>
          <w:szCs w:val="20"/>
          <w:color w:val="auto"/>
        </w:rPr>
      </w:pPr>
    </w:p>
    <w:p>
      <w:pPr>
        <w:ind w:left="1120" w:hanging="217"/>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13" w:lineRule="exact"/>
        <w:rPr>
          <w:rFonts w:ascii="Arial" w:cs="Arial" w:eastAsia="Arial" w:hAnsi="Arial"/>
          <w:sz w:val="16"/>
          <w:szCs w:val="16"/>
          <w:color w:val="auto"/>
        </w:rPr>
      </w:pPr>
    </w:p>
    <w:p>
      <w:pPr>
        <w:ind w:left="460" w:right="40" w:firstLine="443"/>
        <w:spacing w:after="0" w:line="259" w:lineRule="auto"/>
        <w:tabs>
          <w:tab w:leader="none" w:pos="1157"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59" w:lineRule="exact"/>
        <w:rPr>
          <w:rFonts w:ascii="Arial" w:cs="Arial" w:eastAsia="Arial" w:hAnsi="Arial"/>
          <w:sz w:val="18"/>
          <w:szCs w:val="18"/>
          <w:color w:val="auto"/>
        </w:rPr>
      </w:pPr>
    </w:p>
    <w:p>
      <w:pPr>
        <w:ind w:left="460" w:right="100" w:firstLine="443"/>
        <w:spacing w:after="0" w:line="268" w:lineRule="auto"/>
        <w:tabs>
          <w:tab w:leader="none" w:pos="12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Management assessed the design and effectiveness of our internal control over financial reporting as of January 30, 2010. In making this assessment, management used the criteria set forth by the Committee of Sponsoring Organizations of the Treadway Commission (COSO) in Internal Control- Integrated Framework.</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Based on management’s assessment and those criteria, management determined that we maintained effective internal control over financial reporting as of January 30, 2010.</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Ernst &amp; Young LLP, our independent registered public accounting firm, has issued an audit report on our internal control over financial reporting as of January 30, 2010, which appears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Casual Male Retail Group, Inc.</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audited Casual Male Retail Group, Inc.’s internal control over financial reporting as of January 30, 2010, based on criteria established in Internal Control—Integrated Framework issued by the Committee of Sponsoring Organizations of the Treadway Commission (the COSO criteria). Casual Male Retail Group,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our opinion, Casual Male Retail Group, Inc. maintained, in all material respects, effective internal control over financial reporting as of January 30, 2010, based on the COSO criteria.</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Casual Male Retail Group, Inc. as of January 30, 2010 and January 31, 2009, and the related consolidated statements of operations, changes in stockholders’ equity, and cash flows for each of the three fiscal years in the period ended January 30, 2010 of Casual Male Retail Group, Inc. and our report dated March 19, 2010 expressed an unqualified opinion thereon.</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19,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January 30, 2010 that has materially affected, or is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00"/>
          </w:cols>
          <w:pgMar w:left="240" w:top="459"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Paragraph G(3) of the General Instructions to Form 10-K, the information required by Part III (Items 10, 11, 12, 13 and 14) is being incorporated by reference herein from our definitive proxy statement (or an amendment to this Annual Report on Form 10-K) to be filed with the Securities and Exchange Commission within 120 days of the end of the fiscal year ended January 30, 2010 in connection with our 2010 Annual Meeting of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30,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30,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30,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30,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30, 2010.</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15(a)(1) Financial Statements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list of consolidated financial statements and notes required by this Item 15(a)(1) is set forth in the “Index to Consolidated Financial Statements” on page 44 of this Annual Report.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15(a)(2) Financial Statement Schedules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15(a)(3)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list of exhibits required by this Item 15(a)(3) is set forth in the “Index to Exhibits” beginning on page 74 of this Annual Report.</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240" w:top="459" w:right="5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412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53"/>
        </w:trPr>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Exhibits</w:t>
            </w:r>
          </w:p>
        </w:tc>
        <w:tc>
          <w:tcPr>
            <w:tcW w:w="10460" w:type="dxa"/>
            <w:vAlign w:val="bottom"/>
            <w:vMerge w:val="restart"/>
          </w:tcPr>
          <w:p>
            <w:pPr>
              <w:ind w:left="440"/>
              <w:spacing w:after="0"/>
              <w:rPr>
                <w:sz w:val="20"/>
                <w:szCs w:val="20"/>
                <w:color w:val="auto"/>
              </w:rPr>
            </w:pPr>
            <w:r>
              <w:rPr>
                <w:rFonts w:ascii="Arial" w:cs="Arial" w:eastAsia="Arial" w:hAnsi="Arial"/>
                <w:sz w:val="18"/>
                <w:szCs w:val="18"/>
                <w:color w:val="auto"/>
                <w:w w:val="96"/>
              </w:rPr>
              <w:t>Restated Certificate of Incorporation of the Company, as amended (included as Exhibit 3.1 to Amendment No. 3 of the Company’s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ind w:left="280"/>
              <w:spacing w:after="0" w:line="201" w:lineRule="exact"/>
              <w:rPr>
                <w:sz w:val="20"/>
                <w:szCs w:val="20"/>
                <w:color w:val="auto"/>
              </w:rPr>
            </w:pPr>
            <w:r>
              <w:rPr>
                <w:rFonts w:ascii="Arial" w:cs="Arial" w:eastAsia="Arial" w:hAnsi="Arial"/>
                <w:sz w:val="18"/>
                <w:szCs w:val="18"/>
                <w:color w:val="auto"/>
                <w:w w:val="71"/>
              </w:rPr>
              <w:t>3.1</w:t>
            </w:r>
          </w:p>
        </w:tc>
        <w:tc>
          <w:tcPr>
            <w:tcW w:w="460" w:type="dxa"/>
            <w:vAlign w:val="bottom"/>
          </w:tcPr>
          <w:p>
            <w:pPr>
              <w:spacing w:after="0"/>
              <w:rPr>
                <w:sz w:val="17"/>
                <w:szCs w:val="17"/>
                <w:color w:val="auto"/>
              </w:rPr>
            </w:pPr>
          </w:p>
        </w:tc>
        <w:tc>
          <w:tcPr>
            <w:tcW w:w="10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Registration Statement on Form S-1 (No. 33-13402), and incorporated herein by reference). *</w:t>
            </w:r>
          </w:p>
        </w:tc>
        <w:tc>
          <w:tcPr>
            <w:tcW w:w="0" w:type="dxa"/>
            <w:vAlign w:val="bottom"/>
          </w:tcPr>
          <w:p>
            <w:pPr>
              <w:spacing w:after="0"/>
              <w:rPr>
                <w:sz w:val="1"/>
                <w:szCs w:val="1"/>
                <w:color w:val="auto"/>
              </w:rPr>
            </w:pPr>
          </w:p>
        </w:tc>
      </w:tr>
      <w:tr>
        <w:trPr>
          <w:trHeight w:val="291"/>
        </w:trPr>
        <w:tc>
          <w:tcPr>
            <w:tcW w:w="960" w:type="dxa"/>
            <w:vAlign w:val="bottom"/>
            <w:gridSpan w:val="3"/>
          </w:tcPr>
          <w:p>
            <w:pPr>
              <w:ind w:left="300"/>
              <w:spacing w:after="0"/>
              <w:rPr>
                <w:sz w:val="20"/>
                <w:szCs w:val="20"/>
                <w:color w:val="auto"/>
              </w:rPr>
            </w:pPr>
            <w:r>
              <w:rPr>
                <w:rFonts w:ascii="Arial" w:cs="Arial" w:eastAsia="Arial" w:hAnsi="Arial"/>
                <w:sz w:val="18"/>
                <w:szCs w:val="18"/>
                <w:color w:val="auto"/>
              </w:rPr>
              <w:t>3.2</w:t>
            </w:r>
          </w:p>
        </w:tc>
        <w:tc>
          <w:tcPr>
            <w:tcW w:w="10460" w:type="dxa"/>
            <w:vAlign w:val="bottom"/>
          </w:tcPr>
          <w:p>
            <w:pPr>
              <w:ind w:left="440"/>
              <w:spacing w:after="0"/>
              <w:rPr>
                <w:sz w:val="20"/>
                <w:szCs w:val="20"/>
                <w:color w:val="auto"/>
              </w:rPr>
            </w:pPr>
            <w:r>
              <w:rPr>
                <w:rFonts w:ascii="Arial" w:cs="Arial" w:eastAsia="Arial" w:hAnsi="Arial"/>
                <w:sz w:val="18"/>
                <w:szCs w:val="18"/>
                <w:color w:val="auto"/>
                <w:w w:val="96"/>
              </w:rPr>
              <w:t>Certificate of Amendment to Restated Certificate of Incorporation, as amended, dated June 22, 1993 (included as Exhibit 3.2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Company’s Quarterly Report on Form 10-Q filed on June 18, 1996, and incorporated herein by reference). *</w:t>
            </w:r>
          </w:p>
        </w:tc>
        <w:tc>
          <w:tcPr>
            <w:tcW w:w="0" w:type="dxa"/>
            <w:vAlign w:val="bottom"/>
          </w:tcPr>
          <w:p>
            <w:pPr>
              <w:spacing w:after="0"/>
              <w:rPr>
                <w:sz w:val="1"/>
                <w:szCs w:val="1"/>
                <w:color w:val="auto"/>
              </w:rPr>
            </w:pPr>
          </w:p>
        </w:tc>
      </w:tr>
      <w:tr>
        <w:trPr>
          <w:trHeight w:val="291"/>
        </w:trPr>
        <w:tc>
          <w:tcPr>
            <w:tcW w:w="960" w:type="dxa"/>
            <w:vAlign w:val="bottom"/>
            <w:gridSpan w:val="3"/>
          </w:tcPr>
          <w:p>
            <w:pPr>
              <w:ind w:left="300"/>
              <w:spacing w:after="0"/>
              <w:rPr>
                <w:sz w:val="20"/>
                <w:szCs w:val="20"/>
                <w:color w:val="auto"/>
              </w:rPr>
            </w:pPr>
            <w:r>
              <w:rPr>
                <w:rFonts w:ascii="Arial" w:cs="Arial" w:eastAsia="Arial" w:hAnsi="Arial"/>
                <w:sz w:val="18"/>
                <w:szCs w:val="18"/>
                <w:color w:val="auto"/>
              </w:rPr>
              <w:t>3.3</w:t>
            </w:r>
          </w:p>
        </w:tc>
        <w:tc>
          <w:tcPr>
            <w:tcW w:w="10460" w:type="dxa"/>
            <w:vAlign w:val="bottom"/>
          </w:tcPr>
          <w:p>
            <w:pPr>
              <w:ind w:left="440"/>
              <w:spacing w:after="0"/>
              <w:rPr>
                <w:sz w:val="20"/>
                <w:szCs w:val="20"/>
                <w:color w:val="auto"/>
              </w:rPr>
            </w:pPr>
            <w:r>
              <w:rPr>
                <w:rFonts w:ascii="Arial" w:cs="Arial" w:eastAsia="Arial" w:hAnsi="Arial"/>
                <w:sz w:val="18"/>
                <w:szCs w:val="18"/>
                <w:color w:val="auto"/>
                <w:w w:val="95"/>
              </w:rPr>
              <w:t>Certificate of Amendment to Restated Certificate of Incorporation, as amended, dated August 8, 2002 (included as Exhibit 3.3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Company’s Quarterly Report on Form 10-Q filed on September 17, 2002, and incorporated herein by reference). *</w:t>
            </w:r>
          </w:p>
        </w:tc>
        <w:tc>
          <w:tcPr>
            <w:tcW w:w="0" w:type="dxa"/>
            <w:vAlign w:val="bottom"/>
          </w:tcPr>
          <w:p>
            <w:pPr>
              <w:spacing w:after="0"/>
              <w:rPr>
                <w:sz w:val="1"/>
                <w:szCs w:val="1"/>
                <w:color w:val="auto"/>
              </w:rPr>
            </w:pPr>
          </w:p>
        </w:tc>
      </w:tr>
      <w:tr>
        <w:trPr>
          <w:trHeight w:val="291"/>
        </w:trPr>
        <w:tc>
          <w:tcPr>
            <w:tcW w:w="960" w:type="dxa"/>
            <w:vAlign w:val="bottom"/>
            <w:gridSpan w:val="3"/>
          </w:tcPr>
          <w:p>
            <w:pPr>
              <w:ind w:left="300"/>
              <w:spacing w:after="0"/>
              <w:rPr>
                <w:sz w:val="20"/>
                <w:szCs w:val="20"/>
                <w:color w:val="auto"/>
              </w:rPr>
            </w:pPr>
            <w:r>
              <w:rPr>
                <w:rFonts w:ascii="Arial" w:cs="Arial" w:eastAsia="Arial" w:hAnsi="Arial"/>
                <w:sz w:val="18"/>
                <w:szCs w:val="18"/>
                <w:color w:val="auto"/>
              </w:rPr>
              <w:t>3.4</w:t>
            </w:r>
          </w:p>
        </w:tc>
        <w:tc>
          <w:tcPr>
            <w:tcW w:w="10460" w:type="dxa"/>
            <w:vAlign w:val="bottom"/>
          </w:tcPr>
          <w:p>
            <w:pPr>
              <w:ind w:left="440"/>
              <w:spacing w:after="0"/>
              <w:rPr>
                <w:sz w:val="20"/>
                <w:szCs w:val="20"/>
                <w:color w:val="auto"/>
              </w:rPr>
            </w:pPr>
            <w:r>
              <w:rPr>
                <w:rFonts w:ascii="Arial" w:cs="Arial" w:eastAsia="Arial" w:hAnsi="Arial"/>
                <w:sz w:val="18"/>
                <w:szCs w:val="18"/>
                <w:color w:val="auto"/>
                <w:w w:val="94"/>
              </w:rPr>
              <w:t>Certificate of Amendment to Restated Certificate of Incorporation, as amended, dated August 27, 2009 (included as Exhibit 3.1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Company’s Current Report on Form 8-K filed on August 28, 2009, and incorporated herein by reference). *</w:t>
            </w:r>
          </w:p>
        </w:tc>
        <w:tc>
          <w:tcPr>
            <w:tcW w:w="0" w:type="dxa"/>
            <w:vAlign w:val="bottom"/>
          </w:tcPr>
          <w:p>
            <w:pPr>
              <w:spacing w:after="0"/>
              <w:rPr>
                <w:sz w:val="1"/>
                <w:szCs w:val="1"/>
                <w:color w:val="auto"/>
              </w:rPr>
            </w:pPr>
          </w:p>
        </w:tc>
      </w:tr>
      <w:tr>
        <w:trPr>
          <w:trHeight w:val="291"/>
        </w:trPr>
        <w:tc>
          <w:tcPr>
            <w:tcW w:w="960" w:type="dxa"/>
            <w:vAlign w:val="bottom"/>
            <w:gridSpan w:val="3"/>
          </w:tcPr>
          <w:p>
            <w:pPr>
              <w:ind w:left="300"/>
              <w:spacing w:after="0"/>
              <w:rPr>
                <w:sz w:val="20"/>
                <w:szCs w:val="20"/>
                <w:color w:val="auto"/>
              </w:rPr>
            </w:pPr>
            <w:r>
              <w:rPr>
                <w:rFonts w:ascii="Arial" w:cs="Arial" w:eastAsia="Arial" w:hAnsi="Arial"/>
                <w:sz w:val="18"/>
                <w:szCs w:val="18"/>
                <w:color w:val="auto"/>
              </w:rPr>
              <w:t>3.5</w:t>
            </w:r>
          </w:p>
        </w:tc>
        <w:tc>
          <w:tcPr>
            <w:tcW w:w="10460" w:type="dxa"/>
            <w:vAlign w:val="bottom"/>
          </w:tcPr>
          <w:p>
            <w:pPr>
              <w:ind w:left="440"/>
              <w:spacing w:after="0"/>
              <w:rPr>
                <w:sz w:val="20"/>
                <w:szCs w:val="20"/>
                <w:color w:val="auto"/>
              </w:rPr>
            </w:pPr>
            <w:r>
              <w:rPr>
                <w:rFonts w:ascii="Arial" w:cs="Arial" w:eastAsia="Arial" w:hAnsi="Arial"/>
                <w:sz w:val="18"/>
                <w:szCs w:val="18"/>
                <w:color w:val="auto"/>
                <w:w w:val="94"/>
              </w:rPr>
              <w:t>Certificate of Amendment to Restated Certificate of Incorporation, as amended, dated August 27, 2009 (included as Exhibit 3.2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Company’s Current Report on Form 8-K filed on August 28, 2009, and incorporated herein by reference). *</w:t>
            </w:r>
          </w:p>
        </w:tc>
        <w:tc>
          <w:tcPr>
            <w:tcW w:w="0" w:type="dxa"/>
            <w:vAlign w:val="bottom"/>
          </w:tcPr>
          <w:p>
            <w:pPr>
              <w:spacing w:after="0"/>
              <w:rPr>
                <w:sz w:val="1"/>
                <w:szCs w:val="1"/>
                <w:color w:val="auto"/>
              </w:rPr>
            </w:pPr>
          </w:p>
        </w:tc>
      </w:tr>
      <w:tr>
        <w:trPr>
          <w:trHeight w:val="291"/>
        </w:trPr>
        <w:tc>
          <w:tcPr>
            <w:tcW w:w="960" w:type="dxa"/>
            <w:vAlign w:val="bottom"/>
            <w:gridSpan w:val="3"/>
          </w:tcPr>
          <w:p>
            <w:pPr>
              <w:ind w:left="300"/>
              <w:spacing w:after="0"/>
              <w:rPr>
                <w:sz w:val="20"/>
                <w:szCs w:val="20"/>
                <w:color w:val="auto"/>
              </w:rPr>
            </w:pPr>
            <w:r>
              <w:rPr>
                <w:rFonts w:ascii="Arial" w:cs="Arial" w:eastAsia="Arial" w:hAnsi="Arial"/>
                <w:sz w:val="18"/>
                <w:szCs w:val="18"/>
                <w:color w:val="auto"/>
              </w:rPr>
              <w:t>3.6</w:t>
            </w: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Certificate of Designations, Preferences and Rights of a Series of Preferred Stock of the Company establishing Series A Junior Participating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Cumulative Preferred Stock dated May 1, 1995 (included as Exhibit 3.2 to the Company’s Annual Report on Form 10-K filed on May 3, 1996,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and incorporated herein by reference). *</w:t>
            </w:r>
          </w:p>
        </w:tc>
        <w:tc>
          <w:tcPr>
            <w:tcW w:w="0" w:type="dxa"/>
            <w:vAlign w:val="bottom"/>
          </w:tcPr>
          <w:p>
            <w:pPr>
              <w:spacing w:after="0"/>
              <w:rPr>
                <w:sz w:val="1"/>
                <w:szCs w:val="1"/>
                <w:color w:val="auto"/>
              </w:rPr>
            </w:pPr>
          </w:p>
        </w:tc>
      </w:tr>
      <w:tr>
        <w:trPr>
          <w:trHeight w:val="291"/>
        </w:trPr>
        <w:tc>
          <w:tcPr>
            <w:tcW w:w="960" w:type="dxa"/>
            <w:vAlign w:val="bottom"/>
            <w:gridSpan w:val="3"/>
          </w:tcPr>
          <w:p>
            <w:pPr>
              <w:ind w:left="300"/>
              <w:spacing w:after="0"/>
              <w:rPr>
                <w:sz w:val="20"/>
                <w:szCs w:val="20"/>
                <w:color w:val="auto"/>
              </w:rPr>
            </w:pPr>
            <w:r>
              <w:rPr>
                <w:rFonts w:ascii="Arial" w:cs="Arial" w:eastAsia="Arial" w:hAnsi="Arial"/>
                <w:sz w:val="18"/>
                <w:szCs w:val="18"/>
                <w:color w:val="auto"/>
              </w:rPr>
              <w:t>3.7</w:t>
            </w:r>
          </w:p>
        </w:tc>
        <w:tc>
          <w:tcPr>
            <w:tcW w:w="10460" w:type="dxa"/>
            <w:vAlign w:val="bottom"/>
          </w:tcPr>
          <w:p>
            <w:pPr>
              <w:ind w:left="440"/>
              <w:spacing w:after="0"/>
              <w:rPr>
                <w:sz w:val="20"/>
                <w:szCs w:val="20"/>
                <w:color w:val="auto"/>
              </w:rPr>
            </w:pPr>
            <w:r>
              <w:rPr>
                <w:rFonts w:ascii="Arial" w:cs="Arial" w:eastAsia="Arial" w:hAnsi="Arial"/>
                <w:sz w:val="18"/>
                <w:szCs w:val="18"/>
                <w:color w:val="auto"/>
                <w:w w:val="91"/>
              </w:rPr>
              <w:t>Certificate of Designations, Preferences and Relative, Participating, Optional and Other Special Rights and Qualifications, Limitations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Restrictions of Series B Convertible Preferred Stock dated May 14, 2002 (included as Exhibit 3.1 to the Company’s Current Report on Form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8-K filed on May 23, 2002, and incorporated herein by reference). *</w:t>
            </w:r>
          </w:p>
        </w:tc>
        <w:tc>
          <w:tcPr>
            <w:tcW w:w="0" w:type="dxa"/>
            <w:vAlign w:val="bottom"/>
          </w:tcPr>
          <w:p>
            <w:pPr>
              <w:spacing w:after="0"/>
              <w:rPr>
                <w:sz w:val="1"/>
                <w:szCs w:val="1"/>
                <w:color w:val="auto"/>
              </w:rPr>
            </w:pPr>
          </w:p>
        </w:tc>
      </w:tr>
      <w:tr>
        <w:trPr>
          <w:trHeight w:val="291"/>
        </w:trPr>
        <w:tc>
          <w:tcPr>
            <w:tcW w:w="960" w:type="dxa"/>
            <w:vAlign w:val="bottom"/>
            <w:gridSpan w:val="3"/>
          </w:tcPr>
          <w:p>
            <w:pPr>
              <w:ind w:left="300"/>
              <w:spacing w:after="0"/>
              <w:rPr>
                <w:sz w:val="20"/>
                <w:szCs w:val="20"/>
                <w:color w:val="auto"/>
              </w:rPr>
            </w:pPr>
            <w:r>
              <w:rPr>
                <w:rFonts w:ascii="Arial" w:cs="Arial" w:eastAsia="Arial" w:hAnsi="Arial"/>
                <w:sz w:val="18"/>
                <w:szCs w:val="18"/>
                <w:color w:val="auto"/>
              </w:rPr>
              <w:t>3.8</w:t>
            </w: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Form of Certificate of Designation, Preferences and Rights of Series A Junior Participating Preferred Stock, as filed with the Secretary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State of Delaware on December 9, 2008 (included as Exhibit 3.1 to the Company’s Current Report on Form 8-K filed on December 9, 2008,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and incorporated herein by reference). *</w:t>
            </w:r>
          </w:p>
        </w:tc>
        <w:tc>
          <w:tcPr>
            <w:tcW w:w="0" w:type="dxa"/>
            <w:vAlign w:val="bottom"/>
          </w:tcPr>
          <w:p>
            <w:pPr>
              <w:spacing w:after="0"/>
              <w:rPr>
                <w:sz w:val="1"/>
                <w:szCs w:val="1"/>
                <w:color w:val="auto"/>
              </w:rPr>
            </w:pPr>
          </w:p>
        </w:tc>
      </w:tr>
      <w:tr>
        <w:trPr>
          <w:trHeight w:val="291"/>
        </w:trPr>
        <w:tc>
          <w:tcPr>
            <w:tcW w:w="960" w:type="dxa"/>
            <w:vAlign w:val="bottom"/>
            <w:gridSpan w:val="3"/>
          </w:tcPr>
          <w:p>
            <w:pPr>
              <w:ind w:left="300"/>
              <w:spacing w:after="0"/>
              <w:rPr>
                <w:sz w:val="20"/>
                <w:szCs w:val="20"/>
                <w:color w:val="auto"/>
              </w:rPr>
            </w:pPr>
            <w:r>
              <w:rPr>
                <w:rFonts w:ascii="Arial" w:cs="Arial" w:eastAsia="Arial" w:hAnsi="Arial"/>
                <w:sz w:val="18"/>
                <w:szCs w:val="18"/>
                <w:color w:val="auto"/>
              </w:rPr>
              <w:t>3.7</w:t>
            </w: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By-Laws of the Company, as amended (included as Exhibit 3.4 to the Company’s Quarterly Report on Form 10-Q filed on December 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2000, and incorporated herein by reference). *</w:t>
            </w:r>
          </w:p>
        </w:tc>
        <w:tc>
          <w:tcPr>
            <w:tcW w:w="0" w:type="dxa"/>
            <w:vAlign w:val="bottom"/>
          </w:tcPr>
          <w:p>
            <w:pPr>
              <w:spacing w:after="0"/>
              <w:rPr>
                <w:sz w:val="1"/>
                <w:szCs w:val="1"/>
                <w:color w:val="auto"/>
              </w:rPr>
            </w:pPr>
          </w:p>
        </w:tc>
      </w:tr>
      <w:tr>
        <w:trPr>
          <w:trHeight w:val="291"/>
        </w:trPr>
        <w:tc>
          <w:tcPr>
            <w:tcW w:w="960" w:type="dxa"/>
            <w:vAlign w:val="bottom"/>
            <w:gridSpan w:val="3"/>
          </w:tcPr>
          <w:p>
            <w:pPr>
              <w:ind w:left="300"/>
              <w:spacing w:after="0"/>
              <w:rPr>
                <w:sz w:val="20"/>
                <w:szCs w:val="20"/>
                <w:color w:val="auto"/>
              </w:rPr>
            </w:pPr>
            <w:r>
              <w:rPr>
                <w:rFonts w:ascii="Arial" w:cs="Arial" w:eastAsia="Arial" w:hAnsi="Arial"/>
                <w:sz w:val="18"/>
                <w:szCs w:val="18"/>
                <w:color w:val="auto"/>
              </w:rPr>
              <w:t>4.1</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Indenture, dated as of November 18, 2003, between the Company and U.S. Bank National Association, as Trustee (included as Exhibit 4.1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the Company’s Quarterly Report on Form 10-Q filed on December 9, 2003, and incorporated herein by reference). *</w:t>
            </w:r>
          </w:p>
        </w:tc>
        <w:tc>
          <w:tcPr>
            <w:tcW w:w="0" w:type="dxa"/>
            <w:vAlign w:val="bottom"/>
          </w:tcPr>
          <w:p>
            <w:pPr>
              <w:spacing w:after="0"/>
              <w:rPr>
                <w:sz w:val="1"/>
                <w:szCs w:val="1"/>
                <w:color w:val="auto"/>
              </w:rPr>
            </w:pPr>
          </w:p>
        </w:tc>
      </w:tr>
      <w:tr>
        <w:trPr>
          <w:trHeight w:val="291"/>
        </w:trPr>
        <w:tc>
          <w:tcPr>
            <w:tcW w:w="960" w:type="dxa"/>
            <w:vAlign w:val="bottom"/>
            <w:gridSpan w:val="3"/>
          </w:tcPr>
          <w:p>
            <w:pPr>
              <w:ind w:left="300"/>
              <w:spacing w:after="0"/>
              <w:rPr>
                <w:sz w:val="20"/>
                <w:szCs w:val="20"/>
                <w:color w:val="auto"/>
              </w:rPr>
            </w:pPr>
            <w:r>
              <w:rPr>
                <w:rFonts w:ascii="Arial" w:cs="Arial" w:eastAsia="Arial" w:hAnsi="Arial"/>
                <w:sz w:val="18"/>
                <w:szCs w:val="18"/>
                <w:color w:val="auto"/>
              </w:rPr>
              <w:t>4.2</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Rights Agreement, dated as of December 8, 2008, by and between the Company and American Stock Transfer &amp; Trust Company, LLC,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1"/>
              </w:rPr>
              <w:t>Rights Agent, which includes as Exhibits thereto the Form of Certificate of Designation, the Form of Right Certificate and the Summary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Terms attached thereto as Exhibits A, B and C, respectively (included as Exhibit 4.1 to the Company’s Current Report on Form 8-K filed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December 9, 2008, and incorporated herein by reference). *</w:t>
            </w:r>
          </w:p>
        </w:tc>
        <w:tc>
          <w:tcPr>
            <w:tcW w:w="0" w:type="dxa"/>
            <w:vAlign w:val="bottom"/>
          </w:tcPr>
          <w:p>
            <w:pPr>
              <w:spacing w:after="0"/>
              <w:rPr>
                <w:sz w:val="1"/>
                <w:szCs w:val="1"/>
                <w:color w:val="auto"/>
              </w:rPr>
            </w:pPr>
          </w:p>
        </w:tc>
      </w:tr>
      <w:tr>
        <w:trPr>
          <w:trHeight w:val="291"/>
        </w:trPr>
        <w:tc>
          <w:tcPr>
            <w:tcW w:w="960" w:type="dxa"/>
            <w:vAlign w:val="bottom"/>
            <w:gridSpan w:val="3"/>
          </w:tcPr>
          <w:p>
            <w:pPr>
              <w:ind w:left="300"/>
              <w:spacing w:after="0"/>
              <w:rPr>
                <w:sz w:val="20"/>
                <w:szCs w:val="20"/>
                <w:color w:val="auto"/>
              </w:rPr>
            </w:pPr>
            <w:r>
              <w:rPr>
                <w:rFonts w:ascii="Arial" w:cs="Arial" w:eastAsia="Arial" w:hAnsi="Arial"/>
                <w:sz w:val="18"/>
                <w:szCs w:val="18"/>
                <w:color w:val="auto"/>
              </w:rPr>
              <w:t>4.3</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Amendment, dated as June 29, 2009, to the Rights Agreement, dated as of December 8, 2008, between the Company and American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1"/>
              </w:rPr>
              <w:t>Transfer &amp; Trust Company, LLC, as Rights Agent (included as Exhibit 4.1 to the Company’s Current Report on Form 8-K filed on June 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2009, and incorporated herein by reference). *</w:t>
            </w:r>
          </w:p>
        </w:tc>
        <w:tc>
          <w:tcPr>
            <w:tcW w:w="0" w:type="dxa"/>
            <w:vAlign w:val="bottom"/>
          </w:tcPr>
          <w:p>
            <w:pPr>
              <w:spacing w:after="0"/>
              <w:rPr>
                <w:sz w:val="1"/>
                <w:szCs w:val="1"/>
                <w:color w:val="auto"/>
              </w:rPr>
            </w:pPr>
          </w:p>
        </w:tc>
      </w:tr>
      <w:tr>
        <w:trPr>
          <w:trHeight w:val="291"/>
        </w:trPr>
        <w:tc>
          <w:tcPr>
            <w:tcW w:w="960" w:type="dxa"/>
            <w:vAlign w:val="bottom"/>
            <w:gridSpan w:val="3"/>
          </w:tcPr>
          <w:p>
            <w:pPr>
              <w:ind w:left="300"/>
              <w:spacing w:after="0"/>
              <w:rPr>
                <w:sz w:val="20"/>
                <w:szCs w:val="20"/>
                <w:color w:val="auto"/>
              </w:rPr>
            </w:pPr>
            <w:r>
              <w:rPr>
                <w:rFonts w:ascii="Arial" w:cs="Arial" w:eastAsia="Arial" w:hAnsi="Arial"/>
                <w:sz w:val="18"/>
                <w:szCs w:val="18"/>
                <w:color w:val="auto"/>
              </w:rPr>
              <w:t>4.4</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Amendment No.2, dated as December 7, 2009, to the Rights Agreement, dated as of December 8, 2008, between the Company and American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3"/>
              </w:rPr>
              <w:t>Stock Transfer &amp; Trust Company, LLC, as Rights Agent (included as Exhibit 4.1 to the Company’s Current Report on Form 8-K filed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December 8, 2009, and incorporated herein by reference). *</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60" w:type="dxa"/>
            <w:vAlign w:val="bottom"/>
          </w:tcPr>
          <w:p>
            <w:pPr>
              <w:ind w:left="46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4"/>
              </w:rPr>
              <w:t>Exhibits</w:t>
            </w:r>
          </w:p>
        </w:tc>
        <w:tc>
          <w:tcPr>
            <w:tcW w:w="10540" w:type="dxa"/>
            <w:vAlign w:val="bottom"/>
            <w:vMerge w:val="restart"/>
          </w:tcPr>
          <w:p>
            <w:pPr>
              <w:ind w:left="320"/>
              <w:spacing w:after="0"/>
              <w:rPr>
                <w:sz w:val="20"/>
                <w:szCs w:val="20"/>
                <w:color w:val="auto"/>
              </w:rPr>
            </w:pPr>
            <w:r>
              <w:rPr>
                <w:rFonts w:ascii="Arial" w:cs="Arial" w:eastAsia="Arial" w:hAnsi="Arial"/>
                <w:sz w:val="18"/>
                <w:szCs w:val="18"/>
                <w:color w:val="auto"/>
                <w:w w:val="89"/>
              </w:rPr>
              <w:t>1992 Stock Incentive Plan, as amended (included as Exhibit 10.1 to the Company’s Quarterly Report on Form 10-Q filed on December 9, 2003,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10.1</w:t>
            </w:r>
          </w:p>
        </w:tc>
        <w:tc>
          <w:tcPr>
            <w:tcW w:w="360" w:type="dxa"/>
            <w:vAlign w:val="bottom"/>
          </w:tcPr>
          <w:p>
            <w:pPr>
              <w:spacing w:after="0"/>
              <w:rPr>
                <w:sz w:val="17"/>
                <w:szCs w:val="17"/>
                <w:color w:val="auto"/>
              </w:rPr>
            </w:pPr>
          </w:p>
        </w:tc>
        <w:tc>
          <w:tcPr>
            <w:tcW w:w="10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and incorporated herein by reference). *</w:t>
            </w:r>
          </w:p>
        </w:tc>
        <w:tc>
          <w:tcPr>
            <w:tcW w:w="0" w:type="dxa"/>
            <w:vAlign w:val="bottom"/>
          </w:tcPr>
          <w:p>
            <w:pPr>
              <w:spacing w:after="0"/>
              <w:rPr>
                <w:sz w:val="1"/>
                <w:szCs w:val="1"/>
                <w:color w:val="auto"/>
              </w:rPr>
            </w:pPr>
          </w:p>
        </w:tc>
      </w:tr>
      <w:tr>
        <w:trPr>
          <w:trHeight w:val="291"/>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10.2</w:t>
            </w:r>
          </w:p>
        </w:tc>
        <w:tc>
          <w:tcPr>
            <w:tcW w:w="10540" w:type="dxa"/>
            <w:vAlign w:val="bottom"/>
          </w:tcPr>
          <w:p>
            <w:pPr>
              <w:ind w:left="320"/>
              <w:spacing w:after="0"/>
              <w:rPr>
                <w:sz w:val="20"/>
                <w:szCs w:val="20"/>
                <w:color w:val="auto"/>
              </w:rPr>
            </w:pPr>
            <w:r>
              <w:rPr>
                <w:rFonts w:ascii="Arial" w:cs="Arial" w:eastAsia="Arial" w:hAnsi="Arial"/>
                <w:sz w:val="18"/>
                <w:szCs w:val="18"/>
                <w:color w:val="auto"/>
                <w:w w:val="91"/>
              </w:rPr>
              <w:t>Casual Male Retail Group, Inc. 2006 Incentive Compensation Plan, as amended (included as Appendix C to the Company’s Definitive Proxy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Statement filed with the SEC on July 30, 2009, and incorporated herein by reference). *</w:t>
            </w:r>
          </w:p>
        </w:tc>
        <w:tc>
          <w:tcPr>
            <w:tcW w:w="0" w:type="dxa"/>
            <w:vAlign w:val="bottom"/>
          </w:tcPr>
          <w:p>
            <w:pPr>
              <w:spacing w:after="0"/>
              <w:rPr>
                <w:sz w:val="1"/>
                <w:szCs w:val="1"/>
                <w:color w:val="auto"/>
              </w:rPr>
            </w:pPr>
          </w:p>
        </w:tc>
      </w:tr>
      <w:tr>
        <w:trPr>
          <w:trHeight w:val="291"/>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10.3</w:t>
            </w:r>
          </w:p>
        </w:tc>
        <w:tc>
          <w:tcPr>
            <w:tcW w:w="10540" w:type="dxa"/>
            <w:vAlign w:val="bottom"/>
          </w:tcPr>
          <w:p>
            <w:pPr>
              <w:ind w:left="320"/>
              <w:spacing w:after="0"/>
              <w:rPr>
                <w:sz w:val="20"/>
                <w:szCs w:val="20"/>
                <w:color w:val="auto"/>
              </w:rPr>
            </w:pPr>
            <w:r>
              <w:rPr>
                <w:rFonts w:ascii="Arial" w:cs="Arial" w:eastAsia="Arial" w:hAnsi="Arial"/>
                <w:sz w:val="18"/>
                <w:szCs w:val="18"/>
                <w:color w:val="auto"/>
                <w:w w:val="89"/>
              </w:rPr>
              <w:t>Form of Non-Qualified Option Agreement for the Chairman and Executive Officers (included as Exhibit 10.2 to the Company’s Quarterly Report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on Form 10-Q filed on August 18, 2006, and incorporated herein by reference). *</w:t>
            </w:r>
          </w:p>
        </w:tc>
        <w:tc>
          <w:tcPr>
            <w:tcW w:w="0" w:type="dxa"/>
            <w:vAlign w:val="bottom"/>
          </w:tcPr>
          <w:p>
            <w:pPr>
              <w:spacing w:after="0"/>
              <w:rPr>
                <w:sz w:val="1"/>
                <w:szCs w:val="1"/>
                <w:color w:val="auto"/>
              </w:rPr>
            </w:pPr>
          </w:p>
        </w:tc>
      </w:tr>
      <w:tr>
        <w:trPr>
          <w:trHeight w:val="291"/>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10.4</w:t>
            </w:r>
          </w:p>
        </w:tc>
        <w:tc>
          <w:tcPr>
            <w:tcW w:w="10540" w:type="dxa"/>
            <w:vAlign w:val="bottom"/>
          </w:tcPr>
          <w:p>
            <w:pPr>
              <w:ind w:left="320"/>
              <w:spacing w:after="0"/>
              <w:rPr>
                <w:sz w:val="20"/>
                <w:szCs w:val="20"/>
                <w:color w:val="auto"/>
              </w:rPr>
            </w:pPr>
            <w:r>
              <w:rPr>
                <w:rFonts w:ascii="Arial" w:cs="Arial" w:eastAsia="Arial" w:hAnsi="Arial"/>
                <w:sz w:val="18"/>
                <w:szCs w:val="18"/>
                <w:color w:val="auto"/>
                <w:w w:val="93"/>
              </w:rPr>
              <w:t>Form of Incentive Stock Option Agreement for the Chairman and Executive Officers (included as Exhibit 10.3 to the Company’s Quarterly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Report on Form 10-Q filed on August 18, 2006, and incorporated herein by reference). *</w:t>
            </w:r>
          </w:p>
        </w:tc>
        <w:tc>
          <w:tcPr>
            <w:tcW w:w="0" w:type="dxa"/>
            <w:vAlign w:val="bottom"/>
          </w:tcPr>
          <w:p>
            <w:pPr>
              <w:spacing w:after="0"/>
              <w:rPr>
                <w:sz w:val="1"/>
                <w:szCs w:val="1"/>
                <w:color w:val="auto"/>
              </w:rPr>
            </w:pPr>
          </w:p>
        </w:tc>
      </w:tr>
      <w:tr>
        <w:trPr>
          <w:trHeight w:val="291"/>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10.5</w:t>
            </w:r>
          </w:p>
        </w:tc>
        <w:tc>
          <w:tcPr>
            <w:tcW w:w="10540" w:type="dxa"/>
            <w:vAlign w:val="bottom"/>
          </w:tcPr>
          <w:p>
            <w:pPr>
              <w:ind w:left="320"/>
              <w:spacing w:after="0"/>
              <w:rPr>
                <w:sz w:val="20"/>
                <w:szCs w:val="20"/>
                <w:color w:val="auto"/>
              </w:rPr>
            </w:pPr>
            <w:r>
              <w:rPr>
                <w:rFonts w:ascii="Arial" w:cs="Arial" w:eastAsia="Arial" w:hAnsi="Arial"/>
                <w:sz w:val="18"/>
                <w:szCs w:val="18"/>
                <w:color w:val="auto"/>
                <w:w w:val="91"/>
              </w:rPr>
              <w:t>Form of Non-Qualified Option Agreement for Non-Employee Directors (included as Exhibit 10.4 to the Company’s Quarterly Report on Form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10-Q filed on August 18, 2006, and incorporated herein by reference). *</w:t>
            </w:r>
          </w:p>
        </w:tc>
        <w:tc>
          <w:tcPr>
            <w:tcW w:w="0" w:type="dxa"/>
            <w:vAlign w:val="bottom"/>
          </w:tcPr>
          <w:p>
            <w:pPr>
              <w:spacing w:after="0"/>
              <w:rPr>
                <w:sz w:val="1"/>
                <w:szCs w:val="1"/>
                <w:color w:val="auto"/>
              </w:rPr>
            </w:pPr>
          </w:p>
        </w:tc>
      </w:tr>
      <w:tr>
        <w:trPr>
          <w:trHeight w:val="291"/>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10.6</w:t>
            </w:r>
          </w:p>
        </w:tc>
        <w:tc>
          <w:tcPr>
            <w:tcW w:w="10540" w:type="dxa"/>
            <w:vAlign w:val="bottom"/>
          </w:tcPr>
          <w:p>
            <w:pPr>
              <w:ind w:left="320"/>
              <w:spacing w:after="0"/>
              <w:rPr>
                <w:sz w:val="20"/>
                <w:szCs w:val="20"/>
                <w:color w:val="auto"/>
              </w:rPr>
            </w:pPr>
            <w:r>
              <w:rPr>
                <w:rFonts w:ascii="Arial" w:cs="Arial" w:eastAsia="Arial" w:hAnsi="Arial"/>
                <w:sz w:val="18"/>
                <w:szCs w:val="18"/>
                <w:color w:val="auto"/>
                <w:w w:val="88"/>
              </w:rPr>
              <w:t>Form of Option Repurchase Agreement dated January 29, 2009 (included as Exhibit 10.1 to the Company’s Current Report on Form 8-K filed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February 3, 2009 and incorporated herein by reference). *</w:t>
            </w:r>
          </w:p>
        </w:tc>
        <w:tc>
          <w:tcPr>
            <w:tcW w:w="0" w:type="dxa"/>
            <w:vAlign w:val="bottom"/>
          </w:tcPr>
          <w:p>
            <w:pPr>
              <w:spacing w:after="0"/>
              <w:rPr>
                <w:sz w:val="1"/>
                <w:szCs w:val="1"/>
                <w:color w:val="auto"/>
              </w:rPr>
            </w:pPr>
          </w:p>
        </w:tc>
      </w:tr>
      <w:tr>
        <w:trPr>
          <w:trHeight w:val="291"/>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10.7</w:t>
            </w:r>
          </w:p>
        </w:tc>
        <w:tc>
          <w:tcPr>
            <w:tcW w:w="10540" w:type="dxa"/>
            <w:vAlign w:val="bottom"/>
          </w:tcPr>
          <w:p>
            <w:pPr>
              <w:ind w:left="320"/>
              <w:spacing w:after="0"/>
              <w:rPr>
                <w:sz w:val="20"/>
                <w:szCs w:val="20"/>
                <w:color w:val="auto"/>
              </w:rPr>
            </w:pPr>
            <w:r>
              <w:rPr>
                <w:rFonts w:ascii="Arial" w:cs="Arial" w:eastAsia="Arial" w:hAnsi="Arial"/>
                <w:sz w:val="18"/>
                <w:szCs w:val="18"/>
                <w:color w:val="auto"/>
                <w:w w:val="95"/>
              </w:rPr>
              <w:t>Casual Male Retail Group, Inc. Non-Employee Director Compensation Plan dated November 20, 2008 (included as Exhibit 10.2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Company’s Quarterly Report on Form 10-Q filed on November 21, 2008, and incorporated herein by reference). *</w:t>
            </w:r>
          </w:p>
        </w:tc>
        <w:tc>
          <w:tcPr>
            <w:tcW w:w="0" w:type="dxa"/>
            <w:vAlign w:val="bottom"/>
          </w:tcPr>
          <w:p>
            <w:pPr>
              <w:spacing w:after="0"/>
              <w:rPr>
                <w:sz w:val="1"/>
                <w:szCs w:val="1"/>
                <w:color w:val="auto"/>
              </w:rPr>
            </w:pPr>
          </w:p>
        </w:tc>
      </w:tr>
      <w:tr>
        <w:trPr>
          <w:trHeight w:val="291"/>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10.8</w:t>
            </w:r>
          </w:p>
        </w:tc>
        <w:tc>
          <w:tcPr>
            <w:tcW w:w="10540" w:type="dxa"/>
            <w:vAlign w:val="bottom"/>
          </w:tcPr>
          <w:p>
            <w:pPr>
              <w:ind w:left="320"/>
              <w:spacing w:after="0"/>
              <w:rPr>
                <w:sz w:val="20"/>
                <w:szCs w:val="20"/>
                <w:color w:val="auto"/>
              </w:rPr>
            </w:pPr>
            <w:r>
              <w:rPr>
                <w:rFonts w:ascii="Arial" w:cs="Arial" w:eastAsia="Arial" w:hAnsi="Arial"/>
                <w:sz w:val="18"/>
                <w:szCs w:val="18"/>
                <w:color w:val="auto"/>
                <w:w w:val="89"/>
              </w:rPr>
              <w:t>Casual Male Retail Group, Inc. Fiscal 2010 Non-Employee Director Stock Purchase Plan (included as Exhibit 4.1 to the Company’s Registration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Statement on Form S-8 (No. 333-164618), and incorporated herein by reference). *</w:t>
            </w:r>
          </w:p>
        </w:tc>
        <w:tc>
          <w:tcPr>
            <w:tcW w:w="0" w:type="dxa"/>
            <w:vAlign w:val="bottom"/>
          </w:tcPr>
          <w:p>
            <w:pPr>
              <w:spacing w:after="0"/>
              <w:rPr>
                <w:sz w:val="1"/>
                <w:szCs w:val="1"/>
                <w:color w:val="auto"/>
              </w:rPr>
            </w:pPr>
          </w:p>
        </w:tc>
      </w:tr>
      <w:tr>
        <w:trPr>
          <w:trHeight w:val="291"/>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10.9</w:t>
            </w:r>
          </w:p>
        </w:tc>
        <w:tc>
          <w:tcPr>
            <w:tcW w:w="10540" w:type="dxa"/>
            <w:vAlign w:val="bottom"/>
          </w:tcPr>
          <w:p>
            <w:pPr>
              <w:ind w:left="320"/>
              <w:spacing w:after="0"/>
              <w:rPr>
                <w:sz w:val="20"/>
                <w:szCs w:val="20"/>
                <w:color w:val="auto"/>
              </w:rPr>
            </w:pPr>
            <w:r>
              <w:rPr>
                <w:rFonts w:ascii="Arial" w:cs="Arial" w:eastAsia="Arial" w:hAnsi="Arial"/>
                <w:sz w:val="18"/>
                <w:szCs w:val="18"/>
                <w:color w:val="auto"/>
                <w:w w:val="89"/>
              </w:rPr>
              <w:t>Fifth Amended and Restated Loan and Security Agreement dated December 28, 2006, by and among Bank of America, N.A., as Administrative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89"/>
              </w:rPr>
              <w:t>Agent and Collateral Agent, the Lenders identified therein, the Company, as Borrowers’ Representative, and the Company and CMRG Apparel,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91"/>
              </w:rPr>
              <w:t>LLC. (formerly Designs Apparel, Inc.), as Borrowers (included as Exhibit 10.7 to the Company’s Annual Report on Form 10-K filed on April 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2007, and incorporated herein by reference). *</w:t>
            </w:r>
          </w:p>
        </w:tc>
        <w:tc>
          <w:tcPr>
            <w:tcW w:w="0" w:type="dxa"/>
            <w:vAlign w:val="bottom"/>
          </w:tcPr>
          <w:p>
            <w:pPr>
              <w:spacing w:after="0"/>
              <w:rPr>
                <w:sz w:val="1"/>
                <w:szCs w:val="1"/>
                <w:color w:val="auto"/>
              </w:rPr>
            </w:pPr>
          </w:p>
        </w:tc>
      </w:tr>
      <w:tr>
        <w:trPr>
          <w:trHeight w:val="291"/>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10.10</w:t>
            </w:r>
          </w:p>
        </w:tc>
        <w:tc>
          <w:tcPr>
            <w:tcW w:w="10540" w:type="dxa"/>
            <w:vAlign w:val="bottom"/>
          </w:tcPr>
          <w:p>
            <w:pPr>
              <w:ind w:left="320"/>
              <w:spacing w:after="0"/>
              <w:rPr>
                <w:sz w:val="20"/>
                <w:szCs w:val="20"/>
                <w:color w:val="auto"/>
              </w:rPr>
            </w:pPr>
            <w:r>
              <w:rPr>
                <w:rFonts w:ascii="Arial" w:cs="Arial" w:eastAsia="Arial" w:hAnsi="Arial"/>
                <w:sz w:val="18"/>
                <w:szCs w:val="18"/>
                <w:color w:val="auto"/>
                <w:w w:val="90"/>
              </w:rPr>
              <w:t>First Amendment to Fifth Amended and Restated Loan and Security Agreement dated July 11, 2007 by and among the Company and Bank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93"/>
              </w:rPr>
              <w:t>America, N.A. (included as Exhibit 10.3 to the Company’s Current Report on Form 8-K filed on July 23, 2007, and incorporated herein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reference). *</w:t>
            </w:r>
          </w:p>
        </w:tc>
        <w:tc>
          <w:tcPr>
            <w:tcW w:w="0" w:type="dxa"/>
            <w:vAlign w:val="bottom"/>
          </w:tcPr>
          <w:p>
            <w:pPr>
              <w:spacing w:after="0"/>
              <w:rPr>
                <w:sz w:val="1"/>
                <w:szCs w:val="1"/>
                <w:color w:val="auto"/>
              </w:rPr>
            </w:pPr>
          </w:p>
        </w:tc>
      </w:tr>
      <w:tr>
        <w:trPr>
          <w:trHeight w:val="291"/>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10.11</w:t>
            </w:r>
          </w:p>
        </w:tc>
        <w:tc>
          <w:tcPr>
            <w:tcW w:w="10540" w:type="dxa"/>
            <w:vAlign w:val="bottom"/>
          </w:tcPr>
          <w:p>
            <w:pPr>
              <w:ind w:left="320"/>
              <w:spacing w:after="0"/>
              <w:rPr>
                <w:sz w:val="20"/>
                <w:szCs w:val="20"/>
                <w:color w:val="auto"/>
              </w:rPr>
            </w:pPr>
            <w:r>
              <w:rPr>
                <w:rFonts w:ascii="Arial" w:cs="Arial" w:eastAsia="Arial" w:hAnsi="Arial"/>
                <w:sz w:val="18"/>
                <w:szCs w:val="18"/>
                <w:color w:val="auto"/>
                <w:w w:val="88"/>
              </w:rPr>
              <w:t>Second Amendment to Fifth Amended and Restated Loan and Security Agreement dated July 20, 2007 by and among the Company and Bank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93"/>
              </w:rPr>
              <w:t>America, N.A. (included as Exhibit 10.4 to the Company’s Current Report on Form 8-K filed on July 23, 2007, and incorporated herein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reference). *</w:t>
            </w:r>
          </w:p>
        </w:tc>
        <w:tc>
          <w:tcPr>
            <w:tcW w:w="0" w:type="dxa"/>
            <w:vAlign w:val="bottom"/>
          </w:tcPr>
          <w:p>
            <w:pPr>
              <w:spacing w:after="0"/>
              <w:rPr>
                <w:sz w:val="1"/>
                <w:szCs w:val="1"/>
                <w:color w:val="auto"/>
              </w:rPr>
            </w:pPr>
          </w:p>
        </w:tc>
      </w:tr>
      <w:tr>
        <w:trPr>
          <w:trHeight w:val="291"/>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10.12</w:t>
            </w:r>
          </w:p>
        </w:tc>
        <w:tc>
          <w:tcPr>
            <w:tcW w:w="10540" w:type="dxa"/>
            <w:vAlign w:val="bottom"/>
          </w:tcPr>
          <w:p>
            <w:pPr>
              <w:ind w:left="320"/>
              <w:spacing w:after="0"/>
              <w:rPr>
                <w:sz w:val="20"/>
                <w:szCs w:val="20"/>
                <w:color w:val="auto"/>
              </w:rPr>
            </w:pPr>
            <w:r>
              <w:rPr>
                <w:rFonts w:ascii="Arial" w:cs="Arial" w:eastAsia="Arial" w:hAnsi="Arial"/>
                <w:sz w:val="18"/>
                <w:szCs w:val="18"/>
                <w:color w:val="auto"/>
                <w:w w:val="91"/>
              </w:rPr>
              <w:t>Third Amendment to Fifth Amended and Restated Loan and Security Agreement dated December 20, 2007 by and among the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90"/>
              </w:rPr>
              <w:t>Bank of America, N.A. (included as Exhibit 10.1 to the Company’s Current Report on Form 8-K filed on December 24, 2007, and incorporated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herein by reference). *</w:t>
            </w:r>
          </w:p>
        </w:tc>
        <w:tc>
          <w:tcPr>
            <w:tcW w:w="0" w:type="dxa"/>
            <w:vAlign w:val="bottom"/>
          </w:tcPr>
          <w:p>
            <w:pPr>
              <w:spacing w:after="0"/>
              <w:rPr>
                <w:sz w:val="1"/>
                <w:szCs w:val="1"/>
                <w:color w:val="auto"/>
              </w:rPr>
            </w:pPr>
          </w:p>
        </w:tc>
      </w:tr>
      <w:tr>
        <w:trPr>
          <w:trHeight w:val="291"/>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10.13</w:t>
            </w:r>
          </w:p>
        </w:tc>
        <w:tc>
          <w:tcPr>
            <w:tcW w:w="10540" w:type="dxa"/>
            <w:vAlign w:val="bottom"/>
          </w:tcPr>
          <w:p>
            <w:pPr>
              <w:ind w:left="320"/>
              <w:spacing w:after="0"/>
              <w:rPr>
                <w:sz w:val="20"/>
                <w:szCs w:val="20"/>
                <w:color w:val="auto"/>
              </w:rPr>
            </w:pPr>
            <w:r>
              <w:rPr>
                <w:rFonts w:ascii="Arial" w:cs="Arial" w:eastAsia="Arial" w:hAnsi="Arial"/>
                <w:sz w:val="18"/>
                <w:szCs w:val="18"/>
                <w:color w:val="auto"/>
                <w:w w:val="92"/>
              </w:rPr>
              <w:t>Master Loan and Security Agreement dated July 20, 2007 between the Company and Banc of America Leasing &amp; Capital, LLC (included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Exhibit 10.1 to the Company’s Current Report on Form 8-K filed on July 23, 2007, and incorporated herein by reference). *</w:t>
            </w:r>
          </w:p>
        </w:tc>
        <w:tc>
          <w:tcPr>
            <w:tcW w:w="0" w:type="dxa"/>
            <w:vAlign w:val="bottom"/>
          </w:tcPr>
          <w:p>
            <w:pPr>
              <w:spacing w:after="0"/>
              <w:rPr>
                <w:sz w:val="1"/>
                <w:szCs w:val="1"/>
                <w:color w:val="auto"/>
              </w:rPr>
            </w:pPr>
          </w:p>
        </w:tc>
      </w:tr>
      <w:tr>
        <w:trPr>
          <w:trHeight w:val="291"/>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10.14</w:t>
            </w:r>
          </w:p>
        </w:tc>
        <w:tc>
          <w:tcPr>
            <w:tcW w:w="10540" w:type="dxa"/>
            <w:vAlign w:val="bottom"/>
          </w:tcPr>
          <w:p>
            <w:pPr>
              <w:ind w:left="320"/>
              <w:spacing w:after="0"/>
              <w:rPr>
                <w:sz w:val="20"/>
                <w:szCs w:val="20"/>
                <w:color w:val="auto"/>
              </w:rPr>
            </w:pPr>
            <w:r>
              <w:rPr>
                <w:rFonts w:ascii="Arial" w:cs="Arial" w:eastAsia="Arial" w:hAnsi="Arial"/>
                <w:sz w:val="18"/>
                <w:szCs w:val="18"/>
                <w:color w:val="auto"/>
                <w:w w:val="91"/>
              </w:rPr>
              <w:t>Equipment Security Note Number 17608-70001 to the Master Loan and Security Agreement dated July 20, 2007 between the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91"/>
              </w:rPr>
              <w:t>Banc of America Leasing &amp; Capital, LLC (included as Exhibit 10.2 to the Company’s Current Report on Form 8-K filed on July 23, 2007,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incorporated herein by reference). *</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540" w:type="dxa"/>
            <w:vAlign w:val="bottom"/>
          </w:tcPr>
          <w:p>
            <w:pPr>
              <w:ind w:left="47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Exhibits</w:t>
            </w:r>
          </w:p>
        </w:tc>
        <w:tc>
          <w:tcPr>
            <w:tcW w:w="10540" w:type="dxa"/>
            <w:vAlign w:val="bottom"/>
            <w:vMerge w:val="restart"/>
          </w:tcPr>
          <w:p>
            <w:pPr>
              <w:ind w:left="320"/>
              <w:spacing w:after="0"/>
              <w:rPr>
                <w:sz w:val="20"/>
                <w:szCs w:val="20"/>
                <w:color w:val="auto"/>
              </w:rPr>
            </w:pPr>
            <w:r>
              <w:rPr>
                <w:rFonts w:ascii="Arial" w:cs="Arial" w:eastAsia="Arial" w:hAnsi="Arial"/>
                <w:sz w:val="18"/>
                <w:szCs w:val="18"/>
                <w:color w:val="auto"/>
                <w:w w:val="88"/>
              </w:rPr>
              <w:t>Equipment Security Note Number 17608-70002 to the Master Loan and Security Agreement dated January 16, 2008 between the Company and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w w:val="79"/>
              </w:rPr>
              <w:t>10.15</w:t>
            </w:r>
          </w:p>
        </w:tc>
        <w:tc>
          <w:tcPr>
            <w:tcW w:w="360" w:type="dxa"/>
            <w:vAlign w:val="bottom"/>
          </w:tcPr>
          <w:p>
            <w:pPr>
              <w:spacing w:after="0"/>
              <w:rPr>
                <w:sz w:val="17"/>
                <w:szCs w:val="17"/>
                <w:color w:val="auto"/>
              </w:rPr>
            </w:pPr>
          </w:p>
        </w:tc>
        <w:tc>
          <w:tcPr>
            <w:tcW w:w="10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91"/>
              </w:rPr>
              <w:t>Banc of America Leasing &amp; Capital, LLC (included as Exhibit 10.13 to the Company’s Annual Report on Form 10-K filed March 26, 2008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10.16</w:t>
            </w:r>
          </w:p>
        </w:tc>
        <w:tc>
          <w:tcPr>
            <w:tcW w:w="10540" w:type="dxa"/>
            <w:vAlign w:val="bottom"/>
          </w:tcPr>
          <w:p>
            <w:pPr>
              <w:ind w:left="320"/>
              <w:spacing w:after="0"/>
              <w:rPr>
                <w:sz w:val="20"/>
                <w:szCs w:val="20"/>
                <w:color w:val="auto"/>
              </w:rPr>
            </w:pPr>
            <w:r>
              <w:rPr>
                <w:rFonts w:ascii="Arial" w:cs="Arial" w:eastAsia="Arial" w:hAnsi="Arial"/>
                <w:sz w:val="18"/>
                <w:szCs w:val="18"/>
                <w:color w:val="auto"/>
                <w:w w:val="92"/>
              </w:rPr>
              <w:t>Form of Warrant issued to the Initial Purchasers under the Note Agreement (included as Exhibit 10.6 to the Company’s Quarterly Report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Form 10-Q filed on September 16, 2003,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10.17</w:t>
            </w:r>
          </w:p>
        </w:tc>
        <w:tc>
          <w:tcPr>
            <w:tcW w:w="10540" w:type="dxa"/>
            <w:vAlign w:val="bottom"/>
          </w:tcPr>
          <w:p>
            <w:pPr>
              <w:ind w:left="320"/>
              <w:spacing w:after="0"/>
              <w:rPr>
                <w:sz w:val="20"/>
                <w:szCs w:val="20"/>
                <w:color w:val="auto"/>
              </w:rPr>
            </w:pPr>
            <w:r>
              <w:rPr>
                <w:rFonts w:ascii="Arial" w:cs="Arial" w:eastAsia="Arial" w:hAnsi="Arial"/>
                <w:sz w:val="18"/>
                <w:szCs w:val="18"/>
                <w:color w:val="auto"/>
                <w:w w:val="89"/>
              </w:rPr>
              <w:t>Consulting Agreement, dated April 29, 2000 between the Company and Jewelcor Management, Inc. (included as Exhibit 10.2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Current Report on Form 8-K filed on May 31, 2007,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10.18</w:t>
            </w:r>
          </w:p>
        </w:tc>
        <w:tc>
          <w:tcPr>
            <w:tcW w:w="10540" w:type="dxa"/>
            <w:vAlign w:val="bottom"/>
          </w:tcPr>
          <w:p>
            <w:pPr>
              <w:ind w:left="320"/>
              <w:spacing w:after="0"/>
              <w:rPr>
                <w:sz w:val="20"/>
                <w:szCs w:val="20"/>
                <w:color w:val="auto"/>
              </w:rPr>
            </w:pPr>
            <w:r>
              <w:rPr>
                <w:rFonts w:ascii="Arial" w:cs="Arial" w:eastAsia="Arial" w:hAnsi="Arial"/>
                <w:sz w:val="18"/>
                <w:szCs w:val="18"/>
                <w:color w:val="auto"/>
                <w:w w:val="92"/>
              </w:rPr>
              <w:t>Extension to Consulting Agreement, dated as of April 28, 2001, between the Company and Jewelcor Management, Inc.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10.15 to the Company’s Quarterly Report on Form 10-Q filed on September 18, 2001,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10.19</w:t>
            </w:r>
          </w:p>
        </w:tc>
        <w:tc>
          <w:tcPr>
            <w:tcW w:w="10540" w:type="dxa"/>
            <w:vAlign w:val="bottom"/>
          </w:tcPr>
          <w:p>
            <w:pPr>
              <w:ind w:left="320"/>
              <w:spacing w:after="0"/>
              <w:rPr>
                <w:sz w:val="20"/>
                <w:szCs w:val="20"/>
                <w:color w:val="auto"/>
              </w:rPr>
            </w:pPr>
            <w:r>
              <w:rPr>
                <w:rFonts w:ascii="Arial" w:cs="Arial" w:eastAsia="Arial" w:hAnsi="Arial"/>
                <w:sz w:val="18"/>
                <w:szCs w:val="18"/>
                <w:color w:val="auto"/>
                <w:w w:val="92"/>
              </w:rPr>
              <w:t>Extension to Consulting Agreement, dated as of April 28, 2002, between the Company and Jewelcor Management, Inc.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10.30 to the Company’s Quarterly Report on Form 10-Q filed on June 18, 2002,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10.20</w:t>
            </w:r>
          </w:p>
        </w:tc>
        <w:tc>
          <w:tcPr>
            <w:tcW w:w="10540" w:type="dxa"/>
            <w:vAlign w:val="bottom"/>
          </w:tcPr>
          <w:p>
            <w:pPr>
              <w:ind w:left="320"/>
              <w:spacing w:after="0"/>
              <w:rPr>
                <w:sz w:val="20"/>
                <w:szCs w:val="20"/>
                <w:color w:val="auto"/>
              </w:rPr>
            </w:pPr>
            <w:r>
              <w:rPr>
                <w:rFonts w:ascii="Arial" w:cs="Arial" w:eastAsia="Arial" w:hAnsi="Arial"/>
                <w:sz w:val="18"/>
                <w:szCs w:val="18"/>
                <w:color w:val="auto"/>
                <w:w w:val="88"/>
              </w:rPr>
              <w:t>Extension to Consulting Agreement, dated as of April 29, 2003, between the Company and Jewelcor Management, Inc. (included as Exhibit 10.7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to the Company’s Annual Report on Form 10-K filed on May 5, 2003,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10.21</w:t>
            </w:r>
          </w:p>
        </w:tc>
        <w:tc>
          <w:tcPr>
            <w:tcW w:w="10540" w:type="dxa"/>
            <w:vAlign w:val="bottom"/>
          </w:tcPr>
          <w:p>
            <w:pPr>
              <w:ind w:left="320"/>
              <w:spacing w:after="0"/>
              <w:rPr>
                <w:sz w:val="20"/>
                <w:szCs w:val="20"/>
                <w:color w:val="auto"/>
              </w:rPr>
            </w:pPr>
            <w:r>
              <w:rPr>
                <w:rFonts w:ascii="Arial" w:cs="Arial" w:eastAsia="Arial" w:hAnsi="Arial"/>
                <w:sz w:val="18"/>
                <w:szCs w:val="18"/>
                <w:color w:val="auto"/>
                <w:w w:val="89"/>
              </w:rPr>
              <w:t>Amendment to Consulting Agreement, effective as of May 1, 2003, between the Company and Jewelcor Management, Inc.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10.1 to the Company’s Quarterly Report on Form 10-Q filed on September 16, 2003,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10.22</w:t>
            </w:r>
          </w:p>
        </w:tc>
        <w:tc>
          <w:tcPr>
            <w:tcW w:w="10540" w:type="dxa"/>
            <w:vAlign w:val="bottom"/>
          </w:tcPr>
          <w:p>
            <w:pPr>
              <w:ind w:left="320"/>
              <w:spacing w:after="0"/>
              <w:rPr>
                <w:sz w:val="20"/>
                <w:szCs w:val="20"/>
                <w:color w:val="auto"/>
              </w:rPr>
            </w:pPr>
            <w:r>
              <w:rPr>
                <w:rFonts w:ascii="Arial" w:cs="Arial" w:eastAsia="Arial" w:hAnsi="Arial"/>
                <w:sz w:val="18"/>
                <w:szCs w:val="18"/>
                <w:color w:val="auto"/>
                <w:w w:val="88"/>
              </w:rPr>
              <w:t>Amendment to Consulting Agreement, dated as of August 26, 2004, between the Company and Jewelcor Management, Inc.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10.5 to the Company’s Quarterly Report on Form 10-Q filed on December 9, 2004,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10.23</w:t>
            </w:r>
          </w:p>
        </w:tc>
        <w:tc>
          <w:tcPr>
            <w:tcW w:w="10540" w:type="dxa"/>
            <w:vAlign w:val="bottom"/>
          </w:tcPr>
          <w:p>
            <w:pPr>
              <w:ind w:left="320"/>
              <w:spacing w:after="0"/>
              <w:rPr>
                <w:sz w:val="20"/>
                <w:szCs w:val="20"/>
                <w:color w:val="auto"/>
              </w:rPr>
            </w:pPr>
            <w:r>
              <w:rPr>
                <w:rFonts w:ascii="Arial" w:cs="Arial" w:eastAsia="Arial" w:hAnsi="Arial"/>
                <w:sz w:val="18"/>
                <w:szCs w:val="18"/>
                <w:color w:val="auto"/>
                <w:w w:val="90"/>
              </w:rPr>
              <w:t>Amendment to Consulting Agreement, effective May 9, 2005, between the Company and Jewelcor Management, Inc. (included as Exhibit 10.1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to the Company’s Current Report on Form 8-K filed June 20, 2005,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10.24</w:t>
            </w:r>
          </w:p>
        </w:tc>
        <w:tc>
          <w:tcPr>
            <w:tcW w:w="10540" w:type="dxa"/>
            <w:vAlign w:val="bottom"/>
          </w:tcPr>
          <w:p>
            <w:pPr>
              <w:ind w:left="320"/>
              <w:spacing w:after="0"/>
              <w:rPr>
                <w:sz w:val="20"/>
                <w:szCs w:val="20"/>
                <w:color w:val="auto"/>
              </w:rPr>
            </w:pPr>
            <w:r>
              <w:rPr>
                <w:rFonts w:ascii="Arial" w:cs="Arial" w:eastAsia="Arial" w:hAnsi="Arial"/>
                <w:sz w:val="18"/>
                <w:szCs w:val="18"/>
                <w:color w:val="auto"/>
                <w:w w:val="93"/>
              </w:rPr>
              <w:t>Letter Agreement dated May 26, 2006 between the Company and Jewelcor Management, Inc. (included as Exhibit 10.3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Quarterly Report on Form 10-Q filed on May 30, 2006,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10.25</w:t>
            </w:r>
          </w:p>
        </w:tc>
        <w:tc>
          <w:tcPr>
            <w:tcW w:w="10540" w:type="dxa"/>
            <w:vAlign w:val="bottom"/>
          </w:tcPr>
          <w:p>
            <w:pPr>
              <w:ind w:left="320"/>
              <w:spacing w:after="0"/>
              <w:rPr>
                <w:sz w:val="20"/>
                <w:szCs w:val="20"/>
                <w:color w:val="auto"/>
              </w:rPr>
            </w:pPr>
            <w:r>
              <w:rPr>
                <w:rFonts w:ascii="Arial" w:cs="Arial" w:eastAsia="Arial" w:hAnsi="Arial"/>
                <w:sz w:val="18"/>
                <w:szCs w:val="18"/>
                <w:color w:val="auto"/>
                <w:w w:val="88"/>
              </w:rPr>
              <w:t>Amendment to Consulting Agreement dated as of May 30, 2007, effective April 29, 2007, between the Company and Jewelcor Management,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94"/>
              </w:rPr>
              <w:t>(included as Exhibit 10.1 to the Company’s Current Report on Form 8-K filed on May 31, 2007,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10.26</w:t>
            </w:r>
          </w:p>
        </w:tc>
        <w:tc>
          <w:tcPr>
            <w:tcW w:w="10540" w:type="dxa"/>
            <w:vAlign w:val="bottom"/>
          </w:tcPr>
          <w:p>
            <w:pPr>
              <w:ind w:left="320"/>
              <w:spacing w:after="0"/>
              <w:rPr>
                <w:sz w:val="20"/>
                <w:szCs w:val="20"/>
                <w:color w:val="auto"/>
              </w:rPr>
            </w:pPr>
            <w:r>
              <w:rPr>
                <w:rFonts w:ascii="Arial" w:cs="Arial" w:eastAsia="Arial" w:hAnsi="Arial"/>
                <w:sz w:val="18"/>
                <w:szCs w:val="18"/>
                <w:color w:val="auto"/>
                <w:w w:val="88"/>
              </w:rPr>
              <w:t>Amendment to Consulting Agreement dated September 8, 2008 between the Company and Jewelcor Management, Inc. (included as Exhibit 10.1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to the Company’s Quarterly Report on Form 10-Q filed on November 21, 2008,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10.27</w:t>
            </w:r>
          </w:p>
        </w:tc>
        <w:tc>
          <w:tcPr>
            <w:tcW w:w="10540" w:type="dxa"/>
            <w:vAlign w:val="bottom"/>
          </w:tcPr>
          <w:p>
            <w:pPr>
              <w:ind w:left="320"/>
              <w:spacing w:after="0"/>
              <w:rPr>
                <w:sz w:val="20"/>
                <w:szCs w:val="20"/>
                <w:color w:val="auto"/>
              </w:rPr>
            </w:pPr>
            <w:r>
              <w:rPr>
                <w:rFonts w:ascii="Arial" w:cs="Arial" w:eastAsia="Arial" w:hAnsi="Arial"/>
                <w:sz w:val="18"/>
                <w:szCs w:val="18"/>
                <w:color w:val="auto"/>
                <w:w w:val="90"/>
              </w:rPr>
              <w:t>Extension to Consulting Agreement, effective as of May 17, 2009 between the Company and Jewelcor Management, Inc.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10.4 to the Company’s Quarterly Report on Form 10-Q filed on November 20, 2009,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10.28</w:t>
            </w:r>
          </w:p>
        </w:tc>
        <w:tc>
          <w:tcPr>
            <w:tcW w:w="10540" w:type="dxa"/>
            <w:vAlign w:val="bottom"/>
          </w:tcPr>
          <w:p>
            <w:pPr>
              <w:ind w:left="320"/>
              <w:spacing w:after="0"/>
              <w:rPr>
                <w:sz w:val="20"/>
                <w:szCs w:val="20"/>
                <w:color w:val="auto"/>
              </w:rPr>
            </w:pPr>
            <w:r>
              <w:rPr>
                <w:rFonts w:ascii="Arial" w:cs="Arial" w:eastAsia="Arial" w:hAnsi="Arial"/>
                <w:sz w:val="18"/>
                <w:szCs w:val="18"/>
                <w:color w:val="auto"/>
                <w:w w:val="90"/>
              </w:rPr>
              <w:t>Revised and Restated Employment Agreement dated as of November 5, 2009 between the Company and David A. Levin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10.1 to the Company’s Current Report on Form 8-K filed on November 19, 2009, and incorporated herein by reference). *</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540" w:type="dxa"/>
            <w:vAlign w:val="bottom"/>
          </w:tcPr>
          <w:p>
            <w:pPr>
              <w:ind w:left="47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Exhibits</w:t>
            </w:r>
          </w:p>
        </w:tc>
        <w:tc>
          <w:tcPr>
            <w:tcW w:w="10540" w:type="dxa"/>
            <w:vAlign w:val="bottom"/>
            <w:vMerge w:val="restart"/>
          </w:tcPr>
          <w:p>
            <w:pPr>
              <w:ind w:left="320"/>
              <w:spacing w:after="0"/>
              <w:rPr>
                <w:sz w:val="20"/>
                <w:szCs w:val="20"/>
                <w:color w:val="auto"/>
              </w:rPr>
            </w:pPr>
            <w:r>
              <w:rPr>
                <w:rFonts w:ascii="Arial" w:cs="Arial" w:eastAsia="Arial" w:hAnsi="Arial"/>
                <w:sz w:val="18"/>
                <w:szCs w:val="18"/>
                <w:color w:val="auto"/>
                <w:w w:val="91"/>
              </w:rPr>
              <w:t>Revised and Restated Employment Agreement dated as of November 5, 2009 between the Company and Dennis R. Hernreich (included as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w w:val="79"/>
              </w:rPr>
              <w:t>10.29</w:t>
            </w:r>
          </w:p>
        </w:tc>
        <w:tc>
          <w:tcPr>
            <w:tcW w:w="360" w:type="dxa"/>
            <w:vAlign w:val="bottom"/>
          </w:tcPr>
          <w:p>
            <w:pPr>
              <w:spacing w:after="0"/>
              <w:rPr>
                <w:sz w:val="17"/>
                <w:szCs w:val="17"/>
                <w:color w:val="auto"/>
              </w:rPr>
            </w:pPr>
          </w:p>
        </w:tc>
        <w:tc>
          <w:tcPr>
            <w:tcW w:w="10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99"/>
              </w:rPr>
              <w:t>Exhibit 10.2 to the Company’s Current Report on Form 8-K filed on November 19, 2009,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10.30</w:t>
            </w:r>
          </w:p>
        </w:tc>
        <w:tc>
          <w:tcPr>
            <w:tcW w:w="10540" w:type="dxa"/>
            <w:vAlign w:val="bottom"/>
          </w:tcPr>
          <w:p>
            <w:pPr>
              <w:ind w:left="320"/>
              <w:spacing w:after="0"/>
              <w:rPr>
                <w:sz w:val="20"/>
                <w:szCs w:val="20"/>
                <w:color w:val="auto"/>
              </w:rPr>
            </w:pPr>
            <w:r>
              <w:rPr>
                <w:rFonts w:ascii="Arial" w:cs="Arial" w:eastAsia="Arial" w:hAnsi="Arial"/>
                <w:sz w:val="18"/>
                <w:szCs w:val="18"/>
                <w:color w:val="auto"/>
                <w:w w:val="89"/>
              </w:rPr>
              <w:t>Employment Agreement between the Company and Henry J. Metscher dated as of January 7, 2010 (included as Exhibit 10.1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Current Report on Form 8-K filed on January 11, 2010,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10.31</w:t>
            </w:r>
          </w:p>
        </w:tc>
        <w:tc>
          <w:tcPr>
            <w:tcW w:w="10540" w:type="dxa"/>
            <w:vAlign w:val="bottom"/>
          </w:tcPr>
          <w:p>
            <w:pPr>
              <w:ind w:left="320"/>
              <w:spacing w:after="0"/>
              <w:rPr>
                <w:sz w:val="20"/>
                <w:szCs w:val="20"/>
                <w:color w:val="auto"/>
              </w:rPr>
            </w:pPr>
            <w:r>
              <w:rPr>
                <w:rFonts w:ascii="Arial" w:cs="Arial" w:eastAsia="Arial" w:hAnsi="Arial"/>
                <w:sz w:val="18"/>
                <w:szCs w:val="18"/>
                <w:color w:val="auto"/>
                <w:w w:val="90"/>
              </w:rPr>
              <w:t>Employment Agreement between the Company and Robert S. Molloy dated as of January 7, 2010 (included as Exhibit 10.2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Current Report on Form 8-K filed on January 11, 2010, and incorporated herein by reference). *</w:t>
            </w:r>
          </w:p>
        </w:tc>
        <w:tc>
          <w:tcPr>
            <w:tcW w:w="0" w:type="dxa"/>
            <w:vAlign w:val="bottom"/>
          </w:tcPr>
          <w:p>
            <w:pPr>
              <w:spacing w:after="0"/>
              <w:rPr>
                <w:sz w:val="1"/>
                <w:szCs w:val="1"/>
                <w:color w:val="auto"/>
              </w:rPr>
            </w:pPr>
          </w:p>
        </w:tc>
      </w:tr>
      <w:tr>
        <w:trPr>
          <w:trHeight w:val="324"/>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10.32</w:t>
            </w:r>
          </w:p>
        </w:tc>
        <w:tc>
          <w:tcPr>
            <w:tcW w:w="10540" w:type="dxa"/>
            <w:vAlign w:val="bottom"/>
          </w:tcPr>
          <w:p>
            <w:pPr>
              <w:ind w:left="320"/>
              <w:spacing w:after="0"/>
              <w:rPr>
                <w:sz w:val="20"/>
                <w:szCs w:val="20"/>
                <w:color w:val="auto"/>
              </w:rPr>
            </w:pPr>
            <w:r>
              <w:rPr>
                <w:rFonts w:ascii="Arial" w:cs="Arial" w:eastAsia="Arial" w:hAnsi="Arial"/>
                <w:sz w:val="18"/>
                <w:szCs w:val="18"/>
                <w:color w:val="auto"/>
              </w:rPr>
              <w:t>Employment Agreement between the Company and Richard Della Bernarda dated as of January 8, 2010.</w:t>
            </w:r>
          </w:p>
        </w:tc>
        <w:tc>
          <w:tcPr>
            <w:tcW w:w="0" w:type="dxa"/>
            <w:vAlign w:val="bottom"/>
          </w:tcPr>
          <w:p>
            <w:pPr>
              <w:spacing w:after="0"/>
              <w:rPr>
                <w:sz w:val="1"/>
                <w:szCs w:val="1"/>
                <w:color w:val="auto"/>
              </w:rPr>
            </w:pPr>
          </w:p>
        </w:tc>
      </w:tr>
      <w:tr>
        <w:trPr>
          <w:trHeight w:val="324"/>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10.33</w:t>
            </w:r>
          </w:p>
        </w:tc>
        <w:tc>
          <w:tcPr>
            <w:tcW w:w="10540" w:type="dxa"/>
            <w:vAlign w:val="bottom"/>
          </w:tcPr>
          <w:p>
            <w:pPr>
              <w:ind w:left="320"/>
              <w:spacing w:after="0"/>
              <w:rPr>
                <w:sz w:val="20"/>
                <w:szCs w:val="20"/>
                <w:color w:val="auto"/>
              </w:rPr>
            </w:pPr>
            <w:r>
              <w:rPr>
                <w:rFonts w:ascii="Arial" w:cs="Arial" w:eastAsia="Arial" w:hAnsi="Arial"/>
                <w:sz w:val="18"/>
                <w:szCs w:val="18"/>
                <w:color w:val="auto"/>
              </w:rPr>
              <w:t>Employment Agreement between the Company and Mark Bean dated as of January 8, 2010.</w:t>
            </w:r>
          </w:p>
        </w:tc>
        <w:tc>
          <w:tcPr>
            <w:tcW w:w="0" w:type="dxa"/>
            <w:vAlign w:val="bottom"/>
          </w:tcPr>
          <w:p>
            <w:pPr>
              <w:spacing w:after="0"/>
              <w:rPr>
                <w:sz w:val="1"/>
                <w:szCs w:val="1"/>
                <w:color w:val="auto"/>
              </w:rPr>
            </w:pPr>
          </w:p>
        </w:tc>
      </w:tr>
      <w:tr>
        <w:trPr>
          <w:trHeight w:val="324"/>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10.34</w:t>
            </w:r>
          </w:p>
        </w:tc>
        <w:tc>
          <w:tcPr>
            <w:tcW w:w="10540" w:type="dxa"/>
            <w:vAlign w:val="bottom"/>
          </w:tcPr>
          <w:p>
            <w:pPr>
              <w:ind w:left="320"/>
              <w:spacing w:after="0"/>
              <w:rPr>
                <w:sz w:val="20"/>
                <w:szCs w:val="20"/>
                <w:color w:val="auto"/>
              </w:rPr>
            </w:pPr>
            <w:r>
              <w:rPr>
                <w:rFonts w:ascii="Arial" w:cs="Arial" w:eastAsia="Arial" w:hAnsi="Arial"/>
                <w:sz w:val="18"/>
                <w:szCs w:val="18"/>
                <w:color w:val="auto"/>
              </w:rPr>
              <w:t>Employment Agreement between the Company and Francis C. Chane dated as of January 8, 2010.</w:t>
            </w:r>
          </w:p>
        </w:tc>
        <w:tc>
          <w:tcPr>
            <w:tcW w:w="0" w:type="dxa"/>
            <w:vAlign w:val="bottom"/>
          </w:tcPr>
          <w:p>
            <w:pPr>
              <w:spacing w:after="0"/>
              <w:rPr>
                <w:sz w:val="1"/>
                <w:szCs w:val="1"/>
                <w:color w:val="auto"/>
              </w:rPr>
            </w:pPr>
          </w:p>
        </w:tc>
      </w:tr>
      <w:tr>
        <w:trPr>
          <w:trHeight w:val="324"/>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10.35</w:t>
            </w:r>
          </w:p>
        </w:tc>
        <w:tc>
          <w:tcPr>
            <w:tcW w:w="10540" w:type="dxa"/>
            <w:vAlign w:val="bottom"/>
          </w:tcPr>
          <w:p>
            <w:pPr>
              <w:ind w:left="320"/>
              <w:spacing w:after="0"/>
              <w:rPr>
                <w:sz w:val="20"/>
                <w:szCs w:val="20"/>
                <w:color w:val="auto"/>
              </w:rPr>
            </w:pPr>
            <w:r>
              <w:rPr>
                <w:rFonts w:ascii="Arial" w:cs="Arial" w:eastAsia="Arial" w:hAnsi="Arial"/>
                <w:sz w:val="18"/>
                <w:szCs w:val="18"/>
                <w:color w:val="auto"/>
              </w:rPr>
              <w:t>Employment Agreement between the Company and Kenneth Ederle dated as of January 8, 2010.</w:t>
            </w:r>
          </w:p>
        </w:tc>
        <w:tc>
          <w:tcPr>
            <w:tcW w:w="0" w:type="dxa"/>
            <w:vAlign w:val="bottom"/>
          </w:tcPr>
          <w:p>
            <w:pPr>
              <w:spacing w:after="0"/>
              <w:rPr>
                <w:sz w:val="1"/>
                <w:szCs w:val="1"/>
                <w:color w:val="auto"/>
              </w:rPr>
            </w:pPr>
          </w:p>
        </w:tc>
      </w:tr>
      <w:tr>
        <w:trPr>
          <w:trHeight w:val="324"/>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10.36</w:t>
            </w:r>
          </w:p>
        </w:tc>
        <w:tc>
          <w:tcPr>
            <w:tcW w:w="10540" w:type="dxa"/>
            <w:vAlign w:val="bottom"/>
          </w:tcPr>
          <w:p>
            <w:pPr>
              <w:ind w:left="320"/>
              <w:spacing w:after="0"/>
              <w:rPr>
                <w:sz w:val="20"/>
                <w:szCs w:val="20"/>
                <w:color w:val="auto"/>
              </w:rPr>
            </w:pPr>
            <w:r>
              <w:rPr>
                <w:rFonts w:ascii="Arial" w:cs="Arial" w:eastAsia="Arial" w:hAnsi="Arial"/>
                <w:sz w:val="18"/>
                <w:szCs w:val="18"/>
                <w:color w:val="auto"/>
              </w:rPr>
              <w:t>Employment Agreement between the Company and Douglas Hearn dated as of January 8, 2010.</w:t>
            </w:r>
          </w:p>
        </w:tc>
        <w:tc>
          <w:tcPr>
            <w:tcW w:w="0" w:type="dxa"/>
            <w:vAlign w:val="bottom"/>
          </w:tcPr>
          <w:p>
            <w:pPr>
              <w:spacing w:after="0"/>
              <w:rPr>
                <w:sz w:val="1"/>
                <w:szCs w:val="1"/>
                <w:color w:val="auto"/>
              </w:rPr>
            </w:pPr>
          </w:p>
        </w:tc>
      </w:tr>
      <w:tr>
        <w:trPr>
          <w:trHeight w:val="324"/>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10.37</w:t>
            </w:r>
          </w:p>
        </w:tc>
        <w:tc>
          <w:tcPr>
            <w:tcW w:w="10540" w:type="dxa"/>
            <w:vAlign w:val="bottom"/>
          </w:tcPr>
          <w:p>
            <w:pPr>
              <w:ind w:left="320"/>
              <w:spacing w:after="0"/>
              <w:rPr>
                <w:sz w:val="20"/>
                <w:szCs w:val="20"/>
                <w:color w:val="auto"/>
              </w:rPr>
            </w:pPr>
            <w:r>
              <w:rPr>
                <w:rFonts w:ascii="Arial" w:cs="Arial" w:eastAsia="Arial" w:hAnsi="Arial"/>
                <w:sz w:val="18"/>
                <w:szCs w:val="18"/>
                <w:color w:val="auto"/>
              </w:rPr>
              <w:t>Employment Agreement between the Company and Jack R. McKinney dated as of January 8, 2010.</w:t>
            </w:r>
          </w:p>
        </w:tc>
        <w:tc>
          <w:tcPr>
            <w:tcW w:w="0" w:type="dxa"/>
            <w:vAlign w:val="bottom"/>
          </w:tcPr>
          <w:p>
            <w:pPr>
              <w:spacing w:after="0"/>
              <w:rPr>
                <w:sz w:val="1"/>
                <w:szCs w:val="1"/>
                <w:color w:val="auto"/>
              </w:rPr>
            </w:pPr>
          </w:p>
        </w:tc>
      </w:tr>
      <w:tr>
        <w:trPr>
          <w:trHeight w:val="324"/>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10.38</w:t>
            </w:r>
          </w:p>
        </w:tc>
        <w:tc>
          <w:tcPr>
            <w:tcW w:w="10540" w:type="dxa"/>
            <w:vAlign w:val="bottom"/>
          </w:tcPr>
          <w:p>
            <w:pPr>
              <w:ind w:left="320"/>
              <w:spacing w:after="0"/>
              <w:rPr>
                <w:sz w:val="20"/>
                <w:szCs w:val="20"/>
                <w:color w:val="auto"/>
              </w:rPr>
            </w:pPr>
            <w:r>
              <w:rPr>
                <w:rFonts w:ascii="Arial" w:cs="Arial" w:eastAsia="Arial" w:hAnsi="Arial"/>
                <w:sz w:val="18"/>
                <w:szCs w:val="18"/>
                <w:color w:val="auto"/>
              </w:rPr>
              <w:t>Employment Agreement between the Company and Peter E. Schmitz dated as of January 8, 2010.</w:t>
            </w:r>
          </w:p>
        </w:tc>
        <w:tc>
          <w:tcPr>
            <w:tcW w:w="0" w:type="dxa"/>
            <w:vAlign w:val="bottom"/>
          </w:tcPr>
          <w:p>
            <w:pPr>
              <w:spacing w:after="0"/>
              <w:rPr>
                <w:sz w:val="1"/>
                <w:szCs w:val="1"/>
                <w:color w:val="auto"/>
              </w:rPr>
            </w:pPr>
          </w:p>
        </w:tc>
      </w:tr>
      <w:tr>
        <w:trPr>
          <w:trHeight w:val="324"/>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10.39</w:t>
            </w:r>
          </w:p>
        </w:tc>
        <w:tc>
          <w:tcPr>
            <w:tcW w:w="10540" w:type="dxa"/>
            <w:vAlign w:val="bottom"/>
          </w:tcPr>
          <w:p>
            <w:pPr>
              <w:ind w:left="320"/>
              <w:spacing w:after="0"/>
              <w:rPr>
                <w:sz w:val="20"/>
                <w:szCs w:val="20"/>
                <w:color w:val="auto"/>
              </w:rPr>
            </w:pPr>
            <w:r>
              <w:rPr>
                <w:rFonts w:ascii="Arial" w:cs="Arial" w:eastAsia="Arial" w:hAnsi="Arial"/>
                <w:sz w:val="18"/>
                <w:szCs w:val="18"/>
                <w:color w:val="auto"/>
              </w:rPr>
              <w:t>Employment Agreement between the Company and Vickie Smith dated as of January 8, 2010.</w:t>
            </w:r>
          </w:p>
        </w:tc>
        <w:tc>
          <w:tcPr>
            <w:tcW w:w="0" w:type="dxa"/>
            <w:vAlign w:val="bottom"/>
          </w:tcPr>
          <w:p>
            <w:pPr>
              <w:spacing w:after="0"/>
              <w:rPr>
                <w:sz w:val="1"/>
                <w:szCs w:val="1"/>
                <w:color w:val="auto"/>
              </w:rPr>
            </w:pPr>
          </w:p>
        </w:tc>
      </w:tr>
      <w:tr>
        <w:trPr>
          <w:trHeight w:val="324"/>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10.40</w:t>
            </w:r>
          </w:p>
        </w:tc>
        <w:tc>
          <w:tcPr>
            <w:tcW w:w="10540" w:type="dxa"/>
            <w:vAlign w:val="bottom"/>
          </w:tcPr>
          <w:p>
            <w:pPr>
              <w:ind w:left="320"/>
              <w:spacing w:after="0"/>
              <w:rPr>
                <w:sz w:val="20"/>
                <w:szCs w:val="20"/>
                <w:color w:val="auto"/>
              </w:rPr>
            </w:pPr>
            <w:r>
              <w:rPr>
                <w:rFonts w:ascii="Arial" w:cs="Arial" w:eastAsia="Arial" w:hAnsi="Arial"/>
                <w:sz w:val="18"/>
                <w:szCs w:val="18"/>
                <w:color w:val="auto"/>
              </w:rPr>
              <w:t>Employment Agreement between the Company and Walter E. Sprague dated as of January 8, 2010.</w:t>
            </w:r>
          </w:p>
        </w:tc>
        <w:tc>
          <w:tcPr>
            <w:tcW w:w="0" w:type="dxa"/>
            <w:vAlign w:val="bottom"/>
          </w:tcPr>
          <w:p>
            <w:pPr>
              <w:spacing w:after="0"/>
              <w:rPr>
                <w:sz w:val="1"/>
                <w:szCs w:val="1"/>
                <w:color w:val="auto"/>
              </w:rPr>
            </w:pPr>
          </w:p>
        </w:tc>
      </w:tr>
      <w:tr>
        <w:trPr>
          <w:trHeight w:val="324"/>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10.41</w:t>
            </w:r>
          </w:p>
        </w:tc>
        <w:tc>
          <w:tcPr>
            <w:tcW w:w="10540" w:type="dxa"/>
            <w:vAlign w:val="bottom"/>
          </w:tcPr>
          <w:p>
            <w:pPr>
              <w:ind w:left="320"/>
              <w:spacing w:after="0"/>
              <w:rPr>
                <w:sz w:val="20"/>
                <w:szCs w:val="20"/>
                <w:color w:val="auto"/>
              </w:rPr>
            </w:pPr>
            <w:r>
              <w:rPr>
                <w:rFonts w:ascii="Arial" w:cs="Arial" w:eastAsia="Arial" w:hAnsi="Arial"/>
                <w:sz w:val="18"/>
                <w:szCs w:val="18"/>
                <w:color w:val="auto"/>
              </w:rPr>
              <w:t>Employment Agreement between the Company and Peter H. Stratton, Jr. dated as of January 7, 2010.</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10.42</w:t>
            </w:r>
          </w:p>
        </w:tc>
        <w:tc>
          <w:tcPr>
            <w:tcW w:w="10540" w:type="dxa"/>
            <w:vAlign w:val="bottom"/>
          </w:tcPr>
          <w:p>
            <w:pPr>
              <w:ind w:left="320"/>
              <w:spacing w:after="0"/>
              <w:rPr>
                <w:sz w:val="20"/>
                <w:szCs w:val="20"/>
                <w:color w:val="auto"/>
              </w:rPr>
            </w:pPr>
            <w:r>
              <w:rPr>
                <w:rFonts w:ascii="Arial" w:cs="Arial" w:eastAsia="Arial" w:hAnsi="Arial"/>
                <w:sz w:val="18"/>
                <w:szCs w:val="18"/>
                <w:color w:val="auto"/>
                <w:w w:val="91"/>
              </w:rPr>
              <w:t>2008 Casual Male Retail Group, Inc. Long-Term Incentive Plan (included as Exhibit 10.2 to the Company’s Current Report on Form 8-K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May 7, 2008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10.43</w:t>
            </w:r>
          </w:p>
        </w:tc>
        <w:tc>
          <w:tcPr>
            <w:tcW w:w="10540" w:type="dxa"/>
            <w:vAlign w:val="bottom"/>
          </w:tcPr>
          <w:p>
            <w:pPr>
              <w:ind w:left="320"/>
              <w:spacing w:after="0"/>
              <w:rPr>
                <w:sz w:val="20"/>
                <w:szCs w:val="20"/>
                <w:color w:val="auto"/>
              </w:rPr>
            </w:pPr>
            <w:r>
              <w:rPr>
                <w:rFonts w:ascii="Arial" w:cs="Arial" w:eastAsia="Arial" w:hAnsi="Arial"/>
                <w:sz w:val="18"/>
                <w:szCs w:val="18"/>
                <w:color w:val="auto"/>
                <w:w w:val="91"/>
              </w:rPr>
              <w:t>Casual Male Retail Group, Inc. Amended and Restated Annual Incentive Plan (included as Exhibit 10.1 to the Company’s Current Report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Form 8-K filed August 4, 2008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10.44</w:t>
            </w:r>
          </w:p>
        </w:tc>
        <w:tc>
          <w:tcPr>
            <w:tcW w:w="10540" w:type="dxa"/>
            <w:vAlign w:val="bottom"/>
          </w:tcPr>
          <w:p>
            <w:pPr>
              <w:ind w:left="320"/>
              <w:spacing w:after="0"/>
              <w:rPr>
                <w:sz w:val="20"/>
                <w:szCs w:val="20"/>
                <w:color w:val="auto"/>
              </w:rPr>
            </w:pPr>
            <w:r>
              <w:rPr>
                <w:rFonts w:ascii="Arial" w:cs="Arial" w:eastAsia="Arial" w:hAnsi="Arial"/>
                <w:sz w:val="18"/>
                <w:szCs w:val="18"/>
                <w:color w:val="auto"/>
                <w:w w:val="87"/>
              </w:rPr>
              <w:t>Asset Purchase Agreement entered into as of May 2, 2002, by and among the Company and Casual Male Corp. and certain subsidiaries (included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as Exhibit 10.1 to the Company’s Current Report on Form 8-K filed on May 23, 2002,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10.45</w:t>
            </w:r>
          </w:p>
        </w:tc>
        <w:tc>
          <w:tcPr>
            <w:tcW w:w="10540" w:type="dxa"/>
            <w:vAlign w:val="bottom"/>
          </w:tcPr>
          <w:p>
            <w:pPr>
              <w:ind w:left="320"/>
              <w:spacing w:after="0"/>
              <w:rPr>
                <w:sz w:val="20"/>
                <w:szCs w:val="20"/>
                <w:color w:val="auto"/>
              </w:rPr>
            </w:pPr>
            <w:r>
              <w:rPr>
                <w:rFonts w:ascii="Arial" w:cs="Arial" w:eastAsia="Arial" w:hAnsi="Arial"/>
                <w:sz w:val="18"/>
                <w:szCs w:val="18"/>
                <w:color w:val="auto"/>
                <w:w w:val="87"/>
              </w:rPr>
              <w:t>Amended and Restated Note Agreement, dated as of April 26, 2002, and amended and restated as of May 14, 2002, among the Company, certain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89"/>
              </w:rPr>
              <w:t>subsidiaries of the Company and the purchasers identified therein (included as Exhibit 10.2 to the Company’s Current Report on Form 8-K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on May 23, 2002,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10.46</w:t>
            </w:r>
          </w:p>
        </w:tc>
        <w:tc>
          <w:tcPr>
            <w:tcW w:w="10540" w:type="dxa"/>
            <w:vAlign w:val="bottom"/>
          </w:tcPr>
          <w:p>
            <w:pPr>
              <w:ind w:left="320"/>
              <w:spacing w:after="0"/>
              <w:rPr>
                <w:sz w:val="20"/>
                <w:szCs w:val="20"/>
                <w:color w:val="auto"/>
              </w:rPr>
            </w:pPr>
            <w:r>
              <w:rPr>
                <w:rFonts w:ascii="Arial" w:cs="Arial" w:eastAsia="Arial" w:hAnsi="Arial"/>
                <w:sz w:val="18"/>
                <w:szCs w:val="18"/>
                <w:color w:val="auto"/>
                <w:w w:val="88"/>
              </w:rPr>
              <w:t>Form of Warrant to Purchase Shares of Common Stock (aggregating 787,500 shares) (included as Exhibit 10.5 to the Company’s Current Report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on Form 8-K filed on May 23, 2002,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10.47</w:t>
            </w:r>
          </w:p>
        </w:tc>
        <w:tc>
          <w:tcPr>
            <w:tcW w:w="10540" w:type="dxa"/>
            <w:vAlign w:val="bottom"/>
          </w:tcPr>
          <w:p>
            <w:pPr>
              <w:ind w:left="320"/>
              <w:spacing w:after="0"/>
              <w:rPr>
                <w:sz w:val="20"/>
                <w:szCs w:val="20"/>
                <w:color w:val="auto"/>
              </w:rPr>
            </w:pPr>
            <w:r>
              <w:rPr>
                <w:rFonts w:ascii="Arial" w:cs="Arial" w:eastAsia="Arial" w:hAnsi="Arial"/>
                <w:sz w:val="18"/>
                <w:szCs w:val="18"/>
                <w:color w:val="auto"/>
                <w:w w:val="88"/>
              </w:rPr>
              <w:t>Form of Warrant to Purchase Shares of Common Stock (aggregating 927,500 shares) (included as Exhibit 10.6 to the Company’s Current Report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on Form 8-K filed on May 23, 2002,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ind w:left="120"/>
              <w:spacing w:after="0"/>
              <w:rPr>
                <w:sz w:val="20"/>
                <w:szCs w:val="20"/>
                <w:color w:val="auto"/>
              </w:rPr>
            </w:pPr>
            <w:r>
              <w:rPr>
                <w:rFonts w:ascii="Arial" w:cs="Arial" w:eastAsia="Arial" w:hAnsi="Arial"/>
                <w:sz w:val="18"/>
                <w:szCs w:val="18"/>
                <w:color w:val="auto"/>
              </w:rPr>
              <w:t>10.48</w:t>
            </w:r>
          </w:p>
        </w:tc>
        <w:tc>
          <w:tcPr>
            <w:tcW w:w="10540" w:type="dxa"/>
            <w:vAlign w:val="bottom"/>
          </w:tcPr>
          <w:p>
            <w:pPr>
              <w:ind w:left="320"/>
              <w:spacing w:after="0"/>
              <w:rPr>
                <w:sz w:val="20"/>
                <w:szCs w:val="20"/>
                <w:color w:val="auto"/>
              </w:rPr>
            </w:pPr>
            <w:r>
              <w:rPr>
                <w:rFonts w:ascii="Arial" w:cs="Arial" w:eastAsia="Arial" w:hAnsi="Arial"/>
                <w:sz w:val="18"/>
                <w:szCs w:val="18"/>
                <w:color w:val="auto"/>
                <w:w w:val="91"/>
              </w:rPr>
              <w:t>Form of Warrant to Purchase Shares of Common Stock (aggregating 1,176,471 shares) (included as Exhibit 10.7 to the Company’s Current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Report on Form 8-K filed on May 23, 2002, and incorporated herein by reference). *</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540" w:type="dxa"/>
            <w:vAlign w:val="bottom"/>
          </w:tcPr>
          <w:p>
            <w:pPr>
              <w:ind w:left="47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4"/>
              </w:rPr>
              <w:t>Exhibits</w:t>
            </w:r>
          </w:p>
        </w:tc>
        <w:tc>
          <w:tcPr>
            <w:tcW w:w="10500" w:type="dxa"/>
            <w:vAlign w:val="bottom"/>
            <w:vMerge w:val="restart"/>
          </w:tcPr>
          <w:p>
            <w:pPr>
              <w:ind w:left="320"/>
              <w:spacing w:after="0"/>
              <w:rPr>
                <w:sz w:val="20"/>
                <w:szCs w:val="20"/>
                <w:color w:val="auto"/>
              </w:rPr>
            </w:pPr>
            <w:r>
              <w:rPr>
                <w:rFonts w:ascii="Arial" w:cs="Arial" w:eastAsia="Arial" w:hAnsi="Arial"/>
                <w:sz w:val="18"/>
                <w:szCs w:val="18"/>
                <w:color w:val="auto"/>
                <w:w w:val="90"/>
              </w:rPr>
              <w:t>Registration Rights Agreement entered into as of April 26, 2002, by and between the Company and the persons identified therein (included as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10.49</w:t>
            </w:r>
          </w:p>
        </w:tc>
        <w:tc>
          <w:tcPr>
            <w:tcW w:w="360" w:type="dxa"/>
            <w:vAlign w:val="bottom"/>
          </w:tcPr>
          <w:p>
            <w:pPr>
              <w:spacing w:after="0"/>
              <w:rPr>
                <w:sz w:val="17"/>
                <w:szCs w:val="17"/>
                <w:color w:val="auto"/>
              </w:rPr>
            </w:pPr>
          </w:p>
        </w:tc>
        <w:tc>
          <w:tcPr>
            <w:tcW w:w="10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rPr>
              <w:t>Exhibit 10.8 to the Company’s Current Report on Form 8-K filed on May 23, 2002,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10.50</w:t>
            </w:r>
          </w:p>
        </w:tc>
        <w:tc>
          <w:tcPr>
            <w:tcW w:w="10500" w:type="dxa"/>
            <w:vAlign w:val="bottom"/>
          </w:tcPr>
          <w:p>
            <w:pPr>
              <w:ind w:left="320"/>
              <w:spacing w:after="0"/>
              <w:rPr>
                <w:sz w:val="20"/>
                <w:szCs w:val="20"/>
                <w:color w:val="auto"/>
              </w:rPr>
            </w:pPr>
            <w:r>
              <w:rPr>
                <w:rFonts w:ascii="Arial" w:cs="Arial" w:eastAsia="Arial" w:hAnsi="Arial"/>
                <w:sz w:val="18"/>
                <w:szCs w:val="18"/>
                <w:color w:val="auto"/>
                <w:w w:val="88"/>
              </w:rPr>
              <w:t>Purchase Agreement dated November 12, 2003 by and between the Company and Thomas Weisel Partners LLC (included as Exhibit 10.3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rPr>
              <w:t>Company’s Quarterly Report on Form 10-Q filed on December 9, 2003,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10.51</w:t>
            </w:r>
          </w:p>
        </w:tc>
        <w:tc>
          <w:tcPr>
            <w:tcW w:w="10500" w:type="dxa"/>
            <w:vAlign w:val="bottom"/>
          </w:tcPr>
          <w:p>
            <w:pPr>
              <w:ind w:left="320"/>
              <w:spacing w:after="0"/>
              <w:rPr>
                <w:sz w:val="20"/>
                <w:szCs w:val="20"/>
                <w:color w:val="auto"/>
              </w:rPr>
            </w:pPr>
            <w:r>
              <w:rPr>
                <w:rFonts w:ascii="Arial" w:cs="Arial" w:eastAsia="Arial" w:hAnsi="Arial"/>
                <w:sz w:val="18"/>
                <w:szCs w:val="18"/>
                <w:color w:val="auto"/>
                <w:w w:val="89"/>
              </w:rPr>
              <w:t>Registration Rights Agreement dated November 18, 2003 by and between the Company and Thomas Weisel Partners LLC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rPr>
              <w:t>10.4 to the Company’s Quarterly Report on Form 10-Q filed on December 9, 2003,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10.52</w:t>
            </w:r>
          </w:p>
        </w:tc>
        <w:tc>
          <w:tcPr>
            <w:tcW w:w="10500" w:type="dxa"/>
            <w:vAlign w:val="bottom"/>
          </w:tcPr>
          <w:p>
            <w:pPr>
              <w:ind w:left="320"/>
              <w:spacing w:after="0"/>
              <w:rPr>
                <w:sz w:val="20"/>
                <w:szCs w:val="20"/>
                <w:color w:val="auto"/>
              </w:rPr>
            </w:pPr>
            <w:r>
              <w:rPr>
                <w:rFonts w:ascii="Arial" w:cs="Arial" w:eastAsia="Arial" w:hAnsi="Arial"/>
                <w:sz w:val="18"/>
                <w:szCs w:val="18"/>
                <w:color w:val="auto"/>
                <w:w w:val="90"/>
              </w:rPr>
              <w:t>Form of Warrant to Purchase Shares of Common Stock (aggregating 500,000 shares) (included as Exhibit 10.31 to the Company’s Quarterly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rPr>
              <w:t>Report on Form 10-Q filed on September 17, 2002,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10.53</w:t>
            </w:r>
          </w:p>
        </w:tc>
        <w:tc>
          <w:tcPr>
            <w:tcW w:w="10500" w:type="dxa"/>
            <w:vAlign w:val="bottom"/>
          </w:tcPr>
          <w:p>
            <w:pPr>
              <w:ind w:left="320"/>
              <w:spacing w:after="0"/>
              <w:rPr>
                <w:sz w:val="20"/>
                <w:szCs w:val="20"/>
                <w:color w:val="auto"/>
              </w:rPr>
            </w:pPr>
            <w:r>
              <w:rPr>
                <w:rFonts w:ascii="Arial" w:cs="Arial" w:eastAsia="Arial" w:hAnsi="Arial"/>
                <w:sz w:val="18"/>
                <w:szCs w:val="18"/>
                <w:color w:val="auto"/>
                <w:w w:val="94"/>
              </w:rPr>
              <w:t>Form of Subscription Agreement dated September 1, 2009 (included as Exhibit 10.1 to the Company’s Current Report on Form 8-K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rPr>
              <w:t>September 2, 2009,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10.54</w:t>
            </w:r>
          </w:p>
        </w:tc>
        <w:tc>
          <w:tcPr>
            <w:tcW w:w="10500" w:type="dxa"/>
            <w:vAlign w:val="bottom"/>
          </w:tcPr>
          <w:p>
            <w:pPr>
              <w:ind w:left="320"/>
              <w:spacing w:after="0"/>
              <w:rPr>
                <w:sz w:val="20"/>
                <w:szCs w:val="20"/>
                <w:color w:val="auto"/>
              </w:rPr>
            </w:pPr>
            <w:r>
              <w:rPr>
                <w:rFonts w:ascii="Arial" w:cs="Arial" w:eastAsia="Arial" w:hAnsi="Arial"/>
                <w:sz w:val="18"/>
                <w:szCs w:val="18"/>
                <w:color w:val="auto"/>
                <w:w w:val="92"/>
              </w:rPr>
              <w:t>Asset Purchase Agreement by and among the Company and Rochester Big &amp; Tall Clothing, Inc., dated as of August 18, 2004 (included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w w:val="97"/>
              </w:rPr>
              <w:t>Exhibit 10.3 to the Company’s Quarterly Report on Form 10-Q filed on December 9, 2004,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10.55</w:t>
            </w:r>
          </w:p>
        </w:tc>
        <w:tc>
          <w:tcPr>
            <w:tcW w:w="10500" w:type="dxa"/>
            <w:vAlign w:val="bottom"/>
          </w:tcPr>
          <w:p>
            <w:pPr>
              <w:ind w:left="320"/>
              <w:spacing w:after="0"/>
              <w:rPr>
                <w:sz w:val="20"/>
                <w:szCs w:val="20"/>
                <w:color w:val="auto"/>
              </w:rPr>
            </w:pPr>
            <w:r>
              <w:rPr>
                <w:rFonts w:ascii="Arial" w:cs="Arial" w:eastAsia="Arial" w:hAnsi="Arial"/>
                <w:sz w:val="18"/>
                <w:szCs w:val="18"/>
                <w:color w:val="auto"/>
                <w:w w:val="91"/>
              </w:rPr>
              <w:t>Contribution Agreement dated January 30, 2006 by and among the Company, Spirit SPE Canton, LLC and Spirit Finance Acquisitions, LLC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w w:val="92"/>
              </w:rPr>
              <w:t>(included as Exhibit 10.1 to the Company’s Current Report on Form 8-K filed on February 3, 2006,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10.56</w:t>
            </w:r>
          </w:p>
        </w:tc>
        <w:tc>
          <w:tcPr>
            <w:tcW w:w="10500" w:type="dxa"/>
            <w:vAlign w:val="bottom"/>
          </w:tcPr>
          <w:p>
            <w:pPr>
              <w:ind w:left="320"/>
              <w:spacing w:after="0"/>
              <w:rPr>
                <w:sz w:val="20"/>
                <w:szCs w:val="20"/>
                <w:color w:val="auto"/>
              </w:rPr>
            </w:pPr>
            <w:r>
              <w:rPr>
                <w:rFonts w:ascii="Arial" w:cs="Arial" w:eastAsia="Arial" w:hAnsi="Arial"/>
                <w:sz w:val="18"/>
                <w:szCs w:val="18"/>
                <w:color w:val="auto"/>
                <w:w w:val="88"/>
              </w:rPr>
              <w:t>Membership Interest Purchase Agreement dated January 30, 2006 by and between the Company and Spirit Finance Acquisitions, LLC (included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w w:val="99"/>
              </w:rPr>
              <w:t>as Exhibit 10.2 to the Company’s Current Report on Form 8-K filed on February 3, 2006,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10.57</w:t>
            </w:r>
          </w:p>
        </w:tc>
        <w:tc>
          <w:tcPr>
            <w:tcW w:w="10500" w:type="dxa"/>
            <w:vAlign w:val="bottom"/>
          </w:tcPr>
          <w:p>
            <w:pPr>
              <w:ind w:left="320"/>
              <w:spacing w:after="0"/>
              <w:rPr>
                <w:sz w:val="20"/>
                <w:szCs w:val="20"/>
                <w:color w:val="auto"/>
              </w:rPr>
            </w:pPr>
            <w:r>
              <w:rPr>
                <w:rFonts w:ascii="Arial" w:cs="Arial" w:eastAsia="Arial" w:hAnsi="Arial"/>
                <w:sz w:val="18"/>
                <w:szCs w:val="18"/>
                <w:color w:val="auto"/>
                <w:w w:val="88"/>
              </w:rPr>
              <w:t>Lease Agreement dated February 1, 2006 by and between the Company and Spirit SPE Canton, LLC (included as Exhibit 10.3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rPr>
              <w:t>Current Report on Form 8-K filed on February 3, 2006, and incorporated herein by reference). *</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10.58</w:t>
            </w:r>
          </w:p>
        </w:tc>
        <w:tc>
          <w:tcPr>
            <w:tcW w:w="10500" w:type="dxa"/>
            <w:vAlign w:val="bottom"/>
          </w:tcPr>
          <w:p>
            <w:pPr>
              <w:ind w:left="320"/>
              <w:spacing w:after="0"/>
              <w:rPr>
                <w:sz w:val="20"/>
                <w:szCs w:val="20"/>
                <w:color w:val="auto"/>
              </w:rPr>
            </w:pPr>
            <w:r>
              <w:rPr>
                <w:rFonts w:ascii="Arial" w:cs="Arial" w:eastAsia="Arial" w:hAnsi="Arial"/>
                <w:sz w:val="18"/>
                <w:szCs w:val="18"/>
                <w:color w:val="auto"/>
                <w:w w:val="89"/>
              </w:rPr>
              <w:t>Buying Agency Agreement effective November 16, 2005 by and between Designs Apparel, Inc. and Li &amp; Fung (included as Exhibit 10.47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rPr>
              <w:t>Company’s Annual Report on Form 10-K filed March 31, 2006, and incorporated herein by reference). *</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21.1</w:t>
            </w:r>
          </w:p>
        </w:tc>
        <w:tc>
          <w:tcPr>
            <w:tcW w:w="10500" w:type="dxa"/>
            <w:vAlign w:val="bottom"/>
          </w:tcPr>
          <w:p>
            <w:pPr>
              <w:ind w:left="32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23.1</w:t>
            </w:r>
          </w:p>
        </w:tc>
        <w:tc>
          <w:tcPr>
            <w:tcW w:w="10500" w:type="dxa"/>
            <w:vAlign w:val="bottom"/>
          </w:tcPr>
          <w:p>
            <w:pPr>
              <w:ind w:left="32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31.1</w:t>
            </w:r>
          </w:p>
        </w:tc>
        <w:tc>
          <w:tcPr>
            <w:tcW w:w="10500" w:type="dxa"/>
            <w:vAlign w:val="bottom"/>
          </w:tcPr>
          <w:p>
            <w:pPr>
              <w:ind w:left="320"/>
              <w:spacing w:after="0"/>
              <w:rPr>
                <w:sz w:val="20"/>
                <w:szCs w:val="20"/>
                <w:color w:val="auto"/>
              </w:rPr>
            </w:pPr>
            <w:r>
              <w:rPr>
                <w:rFonts w:ascii="Arial" w:cs="Arial" w:eastAsia="Arial" w:hAnsi="Arial"/>
                <w:sz w:val="18"/>
                <w:szCs w:val="18"/>
                <w:color w:val="auto"/>
              </w:rPr>
              <w:t>Certification of Chief Executive Officer of the Company pursuant to Rule 13a-14(a) under the Securities Exchange Act of 1934.</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31.2</w:t>
            </w:r>
          </w:p>
        </w:tc>
        <w:tc>
          <w:tcPr>
            <w:tcW w:w="1050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of the Company pursuant to Rule 13a-14(a) under the Securities Exchange Act of 1934.</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32.1</w:t>
            </w:r>
          </w:p>
        </w:tc>
        <w:tc>
          <w:tcPr>
            <w:tcW w:w="10500" w:type="dxa"/>
            <w:vAlign w:val="bottom"/>
          </w:tcPr>
          <w:p>
            <w:pPr>
              <w:ind w:left="320"/>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32.2</w:t>
            </w:r>
          </w:p>
        </w:tc>
        <w:tc>
          <w:tcPr>
            <w:tcW w:w="10500" w:type="dxa"/>
            <w:vAlign w:val="bottom"/>
          </w:tcPr>
          <w:p>
            <w:pPr>
              <w:ind w:left="32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ASUAL</w:t>
      </w:r>
      <w:r>
        <w:rPr>
          <w:rFonts w:ascii="Arial" w:cs="Arial" w:eastAsia="Arial" w:hAnsi="Arial"/>
          <w:sz w:val="18"/>
          <w:szCs w:val="18"/>
          <w:color w:val="auto"/>
        </w:rPr>
        <w:t xml:space="preserve"> M</w:t>
      </w:r>
      <w:r>
        <w:rPr>
          <w:rFonts w:ascii="Arial" w:cs="Arial" w:eastAsia="Arial" w:hAnsi="Arial"/>
          <w:sz w:val="14"/>
          <w:szCs w:val="14"/>
          <w:color w:val="auto"/>
        </w:rPr>
        <w:t>ALE</w:t>
      </w:r>
      <w:r>
        <w:rPr>
          <w:rFonts w:ascii="Arial" w:cs="Arial" w:eastAsia="Arial" w:hAnsi="Arial"/>
          <w:sz w:val="18"/>
          <w:szCs w:val="18"/>
          <w:color w:val="auto"/>
        </w:rPr>
        <w:t xml:space="preserve"> R</w:t>
      </w:r>
      <w:r>
        <w:rPr>
          <w:rFonts w:ascii="Arial" w:cs="Arial" w:eastAsia="Arial" w:hAnsi="Arial"/>
          <w:sz w:val="14"/>
          <w:szCs w:val="14"/>
          <w:color w:val="auto"/>
        </w:rPr>
        <w:t>ETAIL</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19, 2010</w:t>
      </w:r>
    </w:p>
    <w:p>
      <w:pPr>
        <w:spacing w:after="0" w:line="9" w:lineRule="exact"/>
        <w:rPr>
          <w:sz w:val="20"/>
          <w:szCs w:val="20"/>
          <w:color w:val="auto"/>
        </w:rPr>
      </w:pPr>
    </w:p>
    <w:p>
      <w:pPr>
        <w:ind w:left="5500"/>
        <w:spacing w:after="0"/>
        <w:tabs>
          <w:tab w:leader="none" w:pos="7860" w:val="left"/>
          <w:tab w:leader="none" w:pos="8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6985</wp:posOffset>
            </wp:positionV>
            <wp:extent cx="33274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 w:lineRule="exact"/>
        <w:rPr>
          <w:sz w:val="20"/>
          <w:szCs w:val="20"/>
          <w:color w:val="auto"/>
        </w:rPr>
      </w:pPr>
    </w:p>
    <w:p>
      <w:pPr>
        <w:jc w:val="center"/>
        <w:ind w:left="6200"/>
        <w:spacing w:after="0"/>
        <w:rPr>
          <w:sz w:val="20"/>
          <w:szCs w:val="20"/>
          <w:color w:val="auto"/>
        </w:rPr>
      </w:pPr>
      <w:r>
        <w:rPr>
          <w:rFonts w:ascii="Arial" w:cs="Arial" w:eastAsia="Arial" w:hAnsi="Arial"/>
          <w:sz w:val="14"/>
          <w:szCs w:val="14"/>
          <w:b w:val="1"/>
          <w:bCs w:val="1"/>
          <w:color w:val="auto"/>
        </w:rPr>
        <w:t>David A. Levin</w:t>
      </w:r>
    </w:p>
    <w:p>
      <w:pPr>
        <w:jc w:val="center"/>
        <w:ind w:left="61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54"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in the capacities and on the dates indicated.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Signatures</w:t>
            </w:r>
          </w:p>
        </w:tc>
        <w:tc>
          <w:tcPr>
            <w:tcW w:w="1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r>
      <w:tr>
        <w:trPr>
          <w:trHeight w:val="424"/>
        </w:trPr>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3"/>
              </w:rPr>
              <w:t>/s/</w:t>
            </w:r>
          </w:p>
        </w:tc>
        <w:tc>
          <w:tcPr>
            <w:tcW w:w="3020" w:type="dxa"/>
            <w:vAlign w:val="bottom"/>
            <w:tcBorders>
              <w:bottom w:val="single" w:sz="8" w:color="auto"/>
            </w:tcBorders>
            <w:gridSpan w:val="3"/>
          </w:tcPr>
          <w:p>
            <w:pPr>
              <w:jc w:val="center"/>
              <w:ind w:right="15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President and Chief Executive Officer (Principal</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19, 2010</w:t>
            </w:r>
          </w:p>
        </w:tc>
      </w:tr>
      <w:tr>
        <w:trPr>
          <w:trHeight w:val="202"/>
        </w:trPr>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91"/>
              </w:rPr>
              <w:t>David A. Levin</w:t>
            </w:r>
          </w:p>
        </w:tc>
        <w:tc>
          <w:tcPr>
            <w:tcW w:w="4660" w:type="dxa"/>
            <w:vAlign w:val="bottom"/>
            <w:gridSpan w:val="3"/>
          </w:tcPr>
          <w:p>
            <w:pPr>
              <w:ind w:left="680"/>
              <w:spacing w:after="0" w:line="202" w:lineRule="exact"/>
              <w:rPr>
                <w:sz w:val="20"/>
                <w:szCs w:val="20"/>
                <w:color w:val="auto"/>
              </w:rPr>
            </w:pPr>
            <w:r>
              <w:rPr>
                <w:rFonts w:ascii="Arial" w:cs="Arial" w:eastAsia="Arial" w:hAnsi="Arial"/>
                <w:sz w:val="18"/>
                <w:szCs w:val="18"/>
                <w:color w:val="auto"/>
              </w:rPr>
              <w:t>Executive Officer)</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18"/>
        </w:trPr>
        <w:tc>
          <w:tcPr>
            <w:tcW w:w="134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w w:val="94"/>
              </w:rPr>
              <w:t>/s/</w:t>
            </w:r>
          </w:p>
        </w:tc>
        <w:tc>
          <w:tcPr>
            <w:tcW w:w="3240" w:type="dxa"/>
            <w:vAlign w:val="bottom"/>
            <w:tcBorders>
              <w:bottom w:val="single" w:sz="8" w:color="auto"/>
            </w:tcBorders>
            <w:gridSpan w:val="4"/>
          </w:tcPr>
          <w:p>
            <w:pPr>
              <w:jc w:val="center"/>
              <w:ind w:right="128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ENNIS</w:t>
            </w:r>
            <w:r>
              <w:rPr>
                <w:rFonts w:ascii="Arial" w:cs="Arial" w:eastAsia="Arial" w:hAnsi="Arial"/>
                <w:sz w:val="18"/>
                <w:szCs w:val="18"/>
                <w:color w:val="auto"/>
                <w:w w:val="98"/>
              </w:rPr>
              <w:t xml:space="preserve"> R. H</w:t>
            </w:r>
            <w:r>
              <w:rPr>
                <w:rFonts w:ascii="Arial" w:cs="Arial" w:eastAsia="Arial" w:hAnsi="Arial"/>
                <w:sz w:val="14"/>
                <w:szCs w:val="14"/>
                <w:color w:val="auto"/>
                <w:w w:val="98"/>
              </w:rPr>
              <w:t>ERNREICH</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Executive Vice President, Chief Operating Officer,</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19, 2010</w:t>
            </w:r>
          </w:p>
        </w:tc>
      </w:tr>
      <w:tr>
        <w:trPr>
          <w:trHeight w:val="190"/>
        </w:trPr>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89"/>
              </w:rPr>
              <w:t>Dennis R. Hernreich</w:t>
            </w:r>
          </w:p>
        </w:tc>
        <w:tc>
          <w:tcPr>
            <w:tcW w:w="4660" w:type="dxa"/>
            <w:vAlign w:val="bottom"/>
            <w:gridSpan w:val="3"/>
          </w:tcPr>
          <w:p>
            <w:pPr>
              <w:ind w:left="680"/>
              <w:spacing w:after="0" w:line="190" w:lineRule="exact"/>
              <w:rPr>
                <w:sz w:val="20"/>
                <w:szCs w:val="20"/>
                <w:color w:val="auto"/>
              </w:rPr>
            </w:pPr>
            <w:r>
              <w:rPr>
                <w:rFonts w:ascii="Arial" w:cs="Arial" w:eastAsia="Arial" w:hAnsi="Arial"/>
                <w:sz w:val="18"/>
                <w:szCs w:val="18"/>
                <w:color w:val="auto"/>
              </w:rPr>
              <w:t>Chief Financial Officer and Treasurer (Principal</w:t>
            </w: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2"/>
        </w:trPr>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660" w:type="dxa"/>
            <w:vAlign w:val="bottom"/>
            <w:gridSpan w:val="3"/>
          </w:tcPr>
          <w:p>
            <w:pPr>
              <w:ind w:left="680"/>
              <w:spacing w:after="0"/>
              <w:rPr>
                <w:sz w:val="20"/>
                <w:szCs w:val="20"/>
                <w:color w:val="auto"/>
              </w:rPr>
            </w:pPr>
            <w:r>
              <w:rPr>
                <w:rFonts w:ascii="Arial" w:cs="Arial" w:eastAsia="Arial" w:hAnsi="Arial"/>
                <w:sz w:val="18"/>
                <w:szCs w:val="18"/>
                <w:color w:val="auto"/>
              </w:rPr>
              <w:t>Financial Officer)</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24"/>
        </w:trPr>
        <w:tc>
          <w:tcPr>
            <w:tcW w:w="13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gridSpan w:val="4"/>
          </w:tcPr>
          <w:p>
            <w:pPr>
              <w:jc w:val="center"/>
              <w:ind w:right="1340"/>
              <w:spacing w:after="0"/>
              <w:rPr>
                <w:sz w:val="20"/>
                <w:szCs w:val="20"/>
                <w:color w:val="auto"/>
              </w:rPr>
            </w:pPr>
            <w:r>
              <w:rPr>
                <w:rFonts w:ascii="Arial" w:cs="Arial" w:eastAsia="Arial" w:hAnsi="Arial"/>
                <w:sz w:val="18"/>
                <w:szCs w:val="18"/>
                <w:color w:val="auto"/>
                <w:w w:val="93"/>
              </w:rPr>
              <w:t>P</w:t>
            </w:r>
            <w:r>
              <w:rPr>
                <w:rFonts w:ascii="Arial" w:cs="Arial" w:eastAsia="Arial" w:hAnsi="Arial"/>
                <w:sz w:val="14"/>
                <w:szCs w:val="14"/>
                <w:color w:val="auto"/>
                <w:w w:val="93"/>
              </w:rPr>
              <w:t>ETER</w:t>
            </w:r>
            <w:r>
              <w:rPr>
                <w:rFonts w:ascii="Arial" w:cs="Arial" w:eastAsia="Arial" w:hAnsi="Arial"/>
                <w:sz w:val="18"/>
                <w:szCs w:val="18"/>
                <w:color w:val="auto"/>
                <w:w w:val="93"/>
              </w:rPr>
              <w:t xml:space="preserve"> H. S</w:t>
            </w:r>
            <w:r>
              <w:rPr>
                <w:rFonts w:ascii="Arial" w:cs="Arial" w:eastAsia="Arial" w:hAnsi="Arial"/>
                <w:sz w:val="14"/>
                <w:szCs w:val="14"/>
                <w:color w:val="auto"/>
                <w:w w:val="93"/>
              </w:rPr>
              <w:t>TRATTON</w:t>
            </w:r>
            <w:r>
              <w:rPr>
                <w:rFonts w:ascii="Arial" w:cs="Arial" w:eastAsia="Arial" w:hAnsi="Arial"/>
                <w:sz w:val="18"/>
                <w:szCs w:val="18"/>
                <w:color w:val="auto"/>
                <w:w w:val="93"/>
              </w:rPr>
              <w:t>, J</w:t>
            </w:r>
            <w:r>
              <w:rPr>
                <w:rFonts w:ascii="Arial" w:cs="Arial" w:eastAsia="Arial" w:hAnsi="Arial"/>
                <w:sz w:val="14"/>
                <w:szCs w:val="14"/>
                <w:color w:val="auto"/>
                <w:w w:val="93"/>
              </w:rPr>
              <w:t>R</w:t>
            </w:r>
            <w:r>
              <w:rPr>
                <w:rFonts w:ascii="Arial" w:cs="Arial" w:eastAsia="Arial" w:hAnsi="Arial"/>
                <w:sz w:val="18"/>
                <w:szCs w:val="18"/>
                <w:color w:val="auto"/>
                <w:w w:val="93"/>
              </w:rPr>
              <w:t>.</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Senior Vice President of Finance and Corporate</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19, 2010</w:t>
            </w:r>
          </w:p>
        </w:tc>
      </w:tr>
      <w:tr>
        <w:trPr>
          <w:trHeight w:val="202"/>
        </w:trPr>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88"/>
              </w:rPr>
              <w:t>Peter H. Stratton, Jr.</w:t>
            </w:r>
          </w:p>
        </w:tc>
        <w:tc>
          <w:tcPr>
            <w:tcW w:w="4660" w:type="dxa"/>
            <w:vAlign w:val="bottom"/>
            <w:gridSpan w:val="3"/>
          </w:tcPr>
          <w:p>
            <w:pPr>
              <w:ind w:left="680"/>
              <w:spacing w:after="0" w:line="202" w:lineRule="exact"/>
              <w:rPr>
                <w:sz w:val="20"/>
                <w:szCs w:val="20"/>
                <w:color w:val="auto"/>
              </w:rPr>
            </w:pPr>
            <w:r>
              <w:rPr>
                <w:rFonts w:ascii="Arial" w:cs="Arial" w:eastAsia="Arial" w:hAnsi="Arial"/>
                <w:sz w:val="18"/>
                <w:szCs w:val="18"/>
                <w:color w:val="auto"/>
              </w:rPr>
              <w:t>Controller (Principal Accounting Officer)</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19"/>
        </w:trPr>
        <w:tc>
          <w:tcPr>
            <w:tcW w:w="134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73"/>
              </w:rPr>
              <w:t>/s/</w:t>
            </w:r>
          </w:p>
        </w:tc>
        <w:tc>
          <w:tcPr>
            <w:tcW w:w="3240" w:type="dxa"/>
            <w:vAlign w:val="bottom"/>
            <w:tcBorders>
              <w:bottom w:val="single" w:sz="8" w:color="auto"/>
            </w:tcBorders>
            <w:gridSpan w:val="4"/>
          </w:tcPr>
          <w:p>
            <w:pPr>
              <w:jc w:val="center"/>
              <w:ind w:right="12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EYMOUR</w:t>
            </w:r>
            <w:r>
              <w:rPr>
                <w:rFonts w:ascii="Arial" w:cs="Arial" w:eastAsia="Arial" w:hAnsi="Arial"/>
                <w:sz w:val="18"/>
                <w:szCs w:val="18"/>
                <w:color w:val="auto"/>
              </w:rPr>
              <w:t xml:space="preserve"> H</w:t>
            </w:r>
            <w:r>
              <w:rPr>
                <w:rFonts w:ascii="Arial" w:cs="Arial" w:eastAsia="Arial" w:hAnsi="Arial"/>
                <w:sz w:val="14"/>
                <w:szCs w:val="14"/>
                <w:color w:val="auto"/>
              </w:rPr>
              <w:t>OLTZMAN</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Chairman of the Board of Directors</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19, 2010</w:t>
            </w:r>
          </w:p>
        </w:tc>
      </w:tr>
      <w:tr>
        <w:trPr>
          <w:trHeight w:val="169"/>
        </w:trPr>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88"/>
              </w:rPr>
              <w:t>Seymour Holtzman</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11"/>
        </w:trPr>
        <w:tc>
          <w:tcPr>
            <w:tcW w:w="1560" w:type="dxa"/>
            <w:vAlign w:val="bottom"/>
            <w:tcBorders>
              <w:bottom w:val="single" w:sz="8" w:color="auto"/>
            </w:tcBorders>
            <w:gridSpan w:val="2"/>
          </w:tcPr>
          <w:p>
            <w:pPr>
              <w:ind w:left="1260"/>
              <w:spacing w:after="0"/>
              <w:rPr>
                <w:sz w:val="20"/>
                <w:szCs w:val="20"/>
                <w:color w:val="auto"/>
              </w:rPr>
            </w:pPr>
            <w:r>
              <w:rPr>
                <w:rFonts w:ascii="Arial" w:cs="Arial" w:eastAsia="Arial" w:hAnsi="Arial"/>
                <w:sz w:val="18"/>
                <w:szCs w:val="18"/>
                <w:color w:val="auto"/>
              </w:rPr>
              <w:t>/s/</w:t>
            </w:r>
          </w:p>
        </w:tc>
        <w:tc>
          <w:tcPr>
            <w:tcW w:w="3020" w:type="dxa"/>
            <w:vAlign w:val="bottom"/>
            <w:tcBorders>
              <w:bottom w:val="single" w:sz="8" w:color="auto"/>
            </w:tcBorders>
            <w:gridSpan w:val="3"/>
          </w:tcPr>
          <w:p>
            <w:pPr>
              <w:jc w:val="center"/>
              <w:ind w:right="15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LAN</w:t>
            </w:r>
            <w:r>
              <w:rPr>
                <w:rFonts w:ascii="Arial" w:cs="Arial" w:eastAsia="Arial" w:hAnsi="Arial"/>
                <w:sz w:val="18"/>
                <w:szCs w:val="18"/>
                <w:color w:val="auto"/>
              </w:rPr>
              <w:t xml:space="preserve"> S. B</w:t>
            </w:r>
            <w:r>
              <w:rPr>
                <w:rFonts w:ascii="Arial" w:cs="Arial" w:eastAsia="Arial" w:hAnsi="Arial"/>
                <w:sz w:val="14"/>
                <w:szCs w:val="14"/>
                <w:color w:val="auto"/>
              </w:rPr>
              <w:t>ERNIKOW</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19, 2010</w:t>
            </w:r>
          </w:p>
        </w:tc>
      </w:tr>
      <w:tr>
        <w:trPr>
          <w:trHeight w:val="169"/>
        </w:trPr>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89"/>
              </w:rPr>
              <w:t>Alan S. Bernikow</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11"/>
        </w:trPr>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020" w:type="dxa"/>
            <w:vAlign w:val="bottom"/>
            <w:tcBorders>
              <w:bottom w:val="single" w:sz="8" w:color="auto"/>
            </w:tcBorders>
            <w:gridSpan w:val="3"/>
          </w:tcPr>
          <w:p>
            <w:pPr>
              <w:jc w:val="center"/>
              <w:ind w:right="1500"/>
              <w:spacing w:after="0"/>
              <w:rPr>
                <w:sz w:val="20"/>
                <w:szCs w:val="20"/>
                <w:color w:val="auto"/>
              </w:rPr>
            </w:pPr>
            <w:r>
              <w:rPr>
                <w:rFonts w:ascii="Arial" w:cs="Arial" w:eastAsia="Arial" w:hAnsi="Arial"/>
                <w:sz w:val="18"/>
                <w:szCs w:val="18"/>
                <w:color w:val="auto"/>
                <w:w w:val="93"/>
              </w:rPr>
              <w:t>J</w:t>
            </w:r>
            <w:r>
              <w:rPr>
                <w:rFonts w:ascii="Arial" w:cs="Arial" w:eastAsia="Arial" w:hAnsi="Arial"/>
                <w:sz w:val="14"/>
                <w:szCs w:val="14"/>
                <w:color w:val="auto"/>
                <w:w w:val="93"/>
              </w:rPr>
              <w:t>ESSE</w:t>
            </w:r>
            <w:r>
              <w:rPr>
                <w:rFonts w:ascii="Arial" w:cs="Arial" w:eastAsia="Arial" w:hAnsi="Arial"/>
                <w:sz w:val="18"/>
                <w:szCs w:val="18"/>
                <w:color w:val="auto"/>
                <w:w w:val="93"/>
              </w:rPr>
              <w:t xml:space="preserve"> H. C</w:t>
            </w:r>
            <w:r>
              <w:rPr>
                <w:rFonts w:ascii="Arial" w:cs="Arial" w:eastAsia="Arial" w:hAnsi="Arial"/>
                <w:sz w:val="14"/>
                <w:szCs w:val="14"/>
                <w:color w:val="auto"/>
                <w:w w:val="93"/>
              </w:rPr>
              <w:t>HOPER</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19, 2010</w:t>
            </w:r>
          </w:p>
        </w:tc>
      </w:tr>
      <w:tr>
        <w:trPr>
          <w:trHeight w:val="169"/>
        </w:trPr>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83"/>
              </w:rPr>
              <w:t>Jesse H. Choper</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11"/>
        </w:trPr>
        <w:tc>
          <w:tcPr>
            <w:tcW w:w="1560" w:type="dxa"/>
            <w:vAlign w:val="bottom"/>
            <w:tcBorders>
              <w:bottom w:val="single" w:sz="8" w:color="auto"/>
            </w:tcBorders>
            <w:gridSpan w:val="2"/>
          </w:tcPr>
          <w:p>
            <w:pPr>
              <w:ind w:left="1280"/>
              <w:spacing w:after="0"/>
              <w:rPr>
                <w:sz w:val="20"/>
                <w:szCs w:val="20"/>
                <w:color w:val="auto"/>
              </w:rPr>
            </w:pPr>
            <w:r>
              <w:rPr>
                <w:rFonts w:ascii="Arial" w:cs="Arial" w:eastAsia="Arial" w:hAnsi="Arial"/>
                <w:sz w:val="18"/>
                <w:szCs w:val="18"/>
                <w:color w:val="auto"/>
              </w:rPr>
              <w:t>/s/</w:t>
            </w:r>
          </w:p>
        </w:tc>
        <w:tc>
          <w:tcPr>
            <w:tcW w:w="3020" w:type="dxa"/>
            <w:vAlign w:val="bottom"/>
            <w:tcBorders>
              <w:bottom w:val="single" w:sz="8" w:color="auto"/>
            </w:tcBorders>
            <w:gridSpan w:val="3"/>
          </w:tcPr>
          <w:p>
            <w:pPr>
              <w:jc w:val="center"/>
              <w:ind w:right="150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ARD</w:t>
            </w:r>
            <w:r>
              <w:rPr>
                <w:rFonts w:ascii="Arial" w:cs="Arial" w:eastAsia="Arial" w:hAnsi="Arial"/>
                <w:sz w:val="18"/>
                <w:szCs w:val="18"/>
                <w:color w:val="auto"/>
              </w:rPr>
              <w:t xml:space="preserve"> K. M</w:t>
            </w:r>
            <w:r>
              <w:rPr>
                <w:rFonts w:ascii="Arial" w:cs="Arial" w:eastAsia="Arial" w:hAnsi="Arial"/>
                <w:sz w:val="14"/>
                <w:szCs w:val="14"/>
                <w:color w:val="auto"/>
              </w:rPr>
              <w:t>OONEY</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19, 2010</w:t>
            </w:r>
          </w:p>
        </w:tc>
      </w:tr>
      <w:tr>
        <w:trPr>
          <w:trHeight w:val="169"/>
        </w:trPr>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91"/>
              </w:rPr>
              <w:t>Ward K. Mooney</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11"/>
        </w:trPr>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gridSpan w:val="4"/>
          </w:tcPr>
          <w:p>
            <w:pPr>
              <w:jc w:val="center"/>
              <w:ind w:right="1340"/>
              <w:spacing w:after="0"/>
              <w:rPr>
                <w:sz w:val="20"/>
                <w:szCs w:val="20"/>
                <w:color w:val="auto"/>
              </w:rPr>
            </w:pPr>
            <w:r>
              <w:rPr>
                <w:rFonts w:ascii="Arial" w:cs="Arial" w:eastAsia="Arial" w:hAnsi="Arial"/>
                <w:sz w:val="18"/>
                <w:szCs w:val="18"/>
                <w:color w:val="auto"/>
                <w:w w:val="91"/>
              </w:rPr>
              <w:t>G</w:t>
            </w:r>
            <w:r>
              <w:rPr>
                <w:rFonts w:ascii="Arial" w:cs="Arial" w:eastAsia="Arial" w:hAnsi="Arial"/>
                <w:sz w:val="14"/>
                <w:szCs w:val="14"/>
                <w:color w:val="auto"/>
                <w:w w:val="91"/>
              </w:rPr>
              <w:t>EORGE</w:t>
            </w:r>
            <w:r>
              <w:rPr>
                <w:rFonts w:ascii="Arial" w:cs="Arial" w:eastAsia="Arial" w:hAnsi="Arial"/>
                <w:sz w:val="18"/>
                <w:szCs w:val="18"/>
                <w:color w:val="auto"/>
                <w:w w:val="91"/>
              </w:rPr>
              <w:t xml:space="preserve"> T. P</w:t>
            </w:r>
            <w:r>
              <w:rPr>
                <w:rFonts w:ascii="Arial" w:cs="Arial" w:eastAsia="Arial" w:hAnsi="Arial"/>
                <w:sz w:val="14"/>
                <w:szCs w:val="14"/>
                <w:color w:val="auto"/>
                <w:w w:val="91"/>
              </w:rPr>
              <w:t>ORTER</w:t>
            </w:r>
            <w:r>
              <w:rPr>
                <w:rFonts w:ascii="Arial" w:cs="Arial" w:eastAsia="Arial" w:hAnsi="Arial"/>
                <w:sz w:val="18"/>
                <w:szCs w:val="18"/>
                <w:color w:val="auto"/>
                <w:w w:val="91"/>
              </w:rPr>
              <w:t>, J</w:t>
            </w:r>
            <w:r>
              <w:rPr>
                <w:rFonts w:ascii="Arial" w:cs="Arial" w:eastAsia="Arial" w:hAnsi="Arial"/>
                <w:sz w:val="14"/>
                <w:szCs w:val="14"/>
                <w:color w:val="auto"/>
                <w:w w:val="91"/>
              </w:rPr>
              <w:t>R</w:t>
            </w:r>
            <w:r>
              <w:rPr>
                <w:rFonts w:ascii="Arial" w:cs="Arial" w:eastAsia="Arial" w:hAnsi="Arial"/>
                <w:sz w:val="18"/>
                <w:szCs w:val="18"/>
                <w:color w:val="auto"/>
                <w:w w:val="91"/>
              </w:rPr>
              <w:t>.</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19, 2010</w:t>
            </w:r>
          </w:p>
        </w:tc>
      </w:tr>
      <w:tr>
        <w:trPr>
          <w:trHeight w:val="169"/>
        </w:trPr>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87"/>
              </w:rPr>
              <w:t>George T. Porter, Jr.</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11"/>
        </w:trPr>
        <w:tc>
          <w:tcPr>
            <w:tcW w:w="13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83"/>
              </w:rPr>
              <w:t>/s/</w:t>
            </w:r>
          </w:p>
        </w:tc>
        <w:tc>
          <w:tcPr>
            <w:tcW w:w="3240" w:type="dxa"/>
            <w:vAlign w:val="bottom"/>
            <w:tcBorders>
              <w:bottom w:val="single" w:sz="8" w:color="auto"/>
            </w:tcBorders>
            <w:gridSpan w:val="4"/>
          </w:tcPr>
          <w:p>
            <w:pPr>
              <w:jc w:val="center"/>
              <w:ind w:right="1280"/>
              <w:spacing w:after="0"/>
              <w:rPr>
                <w:sz w:val="20"/>
                <w:szCs w:val="20"/>
                <w:color w:val="auto"/>
              </w:rPr>
            </w:pPr>
            <w:r>
              <w:rPr>
                <w:rFonts w:ascii="Arial" w:cs="Arial" w:eastAsia="Arial" w:hAnsi="Arial"/>
                <w:sz w:val="18"/>
                <w:szCs w:val="18"/>
                <w:color w:val="auto"/>
                <w:w w:val="96"/>
              </w:rPr>
              <w:t>M</w:t>
            </w:r>
            <w:r>
              <w:rPr>
                <w:rFonts w:ascii="Arial" w:cs="Arial" w:eastAsia="Arial" w:hAnsi="Arial"/>
                <w:sz w:val="14"/>
                <w:szCs w:val="14"/>
                <w:color w:val="auto"/>
                <w:w w:val="96"/>
              </w:rPr>
              <w:t>ITCHELL</w:t>
            </w:r>
            <w:r>
              <w:rPr>
                <w:rFonts w:ascii="Arial" w:cs="Arial" w:eastAsia="Arial" w:hAnsi="Arial"/>
                <w:sz w:val="18"/>
                <w:szCs w:val="18"/>
                <w:color w:val="auto"/>
                <w:w w:val="96"/>
              </w:rPr>
              <w:t xml:space="preserve"> S. P</w:t>
            </w:r>
            <w:r>
              <w:rPr>
                <w:rFonts w:ascii="Arial" w:cs="Arial" w:eastAsia="Arial" w:hAnsi="Arial"/>
                <w:sz w:val="14"/>
                <w:szCs w:val="14"/>
                <w:color w:val="auto"/>
                <w:w w:val="96"/>
              </w:rPr>
              <w:t>RESSER</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19, 2010</w:t>
            </w:r>
          </w:p>
        </w:tc>
      </w:tr>
      <w:tr>
        <w:trPr>
          <w:trHeight w:val="169"/>
        </w:trPr>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86"/>
              </w:rPr>
              <w:t>Mitchell S. Presser</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11"/>
        </w:trPr>
        <w:tc>
          <w:tcPr>
            <w:tcW w:w="13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83"/>
              </w:rPr>
              <w:t>/s/</w:t>
            </w:r>
          </w:p>
        </w:tc>
        <w:tc>
          <w:tcPr>
            <w:tcW w:w="3240" w:type="dxa"/>
            <w:vAlign w:val="bottom"/>
            <w:tcBorders>
              <w:bottom w:val="single" w:sz="8" w:color="auto"/>
            </w:tcBorders>
            <w:gridSpan w:val="4"/>
          </w:tcPr>
          <w:p>
            <w:pPr>
              <w:jc w:val="center"/>
              <w:ind w:right="128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L. S</w:t>
            </w:r>
            <w:r>
              <w:rPr>
                <w:rFonts w:ascii="Arial" w:cs="Arial" w:eastAsia="Arial" w:hAnsi="Arial"/>
                <w:sz w:val="14"/>
                <w:szCs w:val="14"/>
                <w:color w:val="auto"/>
                <w:w w:val="97"/>
              </w:rPr>
              <w:t>OCKOLOV</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19, 2010</w:t>
            </w:r>
          </w:p>
        </w:tc>
      </w:tr>
      <w:tr>
        <w:trPr>
          <w:trHeight w:val="169"/>
        </w:trPr>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87"/>
              </w:rPr>
              <w:t>Robert L. Sockolov</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50"/>
        </w:trPr>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20" w:type="dxa"/>
            <w:vAlign w:val="bottom"/>
          </w:tcPr>
          <w:p>
            <w:pPr>
              <w:ind w:left="104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This Employment Agreement (“Agreement”) is made as of January 7, 2010 between CMRG APPAREL, LLC, (the “Company”) a “Related Entity”, as defined in the 2006 Incentive Compensation Plan, of Casual Male Retail Group, Inc., a Delaware corporation with an office at 555 Turnpike Street, Canton, Massachusetts, 02021 (“CMRG” which term includes any affiliates and subsidiaries), and Richard S. Della Bernarda (the “Executive”) having an address at 44 Chandler Street, Apt. #4, Boston, MA 02116.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Chief Marketing Officer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13" w:lineRule="exact"/>
        <w:rPr>
          <w:sz w:val="20"/>
          <w:szCs w:val="20"/>
          <w:color w:val="auto"/>
        </w:rPr>
      </w:pPr>
    </w:p>
    <w:p>
      <w:pPr>
        <w:ind w:left="1100" w:hanging="179"/>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Senior Vice President, Chief Marketing Officer.</w:t>
      </w:r>
    </w:p>
    <w:p>
      <w:pPr>
        <w:spacing w:after="0" w:line="246" w:lineRule="exact"/>
        <w:rPr>
          <w:sz w:val="20"/>
          <w:szCs w:val="20"/>
          <w:color w:val="auto"/>
        </w:rPr>
      </w:pPr>
    </w:p>
    <w:p>
      <w:pPr>
        <w:ind w:left="1100" w:hanging="179"/>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term of employment under this Agreement (the “Term of Employment”) shall begin on the date set forth above (the “Effective Date”) and shall continue until terminated by either party as hereinafter set forth.</w:t>
      </w:r>
    </w:p>
    <w:p>
      <w:pPr>
        <w:spacing w:after="0" w:line="213" w:lineRule="exact"/>
        <w:rPr>
          <w:sz w:val="20"/>
          <w:szCs w:val="20"/>
          <w:color w:val="auto"/>
        </w:rPr>
      </w:pPr>
    </w:p>
    <w:p>
      <w:pPr>
        <w:ind w:left="1100" w:hanging="179"/>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sz w:val="20"/>
          <w:szCs w:val="20"/>
          <w:color w:val="auto"/>
        </w:rPr>
      </w:pPr>
    </w:p>
    <w:p>
      <w:pPr>
        <w:ind w:right="200" w:firstLine="921"/>
        <w:spacing w:after="0" w:line="255" w:lineRule="auto"/>
        <w:tabs>
          <w:tab w:leader="none" w:pos="11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Fifty-Three Thousand Dollars and 00/100 Cents ($253,000.00)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142" w:lineRule="exact"/>
        <w:rPr>
          <w:rFonts w:ascii="Arial" w:cs="Arial" w:eastAsia="Arial" w:hAnsi="Arial"/>
          <w:sz w:val="18"/>
          <w:szCs w:val="18"/>
          <w:color w:val="auto"/>
        </w:rPr>
      </w:pPr>
    </w:p>
    <w:p>
      <w:pPr>
        <w:ind w:right="20" w:firstLine="921"/>
        <w:spacing w:after="0" w:line="259" w:lineRule="auto"/>
        <w:tabs>
          <w:tab w:leader="none" w:pos="116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w:t>
      </w:r>
    </w:p>
    <w:p>
      <w:pPr>
        <w:sectPr>
          <w:pgSz w:w="11900" w:h="16838" w:orient="portrait"/>
          <w:cols w:equalWidth="0" w:num="1">
            <w:col w:w="11420"/>
          </w:cols>
          <w:pgMar w:left="240" w:top="125" w:right="239" w:bottom="1440" w:gutter="0" w:footer="0" w:header="0"/>
        </w:sectPr>
      </w:pPr>
    </w:p>
    <w:bookmarkStart w:id="83" w:name="page84"/>
    <w:bookmarkEnd w:id="83"/>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participate in the Company’s incentive program and Executive’s target bonus under such plan (if all individual and Company performance conditions are met) shall be 35%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13" w:lineRule="exact"/>
        <w:rPr>
          <w:sz w:val="20"/>
          <w:szCs w:val="20"/>
          <w:color w:val="auto"/>
        </w:rPr>
      </w:pPr>
    </w:p>
    <w:p>
      <w:pPr>
        <w:ind w:right="20" w:firstLine="921"/>
        <w:spacing w:after="0" w:line="255" w:lineRule="auto"/>
        <w:tabs>
          <w:tab w:leader="none" w:pos="11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24" w:lineRule="exact"/>
        <w:rPr>
          <w:sz w:val="20"/>
          <w:szCs w:val="20"/>
          <w:color w:val="auto"/>
        </w:rPr>
      </w:pPr>
    </w:p>
    <w:p>
      <w:pPr>
        <w:ind w:left="1100" w:hanging="179"/>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240" w:firstLine="913"/>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94" w:lineRule="exact"/>
        <w:rPr>
          <w:sz w:val="20"/>
          <w:szCs w:val="20"/>
          <w:color w:val="auto"/>
        </w:rPr>
      </w:pPr>
    </w:p>
    <w:p>
      <w:pPr>
        <w:ind w:left="1100" w:hanging="179"/>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sz w:val="20"/>
          <w:szCs w:val="20"/>
          <w:color w:val="auto"/>
        </w:rPr>
      </w:pPr>
    </w:p>
    <w:p>
      <w:pPr>
        <w:ind w:right="280" w:firstLine="921"/>
        <w:spacing w:after="0" w:line="298" w:lineRule="auto"/>
        <w:tabs>
          <w:tab w:leader="none" w:pos="1152" w:val="left"/>
        </w:tabs>
        <w:numPr>
          <w:ilvl w:val="0"/>
          <w:numId w:val="30"/>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firstLine="921"/>
        <w:spacing w:after="0" w:line="256" w:lineRule="auto"/>
        <w:tabs>
          <w:tab w:leader="none" w:pos="11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will, during the Term of Employment, provide Executive with an automobile allowance in the total amount of Eight Thousand Four Hundred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84" w:name="page85"/>
    <w:bookmarkEnd w:id="84"/>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Executive will be eligible to participate in the Company’s annual performance appraisal process.</w:t>
      </w:r>
    </w:p>
    <w:p>
      <w:pPr>
        <w:spacing w:after="0" w:line="252" w:lineRule="exact"/>
        <w:rPr>
          <w:sz w:val="20"/>
          <w:szCs w:val="20"/>
          <w:color w:val="auto"/>
        </w:rPr>
      </w:pPr>
    </w:p>
    <w:p>
      <w:pPr>
        <w:ind w:left="1060" w:hanging="179"/>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sz w:val="20"/>
          <w:szCs w:val="20"/>
          <w:color w:val="auto"/>
        </w:rPr>
      </w:pPr>
    </w:p>
    <w:p>
      <w:pPr>
        <w:ind w:left="-40" w:firstLine="921"/>
        <w:spacing w:after="0" w:line="259" w:lineRule="auto"/>
        <w:tabs>
          <w:tab w:leader="none" w:pos="11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Chief Marketing Officer and/or as the Company shall from time to time determine and Executive shall comply in the performance of his duties with the policies of, and be subject to the direction of the Company.</w:t>
      </w:r>
    </w:p>
    <w:p>
      <w:pPr>
        <w:spacing w:after="0" w:line="140" w:lineRule="exact"/>
        <w:rPr>
          <w:rFonts w:ascii="Arial" w:cs="Arial" w:eastAsia="Arial" w:hAnsi="Arial"/>
          <w:sz w:val="18"/>
          <w:szCs w:val="18"/>
          <w:color w:val="auto"/>
        </w:rPr>
      </w:pPr>
    </w:p>
    <w:p>
      <w:pPr>
        <w:ind w:left="-40" w:right="140" w:firstLine="921"/>
        <w:spacing w:after="0" w:line="298" w:lineRule="auto"/>
        <w:tabs>
          <w:tab w:leader="none" w:pos="1122" w:val="left"/>
        </w:tabs>
        <w:numPr>
          <w:ilvl w:val="0"/>
          <w:numId w:val="32"/>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12" w:lineRule="exact"/>
        <w:rPr>
          <w:rFonts w:ascii="Arial" w:cs="Arial" w:eastAsia="Arial" w:hAnsi="Arial"/>
          <w:sz w:val="16"/>
          <w:szCs w:val="16"/>
          <w:color w:val="auto"/>
        </w:rPr>
      </w:pPr>
    </w:p>
    <w:p>
      <w:pPr>
        <w:jc w:val="both"/>
        <w:ind w:left="-40" w:right="20" w:firstLine="921"/>
        <w:spacing w:after="0" w:line="335" w:lineRule="auto"/>
        <w:tabs>
          <w:tab w:leader="none" w:pos="1112"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169" w:lineRule="exact"/>
        <w:rPr>
          <w:sz w:val="20"/>
          <w:szCs w:val="20"/>
          <w:color w:val="auto"/>
        </w:rPr>
      </w:pPr>
    </w:p>
    <w:p>
      <w:pPr>
        <w:ind w:left="1060" w:hanging="179"/>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sz w:val="20"/>
          <w:szCs w:val="20"/>
          <w:color w:val="auto"/>
        </w:rPr>
      </w:pPr>
    </w:p>
    <w:p>
      <w:pPr>
        <w:ind w:left="1120" w:hanging="239"/>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171" w:lineRule="exact"/>
        <w:rPr>
          <w:rFonts w:ascii="Arial" w:cs="Arial" w:eastAsia="Arial" w:hAnsi="Arial"/>
          <w:sz w:val="18"/>
          <w:szCs w:val="18"/>
          <w:color w:val="auto"/>
        </w:rPr>
      </w:pPr>
    </w:p>
    <w:p>
      <w:pPr>
        <w:jc w:val="both"/>
        <w:ind w:left="-40" w:right="140" w:firstLine="1492"/>
        <w:spacing w:after="0" w:line="259" w:lineRule="auto"/>
        <w:tabs>
          <w:tab w:leader="none" w:pos="1653" w:val="left"/>
        </w:tabs>
        <w:numPr>
          <w:ilvl w:val="1"/>
          <w:numId w:val="34"/>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1720" w:hanging="268"/>
        <w:spacing w:after="0"/>
        <w:tabs>
          <w:tab w:leader="none" w:pos="1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171" w:lineRule="exact"/>
        <w:rPr>
          <w:rFonts w:ascii="Arial" w:cs="Arial" w:eastAsia="Arial" w:hAnsi="Arial"/>
          <w:sz w:val="18"/>
          <w:szCs w:val="18"/>
          <w:color w:val="auto"/>
        </w:rPr>
      </w:pPr>
    </w:p>
    <w:p>
      <w:pPr>
        <w:ind w:left="1120" w:hanging="239"/>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171" w:lineRule="exact"/>
        <w:rPr>
          <w:rFonts w:ascii="Arial" w:cs="Arial" w:eastAsia="Arial" w:hAnsi="Arial"/>
          <w:sz w:val="18"/>
          <w:szCs w:val="18"/>
          <w:color w:val="auto"/>
        </w:rPr>
      </w:pPr>
    </w:p>
    <w:p>
      <w:pPr>
        <w:ind w:left="1660" w:hanging="208"/>
        <w:spacing w:after="0"/>
        <w:tabs>
          <w:tab w:leader="none" w:pos="1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rFonts w:ascii="Arial" w:cs="Arial" w:eastAsia="Arial" w:hAnsi="Arial"/>
          <w:sz w:val="18"/>
          <w:szCs w:val="18"/>
          <w:color w:val="auto"/>
        </w:rPr>
      </w:pPr>
    </w:p>
    <w:p>
      <w:pPr>
        <w:ind w:left="-40" w:right="260" w:firstLine="1492"/>
        <w:spacing w:after="0" w:line="268" w:lineRule="auto"/>
        <w:tabs>
          <w:tab w:leader="none" w:pos="1702"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date on which the Company elects to terminate the Term of Employment by reason of the “disability” of Executive (as hereinafter defined in subsection (c) herein) pursuant to subsection (g) hereof;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85" w:name="page86"/>
    <w:bookmarkEnd w:id="85"/>
    <w:p>
      <w:pPr>
        <w:ind w:left="1840" w:hanging="440"/>
        <w:spacing w:after="0"/>
        <w:tabs>
          <w:tab w:leader="none" w:pos="1840" w:val="left"/>
        </w:tabs>
        <w:numPr>
          <w:ilvl w:val="1"/>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Executive’s resignation of employment.</w:t>
      </w:r>
    </w:p>
    <w:p>
      <w:pPr>
        <w:spacing w:after="0" w:line="171" w:lineRule="exact"/>
        <w:rPr>
          <w:rFonts w:ascii="Arial" w:cs="Arial" w:eastAsia="Arial" w:hAnsi="Arial"/>
          <w:sz w:val="18"/>
          <w:szCs w:val="18"/>
          <w:color w:val="auto"/>
        </w:rPr>
      </w:pPr>
    </w:p>
    <w:p>
      <w:pPr>
        <w:ind w:left="-80" w:right="20" w:firstLine="921"/>
        <w:spacing w:after="0" w:line="259" w:lineRule="auto"/>
        <w:tabs>
          <w:tab w:leader="none" w:pos="107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80" w:right="20" w:firstLine="921"/>
        <w:spacing w:after="0" w:line="287" w:lineRule="auto"/>
        <w:tabs>
          <w:tab w:leader="none" w:pos="1082"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22" w:lineRule="exact"/>
        <w:rPr>
          <w:rFonts w:ascii="Arial" w:cs="Arial" w:eastAsia="Arial" w:hAnsi="Arial"/>
          <w:sz w:val="16"/>
          <w:szCs w:val="16"/>
          <w:color w:val="auto"/>
        </w:rPr>
      </w:pPr>
    </w:p>
    <w:p>
      <w:pPr>
        <w:ind w:left="-80" w:firstLine="921"/>
        <w:spacing w:after="0" w:line="289" w:lineRule="auto"/>
        <w:tabs>
          <w:tab w:leader="none" w:pos="1072"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18" w:lineRule="exact"/>
        <w:rPr>
          <w:rFonts w:ascii="Arial" w:cs="Arial" w:eastAsia="Arial" w:hAnsi="Arial"/>
          <w:sz w:val="16"/>
          <w:szCs w:val="16"/>
          <w:color w:val="auto"/>
        </w:rPr>
      </w:pPr>
    </w:p>
    <w:p>
      <w:pPr>
        <w:ind w:left="-80" w:right="180" w:firstLine="921"/>
        <w:spacing w:after="0" w:line="259" w:lineRule="auto"/>
        <w:tabs>
          <w:tab w:leader="none" w:pos="10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40" w:lineRule="exact"/>
        <w:rPr>
          <w:rFonts w:ascii="Arial" w:cs="Arial" w:eastAsia="Arial" w:hAnsi="Arial"/>
          <w:sz w:val="18"/>
          <w:szCs w:val="18"/>
          <w:color w:val="auto"/>
        </w:rPr>
      </w:pPr>
    </w:p>
    <w:p>
      <w:pPr>
        <w:ind w:left="-80" w:right="620" w:firstLine="921"/>
        <w:spacing w:after="0" w:line="268" w:lineRule="auto"/>
        <w:tabs>
          <w:tab w:leader="none" w:pos="1082"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Executive’s “disability”, the Company shall have the right to terminate Executive’s employment. Any termination pursuant to this subsection (g) shall be effective 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320" w:top="280" w:right="299" w:bottom="1440" w:gutter="0" w:footer="0" w:header="0"/>
        </w:sectPr>
      </w:pPr>
    </w:p>
    <w:bookmarkStart w:id="86" w:name="page87"/>
    <w:bookmarkEnd w:id="86"/>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85" w:lineRule="exact"/>
        <w:rPr>
          <w:sz w:val="20"/>
          <w:szCs w:val="20"/>
          <w:color w:val="auto"/>
        </w:rPr>
      </w:pPr>
    </w:p>
    <w:p>
      <w:pPr>
        <w:ind w:right="100" w:firstLine="921"/>
        <w:spacing w:after="0" w:line="335" w:lineRule="auto"/>
        <w:tabs>
          <w:tab w:leader="none" w:pos="1162" w:val="left"/>
        </w:tabs>
        <w:numPr>
          <w:ilvl w:val="1"/>
          <w:numId w:val="37"/>
        </w:numPr>
        <w:rPr>
          <w:rFonts w:ascii="Arial" w:cs="Arial" w:eastAsia="Arial" w:hAnsi="Arial"/>
          <w:sz w:val="15"/>
          <w:szCs w:val="15"/>
          <w:color w:val="auto"/>
        </w:rPr>
      </w:pPr>
      <w:r>
        <w:rPr>
          <w:rFonts w:ascii="Arial" w:cs="Arial" w:eastAsia="Arial" w:hAnsi="Arial"/>
          <w:sz w:val="15"/>
          <w:szCs w:val="15"/>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88" w:lineRule="exact"/>
        <w:rPr>
          <w:rFonts w:ascii="Arial" w:cs="Arial" w:eastAsia="Arial" w:hAnsi="Arial"/>
          <w:sz w:val="15"/>
          <w:szCs w:val="15"/>
          <w:color w:val="auto"/>
        </w:rPr>
      </w:pPr>
    </w:p>
    <w:p>
      <w:pPr>
        <w:ind w:right="20" w:firstLine="921"/>
        <w:spacing w:after="0" w:line="301" w:lineRule="auto"/>
        <w:tabs>
          <w:tab w:leader="none" w:pos="1123" w:val="left"/>
        </w:tabs>
        <w:numPr>
          <w:ilvl w:val="1"/>
          <w:numId w:val="37"/>
        </w:numPr>
        <w:rPr>
          <w:rFonts w:ascii="Arial" w:cs="Arial" w:eastAsia="Arial" w:hAnsi="Arial"/>
          <w:sz w:val="15"/>
          <w:szCs w:val="15"/>
          <w:color w:val="auto"/>
        </w:rPr>
      </w:pPr>
      <w:r>
        <w:rPr>
          <w:rFonts w:ascii="Arial" w:cs="Arial" w:eastAsia="Arial" w:hAnsi="Arial"/>
          <w:sz w:val="15"/>
          <w:szCs w:val="15"/>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Good Reason”</w:t>
      </w:r>
      <w:r>
        <w:rPr>
          <w:rFonts w:ascii="Arial" w:cs="Arial" w:eastAsia="Arial" w:hAnsi="Arial"/>
          <w:sz w:val="15"/>
          <w:szCs w:val="15"/>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w:t>
      </w:r>
    </w:p>
    <w:p>
      <w:pPr>
        <w:spacing w:after="0" w:line="4" w:lineRule="exact"/>
        <w:rPr>
          <w:rFonts w:ascii="Arial" w:cs="Arial" w:eastAsia="Arial" w:hAnsi="Arial"/>
          <w:sz w:val="15"/>
          <w:szCs w:val="15"/>
          <w:color w:val="auto"/>
        </w:rPr>
      </w:pPr>
    </w:p>
    <w:p>
      <w:pPr>
        <w:ind w:firstLine="8"/>
        <w:spacing w:after="0" w:line="288" w:lineRule="auto"/>
        <w:tabs>
          <w:tab w:leader="none" w:pos="297" w:val="left"/>
        </w:tabs>
        <w:numPr>
          <w:ilvl w:val="0"/>
          <w:numId w:val="38"/>
        </w:numPr>
        <w:rPr>
          <w:rFonts w:ascii="Arial" w:cs="Arial" w:eastAsia="Arial" w:hAnsi="Arial"/>
          <w:sz w:val="16"/>
          <w:szCs w:val="16"/>
          <w:color w:val="auto"/>
        </w:rPr>
      </w:pPr>
      <w:r>
        <w:rPr>
          <w:rFonts w:ascii="Arial" w:cs="Arial" w:eastAsia="Arial" w:hAnsi="Arial"/>
          <w:sz w:val="16"/>
          <w:szCs w:val="16"/>
          <w:color w:val="auto"/>
        </w:rPr>
        <w:t>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22" w:lineRule="exact"/>
        <w:rPr>
          <w:rFonts w:ascii="Arial" w:cs="Arial" w:eastAsia="Arial" w:hAnsi="Arial"/>
          <w:sz w:val="16"/>
          <w:szCs w:val="16"/>
          <w:color w:val="auto"/>
        </w:rPr>
      </w:pPr>
    </w:p>
    <w:p>
      <w:pPr>
        <w:ind w:right="100" w:firstLine="921"/>
        <w:spacing w:after="0" w:line="268" w:lineRule="auto"/>
        <w:tabs>
          <w:tab w:leader="none" w:pos="1123" w:val="left"/>
        </w:tabs>
        <w:numPr>
          <w:ilvl w:val="1"/>
          <w:numId w:val="38"/>
        </w:numPr>
        <w:rPr>
          <w:rFonts w:ascii="Arial" w:cs="Arial" w:eastAsia="Arial" w:hAnsi="Arial"/>
          <w:sz w:val="18"/>
          <w:szCs w:val="18"/>
          <w:color w:val="auto"/>
        </w:rPr>
      </w:pPr>
      <w:r>
        <w:rPr>
          <w:rFonts w:ascii="Arial" w:cs="Arial" w:eastAsia="Arial" w:hAnsi="Arial"/>
          <w:sz w:val="18"/>
          <w:szCs w:val="18"/>
          <w:color w:val="auto"/>
        </w:rPr>
        <w:t>Clawback of Certain Compensation and Benefits. If, after the termination of the Term of Employment for any reason other than by the Company for “justifiable cause”:</w:t>
      </w:r>
    </w:p>
    <w:p>
      <w:pPr>
        <w:spacing w:after="0" w:line="132" w:lineRule="exact"/>
        <w:rPr>
          <w:sz w:val="20"/>
          <w:szCs w:val="20"/>
          <w:color w:val="auto"/>
        </w:rPr>
      </w:pPr>
    </w:p>
    <w:p>
      <w:pPr>
        <w:ind w:right="160" w:firstLine="1492"/>
        <w:spacing w:after="0" w:line="256" w:lineRule="auto"/>
        <w:tabs>
          <w:tab w:leader="none" w:pos="1693"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7" w:name="page88"/>
    <w:bookmarkEnd w:id="87"/>
    <w:p>
      <w:pPr>
        <w:ind w:left="-20" w:right="240" w:firstLine="1492"/>
        <w:spacing w:after="0" w:line="306" w:lineRule="auto"/>
        <w:tabs>
          <w:tab w:leader="none" w:pos="1722" w:val="left"/>
        </w:tabs>
        <w:numPr>
          <w:ilvl w:val="1"/>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06" w:lineRule="exact"/>
        <w:rPr>
          <w:rFonts w:ascii="Arial" w:cs="Arial" w:eastAsia="Arial" w:hAnsi="Arial"/>
          <w:sz w:val="16"/>
          <w:szCs w:val="16"/>
          <w:color w:val="auto"/>
        </w:rPr>
      </w:pPr>
    </w:p>
    <w:p>
      <w:pPr>
        <w:ind w:left="-20" w:firstLine="2404"/>
        <w:spacing w:after="0" w:line="294" w:lineRule="auto"/>
        <w:tabs>
          <w:tab w:leader="none" w:pos="2664" w:val="left"/>
        </w:tabs>
        <w:numPr>
          <w:ilvl w:val="2"/>
          <w:numId w:val="40"/>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15" w:lineRule="exact"/>
        <w:rPr>
          <w:rFonts w:ascii="Arial" w:cs="Arial" w:eastAsia="Arial" w:hAnsi="Arial"/>
          <w:sz w:val="16"/>
          <w:szCs w:val="16"/>
          <w:color w:val="auto"/>
        </w:rPr>
      </w:pPr>
    </w:p>
    <w:p>
      <w:pPr>
        <w:ind w:left="-20" w:right="700" w:firstLine="2404"/>
        <w:spacing w:after="0" w:line="268" w:lineRule="auto"/>
        <w:tabs>
          <w:tab w:leader="none" w:pos="2654" w:val="left"/>
        </w:tabs>
        <w:numPr>
          <w:ilvl w:val="2"/>
          <w:numId w:val="40"/>
        </w:numPr>
        <w:rPr>
          <w:rFonts w:ascii="Arial" w:cs="Arial" w:eastAsia="Arial" w:hAnsi="Arial"/>
          <w:sz w:val="18"/>
          <w:szCs w:val="18"/>
          <w:color w:val="auto"/>
        </w:rPr>
      </w:pPr>
      <w:r>
        <w:rPr>
          <w:rFonts w:ascii="Arial" w:cs="Arial" w:eastAsia="Arial" w:hAnsi="Arial"/>
          <w:sz w:val="18"/>
          <w:szCs w:val="18"/>
          <w:color w:val="auto"/>
        </w:rPr>
        <w:t>all vested and unvested Awards (as that term is defined in the 2006 Incentive Compensation Plan) then held by the Executive shall immediately expire; and</w:t>
      </w:r>
    </w:p>
    <w:p>
      <w:pPr>
        <w:spacing w:after="0" w:line="131" w:lineRule="exact"/>
        <w:rPr>
          <w:rFonts w:ascii="Arial" w:cs="Arial" w:eastAsia="Arial" w:hAnsi="Arial"/>
          <w:sz w:val="18"/>
          <w:szCs w:val="18"/>
          <w:color w:val="auto"/>
        </w:rPr>
      </w:pPr>
    </w:p>
    <w:p>
      <w:pPr>
        <w:ind w:left="-20" w:right="40" w:firstLine="2404"/>
        <w:spacing w:after="0" w:line="289" w:lineRule="auto"/>
        <w:tabs>
          <w:tab w:leader="none" w:pos="2654" w:val="left"/>
        </w:tabs>
        <w:numPr>
          <w:ilvl w:val="2"/>
          <w:numId w:val="40"/>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18" w:lineRule="exact"/>
        <w:rPr>
          <w:rFonts w:ascii="Arial" w:cs="Arial" w:eastAsia="Arial" w:hAnsi="Arial"/>
          <w:sz w:val="16"/>
          <w:szCs w:val="16"/>
          <w:color w:val="auto"/>
        </w:rPr>
      </w:pPr>
    </w:p>
    <w:p>
      <w:pPr>
        <w:ind w:left="-20" w:right="480" w:firstLine="921"/>
        <w:spacing w:after="0" w:line="268" w:lineRule="auto"/>
        <w:tabs>
          <w:tab w:leader="none" w:pos="114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213" w:lineRule="exact"/>
        <w:rPr>
          <w:sz w:val="20"/>
          <w:szCs w:val="20"/>
          <w:color w:val="auto"/>
        </w:rPr>
      </w:pPr>
    </w:p>
    <w:p>
      <w:pPr>
        <w:ind w:left="1080" w:hanging="179"/>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sz w:val="20"/>
          <w:szCs w:val="20"/>
          <w:color w:val="auto"/>
        </w:rPr>
      </w:pPr>
    </w:p>
    <w:p>
      <w:pPr>
        <w:ind w:left="-20" w:right="160" w:firstLine="921"/>
        <w:spacing w:after="0" w:line="268" w:lineRule="auto"/>
        <w:tabs>
          <w:tab w:leader="none" w:pos="11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88" w:name="page89"/>
    <w:bookmarkEnd w:id="88"/>
    <w:p>
      <w:pPr>
        <w:ind w:right="3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13" w:lineRule="exact"/>
        <w:rPr>
          <w:sz w:val="20"/>
          <w:szCs w:val="20"/>
          <w:color w:val="auto"/>
        </w:rPr>
      </w:pPr>
    </w:p>
    <w:p>
      <w:pPr>
        <w:jc w:val="both"/>
        <w:ind w:right="60" w:firstLine="921"/>
        <w:spacing w:after="0" w:line="259" w:lineRule="auto"/>
        <w:tabs>
          <w:tab w:leader="none" w:pos="11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171" w:lineRule="exact"/>
        <w:rPr>
          <w:rFonts w:ascii="Arial" w:cs="Arial" w:eastAsia="Arial" w:hAnsi="Arial"/>
          <w:sz w:val="18"/>
          <w:szCs w:val="18"/>
          <w:color w:val="auto"/>
        </w:rPr>
      </w:pPr>
    </w:p>
    <w:p>
      <w:pPr>
        <w:ind w:right="20" w:firstLine="1492"/>
        <w:spacing w:after="0" w:line="289" w:lineRule="auto"/>
        <w:tabs>
          <w:tab w:leader="none" w:pos="1693" w:val="left"/>
        </w:tabs>
        <w:numPr>
          <w:ilvl w:val="1"/>
          <w:numId w:val="44"/>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18" w:lineRule="exact"/>
        <w:rPr>
          <w:rFonts w:ascii="Arial" w:cs="Arial" w:eastAsia="Arial" w:hAnsi="Arial"/>
          <w:sz w:val="16"/>
          <w:szCs w:val="16"/>
          <w:color w:val="auto"/>
        </w:rPr>
      </w:pPr>
    </w:p>
    <w:p>
      <w:pPr>
        <w:ind w:firstLine="1492"/>
        <w:spacing w:after="0" w:line="256" w:lineRule="auto"/>
        <w:tabs>
          <w:tab w:leader="none" w:pos="1742" w:val="left"/>
        </w:tabs>
        <w:numPr>
          <w:ilvl w:val="1"/>
          <w:numId w:val="44"/>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ind w:right="240" w:firstLine="921"/>
        <w:spacing w:after="0" w:line="259" w:lineRule="auto"/>
        <w:tabs>
          <w:tab w:leader="none" w:pos="11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ind w:right="80" w:firstLine="921"/>
        <w:spacing w:after="0" w:line="306" w:lineRule="auto"/>
        <w:tabs>
          <w:tab w:leader="none" w:pos="115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89" w:name="page90"/>
    <w:bookmarkEnd w:id="89"/>
    <w:p>
      <w:pPr>
        <w:ind w:left="1140" w:hanging="219"/>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Taxable Reimbursements.</w:t>
      </w:r>
    </w:p>
    <w:p>
      <w:pPr>
        <w:spacing w:after="0" w:line="171" w:lineRule="exact"/>
        <w:rPr>
          <w:rFonts w:ascii="Arial" w:cs="Arial" w:eastAsia="Arial" w:hAnsi="Arial"/>
          <w:sz w:val="18"/>
          <w:szCs w:val="18"/>
          <w:color w:val="auto"/>
        </w:rPr>
      </w:pPr>
    </w:p>
    <w:p>
      <w:pPr>
        <w:ind w:right="140" w:firstLine="1492"/>
        <w:spacing w:after="0" w:line="306" w:lineRule="auto"/>
        <w:tabs>
          <w:tab w:leader="none" w:pos="1693"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06" w:lineRule="exact"/>
        <w:rPr>
          <w:rFonts w:ascii="Arial" w:cs="Arial" w:eastAsia="Arial" w:hAnsi="Arial"/>
          <w:sz w:val="16"/>
          <w:szCs w:val="16"/>
          <w:color w:val="auto"/>
        </w:rPr>
      </w:pPr>
    </w:p>
    <w:p>
      <w:pPr>
        <w:ind w:right="20" w:firstLine="1492"/>
        <w:spacing w:after="0" w:line="268" w:lineRule="auto"/>
        <w:tabs>
          <w:tab w:leader="none" w:pos="1742"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31" w:lineRule="exact"/>
        <w:rPr>
          <w:rFonts w:ascii="Arial" w:cs="Arial" w:eastAsia="Arial" w:hAnsi="Arial"/>
          <w:sz w:val="18"/>
          <w:szCs w:val="18"/>
          <w:color w:val="auto"/>
        </w:rPr>
      </w:pPr>
    </w:p>
    <w:p>
      <w:pPr>
        <w:ind w:left="1800" w:hanging="308"/>
        <w:spacing w:after="0"/>
        <w:tabs>
          <w:tab w:leader="none" w:pos="18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252" w:lineRule="exact"/>
        <w:rPr>
          <w:sz w:val="20"/>
          <w:szCs w:val="20"/>
          <w:color w:val="auto"/>
        </w:rPr>
      </w:pPr>
    </w:p>
    <w:p>
      <w:pPr>
        <w:ind w:left="1100" w:hanging="179"/>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sz w:val="20"/>
          <w:szCs w:val="20"/>
          <w:color w:val="auto"/>
        </w:rPr>
      </w:pPr>
    </w:p>
    <w:p>
      <w:pPr>
        <w:jc w:val="both"/>
        <w:ind w:right="140" w:firstLine="921"/>
        <w:spacing w:after="0" w:line="370" w:lineRule="auto"/>
        <w:tabs>
          <w:tab w:leader="none" w:pos="1152" w:val="left"/>
        </w:tabs>
        <w:numPr>
          <w:ilvl w:val="0"/>
          <w:numId w:val="47"/>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jc w:val="both"/>
        <w:ind w:right="160" w:firstLine="921"/>
        <w:spacing w:after="0" w:line="259" w:lineRule="auto"/>
        <w:tabs>
          <w:tab w:leader="none" w:pos="11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100" w:firstLine="921"/>
        <w:spacing w:after="0" w:line="370" w:lineRule="auto"/>
        <w:tabs>
          <w:tab w:leader="none" w:pos="1152" w:val="left"/>
        </w:tabs>
        <w:numPr>
          <w:ilvl w:val="0"/>
          <w:numId w:val="47"/>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62" w:lineRule="exact"/>
        <w:rPr>
          <w:rFonts w:ascii="Arial" w:cs="Arial" w:eastAsia="Arial" w:hAnsi="Arial"/>
          <w:sz w:val="15"/>
          <w:szCs w:val="15"/>
          <w:color w:val="auto"/>
        </w:rPr>
      </w:pPr>
    </w:p>
    <w:p>
      <w:pPr>
        <w:ind w:firstLine="921"/>
        <w:spacing w:after="0" w:line="259" w:lineRule="auto"/>
        <w:tabs>
          <w:tab w:leader="none" w:pos="11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paragraph 7(d)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90" w:name="page91"/>
    <w:bookmarkEnd w:id="90"/>
    <w:p>
      <w:pPr>
        <w:ind w:left="1160" w:hanging="259"/>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NON-COMPETITION</w:t>
      </w:r>
    </w:p>
    <w:p>
      <w:pPr>
        <w:spacing w:after="0" w:line="90" w:lineRule="exact"/>
        <w:rPr>
          <w:sz w:val="20"/>
          <w:szCs w:val="20"/>
          <w:color w:val="auto"/>
        </w:rPr>
      </w:pPr>
    </w:p>
    <w:p>
      <w:pPr>
        <w:ind w:left="-20" w:firstLine="921"/>
        <w:spacing w:after="0" w:line="286" w:lineRule="auto"/>
        <w:tabs>
          <w:tab w:leader="none" w:pos="1132"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24" w:lineRule="exact"/>
        <w:rPr>
          <w:rFonts w:ascii="Arial" w:cs="Arial" w:eastAsia="Arial" w:hAnsi="Arial"/>
          <w:sz w:val="16"/>
          <w:szCs w:val="16"/>
          <w:color w:val="auto"/>
        </w:rPr>
      </w:pPr>
    </w:p>
    <w:p>
      <w:pPr>
        <w:ind w:left="-20" w:right="160" w:firstLine="921"/>
        <w:spacing w:after="0" w:line="255" w:lineRule="auto"/>
        <w:tabs>
          <w:tab w:leader="none" w:pos="1142"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left="-20" w:right="20" w:firstLine="921"/>
        <w:spacing w:after="0" w:line="294" w:lineRule="auto"/>
        <w:tabs>
          <w:tab w:leader="none" w:pos="1132"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left="-20" w:right="220" w:firstLine="921"/>
        <w:spacing w:after="0" w:line="268" w:lineRule="auto"/>
        <w:tabs>
          <w:tab w:leader="none" w:pos="114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91" w:name="page92"/>
    <w:bookmarkEnd w:id="91"/>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13" w:lineRule="exact"/>
        <w:rPr>
          <w:sz w:val="20"/>
          <w:szCs w:val="20"/>
          <w:color w:val="auto"/>
        </w:rPr>
      </w:pPr>
    </w:p>
    <w:p>
      <w:pPr>
        <w:ind w:left="1180" w:hanging="259"/>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sz w:val="20"/>
          <w:szCs w:val="20"/>
          <w:color w:val="auto"/>
        </w:rPr>
      </w:pPr>
    </w:p>
    <w:p>
      <w:pPr>
        <w:ind w:firstLine="921"/>
        <w:spacing w:after="0" w:line="291" w:lineRule="auto"/>
        <w:tabs>
          <w:tab w:leader="none" w:pos="11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80" w:firstLine="921"/>
        <w:spacing w:after="0" w:line="289" w:lineRule="auto"/>
        <w:tabs>
          <w:tab w:leader="none" w:pos="1162"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99" w:lineRule="exact"/>
        <w:rPr>
          <w:sz w:val="20"/>
          <w:szCs w:val="20"/>
          <w:color w:val="auto"/>
        </w:rPr>
      </w:pPr>
    </w:p>
    <w:p>
      <w:pPr>
        <w:ind w:left="1180" w:hanging="259"/>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right="40" w:firstLine="921"/>
        <w:spacing w:after="0" w:line="291" w:lineRule="auto"/>
        <w:tabs>
          <w:tab w:leader="none" w:pos="1152"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92" w:name="page93"/>
    <w:bookmarkEnd w:id="92"/>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20" w:lineRule="exact"/>
        <w:rPr>
          <w:sz w:val="20"/>
          <w:szCs w:val="20"/>
          <w:color w:val="auto"/>
        </w:rPr>
      </w:pPr>
    </w:p>
    <w:p>
      <w:pPr>
        <w:ind w:right="20" w:firstLine="921"/>
        <w:spacing w:after="0" w:line="298" w:lineRule="auto"/>
        <w:tabs>
          <w:tab w:leader="none" w:pos="1162"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94" w:lineRule="exact"/>
        <w:rPr>
          <w:sz w:val="20"/>
          <w:szCs w:val="20"/>
          <w:color w:val="auto"/>
        </w:rPr>
      </w:pPr>
    </w:p>
    <w:p>
      <w:pPr>
        <w:ind w:left="1180" w:hanging="259"/>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89" w:lineRule="exact"/>
        <w:rPr>
          <w:sz w:val="20"/>
          <w:szCs w:val="20"/>
          <w:color w:val="auto"/>
        </w:rPr>
      </w:pPr>
    </w:p>
    <w:p>
      <w:pPr>
        <w:ind w:left="1180" w:hanging="259"/>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jc w:val="center"/>
        <w:ind w:left="320" w:right="840"/>
        <w:spacing w:after="0" w:line="440" w:lineRule="auto"/>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 11</w:t>
      </w:r>
    </w:p>
    <w:p>
      <w:pPr>
        <w:sectPr>
          <w:pgSz w:w="11900" w:h="16838" w:orient="portrait"/>
          <w:cols w:equalWidth="0" w:num="1">
            <w:col w:w="11420"/>
          </w:cols>
          <w:pgMar w:left="240" w:top="280" w:right="239" w:bottom="1440" w:gutter="0" w:footer="0" w:header="0"/>
        </w:sectPr>
      </w:pPr>
    </w:p>
    <w:bookmarkStart w:id="93" w:name="page94"/>
    <w:bookmarkEnd w:id="93"/>
    <w:p>
      <w:pPr>
        <w:ind w:left="1180" w:hanging="259"/>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p>
    <w:p>
      <w:pPr>
        <w:spacing w:after="0" w:line="9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13" w:lineRule="exact"/>
        <w:rPr>
          <w:sz w:val="20"/>
          <w:szCs w:val="20"/>
          <w:color w:val="auto"/>
        </w:rPr>
      </w:pPr>
    </w:p>
    <w:p>
      <w:pPr>
        <w:ind w:left="1180" w:hanging="259"/>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13" w:lineRule="exact"/>
        <w:rPr>
          <w:sz w:val="20"/>
          <w:szCs w:val="20"/>
          <w:color w:val="auto"/>
        </w:rPr>
      </w:pPr>
    </w:p>
    <w:p>
      <w:pPr>
        <w:ind w:left="1180" w:hanging="259"/>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21" w:lineRule="exact"/>
        <w:rPr>
          <w:sz w:val="20"/>
          <w:szCs w:val="20"/>
          <w:color w:val="auto"/>
        </w:rPr>
      </w:pPr>
    </w:p>
    <w:p>
      <w:pPr>
        <w:ind w:left="1180" w:hanging="259"/>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213" w:lineRule="exact"/>
        <w:rPr>
          <w:sz w:val="20"/>
          <w:szCs w:val="20"/>
          <w:color w:val="auto"/>
        </w:rPr>
      </w:pPr>
    </w:p>
    <w:p>
      <w:pPr>
        <w:ind w:left="1180" w:hanging="259"/>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94" w:name="page95"/>
    <w:bookmarkEnd w:id="94"/>
    <w:p>
      <w:pPr>
        <w:ind w:left="1180" w:hanging="259"/>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SURVIVAL</w:t>
      </w:r>
    </w:p>
    <w:p>
      <w:pPr>
        <w:spacing w:after="0" w:line="9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213" w:lineRule="exact"/>
        <w:rPr>
          <w:sz w:val="20"/>
          <w:szCs w:val="20"/>
          <w:color w:val="auto"/>
        </w:rPr>
      </w:pPr>
    </w:p>
    <w:p>
      <w:pPr>
        <w:ind w:left="1180" w:hanging="259"/>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194"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94" w:lineRule="exact"/>
        <w:rPr>
          <w:sz w:val="20"/>
          <w:szCs w:val="20"/>
          <w:color w:val="auto"/>
        </w:rPr>
      </w:pPr>
    </w:p>
    <w:p>
      <w:pPr>
        <w:ind w:left="1180" w:hanging="259"/>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21" w:lineRule="exact"/>
        <w:rPr>
          <w:sz w:val="20"/>
          <w:szCs w:val="20"/>
          <w:color w:val="auto"/>
        </w:rPr>
      </w:pPr>
    </w:p>
    <w:p>
      <w:pPr>
        <w:ind w:left="1180" w:hanging="259"/>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13" w:lineRule="exact"/>
        <w:rPr>
          <w:sz w:val="20"/>
          <w:szCs w:val="20"/>
          <w:color w:val="auto"/>
        </w:rPr>
      </w:pPr>
    </w:p>
    <w:p>
      <w:pPr>
        <w:ind w:right="7520" w:firstLine="921"/>
        <w:spacing w:after="0" w:line="362" w:lineRule="auto"/>
        <w:tabs>
          <w:tab w:leader="none" w:pos="117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 xml:space="preserve">SUBSIDIARIES AND AFFILIATES </w:t>
      </w:r>
      <w:r>
        <w:rPr>
          <w:rFonts w:ascii="Arial" w:cs="Arial" w:eastAsia="Arial" w:hAnsi="Arial"/>
          <w:sz w:val="18"/>
          <w:szCs w:val="18"/>
          <w:color w:val="auto"/>
        </w:rPr>
        <w:t>For purposes of this Agreement:</w:t>
      </w:r>
    </w:p>
    <w:p>
      <w:pPr>
        <w:spacing w:after="0" w:line="50" w:lineRule="exact"/>
        <w:rPr>
          <w:rFonts w:ascii="Arial" w:cs="Arial" w:eastAsia="Arial" w:hAnsi="Arial"/>
          <w:sz w:val="18"/>
          <w:szCs w:val="18"/>
          <w:color w:val="auto"/>
        </w:rPr>
      </w:pPr>
    </w:p>
    <w:p>
      <w:pPr>
        <w:ind w:right="300" w:firstLine="1492"/>
        <w:spacing w:after="0" w:line="259" w:lineRule="auto"/>
        <w:tabs>
          <w:tab w:leader="none" w:pos="1722" w:val="left"/>
        </w:tabs>
        <w:numPr>
          <w:ilvl w:val="1"/>
          <w:numId w:val="66"/>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80" w:right="339" w:bottom="1440" w:gutter="0" w:footer="0" w:header="0"/>
        </w:sectPr>
      </w:pPr>
    </w:p>
    <w:bookmarkStart w:id="95" w:name="page96"/>
    <w:bookmarkEnd w:id="95"/>
    <w:p>
      <w:pPr>
        <w:ind w:right="20" w:firstLine="1492"/>
        <w:spacing w:after="0" w:line="256" w:lineRule="auto"/>
        <w:tabs>
          <w:tab w:leader="none" w:pos="1732" w:val="left"/>
        </w:tabs>
        <w:numPr>
          <w:ilvl w:val="1"/>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224" w:lineRule="exact"/>
        <w:rPr>
          <w:rFonts w:ascii="Arial" w:cs="Arial" w:eastAsia="Arial" w:hAnsi="Arial"/>
          <w:sz w:val="18"/>
          <w:szCs w:val="18"/>
          <w:color w:val="auto"/>
        </w:rPr>
      </w:pPr>
    </w:p>
    <w:p>
      <w:pPr>
        <w:ind w:left="1180" w:hanging="259"/>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213" w:lineRule="exact"/>
        <w:rPr>
          <w:sz w:val="20"/>
          <w:szCs w:val="20"/>
          <w:color w:val="auto"/>
        </w:rPr>
      </w:pPr>
    </w:p>
    <w:p>
      <w:pPr>
        <w:ind w:left="1180" w:hanging="259"/>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CMRG APPAREL, LLC</w:t>
            </w:r>
          </w:p>
        </w:tc>
        <w:tc>
          <w:tcPr>
            <w:tcW w:w="2780" w:type="dxa"/>
            <w:vAlign w:val="bottom"/>
          </w:tcPr>
          <w:p>
            <w:pPr>
              <w:spacing w:after="0"/>
              <w:rPr>
                <w:sz w:val="19"/>
                <w:szCs w:val="19"/>
                <w:color w:val="auto"/>
              </w:rPr>
            </w:pPr>
          </w:p>
        </w:tc>
      </w:tr>
      <w:tr>
        <w:trPr>
          <w:trHeight w:val="43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c>
          <w:tcPr>
            <w:tcW w:w="2780" w:type="dxa"/>
            <w:vAlign w:val="bottom"/>
          </w:tcPr>
          <w:p>
            <w:pPr>
              <w:ind w:left="1240"/>
              <w:spacing w:after="0"/>
              <w:rPr>
                <w:sz w:val="20"/>
                <w:szCs w:val="20"/>
                <w:color w:val="auto"/>
              </w:rPr>
            </w:pPr>
            <w:r>
              <w:rPr>
                <w:rFonts w:ascii="Arial" w:cs="Arial" w:eastAsia="Arial" w:hAnsi="Arial"/>
                <w:sz w:val="18"/>
                <w:szCs w:val="18"/>
                <w:color w:val="auto"/>
                <w:w w:val="85"/>
              </w:rPr>
              <w:t>Date: January 8, 2010</w:t>
            </w:r>
          </w:p>
        </w:tc>
      </w:tr>
      <w:tr>
        <w:trPr>
          <w:trHeight w:val="215"/>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David A. Levin</w:t>
            </w:r>
          </w:p>
        </w:tc>
        <w:tc>
          <w:tcPr>
            <w:tcW w:w="2780" w:type="dxa"/>
            <w:vAlign w:val="bottom"/>
          </w:tcPr>
          <w:p>
            <w:pPr>
              <w:spacing w:after="0"/>
              <w:rPr>
                <w:sz w:val="18"/>
                <w:szCs w:val="18"/>
                <w:color w:val="auto"/>
              </w:rPr>
            </w:pP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2780" w:type="dxa"/>
            <w:vAlign w:val="bottom"/>
          </w:tcPr>
          <w:p>
            <w:pPr>
              <w:spacing w:after="0"/>
              <w:rPr>
                <w:sz w:val="19"/>
                <w:szCs w:val="19"/>
                <w:color w:val="auto"/>
              </w:rPr>
            </w:pPr>
          </w:p>
        </w:tc>
      </w:tr>
      <w:tr>
        <w:trPr>
          <w:trHeight w:val="43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c>
          <w:tcPr>
            <w:tcW w:w="2780" w:type="dxa"/>
            <w:vAlign w:val="bottom"/>
          </w:tcPr>
          <w:p>
            <w:pPr>
              <w:ind w:left="1240"/>
              <w:spacing w:after="0"/>
              <w:rPr>
                <w:sz w:val="20"/>
                <w:szCs w:val="20"/>
                <w:color w:val="auto"/>
              </w:rPr>
            </w:pPr>
            <w:r>
              <w:rPr>
                <w:rFonts w:ascii="Arial" w:cs="Arial" w:eastAsia="Arial" w:hAnsi="Arial"/>
                <w:sz w:val="18"/>
                <w:szCs w:val="18"/>
                <w:color w:val="auto"/>
                <w:w w:val="85"/>
              </w:rPr>
              <w:t>Date: January 8, 2010</w:t>
            </w:r>
          </w:p>
        </w:tc>
      </w:tr>
      <w:tr>
        <w:trPr>
          <w:trHeight w:val="215"/>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Dennis R. Hernreich</w:t>
            </w:r>
          </w:p>
        </w:tc>
        <w:tc>
          <w:tcPr>
            <w:tcW w:w="2780" w:type="dxa"/>
            <w:vAlign w:val="bottom"/>
          </w:tcPr>
          <w:p>
            <w:pPr>
              <w:spacing w:after="0"/>
              <w:rPr>
                <w:sz w:val="18"/>
                <w:szCs w:val="18"/>
                <w:color w:val="auto"/>
              </w:rPr>
            </w:pP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Executive VP, COO, CFO</w:t>
            </w:r>
          </w:p>
        </w:tc>
        <w:tc>
          <w:tcPr>
            <w:tcW w:w="2780" w:type="dxa"/>
            <w:vAlign w:val="bottom"/>
          </w:tcPr>
          <w:p>
            <w:pPr>
              <w:spacing w:after="0"/>
              <w:rPr>
                <w:sz w:val="19"/>
                <w:szCs w:val="19"/>
                <w:color w:val="auto"/>
              </w:rPr>
            </w:pPr>
          </w:p>
        </w:tc>
      </w:tr>
      <w:tr>
        <w:trPr>
          <w:trHeight w:val="434"/>
        </w:trPr>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S. Della Bernarda</w:t>
            </w:r>
          </w:p>
        </w:tc>
        <w:tc>
          <w:tcPr>
            <w:tcW w:w="2780" w:type="dxa"/>
            <w:vAlign w:val="bottom"/>
          </w:tcPr>
          <w:p>
            <w:pPr>
              <w:ind w:left="1240"/>
              <w:spacing w:after="0"/>
              <w:rPr>
                <w:sz w:val="20"/>
                <w:szCs w:val="20"/>
                <w:color w:val="auto"/>
              </w:rPr>
            </w:pPr>
            <w:r>
              <w:rPr>
                <w:rFonts w:ascii="Arial" w:cs="Arial" w:eastAsia="Arial" w:hAnsi="Arial"/>
                <w:sz w:val="18"/>
                <w:szCs w:val="18"/>
                <w:color w:val="auto"/>
                <w:w w:val="85"/>
              </w:rPr>
              <w:t>Date: January 7, 2010</w:t>
            </w:r>
          </w:p>
        </w:tc>
      </w:tr>
      <w:tr>
        <w:trPr>
          <w:trHeight w:val="221"/>
        </w:trPr>
        <w:tc>
          <w:tcPr>
            <w:tcW w:w="5400" w:type="dxa"/>
            <w:vAlign w:val="bottom"/>
            <w:gridSpan w:val="2"/>
          </w:tcPr>
          <w:p>
            <w:pPr>
              <w:spacing w:after="0"/>
              <w:rPr>
                <w:sz w:val="20"/>
                <w:szCs w:val="20"/>
                <w:color w:val="auto"/>
              </w:rPr>
            </w:pPr>
            <w:r>
              <w:rPr>
                <w:rFonts w:ascii="Arial" w:cs="Arial" w:eastAsia="Arial" w:hAnsi="Arial"/>
                <w:sz w:val="18"/>
                <w:szCs w:val="18"/>
                <w:color w:val="auto"/>
              </w:rPr>
              <w:t>Richard S. Della Bernarda</w:t>
            </w:r>
          </w:p>
        </w:tc>
        <w:tc>
          <w:tcPr>
            <w:tcW w:w="2780" w:type="dxa"/>
            <w:vAlign w:val="bottom"/>
          </w:tcPr>
          <w:p>
            <w:pPr>
              <w:spacing w:after="0"/>
              <w:rPr>
                <w:sz w:val="19"/>
                <w:szCs w:val="19"/>
                <w:color w:val="auto"/>
              </w:rPr>
            </w:pPr>
          </w:p>
        </w:tc>
      </w:tr>
      <w:tr>
        <w:trPr>
          <w:trHeight w:val="365"/>
        </w:trPr>
        <w:tc>
          <w:tcPr>
            <w:tcW w:w="6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780" w:type="dxa"/>
            <w:vAlign w:val="bottom"/>
          </w:tcPr>
          <w:p>
            <w:pPr>
              <w:jc w:val="right"/>
              <w:ind w:right="2292"/>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00"/>
          </w:cols>
          <w:pgMar w:left="240" w:top="280" w:right="25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FORM OF RELEASE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171" w:lineRule="exact"/>
        <w:rPr>
          <w:sz w:val="20"/>
          <w:szCs w:val="20"/>
          <w:color w:val="auto"/>
        </w:rPr>
      </w:pPr>
    </w:p>
    <w:p>
      <w:pPr>
        <w:ind w:firstLine="921"/>
        <w:spacing w:after="0" w:line="282" w:lineRule="auto"/>
        <w:tabs>
          <w:tab w:leader="none" w:pos="1088" w:val="left"/>
        </w:tabs>
        <w:numPr>
          <w:ilvl w:val="0"/>
          <w:numId w:val="70"/>
        </w:numPr>
        <w:rPr>
          <w:rFonts w:ascii="Arial" w:cs="Arial" w:eastAsia="Arial" w:hAnsi="Arial"/>
          <w:sz w:val="16"/>
          <w:szCs w:val="16"/>
          <w:color w:val="auto"/>
        </w:rPr>
      </w:pPr>
      <w:r>
        <w:rPr>
          <w:rFonts w:ascii="Arial" w:cs="Arial" w:eastAsia="Arial" w:hAnsi="Arial"/>
          <w:sz w:val="16"/>
          <w:szCs w:val="16"/>
          <w:color w:val="auto"/>
        </w:rPr>
        <w:t>Richard S. Della Bernarda (“</w:t>
      </w:r>
      <w:r>
        <w:rPr>
          <w:rFonts w:ascii="Arial" w:cs="Arial" w:eastAsia="Arial" w:hAnsi="Arial"/>
          <w:sz w:val="16"/>
          <w:szCs w:val="16"/>
          <w:u w:val="single" w:color="auto"/>
          <w:color w:val="auto"/>
        </w:rPr>
        <w:t>Executive</w:t>
      </w:r>
      <w:r>
        <w:rPr>
          <w:rFonts w:ascii="Arial" w:cs="Arial" w:eastAsia="Arial" w:hAnsi="Arial"/>
          <w:sz w:val="16"/>
          <w:szCs w:val="16"/>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does hereby release and forever discharge CMRG Apparel, LLC (the “</w:t>
      </w:r>
      <w:r>
        <w:rPr>
          <w:rFonts w:ascii="Arial" w:cs="Arial" w:eastAsia="Arial" w:hAnsi="Arial"/>
          <w:sz w:val="16"/>
          <w:szCs w:val="16"/>
          <w:u w:val="single" w:color="auto"/>
          <w:color w:val="auto"/>
        </w:rPr>
        <w:t>Company</w:t>
      </w:r>
      <w:r>
        <w:rPr>
          <w:rFonts w:ascii="Arial" w:cs="Arial" w:eastAsia="Arial" w:hAnsi="Arial"/>
          <w:sz w:val="16"/>
          <w:szCs w:val="16"/>
          <w:color w:val="auto"/>
        </w:rPr>
        <w:t>”), its parents,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w:t>
      </w:r>
    </w:p>
    <w:p>
      <w:pPr>
        <w:spacing w:after="0" w:line="5" w:lineRule="exact"/>
        <w:rPr>
          <w:rFonts w:ascii="Arial" w:cs="Arial" w:eastAsia="Arial" w:hAnsi="Arial"/>
          <w:sz w:val="16"/>
          <w:szCs w:val="16"/>
          <w:color w:val="auto"/>
        </w:rPr>
      </w:pPr>
    </w:p>
    <w:p>
      <w:pPr>
        <w:spacing w:after="0" w:line="284" w:lineRule="auto"/>
        <w:rPr>
          <w:rFonts w:ascii="Arial" w:cs="Arial" w:eastAsia="Arial" w:hAnsi="Arial"/>
          <w:sz w:val="16"/>
          <w:szCs w:val="16"/>
          <w:color w:val="auto"/>
        </w:rPr>
      </w:pPr>
      <w:r>
        <w:rPr>
          <w:rFonts w:ascii="Arial" w:cs="Arial" w:eastAsia="Arial" w:hAnsi="Arial"/>
          <w:sz w:val="16"/>
          <w:szCs w:val="16"/>
          <w:color w:val="auto"/>
        </w:rPr>
        <w:t>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parents, subsidiaries or affiliated companies, (iv) any claims for benefits under any directors’ and officers’ liability policy maintained by the Company or its parents, subsidiaries or affiliated companies in accordance with the terms of such policy, (v) any rights as a holder of equity securities of Casual Male Retail Group, Inc.,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97" w:name="page98"/>
    <w:bookmarkEnd w:id="97"/>
    <w:p>
      <w:pPr>
        <w:jc w:val="both"/>
        <w:ind w:left="-20" w:firstLine="921"/>
        <w:spacing w:after="0" w:line="294" w:lineRule="auto"/>
        <w:tabs>
          <w:tab w:leader="none" w:pos="1068" w:val="left"/>
        </w:tabs>
        <w:numPr>
          <w:ilvl w:val="0"/>
          <w:numId w:val="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his right to commence a Proceeding to challenge whether Executive knowingly and voluntarily waived his rights under ADEA.</w:t>
      </w:r>
    </w:p>
    <w:p>
      <w:pPr>
        <w:spacing w:after="0" w:line="115" w:lineRule="exact"/>
        <w:rPr>
          <w:rFonts w:ascii="Arial" w:cs="Arial" w:eastAsia="Arial" w:hAnsi="Arial"/>
          <w:sz w:val="16"/>
          <w:szCs w:val="16"/>
          <w:color w:val="auto"/>
        </w:rPr>
      </w:pPr>
    </w:p>
    <w:p>
      <w:pPr>
        <w:ind w:left="-20" w:right="20" w:firstLine="921"/>
        <w:spacing w:after="0" w:line="256" w:lineRule="auto"/>
        <w:tabs>
          <w:tab w:leader="none" w:pos="1068"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43" w:lineRule="exact"/>
        <w:rPr>
          <w:rFonts w:ascii="Arial" w:cs="Arial" w:eastAsia="Arial" w:hAnsi="Arial"/>
          <w:sz w:val="18"/>
          <w:szCs w:val="18"/>
          <w:color w:val="auto"/>
        </w:rPr>
      </w:pPr>
    </w:p>
    <w:p>
      <w:pPr>
        <w:ind w:left="-20" w:right="60" w:firstLine="921"/>
        <w:spacing w:after="0" w:line="268" w:lineRule="auto"/>
        <w:tabs>
          <w:tab w:leader="none" w:pos="1068"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31" w:lineRule="exact"/>
        <w:rPr>
          <w:rFonts w:ascii="Arial" w:cs="Arial" w:eastAsia="Arial" w:hAnsi="Arial"/>
          <w:sz w:val="18"/>
          <w:szCs w:val="18"/>
          <w:color w:val="auto"/>
        </w:rPr>
      </w:pPr>
    </w:p>
    <w:p>
      <w:pPr>
        <w:jc w:val="both"/>
        <w:ind w:left="-20" w:right="180" w:firstLine="921"/>
        <w:spacing w:after="0" w:line="259" w:lineRule="auto"/>
        <w:tabs>
          <w:tab w:leader="none" w:pos="1068"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40" w:lineRule="exact"/>
        <w:rPr>
          <w:rFonts w:ascii="Arial" w:cs="Arial" w:eastAsia="Arial" w:hAnsi="Arial"/>
          <w:sz w:val="18"/>
          <w:szCs w:val="18"/>
          <w:color w:val="auto"/>
        </w:rPr>
      </w:pPr>
    </w:p>
    <w:p>
      <w:pPr>
        <w:ind w:left="-20" w:right="480" w:firstLine="921"/>
        <w:spacing w:after="0" w:line="268" w:lineRule="auto"/>
        <w:tabs>
          <w:tab w:leader="none" w:pos="106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252095</wp:posOffset>
            </wp:positionV>
            <wp:extent cx="28987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Richard S. Della Bernarda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8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10.33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Employment Agreement (“Agreement”) is made as of January 7, 2010 between CASUAL MALE RETAIL GROUP, INC., a Delaware corporation with an office at 555 Turnpike Street, Canton, Massachusetts, 02021 (the “Company” which term includes any affiliates and subsidiaries), and Mark Bean (the “Executive”) having an address at 1 Bridle Path, Plainville, MA 02762.</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Store Sales and Operations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13" w:lineRule="exact"/>
        <w:rPr>
          <w:sz w:val="20"/>
          <w:szCs w:val="20"/>
          <w:color w:val="auto"/>
        </w:rPr>
      </w:pPr>
    </w:p>
    <w:p>
      <w:pPr>
        <w:ind w:left="1100" w:hanging="179"/>
        <w:spacing w:after="0"/>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Senior Vice President, Store Sales and Operations.</w:t>
      </w:r>
    </w:p>
    <w:p>
      <w:pPr>
        <w:spacing w:after="0" w:line="246" w:lineRule="exact"/>
        <w:rPr>
          <w:sz w:val="20"/>
          <w:szCs w:val="20"/>
          <w:color w:val="auto"/>
        </w:rPr>
      </w:pPr>
    </w:p>
    <w:p>
      <w:pPr>
        <w:ind w:left="1100" w:hanging="179"/>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term of employment under this Agreement (the “Term of Employment”) shall begin on the date set forth above (the “Effective Date”) and shall continue until terminated by either party as hereinafter set forth.</w:t>
      </w:r>
    </w:p>
    <w:p>
      <w:pPr>
        <w:spacing w:after="0" w:line="213" w:lineRule="exact"/>
        <w:rPr>
          <w:sz w:val="20"/>
          <w:szCs w:val="20"/>
          <w:color w:val="auto"/>
        </w:rPr>
      </w:pPr>
    </w:p>
    <w:p>
      <w:pPr>
        <w:ind w:left="1100" w:hanging="179"/>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sz w:val="20"/>
          <w:szCs w:val="20"/>
          <w:color w:val="auto"/>
        </w:rPr>
      </w:pPr>
    </w:p>
    <w:p>
      <w:pPr>
        <w:ind w:right="200" w:firstLine="921"/>
        <w:spacing w:after="0" w:line="255" w:lineRule="auto"/>
        <w:tabs>
          <w:tab w:leader="none" w:pos="1152" w:val="left"/>
        </w:tabs>
        <w:numPr>
          <w:ilvl w:val="0"/>
          <w:numId w:val="75"/>
        </w:numPr>
        <w:rPr>
          <w:rFonts w:ascii="Arial" w:cs="Arial" w:eastAsia="Arial" w:hAnsi="Arial"/>
          <w:sz w:val="18"/>
          <w:szCs w:val="18"/>
          <w:color w:val="auto"/>
        </w:rPr>
      </w:pPr>
      <w:r>
        <w:rPr>
          <w:rFonts w:ascii="Arial" w:cs="Arial" w:eastAsia="Arial" w:hAnsi="Arial"/>
          <w:sz w:val="18"/>
          <w:szCs w:val="18"/>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Eighty Thousand Four Hundred Ninety-Nine Dollars and 96/100 Cents ($280,499.96) (the “Base Salary”). The Base Salary shall be reviewed at least annually to ascertain whether, in the judgment of the Company, such Base Salary should be adjusted. If so, the adjusted Base Salary shall be adjusted for all purposes of this Agreement.</w:t>
      </w:r>
    </w:p>
    <w:p>
      <w:pPr>
        <w:spacing w:after="0" w:line="142" w:lineRule="exact"/>
        <w:rPr>
          <w:rFonts w:ascii="Arial" w:cs="Arial" w:eastAsia="Arial" w:hAnsi="Arial"/>
          <w:sz w:val="18"/>
          <w:szCs w:val="18"/>
          <w:color w:val="auto"/>
        </w:rPr>
      </w:pPr>
    </w:p>
    <w:p>
      <w:pPr>
        <w:ind w:firstLine="921"/>
        <w:spacing w:after="0" w:line="306" w:lineRule="auto"/>
        <w:tabs>
          <w:tab w:leader="none" w:pos="1162"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w:t>
      </w:r>
    </w:p>
    <w:p>
      <w:pPr>
        <w:sectPr>
          <w:pgSz w:w="11900" w:h="16838" w:orient="portrait"/>
          <w:cols w:equalWidth="0" w:num="1">
            <w:col w:w="11420"/>
          </w:cols>
          <w:pgMar w:left="240" w:top="125" w:right="239" w:bottom="1440" w:gutter="0" w:footer="0" w:header="0"/>
        </w:sectPr>
      </w:pPr>
    </w:p>
    <w:bookmarkStart w:id="99" w:name="page100"/>
    <w:bookmarkEnd w:id="9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individual and Company performance conditions are met) shall be 35%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43" w:lineRule="exact"/>
        <w:rPr>
          <w:sz w:val="20"/>
          <w:szCs w:val="20"/>
          <w:color w:val="auto"/>
        </w:rPr>
      </w:pPr>
    </w:p>
    <w:p>
      <w:pPr>
        <w:ind w:right="20" w:firstLine="921"/>
        <w:spacing w:after="0" w:line="255" w:lineRule="auto"/>
        <w:tabs>
          <w:tab w:leader="none" w:pos="11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24" w:lineRule="exact"/>
        <w:rPr>
          <w:sz w:val="20"/>
          <w:szCs w:val="20"/>
          <w:color w:val="auto"/>
        </w:rPr>
      </w:pPr>
    </w:p>
    <w:p>
      <w:pPr>
        <w:ind w:left="1100" w:hanging="179"/>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240" w:firstLine="913"/>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94" w:lineRule="exact"/>
        <w:rPr>
          <w:sz w:val="20"/>
          <w:szCs w:val="20"/>
          <w:color w:val="auto"/>
        </w:rPr>
      </w:pPr>
    </w:p>
    <w:p>
      <w:pPr>
        <w:ind w:left="1100" w:hanging="179"/>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sz w:val="20"/>
          <w:szCs w:val="20"/>
          <w:color w:val="auto"/>
        </w:rPr>
      </w:pPr>
    </w:p>
    <w:p>
      <w:pPr>
        <w:ind w:right="280" w:firstLine="921"/>
        <w:spacing w:after="0" w:line="298" w:lineRule="auto"/>
        <w:tabs>
          <w:tab w:leader="none" w:pos="1152" w:val="left"/>
        </w:tabs>
        <w:numPr>
          <w:ilvl w:val="0"/>
          <w:numId w:val="79"/>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right="120" w:firstLine="921"/>
        <w:spacing w:after="0" w:line="294" w:lineRule="auto"/>
        <w:tabs>
          <w:tab w:leader="none" w:pos="1162"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either (i) an automobile for his use in performing his employment duties and obligations hereunder or (ii) an automobile allowance in accordance with he Company’s automobile policy. If the Company provides an automobile, the Company shall pay for the cost of insurance, repairs and maintenance. If the Company provides an automobile allowance, Executive shall pay and be responsible for all insurance, repairs and maintenance costs associated with operating the automobile. In either case, Executive is responsible for his gasoline, unless the gasoline expense is reimbursable under the Company’s policies and procedures.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00" w:name="page101"/>
    <w:bookmarkEnd w:id="100"/>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Executive will be eligible to participate in the Company’s annual performance appraisal process.</w:t>
      </w:r>
    </w:p>
    <w:p>
      <w:pPr>
        <w:spacing w:after="0" w:line="252" w:lineRule="exact"/>
        <w:rPr>
          <w:sz w:val="20"/>
          <w:szCs w:val="20"/>
          <w:color w:val="auto"/>
        </w:rPr>
      </w:pPr>
    </w:p>
    <w:p>
      <w:pPr>
        <w:ind w:left="1060" w:hanging="179"/>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sz w:val="20"/>
          <w:szCs w:val="20"/>
          <w:color w:val="auto"/>
        </w:rPr>
      </w:pPr>
    </w:p>
    <w:p>
      <w:pPr>
        <w:ind w:left="-40" w:firstLine="921"/>
        <w:spacing w:after="0" w:line="259" w:lineRule="auto"/>
        <w:tabs>
          <w:tab w:leader="none" w:pos="1112"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Store Sales and Operations and/or as the Company shall from time to time determine and Executive shall comply in the performance of his duties with the policies of, and be subject to the direction of the Company.</w:t>
      </w:r>
    </w:p>
    <w:p>
      <w:pPr>
        <w:spacing w:after="0" w:line="140" w:lineRule="exact"/>
        <w:rPr>
          <w:rFonts w:ascii="Arial" w:cs="Arial" w:eastAsia="Arial" w:hAnsi="Arial"/>
          <w:sz w:val="18"/>
          <w:szCs w:val="18"/>
          <w:color w:val="auto"/>
        </w:rPr>
      </w:pPr>
    </w:p>
    <w:p>
      <w:pPr>
        <w:ind w:left="-40" w:right="140" w:firstLine="921"/>
        <w:spacing w:after="0" w:line="298" w:lineRule="auto"/>
        <w:tabs>
          <w:tab w:leader="none" w:pos="1122" w:val="left"/>
        </w:tabs>
        <w:numPr>
          <w:ilvl w:val="0"/>
          <w:numId w:val="81"/>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31" w:lineRule="exact"/>
        <w:rPr>
          <w:rFonts w:ascii="Arial" w:cs="Arial" w:eastAsia="Arial" w:hAnsi="Arial"/>
          <w:sz w:val="16"/>
          <w:szCs w:val="16"/>
          <w:color w:val="auto"/>
        </w:rPr>
      </w:pPr>
    </w:p>
    <w:p>
      <w:pPr>
        <w:jc w:val="both"/>
        <w:ind w:left="-40" w:right="20" w:firstLine="921"/>
        <w:spacing w:after="0" w:line="335" w:lineRule="auto"/>
        <w:tabs>
          <w:tab w:leader="none" w:pos="1112"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169" w:lineRule="exact"/>
        <w:rPr>
          <w:sz w:val="20"/>
          <w:szCs w:val="20"/>
          <w:color w:val="auto"/>
        </w:rPr>
      </w:pPr>
    </w:p>
    <w:p>
      <w:pPr>
        <w:ind w:left="1060" w:hanging="179"/>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sz w:val="20"/>
          <w:szCs w:val="20"/>
          <w:color w:val="auto"/>
        </w:rPr>
      </w:pPr>
    </w:p>
    <w:p>
      <w:pPr>
        <w:ind w:left="1120" w:hanging="239"/>
        <w:spacing w:after="0"/>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171" w:lineRule="exact"/>
        <w:rPr>
          <w:rFonts w:ascii="Arial" w:cs="Arial" w:eastAsia="Arial" w:hAnsi="Arial"/>
          <w:sz w:val="18"/>
          <w:szCs w:val="18"/>
          <w:color w:val="auto"/>
        </w:rPr>
      </w:pPr>
    </w:p>
    <w:p>
      <w:pPr>
        <w:jc w:val="both"/>
        <w:ind w:left="-40" w:right="140" w:firstLine="1492"/>
        <w:spacing w:after="0" w:line="259" w:lineRule="auto"/>
        <w:tabs>
          <w:tab w:leader="none" w:pos="1653" w:val="left"/>
        </w:tabs>
        <w:numPr>
          <w:ilvl w:val="1"/>
          <w:numId w:val="83"/>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1720" w:hanging="268"/>
        <w:spacing w:after="0"/>
        <w:tabs>
          <w:tab w:leader="none" w:pos="17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171" w:lineRule="exact"/>
        <w:rPr>
          <w:rFonts w:ascii="Arial" w:cs="Arial" w:eastAsia="Arial" w:hAnsi="Arial"/>
          <w:sz w:val="18"/>
          <w:szCs w:val="18"/>
          <w:color w:val="auto"/>
        </w:rPr>
      </w:pPr>
    </w:p>
    <w:p>
      <w:pPr>
        <w:ind w:left="1120" w:hanging="239"/>
        <w:spacing w:after="0"/>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171" w:lineRule="exact"/>
        <w:rPr>
          <w:rFonts w:ascii="Arial" w:cs="Arial" w:eastAsia="Arial" w:hAnsi="Arial"/>
          <w:sz w:val="18"/>
          <w:szCs w:val="18"/>
          <w:color w:val="auto"/>
        </w:rPr>
      </w:pPr>
    </w:p>
    <w:p>
      <w:pPr>
        <w:ind w:left="1660" w:hanging="208"/>
        <w:spacing w:after="0"/>
        <w:tabs>
          <w:tab w:leader="none" w:pos="16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rFonts w:ascii="Arial" w:cs="Arial" w:eastAsia="Arial" w:hAnsi="Arial"/>
          <w:sz w:val="18"/>
          <w:szCs w:val="18"/>
          <w:color w:val="auto"/>
        </w:rPr>
      </w:pPr>
    </w:p>
    <w:p>
      <w:pPr>
        <w:ind w:left="-40" w:right="260" w:firstLine="1492"/>
        <w:spacing w:after="0" w:line="268" w:lineRule="auto"/>
        <w:tabs>
          <w:tab w:leader="none" w:pos="1702"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date on which the Company elects to terminate the Term of Employment by reason of the “disability” of Executive (as hereinafter defined in subsection (c) herein) pursuant to subsection (g) hereof;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101" w:name="page102"/>
    <w:bookmarkEnd w:id="101"/>
    <w:p>
      <w:pPr>
        <w:ind w:left="1720" w:hanging="308"/>
        <w:spacing w:after="0"/>
        <w:tabs>
          <w:tab w:leader="none" w:pos="1720" w:val="left"/>
        </w:tabs>
        <w:numPr>
          <w:ilvl w:val="1"/>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Executive’s resignation of employment.</w:t>
      </w:r>
    </w:p>
    <w:p>
      <w:pPr>
        <w:spacing w:after="0" w:line="171" w:lineRule="exact"/>
        <w:rPr>
          <w:rFonts w:ascii="Arial" w:cs="Arial" w:eastAsia="Arial" w:hAnsi="Arial"/>
          <w:sz w:val="18"/>
          <w:szCs w:val="18"/>
          <w:color w:val="auto"/>
        </w:rPr>
      </w:pPr>
    </w:p>
    <w:p>
      <w:pPr>
        <w:ind w:left="-80" w:right="20" w:firstLine="921"/>
        <w:spacing w:after="0" w:line="259" w:lineRule="auto"/>
        <w:tabs>
          <w:tab w:leader="none" w:pos="1072"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80" w:right="20" w:firstLine="921"/>
        <w:spacing w:after="0" w:line="287" w:lineRule="auto"/>
        <w:tabs>
          <w:tab w:leader="none" w:pos="1082"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22" w:lineRule="exact"/>
        <w:rPr>
          <w:rFonts w:ascii="Arial" w:cs="Arial" w:eastAsia="Arial" w:hAnsi="Arial"/>
          <w:sz w:val="16"/>
          <w:szCs w:val="16"/>
          <w:color w:val="auto"/>
        </w:rPr>
      </w:pPr>
    </w:p>
    <w:p>
      <w:pPr>
        <w:ind w:left="-80" w:firstLine="921"/>
        <w:spacing w:after="0" w:line="289" w:lineRule="auto"/>
        <w:tabs>
          <w:tab w:leader="none" w:pos="1072"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18" w:lineRule="exact"/>
        <w:rPr>
          <w:rFonts w:ascii="Arial" w:cs="Arial" w:eastAsia="Arial" w:hAnsi="Arial"/>
          <w:sz w:val="16"/>
          <w:szCs w:val="16"/>
          <w:color w:val="auto"/>
        </w:rPr>
      </w:pPr>
    </w:p>
    <w:p>
      <w:pPr>
        <w:ind w:left="-80" w:right="180" w:firstLine="921"/>
        <w:spacing w:after="0" w:line="259" w:lineRule="auto"/>
        <w:tabs>
          <w:tab w:leader="none" w:pos="1052"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40" w:lineRule="exact"/>
        <w:rPr>
          <w:rFonts w:ascii="Arial" w:cs="Arial" w:eastAsia="Arial" w:hAnsi="Arial"/>
          <w:sz w:val="18"/>
          <w:szCs w:val="18"/>
          <w:color w:val="auto"/>
        </w:rPr>
      </w:pPr>
    </w:p>
    <w:p>
      <w:pPr>
        <w:ind w:left="-80" w:right="620" w:firstLine="921"/>
        <w:spacing w:after="0" w:line="268" w:lineRule="auto"/>
        <w:tabs>
          <w:tab w:leader="none" w:pos="1082" w:val="left"/>
        </w:tabs>
        <w:numPr>
          <w:ilvl w:val="0"/>
          <w:numId w:val="85"/>
        </w:numPr>
        <w:rPr>
          <w:rFonts w:ascii="Arial" w:cs="Arial" w:eastAsia="Arial" w:hAnsi="Arial"/>
          <w:sz w:val="18"/>
          <w:szCs w:val="18"/>
          <w:color w:val="auto"/>
        </w:rPr>
      </w:pPr>
      <w:r>
        <w:rPr>
          <w:rFonts w:ascii="Arial" w:cs="Arial" w:eastAsia="Arial" w:hAnsi="Arial"/>
          <w:sz w:val="18"/>
          <w:szCs w:val="18"/>
          <w:color w:val="auto"/>
        </w:rPr>
        <w:t>Upon Executive’s “disability”, the Company shall have the right to terminate Executive’s employment. Any termination pursuant to this subsection (g) shall be effective 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320" w:top="280" w:right="299" w:bottom="1440" w:gutter="0" w:footer="0" w:header="0"/>
        </w:sectPr>
      </w:pPr>
    </w:p>
    <w:bookmarkStart w:id="102" w:name="page103"/>
    <w:bookmarkEnd w:id="102"/>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85" w:lineRule="exact"/>
        <w:rPr>
          <w:sz w:val="20"/>
          <w:szCs w:val="20"/>
          <w:color w:val="auto"/>
        </w:rPr>
      </w:pPr>
    </w:p>
    <w:p>
      <w:pPr>
        <w:ind w:right="100" w:firstLine="921"/>
        <w:spacing w:after="0" w:line="335" w:lineRule="auto"/>
        <w:tabs>
          <w:tab w:leader="none" w:pos="1162" w:val="left"/>
        </w:tabs>
        <w:numPr>
          <w:ilvl w:val="1"/>
          <w:numId w:val="86"/>
        </w:numPr>
        <w:rPr>
          <w:rFonts w:ascii="Arial" w:cs="Arial" w:eastAsia="Arial" w:hAnsi="Arial"/>
          <w:sz w:val="15"/>
          <w:szCs w:val="15"/>
          <w:color w:val="auto"/>
        </w:rPr>
      </w:pPr>
      <w:r>
        <w:rPr>
          <w:rFonts w:ascii="Arial" w:cs="Arial" w:eastAsia="Arial" w:hAnsi="Arial"/>
          <w:sz w:val="15"/>
          <w:szCs w:val="15"/>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88" w:lineRule="exact"/>
        <w:rPr>
          <w:rFonts w:ascii="Arial" w:cs="Arial" w:eastAsia="Arial" w:hAnsi="Arial"/>
          <w:sz w:val="15"/>
          <w:szCs w:val="15"/>
          <w:color w:val="auto"/>
        </w:rPr>
      </w:pPr>
    </w:p>
    <w:p>
      <w:pPr>
        <w:ind w:right="20" w:firstLine="921"/>
        <w:spacing w:after="0" w:line="301" w:lineRule="auto"/>
        <w:tabs>
          <w:tab w:leader="none" w:pos="1123" w:val="left"/>
        </w:tabs>
        <w:numPr>
          <w:ilvl w:val="1"/>
          <w:numId w:val="86"/>
        </w:numPr>
        <w:rPr>
          <w:rFonts w:ascii="Arial" w:cs="Arial" w:eastAsia="Arial" w:hAnsi="Arial"/>
          <w:sz w:val="15"/>
          <w:szCs w:val="15"/>
          <w:color w:val="auto"/>
        </w:rPr>
      </w:pPr>
      <w:r>
        <w:rPr>
          <w:rFonts w:ascii="Arial" w:cs="Arial" w:eastAsia="Arial" w:hAnsi="Arial"/>
          <w:sz w:val="15"/>
          <w:szCs w:val="15"/>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Good Reason”</w:t>
      </w:r>
      <w:r>
        <w:rPr>
          <w:rFonts w:ascii="Arial" w:cs="Arial" w:eastAsia="Arial" w:hAnsi="Arial"/>
          <w:sz w:val="15"/>
          <w:szCs w:val="15"/>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w:t>
      </w:r>
    </w:p>
    <w:p>
      <w:pPr>
        <w:spacing w:after="0" w:line="4" w:lineRule="exact"/>
        <w:rPr>
          <w:rFonts w:ascii="Arial" w:cs="Arial" w:eastAsia="Arial" w:hAnsi="Arial"/>
          <w:sz w:val="15"/>
          <w:szCs w:val="15"/>
          <w:color w:val="auto"/>
        </w:rPr>
      </w:pPr>
    </w:p>
    <w:p>
      <w:pPr>
        <w:ind w:firstLine="8"/>
        <w:spacing w:after="0" w:line="288" w:lineRule="auto"/>
        <w:tabs>
          <w:tab w:leader="none" w:pos="297" w:val="left"/>
        </w:tabs>
        <w:numPr>
          <w:ilvl w:val="0"/>
          <w:numId w:val="87"/>
        </w:numPr>
        <w:rPr>
          <w:rFonts w:ascii="Arial" w:cs="Arial" w:eastAsia="Arial" w:hAnsi="Arial"/>
          <w:sz w:val="16"/>
          <w:szCs w:val="16"/>
          <w:color w:val="auto"/>
        </w:rPr>
      </w:pPr>
      <w:r>
        <w:rPr>
          <w:rFonts w:ascii="Arial" w:cs="Arial" w:eastAsia="Arial" w:hAnsi="Arial"/>
          <w:sz w:val="16"/>
          <w:szCs w:val="16"/>
          <w:color w:val="auto"/>
        </w:rPr>
        <w:t>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22" w:lineRule="exact"/>
        <w:rPr>
          <w:rFonts w:ascii="Arial" w:cs="Arial" w:eastAsia="Arial" w:hAnsi="Arial"/>
          <w:sz w:val="16"/>
          <w:szCs w:val="16"/>
          <w:color w:val="auto"/>
        </w:rPr>
      </w:pPr>
    </w:p>
    <w:p>
      <w:pPr>
        <w:ind w:right="100" w:firstLine="921"/>
        <w:spacing w:after="0" w:line="268" w:lineRule="auto"/>
        <w:tabs>
          <w:tab w:leader="none" w:pos="1123" w:val="left"/>
        </w:tabs>
        <w:numPr>
          <w:ilvl w:val="1"/>
          <w:numId w:val="87"/>
        </w:numPr>
        <w:rPr>
          <w:rFonts w:ascii="Arial" w:cs="Arial" w:eastAsia="Arial" w:hAnsi="Arial"/>
          <w:sz w:val="18"/>
          <w:szCs w:val="18"/>
          <w:color w:val="auto"/>
        </w:rPr>
      </w:pPr>
      <w:r>
        <w:rPr>
          <w:rFonts w:ascii="Arial" w:cs="Arial" w:eastAsia="Arial" w:hAnsi="Arial"/>
          <w:sz w:val="18"/>
          <w:szCs w:val="18"/>
          <w:color w:val="auto"/>
        </w:rPr>
        <w:t>Clawback of Certain Compensation and Benefits. If, after the termination of the Term of Employment for any reason other than by the Company for “justifiable cause”:</w:t>
      </w:r>
    </w:p>
    <w:p>
      <w:pPr>
        <w:spacing w:after="0" w:line="131" w:lineRule="exact"/>
        <w:rPr>
          <w:rFonts w:ascii="Arial" w:cs="Arial" w:eastAsia="Arial" w:hAnsi="Arial"/>
          <w:sz w:val="18"/>
          <w:szCs w:val="18"/>
          <w:color w:val="auto"/>
        </w:rPr>
      </w:pPr>
    </w:p>
    <w:p>
      <w:pPr>
        <w:ind w:right="160" w:firstLine="1948"/>
        <w:spacing w:after="0" w:line="256" w:lineRule="auto"/>
        <w:tabs>
          <w:tab w:leader="none" w:pos="2150" w:val="left"/>
        </w:tabs>
        <w:numPr>
          <w:ilvl w:val="2"/>
          <w:numId w:val="87"/>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03" w:name="page104"/>
    <w:bookmarkEnd w:id="103"/>
    <w:p>
      <w:pPr>
        <w:jc w:val="both"/>
        <w:ind w:left="-20" w:right="240" w:firstLine="1948"/>
        <w:spacing w:after="0" w:line="306" w:lineRule="auto"/>
        <w:tabs>
          <w:tab w:leader="none" w:pos="2178" w:val="left"/>
        </w:tabs>
        <w:numPr>
          <w:ilvl w:val="1"/>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06" w:lineRule="exact"/>
        <w:rPr>
          <w:rFonts w:ascii="Arial" w:cs="Arial" w:eastAsia="Arial" w:hAnsi="Arial"/>
          <w:sz w:val="16"/>
          <w:szCs w:val="16"/>
          <w:color w:val="auto"/>
        </w:rPr>
      </w:pPr>
    </w:p>
    <w:p>
      <w:pPr>
        <w:ind w:left="-20" w:firstLine="2404"/>
        <w:spacing w:after="0" w:line="294" w:lineRule="auto"/>
        <w:tabs>
          <w:tab w:leader="none" w:pos="2664" w:val="left"/>
        </w:tabs>
        <w:numPr>
          <w:ilvl w:val="2"/>
          <w:numId w:val="88"/>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15" w:lineRule="exact"/>
        <w:rPr>
          <w:rFonts w:ascii="Arial" w:cs="Arial" w:eastAsia="Arial" w:hAnsi="Arial"/>
          <w:sz w:val="16"/>
          <w:szCs w:val="16"/>
          <w:color w:val="auto"/>
        </w:rPr>
      </w:pPr>
    </w:p>
    <w:p>
      <w:pPr>
        <w:ind w:left="-20" w:right="700" w:firstLine="2404"/>
        <w:spacing w:after="0" w:line="268" w:lineRule="auto"/>
        <w:tabs>
          <w:tab w:leader="none" w:pos="2654" w:val="left"/>
        </w:tabs>
        <w:numPr>
          <w:ilvl w:val="2"/>
          <w:numId w:val="88"/>
        </w:numPr>
        <w:rPr>
          <w:rFonts w:ascii="Arial" w:cs="Arial" w:eastAsia="Arial" w:hAnsi="Arial"/>
          <w:sz w:val="18"/>
          <w:szCs w:val="18"/>
          <w:color w:val="auto"/>
        </w:rPr>
      </w:pPr>
      <w:r>
        <w:rPr>
          <w:rFonts w:ascii="Arial" w:cs="Arial" w:eastAsia="Arial" w:hAnsi="Arial"/>
          <w:sz w:val="18"/>
          <w:szCs w:val="18"/>
          <w:color w:val="auto"/>
        </w:rPr>
        <w:t>all vested and unvested Awards (as that term is defined in the 2006 Incentive Compensation Plan) then held by the Executive shall immediately expire; and</w:t>
      </w:r>
    </w:p>
    <w:p>
      <w:pPr>
        <w:spacing w:after="0" w:line="131" w:lineRule="exact"/>
        <w:rPr>
          <w:rFonts w:ascii="Arial" w:cs="Arial" w:eastAsia="Arial" w:hAnsi="Arial"/>
          <w:sz w:val="18"/>
          <w:szCs w:val="18"/>
          <w:color w:val="auto"/>
        </w:rPr>
      </w:pPr>
    </w:p>
    <w:p>
      <w:pPr>
        <w:ind w:left="-20" w:right="40" w:firstLine="2404"/>
        <w:spacing w:after="0" w:line="289" w:lineRule="auto"/>
        <w:tabs>
          <w:tab w:leader="none" w:pos="2654" w:val="left"/>
        </w:tabs>
        <w:numPr>
          <w:ilvl w:val="2"/>
          <w:numId w:val="88"/>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18" w:lineRule="exact"/>
        <w:rPr>
          <w:rFonts w:ascii="Arial" w:cs="Arial" w:eastAsia="Arial" w:hAnsi="Arial"/>
          <w:sz w:val="16"/>
          <w:szCs w:val="16"/>
          <w:color w:val="auto"/>
        </w:rPr>
      </w:pPr>
    </w:p>
    <w:p>
      <w:pPr>
        <w:ind w:left="-20" w:right="480" w:firstLine="921"/>
        <w:spacing w:after="0" w:line="268" w:lineRule="auto"/>
        <w:tabs>
          <w:tab w:leader="none" w:pos="1142"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213" w:lineRule="exact"/>
        <w:rPr>
          <w:sz w:val="20"/>
          <w:szCs w:val="20"/>
          <w:color w:val="auto"/>
        </w:rPr>
      </w:pPr>
    </w:p>
    <w:p>
      <w:pPr>
        <w:ind w:left="1080" w:hanging="179"/>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sz w:val="20"/>
          <w:szCs w:val="20"/>
          <w:color w:val="auto"/>
        </w:rPr>
      </w:pPr>
    </w:p>
    <w:p>
      <w:pPr>
        <w:ind w:left="-20" w:right="160" w:firstLine="921"/>
        <w:spacing w:after="0" w:line="268" w:lineRule="auto"/>
        <w:tabs>
          <w:tab w:leader="none" w:pos="1132" w:val="left"/>
        </w:tabs>
        <w:numPr>
          <w:ilvl w:val="0"/>
          <w:numId w:val="91"/>
        </w:numPr>
        <w:rPr>
          <w:rFonts w:ascii="Arial" w:cs="Arial" w:eastAsia="Arial" w:hAnsi="Arial"/>
          <w:sz w:val="18"/>
          <w:szCs w:val="18"/>
          <w:color w:val="auto"/>
        </w:rPr>
      </w:pPr>
      <w:r>
        <w:rPr>
          <w:rFonts w:ascii="Arial" w:cs="Arial" w:eastAsia="Arial" w:hAnsi="Arial"/>
          <w:sz w:val="18"/>
          <w:szCs w:val="18"/>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04" w:name="page105"/>
    <w:bookmarkEnd w:id="104"/>
    <w:p>
      <w:pPr>
        <w:ind w:right="3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13" w:lineRule="exact"/>
        <w:rPr>
          <w:sz w:val="20"/>
          <w:szCs w:val="20"/>
          <w:color w:val="auto"/>
        </w:rPr>
      </w:pPr>
    </w:p>
    <w:p>
      <w:pPr>
        <w:jc w:val="both"/>
        <w:ind w:right="60" w:firstLine="921"/>
        <w:spacing w:after="0" w:line="259" w:lineRule="auto"/>
        <w:tabs>
          <w:tab w:leader="none" w:pos="1162"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171" w:lineRule="exact"/>
        <w:rPr>
          <w:rFonts w:ascii="Arial" w:cs="Arial" w:eastAsia="Arial" w:hAnsi="Arial"/>
          <w:sz w:val="18"/>
          <w:szCs w:val="18"/>
          <w:color w:val="auto"/>
        </w:rPr>
      </w:pPr>
    </w:p>
    <w:p>
      <w:pPr>
        <w:ind w:right="20" w:firstLine="1492"/>
        <w:spacing w:after="0" w:line="289" w:lineRule="auto"/>
        <w:tabs>
          <w:tab w:leader="none" w:pos="1693" w:val="left"/>
        </w:tabs>
        <w:numPr>
          <w:ilvl w:val="1"/>
          <w:numId w:val="92"/>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18" w:lineRule="exact"/>
        <w:rPr>
          <w:rFonts w:ascii="Arial" w:cs="Arial" w:eastAsia="Arial" w:hAnsi="Arial"/>
          <w:sz w:val="16"/>
          <w:szCs w:val="16"/>
          <w:color w:val="auto"/>
        </w:rPr>
      </w:pPr>
    </w:p>
    <w:p>
      <w:pPr>
        <w:ind w:firstLine="1492"/>
        <w:spacing w:after="0" w:line="256" w:lineRule="auto"/>
        <w:tabs>
          <w:tab w:leader="none" w:pos="1742" w:val="left"/>
        </w:tabs>
        <w:numPr>
          <w:ilvl w:val="1"/>
          <w:numId w:val="92"/>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ind w:right="240" w:firstLine="921"/>
        <w:spacing w:after="0" w:line="259" w:lineRule="auto"/>
        <w:tabs>
          <w:tab w:leader="none" w:pos="1162"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ind w:right="80" w:firstLine="921"/>
        <w:spacing w:after="0" w:line="306" w:lineRule="auto"/>
        <w:tabs>
          <w:tab w:leader="none" w:pos="1152" w:val="left"/>
        </w:tabs>
        <w:numPr>
          <w:ilvl w:val="0"/>
          <w:numId w:val="92"/>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5" w:name="page106"/>
    <w:bookmarkEnd w:id="105"/>
    <w:p>
      <w:pPr>
        <w:ind w:left="1140" w:hanging="219"/>
        <w:spacing w:after="0"/>
        <w:tabs>
          <w:tab w:leader="none" w:pos="1140"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Taxable Reimbursements.</w:t>
      </w:r>
    </w:p>
    <w:p>
      <w:pPr>
        <w:spacing w:after="0" w:line="171" w:lineRule="exact"/>
        <w:rPr>
          <w:rFonts w:ascii="Arial" w:cs="Arial" w:eastAsia="Arial" w:hAnsi="Arial"/>
          <w:sz w:val="18"/>
          <w:szCs w:val="18"/>
          <w:color w:val="auto"/>
        </w:rPr>
      </w:pPr>
    </w:p>
    <w:p>
      <w:pPr>
        <w:ind w:right="140" w:firstLine="1492"/>
        <w:spacing w:after="0" w:line="306" w:lineRule="auto"/>
        <w:tabs>
          <w:tab w:leader="none" w:pos="1693" w:val="left"/>
        </w:tabs>
        <w:numPr>
          <w:ilvl w:val="1"/>
          <w:numId w:val="93"/>
        </w:numPr>
        <w:rPr>
          <w:rFonts w:ascii="Arial" w:cs="Arial" w:eastAsia="Arial" w:hAnsi="Arial"/>
          <w:sz w:val="16"/>
          <w:szCs w:val="16"/>
          <w:color w:val="auto"/>
        </w:rPr>
      </w:pPr>
      <w:r>
        <w:rPr>
          <w:rFonts w:ascii="Arial" w:cs="Arial" w:eastAsia="Arial" w:hAnsi="Arial"/>
          <w:sz w:val="16"/>
          <w:szCs w:val="16"/>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06" w:lineRule="exact"/>
        <w:rPr>
          <w:rFonts w:ascii="Arial" w:cs="Arial" w:eastAsia="Arial" w:hAnsi="Arial"/>
          <w:sz w:val="16"/>
          <w:szCs w:val="16"/>
          <w:color w:val="auto"/>
        </w:rPr>
      </w:pPr>
    </w:p>
    <w:p>
      <w:pPr>
        <w:ind w:right="20" w:firstLine="1492"/>
        <w:spacing w:after="0" w:line="268" w:lineRule="auto"/>
        <w:tabs>
          <w:tab w:leader="none" w:pos="1742"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31" w:lineRule="exact"/>
        <w:rPr>
          <w:rFonts w:ascii="Arial" w:cs="Arial" w:eastAsia="Arial" w:hAnsi="Arial"/>
          <w:sz w:val="18"/>
          <w:szCs w:val="18"/>
          <w:color w:val="auto"/>
        </w:rPr>
      </w:pPr>
    </w:p>
    <w:p>
      <w:pPr>
        <w:ind w:left="1800" w:hanging="308"/>
        <w:spacing w:after="0"/>
        <w:tabs>
          <w:tab w:leader="none" w:pos="18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252" w:lineRule="exact"/>
        <w:rPr>
          <w:sz w:val="20"/>
          <w:szCs w:val="20"/>
          <w:color w:val="auto"/>
        </w:rPr>
      </w:pPr>
    </w:p>
    <w:p>
      <w:pPr>
        <w:ind w:left="1100" w:hanging="179"/>
        <w:spacing w:after="0"/>
        <w:tabs>
          <w:tab w:leader="none" w:pos="11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sz w:val="20"/>
          <w:szCs w:val="20"/>
          <w:color w:val="auto"/>
        </w:rPr>
      </w:pPr>
    </w:p>
    <w:p>
      <w:pPr>
        <w:jc w:val="both"/>
        <w:ind w:right="140" w:firstLine="921"/>
        <w:spacing w:after="0" w:line="370" w:lineRule="auto"/>
        <w:tabs>
          <w:tab w:leader="none" w:pos="1152" w:val="left"/>
        </w:tabs>
        <w:numPr>
          <w:ilvl w:val="0"/>
          <w:numId w:val="95"/>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jc w:val="both"/>
        <w:ind w:right="160" w:firstLine="921"/>
        <w:spacing w:after="0" w:line="259" w:lineRule="auto"/>
        <w:tabs>
          <w:tab w:leader="none" w:pos="1162"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100" w:firstLine="921"/>
        <w:spacing w:after="0" w:line="370" w:lineRule="auto"/>
        <w:tabs>
          <w:tab w:leader="none" w:pos="1152" w:val="left"/>
        </w:tabs>
        <w:numPr>
          <w:ilvl w:val="0"/>
          <w:numId w:val="95"/>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62" w:lineRule="exact"/>
        <w:rPr>
          <w:rFonts w:ascii="Arial" w:cs="Arial" w:eastAsia="Arial" w:hAnsi="Arial"/>
          <w:sz w:val="15"/>
          <w:szCs w:val="15"/>
          <w:color w:val="auto"/>
        </w:rPr>
      </w:pPr>
    </w:p>
    <w:p>
      <w:pPr>
        <w:ind w:firstLine="921"/>
        <w:spacing w:after="0" w:line="259" w:lineRule="auto"/>
        <w:tabs>
          <w:tab w:leader="none" w:pos="1162"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paragraph 7(d)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06" w:name="page107"/>
    <w:bookmarkEnd w:id="106"/>
    <w:p>
      <w:pPr>
        <w:ind w:left="1160" w:hanging="259"/>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NON-COMPETITION</w:t>
      </w:r>
    </w:p>
    <w:p>
      <w:pPr>
        <w:spacing w:after="0" w:line="90" w:lineRule="exact"/>
        <w:rPr>
          <w:sz w:val="20"/>
          <w:szCs w:val="20"/>
          <w:color w:val="auto"/>
        </w:rPr>
      </w:pPr>
    </w:p>
    <w:p>
      <w:pPr>
        <w:ind w:left="-20" w:firstLine="921"/>
        <w:spacing w:after="0" w:line="286" w:lineRule="auto"/>
        <w:tabs>
          <w:tab w:leader="none" w:pos="1132" w:val="left"/>
        </w:tabs>
        <w:numPr>
          <w:ilvl w:val="0"/>
          <w:numId w:val="97"/>
        </w:numPr>
        <w:rPr>
          <w:rFonts w:ascii="Arial" w:cs="Arial" w:eastAsia="Arial" w:hAnsi="Arial"/>
          <w:sz w:val="16"/>
          <w:szCs w:val="16"/>
          <w:color w:val="auto"/>
        </w:rPr>
      </w:pPr>
      <w:r>
        <w:rPr>
          <w:rFonts w:ascii="Arial" w:cs="Arial" w:eastAsia="Arial" w:hAnsi="Arial"/>
          <w:sz w:val="16"/>
          <w:szCs w:val="16"/>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24" w:lineRule="exact"/>
        <w:rPr>
          <w:rFonts w:ascii="Arial" w:cs="Arial" w:eastAsia="Arial" w:hAnsi="Arial"/>
          <w:sz w:val="16"/>
          <w:szCs w:val="16"/>
          <w:color w:val="auto"/>
        </w:rPr>
      </w:pPr>
    </w:p>
    <w:p>
      <w:pPr>
        <w:ind w:left="-20" w:right="160" w:firstLine="921"/>
        <w:spacing w:after="0" w:line="255" w:lineRule="auto"/>
        <w:tabs>
          <w:tab w:leader="none" w:pos="1142"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left="-20" w:right="20" w:firstLine="921"/>
        <w:spacing w:after="0" w:line="294" w:lineRule="auto"/>
        <w:tabs>
          <w:tab w:leader="none" w:pos="1132" w:val="left"/>
        </w:tabs>
        <w:numPr>
          <w:ilvl w:val="0"/>
          <w:numId w:val="97"/>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left="-20" w:right="220" w:firstLine="921"/>
        <w:spacing w:after="0" w:line="268" w:lineRule="auto"/>
        <w:tabs>
          <w:tab w:leader="none" w:pos="114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107" w:name="page108"/>
    <w:bookmarkEnd w:id="10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21" w:lineRule="exact"/>
        <w:rPr>
          <w:sz w:val="20"/>
          <w:szCs w:val="20"/>
          <w:color w:val="auto"/>
        </w:rPr>
      </w:pPr>
    </w:p>
    <w:p>
      <w:pPr>
        <w:ind w:left="1180" w:hanging="259"/>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sz w:val="20"/>
          <w:szCs w:val="20"/>
          <w:color w:val="auto"/>
        </w:rPr>
      </w:pPr>
    </w:p>
    <w:p>
      <w:pPr>
        <w:ind w:firstLine="921"/>
        <w:spacing w:after="0" w:line="291" w:lineRule="auto"/>
        <w:tabs>
          <w:tab w:leader="none" w:pos="1152" w:val="left"/>
        </w:tabs>
        <w:numPr>
          <w:ilvl w:val="0"/>
          <w:numId w:val="99"/>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80" w:firstLine="921"/>
        <w:spacing w:after="0" w:line="289" w:lineRule="auto"/>
        <w:tabs>
          <w:tab w:leader="none" w:pos="1162" w:val="left"/>
        </w:tabs>
        <w:numPr>
          <w:ilvl w:val="0"/>
          <w:numId w:val="99"/>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99" w:lineRule="exact"/>
        <w:rPr>
          <w:sz w:val="20"/>
          <w:szCs w:val="20"/>
          <w:color w:val="auto"/>
        </w:rPr>
      </w:pPr>
    </w:p>
    <w:p>
      <w:pPr>
        <w:ind w:left="1180" w:hanging="259"/>
        <w:spacing w:after="0"/>
        <w:tabs>
          <w:tab w:leader="none" w:pos="118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right="40" w:firstLine="921"/>
        <w:spacing w:after="0" w:line="254" w:lineRule="auto"/>
        <w:tabs>
          <w:tab w:leader="none" w:pos="11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8" w:name="page109"/>
    <w:bookmarkEnd w:id="108"/>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20" w:lineRule="exact"/>
        <w:rPr>
          <w:sz w:val="20"/>
          <w:szCs w:val="20"/>
          <w:color w:val="auto"/>
        </w:rPr>
      </w:pPr>
    </w:p>
    <w:p>
      <w:pPr>
        <w:ind w:right="20" w:firstLine="921"/>
        <w:spacing w:after="0" w:line="298" w:lineRule="auto"/>
        <w:tabs>
          <w:tab w:leader="none" w:pos="116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94" w:lineRule="exact"/>
        <w:rPr>
          <w:sz w:val="20"/>
          <w:szCs w:val="20"/>
          <w:color w:val="auto"/>
        </w:rPr>
      </w:pPr>
    </w:p>
    <w:p>
      <w:pPr>
        <w:ind w:left="1180" w:hanging="259"/>
        <w:spacing w:after="0"/>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89" w:lineRule="exact"/>
        <w:rPr>
          <w:sz w:val="20"/>
          <w:szCs w:val="20"/>
          <w:color w:val="auto"/>
        </w:rPr>
      </w:pPr>
    </w:p>
    <w:p>
      <w:pPr>
        <w:ind w:left="1180" w:hanging="259"/>
        <w:spacing w:after="0"/>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jc w:val="center"/>
        <w:ind w:left="320" w:right="840"/>
        <w:spacing w:after="0" w:line="440" w:lineRule="auto"/>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 11</w:t>
      </w:r>
    </w:p>
    <w:p>
      <w:pPr>
        <w:sectPr>
          <w:pgSz w:w="11900" w:h="16838" w:orient="portrait"/>
          <w:cols w:equalWidth="0" w:num="1">
            <w:col w:w="11420"/>
          </w:cols>
          <w:pgMar w:left="240" w:top="280" w:right="239" w:bottom="1440" w:gutter="0" w:footer="0" w:header="0"/>
        </w:sectPr>
      </w:pPr>
    </w:p>
    <w:bookmarkStart w:id="109" w:name="page110"/>
    <w:bookmarkEnd w:id="109"/>
    <w:p>
      <w:pPr>
        <w:ind w:left="1180" w:hanging="259"/>
        <w:spacing w:after="0"/>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p>
    <w:p>
      <w:pPr>
        <w:spacing w:after="0" w:line="9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13" w:lineRule="exact"/>
        <w:rPr>
          <w:sz w:val="20"/>
          <w:szCs w:val="20"/>
          <w:color w:val="auto"/>
        </w:rPr>
      </w:pPr>
    </w:p>
    <w:p>
      <w:pPr>
        <w:ind w:left="1180" w:hanging="259"/>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13" w:lineRule="exact"/>
        <w:rPr>
          <w:sz w:val="20"/>
          <w:szCs w:val="20"/>
          <w:color w:val="auto"/>
        </w:rPr>
      </w:pPr>
    </w:p>
    <w:p>
      <w:pPr>
        <w:ind w:left="1180" w:hanging="259"/>
        <w:spacing w:after="0"/>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21" w:lineRule="exact"/>
        <w:rPr>
          <w:sz w:val="20"/>
          <w:szCs w:val="20"/>
          <w:color w:val="auto"/>
        </w:rPr>
      </w:pPr>
    </w:p>
    <w:p>
      <w:pPr>
        <w:ind w:left="1180" w:hanging="259"/>
        <w:spacing w:after="0"/>
        <w:tabs>
          <w:tab w:leader="none" w:pos="118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213" w:lineRule="exact"/>
        <w:rPr>
          <w:sz w:val="20"/>
          <w:szCs w:val="20"/>
          <w:color w:val="auto"/>
        </w:rPr>
      </w:pPr>
    </w:p>
    <w:p>
      <w:pPr>
        <w:ind w:left="1180" w:hanging="259"/>
        <w:spacing w:after="0"/>
        <w:tabs>
          <w:tab w:leader="none" w:pos="11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110" w:name="page111"/>
    <w:bookmarkEnd w:id="110"/>
    <w:p>
      <w:pPr>
        <w:ind w:left="1180" w:hanging="259"/>
        <w:spacing w:after="0"/>
        <w:tabs>
          <w:tab w:leader="none" w:pos="118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SURVIVAL</w:t>
      </w:r>
    </w:p>
    <w:p>
      <w:pPr>
        <w:spacing w:after="0" w:line="9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213" w:lineRule="exact"/>
        <w:rPr>
          <w:sz w:val="20"/>
          <w:szCs w:val="20"/>
          <w:color w:val="auto"/>
        </w:rPr>
      </w:pPr>
    </w:p>
    <w:p>
      <w:pPr>
        <w:ind w:left="1180" w:hanging="259"/>
        <w:spacing w:after="0"/>
        <w:tabs>
          <w:tab w:leader="none" w:pos="118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194"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94" w:lineRule="exact"/>
        <w:rPr>
          <w:sz w:val="20"/>
          <w:szCs w:val="20"/>
          <w:color w:val="auto"/>
        </w:rPr>
      </w:pPr>
    </w:p>
    <w:p>
      <w:pPr>
        <w:ind w:left="1180" w:hanging="259"/>
        <w:spacing w:after="0"/>
        <w:tabs>
          <w:tab w:leader="none" w:pos="118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21" w:lineRule="exact"/>
        <w:rPr>
          <w:sz w:val="20"/>
          <w:szCs w:val="20"/>
          <w:color w:val="auto"/>
        </w:rPr>
      </w:pPr>
    </w:p>
    <w:p>
      <w:pPr>
        <w:ind w:left="1180" w:hanging="259"/>
        <w:spacing w:after="0"/>
        <w:tabs>
          <w:tab w:leader="none" w:pos="118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13" w:lineRule="exact"/>
        <w:rPr>
          <w:sz w:val="20"/>
          <w:szCs w:val="20"/>
          <w:color w:val="auto"/>
        </w:rPr>
      </w:pPr>
    </w:p>
    <w:p>
      <w:pPr>
        <w:ind w:right="7520" w:firstLine="921"/>
        <w:spacing w:after="0" w:line="362" w:lineRule="auto"/>
        <w:tabs>
          <w:tab w:leader="none" w:pos="1176"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 xml:space="preserve">SUBSIDIARIES AND AFFILIATES </w:t>
      </w:r>
      <w:r>
        <w:rPr>
          <w:rFonts w:ascii="Arial" w:cs="Arial" w:eastAsia="Arial" w:hAnsi="Arial"/>
          <w:sz w:val="18"/>
          <w:szCs w:val="18"/>
          <w:color w:val="auto"/>
        </w:rPr>
        <w:t>For purposes of this Agreement:</w:t>
      </w:r>
    </w:p>
    <w:p>
      <w:pPr>
        <w:spacing w:after="0" w:line="50" w:lineRule="exact"/>
        <w:rPr>
          <w:rFonts w:ascii="Arial" w:cs="Arial" w:eastAsia="Arial" w:hAnsi="Arial"/>
          <w:sz w:val="18"/>
          <w:szCs w:val="18"/>
          <w:color w:val="auto"/>
        </w:rPr>
      </w:pPr>
    </w:p>
    <w:p>
      <w:pPr>
        <w:ind w:right="300" w:firstLine="1492"/>
        <w:spacing w:after="0" w:line="259" w:lineRule="auto"/>
        <w:tabs>
          <w:tab w:leader="none" w:pos="172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40" w:lineRule="exact"/>
        <w:rPr>
          <w:rFonts w:ascii="Arial" w:cs="Arial" w:eastAsia="Arial" w:hAnsi="Arial"/>
          <w:sz w:val="18"/>
          <w:szCs w:val="18"/>
          <w:color w:val="auto"/>
        </w:rPr>
      </w:pPr>
    </w:p>
    <w:p>
      <w:pPr>
        <w:ind w:right="100" w:firstLine="1492"/>
        <w:spacing w:after="0" w:line="332" w:lineRule="auto"/>
        <w:tabs>
          <w:tab w:leader="none" w:pos="1732" w:val="left"/>
        </w:tabs>
        <w:numPr>
          <w:ilvl w:val="1"/>
          <w:numId w:val="114"/>
        </w:numPr>
        <w:rPr>
          <w:rFonts w:ascii="Arial" w:cs="Arial" w:eastAsia="Arial" w:hAnsi="Arial"/>
          <w:sz w:val="16"/>
          <w:szCs w:val="16"/>
          <w:color w:val="auto"/>
        </w:rPr>
      </w:pPr>
      <w:r>
        <w:rPr>
          <w:rFonts w:ascii="Arial" w:cs="Arial" w:eastAsia="Arial" w:hAnsi="Arial"/>
          <w:sz w:val="16"/>
          <w:szCs w:val="16"/>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80" w:right="339" w:bottom="1440" w:gutter="0" w:footer="0" w:header="0"/>
        </w:sectPr>
      </w:pPr>
    </w:p>
    <w:bookmarkStart w:id="111" w:name="page112"/>
    <w:bookmarkEnd w:id="111"/>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generally in the election of directors (or similar governing body of a non-corporate entity) or in which the Company has the right to receive 50% or more of the distribution of profits or 50% or more of the assets on liquidation or dissolution.</w:t>
      </w:r>
    </w:p>
    <w:p>
      <w:pPr>
        <w:spacing w:after="0" w:line="213" w:lineRule="exact"/>
        <w:rPr>
          <w:sz w:val="20"/>
          <w:szCs w:val="20"/>
          <w:color w:val="auto"/>
        </w:rPr>
      </w:pPr>
    </w:p>
    <w:p>
      <w:pPr>
        <w:ind w:left="1180" w:hanging="259"/>
        <w:spacing w:after="0"/>
        <w:tabs>
          <w:tab w:leader="none" w:pos="118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213" w:lineRule="exact"/>
        <w:rPr>
          <w:sz w:val="20"/>
          <w:szCs w:val="20"/>
          <w:color w:val="auto"/>
        </w:rPr>
      </w:pPr>
    </w:p>
    <w:p>
      <w:pPr>
        <w:ind w:left="1180" w:hanging="259"/>
        <w:spacing w:after="0"/>
        <w:tabs>
          <w:tab w:leader="none" w:pos="11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ectPr>
          <w:pgSz w:w="11900" w:h="16838" w:orient="portrait"/>
          <w:cols w:equalWidth="0" w:num="1">
            <w:col w:w="11380"/>
          </w:cols>
          <w:pgMar w:left="240" w:top="280" w:right="27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David A. Levin</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President, Chief Executive Officer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Executive VP, COO, CFO</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Mark Bean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220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Bean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Date: January 8, 2010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Date: January 8, 2010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Date: January 7, 2010</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5400" w:space="220"/>
            <w:col w:w="5760"/>
          </w:cols>
          <w:pgMar w:left="240" w:top="280" w:right="279"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171" w:lineRule="exact"/>
        <w:rPr>
          <w:sz w:val="20"/>
          <w:szCs w:val="20"/>
          <w:color w:val="auto"/>
        </w:rPr>
      </w:pPr>
    </w:p>
    <w:p>
      <w:pPr>
        <w:ind w:left="-40" w:firstLine="464"/>
        <w:spacing w:after="0" w:line="284" w:lineRule="auto"/>
        <w:tabs>
          <w:tab w:leader="none" w:pos="59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Mark Bean (“</w:t>
      </w:r>
      <w:r>
        <w:rPr>
          <w:rFonts w:ascii="Arial" w:cs="Arial" w:eastAsia="Arial" w:hAnsi="Arial"/>
          <w:sz w:val="16"/>
          <w:szCs w:val="16"/>
          <w:u w:val="single" w:color="auto"/>
          <w:color w:val="auto"/>
        </w:rPr>
        <w:t>Executive</w:t>
      </w:r>
      <w:r>
        <w:rPr>
          <w:rFonts w:ascii="Arial" w:cs="Arial" w:eastAsia="Arial" w:hAnsi="Arial"/>
          <w:sz w:val="16"/>
          <w:szCs w:val="16"/>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does hereby release and forever discharge Casual Male Retail Group, Inc. (the “</w:t>
      </w:r>
      <w:r>
        <w:rPr>
          <w:rFonts w:ascii="Arial" w:cs="Arial" w:eastAsia="Arial" w:hAnsi="Arial"/>
          <w:sz w:val="16"/>
          <w:szCs w:val="16"/>
          <w:u w:val="single" w:color="auto"/>
          <w:color w:val="auto"/>
        </w:rPr>
        <w:t>Company</w:t>
      </w:r>
      <w:r>
        <w:rPr>
          <w:rFonts w:ascii="Arial" w:cs="Arial" w:eastAsia="Arial" w:hAnsi="Arial"/>
          <w:sz w:val="16"/>
          <w:szCs w:val="16"/>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280" w:right="259" w:bottom="1440" w:gutter="0" w:footer="0" w:header="0"/>
        </w:sectPr>
      </w:pPr>
    </w:p>
    <w:bookmarkStart w:id="113" w:name="page114"/>
    <w:bookmarkEnd w:id="113"/>
    <w:p>
      <w:pPr>
        <w:ind w:left="-20" w:firstLine="464"/>
        <w:spacing w:after="0" w:line="294" w:lineRule="auto"/>
        <w:tabs>
          <w:tab w:leader="none" w:pos="612" w:val="left"/>
        </w:tabs>
        <w:numPr>
          <w:ilvl w:val="0"/>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his right to commence a Proceeding to challenge whether Executive knowingly and voluntarily waived his rights under ADEA.</w:t>
      </w:r>
    </w:p>
    <w:p>
      <w:pPr>
        <w:spacing w:after="0" w:line="115" w:lineRule="exact"/>
        <w:rPr>
          <w:rFonts w:ascii="Arial" w:cs="Arial" w:eastAsia="Arial" w:hAnsi="Arial"/>
          <w:sz w:val="16"/>
          <w:szCs w:val="16"/>
          <w:color w:val="auto"/>
        </w:rPr>
      </w:pPr>
    </w:p>
    <w:p>
      <w:pPr>
        <w:ind w:left="-20" w:right="180" w:firstLine="464"/>
        <w:spacing w:after="0" w:line="256" w:lineRule="auto"/>
        <w:tabs>
          <w:tab w:leader="none" w:pos="61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43"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31" w:lineRule="exact"/>
        <w:rPr>
          <w:rFonts w:ascii="Arial" w:cs="Arial" w:eastAsia="Arial" w:hAnsi="Arial"/>
          <w:sz w:val="18"/>
          <w:szCs w:val="18"/>
          <w:color w:val="auto"/>
        </w:rPr>
      </w:pPr>
    </w:p>
    <w:p>
      <w:pPr>
        <w:jc w:val="both"/>
        <w:ind w:left="-20" w:right="420" w:firstLine="464"/>
        <w:spacing w:after="0" w:line="259" w:lineRule="auto"/>
        <w:tabs>
          <w:tab w:leader="none" w:pos="61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40"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269240</wp:posOffset>
            </wp:positionV>
            <wp:extent cx="2898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Mark Bean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8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10.34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Employment Agreement (“Agreement”) is made as of January 8, 2010 between CASUAL MALE RETAIL GROUP, INC., a Delaware corporation with an office at 555 Turnpike Street, Canton, Massachusetts, 02021 (the “Company” which term includes any affiliates and subsidiaries), and Francis C. Chane (the “Executive”) having an address at 45 Saddleworth Way, Middleboro, MA 02346.</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WHEREAS, the Company desires that Executive serve as Vice President Distribution and Logistics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13" w:lineRule="exact"/>
        <w:rPr>
          <w:sz w:val="20"/>
          <w:szCs w:val="20"/>
          <w:color w:val="auto"/>
        </w:rPr>
      </w:pPr>
    </w:p>
    <w:p>
      <w:pPr>
        <w:ind w:left="1100" w:hanging="179"/>
        <w:spacing w:after="0"/>
        <w:tabs>
          <w:tab w:leader="none" w:pos="110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Vice President Distribution and Logistics.</w:t>
      </w:r>
    </w:p>
    <w:p>
      <w:pPr>
        <w:spacing w:after="0" w:line="246" w:lineRule="exact"/>
        <w:rPr>
          <w:sz w:val="20"/>
          <w:szCs w:val="20"/>
          <w:color w:val="auto"/>
        </w:rPr>
      </w:pPr>
    </w:p>
    <w:p>
      <w:pPr>
        <w:ind w:left="1100" w:hanging="179"/>
        <w:spacing w:after="0"/>
        <w:tabs>
          <w:tab w:leader="none" w:pos="110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term of employment under this Agreement (the “Term of Employment”) shall begin on the date set forth above (the “Effective Date”) and shall continue until terminated by either party as hereinafter set forth.</w:t>
      </w:r>
    </w:p>
    <w:p>
      <w:pPr>
        <w:spacing w:after="0" w:line="213" w:lineRule="exact"/>
        <w:rPr>
          <w:sz w:val="20"/>
          <w:szCs w:val="20"/>
          <w:color w:val="auto"/>
        </w:rPr>
      </w:pPr>
    </w:p>
    <w:p>
      <w:pPr>
        <w:ind w:left="1100" w:hanging="179"/>
        <w:spacing w:after="0"/>
        <w:tabs>
          <w:tab w:leader="none" w:pos="110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sz w:val="20"/>
          <w:szCs w:val="20"/>
          <w:color w:val="auto"/>
        </w:rPr>
      </w:pPr>
    </w:p>
    <w:p>
      <w:pPr>
        <w:ind w:right="80" w:firstLine="921"/>
        <w:spacing w:after="0" w:line="323" w:lineRule="auto"/>
        <w:tabs>
          <w:tab w:leader="none" w:pos="1152" w:val="left"/>
        </w:tabs>
        <w:numPr>
          <w:ilvl w:val="0"/>
          <w:numId w:val="122"/>
        </w:numPr>
        <w:rPr>
          <w:rFonts w:ascii="Arial" w:cs="Arial" w:eastAsia="Arial" w:hAnsi="Arial"/>
          <w:sz w:val="15"/>
          <w:szCs w:val="15"/>
          <w:color w:val="auto"/>
        </w:rPr>
      </w:pPr>
      <w:r>
        <w:rPr>
          <w:rFonts w:ascii="Arial" w:cs="Arial" w:eastAsia="Arial" w:hAnsi="Arial"/>
          <w:sz w:val="15"/>
          <w:szCs w:val="15"/>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One Hundred Eighty Thousand Dollars and 00/100 Cents ($180,000.00)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97" w:lineRule="exact"/>
        <w:rPr>
          <w:rFonts w:ascii="Arial" w:cs="Arial" w:eastAsia="Arial" w:hAnsi="Arial"/>
          <w:sz w:val="15"/>
          <w:szCs w:val="15"/>
          <w:color w:val="auto"/>
        </w:rPr>
      </w:pPr>
    </w:p>
    <w:p>
      <w:pPr>
        <w:ind w:firstLine="921"/>
        <w:spacing w:after="0" w:line="306" w:lineRule="auto"/>
        <w:tabs>
          <w:tab w:leader="none" w:pos="116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w:t>
      </w:r>
    </w:p>
    <w:p>
      <w:pPr>
        <w:sectPr>
          <w:pgSz w:w="11900" w:h="16838" w:orient="portrait"/>
          <w:cols w:equalWidth="0" w:num="1">
            <w:col w:w="11420"/>
          </w:cols>
          <w:pgMar w:left="240" w:top="125" w:right="239" w:bottom="1440" w:gutter="0" w:footer="0" w:header="0"/>
        </w:sectPr>
      </w:pPr>
    </w:p>
    <w:bookmarkStart w:id="115" w:name="page116"/>
    <w:bookmarkEnd w:id="11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individual and Company performance conditions are met) shall be 35%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43" w:lineRule="exact"/>
        <w:rPr>
          <w:sz w:val="20"/>
          <w:szCs w:val="20"/>
          <w:color w:val="auto"/>
        </w:rPr>
      </w:pPr>
    </w:p>
    <w:p>
      <w:pPr>
        <w:ind w:right="20" w:firstLine="921"/>
        <w:spacing w:after="0" w:line="255" w:lineRule="auto"/>
        <w:tabs>
          <w:tab w:leader="none" w:pos="115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24" w:lineRule="exact"/>
        <w:rPr>
          <w:sz w:val="20"/>
          <w:szCs w:val="20"/>
          <w:color w:val="auto"/>
        </w:rPr>
      </w:pPr>
    </w:p>
    <w:p>
      <w:pPr>
        <w:ind w:left="1100" w:hanging="179"/>
        <w:spacing w:after="0"/>
        <w:tabs>
          <w:tab w:leader="none" w:pos="110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240" w:firstLine="913"/>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94" w:lineRule="exact"/>
        <w:rPr>
          <w:sz w:val="20"/>
          <w:szCs w:val="20"/>
          <w:color w:val="auto"/>
        </w:rPr>
      </w:pPr>
    </w:p>
    <w:p>
      <w:pPr>
        <w:ind w:left="1100" w:hanging="179"/>
        <w:spacing w:after="0"/>
        <w:tabs>
          <w:tab w:leader="none" w:pos="110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sz w:val="20"/>
          <w:szCs w:val="20"/>
          <w:color w:val="auto"/>
        </w:rPr>
      </w:pPr>
    </w:p>
    <w:p>
      <w:pPr>
        <w:ind w:right="280" w:firstLine="921"/>
        <w:spacing w:after="0" w:line="298" w:lineRule="auto"/>
        <w:tabs>
          <w:tab w:leader="none" w:pos="115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right="60" w:firstLine="921"/>
        <w:spacing w:after="0" w:line="298" w:lineRule="auto"/>
        <w:tabs>
          <w:tab w:leader="none" w:pos="116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Company will, during the Term of Employment, provide Executive with an automobile allowance in the total amount of Seven Thousand Two Hundred Dollars and 00/100 ($7,200.00)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3" w:lineRule="exact"/>
        <w:rPr>
          <w:sz w:val="20"/>
          <w:szCs w:val="20"/>
          <w:color w:val="auto"/>
        </w:rPr>
      </w:pPr>
    </w:p>
    <w:p>
      <w:pPr>
        <w:ind w:left="5680" w:right="3460" w:hanging="4759"/>
        <w:spacing w:after="0" w:line="440" w:lineRule="auto"/>
        <w:tabs>
          <w:tab w:leader="none" w:pos="117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 2</w:t>
      </w:r>
    </w:p>
    <w:p>
      <w:pPr>
        <w:sectPr>
          <w:pgSz w:w="11900" w:h="16838" w:orient="portrait"/>
          <w:cols w:equalWidth="0" w:num="1">
            <w:col w:w="11420"/>
          </w:cols>
          <w:pgMar w:left="240" w:top="280" w:right="239" w:bottom="1440" w:gutter="0" w:footer="0" w:header="0"/>
        </w:sectPr>
      </w:pPr>
    </w:p>
    <w:bookmarkStart w:id="116" w:name="page117"/>
    <w:bookmarkEnd w:id="116"/>
    <w:p>
      <w:pPr>
        <w:ind w:left="1060" w:hanging="179"/>
        <w:spacing w:after="0"/>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DUTIES</w:t>
      </w:r>
    </w:p>
    <w:p>
      <w:pPr>
        <w:spacing w:after="0" w:line="90" w:lineRule="exact"/>
        <w:rPr>
          <w:sz w:val="20"/>
          <w:szCs w:val="20"/>
          <w:color w:val="auto"/>
        </w:rPr>
      </w:pPr>
    </w:p>
    <w:p>
      <w:pPr>
        <w:ind w:left="-40" w:firstLine="921"/>
        <w:spacing w:after="0" w:line="259" w:lineRule="auto"/>
        <w:tabs>
          <w:tab w:leader="none" w:pos="111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Vice President Distribution and Logistics and/or as the Company shall from time to time determine and Executive shall comply in the performance of his duties with the policies of, and be subject to the direction of the Company.</w:t>
      </w:r>
    </w:p>
    <w:p>
      <w:pPr>
        <w:spacing w:after="0" w:line="140" w:lineRule="exact"/>
        <w:rPr>
          <w:rFonts w:ascii="Arial" w:cs="Arial" w:eastAsia="Arial" w:hAnsi="Arial"/>
          <w:sz w:val="18"/>
          <w:szCs w:val="18"/>
          <w:color w:val="auto"/>
        </w:rPr>
      </w:pPr>
    </w:p>
    <w:p>
      <w:pPr>
        <w:ind w:left="-40" w:right="140" w:firstLine="921"/>
        <w:spacing w:after="0" w:line="298" w:lineRule="auto"/>
        <w:tabs>
          <w:tab w:leader="none" w:pos="112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12" w:lineRule="exact"/>
        <w:rPr>
          <w:rFonts w:ascii="Arial" w:cs="Arial" w:eastAsia="Arial" w:hAnsi="Arial"/>
          <w:sz w:val="16"/>
          <w:szCs w:val="16"/>
          <w:color w:val="auto"/>
        </w:rPr>
      </w:pPr>
    </w:p>
    <w:p>
      <w:pPr>
        <w:jc w:val="both"/>
        <w:ind w:left="-40" w:right="20" w:firstLine="921"/>
        <w:spacing w:after="0" w:line="335" w:lineRule="auto"/>
        <w:tabs>
          <w:tab w:leader="none" w:pos="1112"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169" w:lineRule="exact"/>
        <w:rPr>
          <w:sz w:val="20"/>
          <w:szCs w:val="20"/>
          <w:color w:val="auto"/>
        </w:rPr>
      </w:pPr>
    </w:p>
    <w:p>
      <w:pPr>
        <w:ind w:left="1060" w:hanging="179"/>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sz w:val="20"/>
          <w:szCs w:val="20"/>
          <w:color w:val="auto"/>
        </w:rPr>
      </w:pPr>
    </w:p>
    <w:p>
      <w:pPr>
        <w:ind w:left="1120" w:hanging="239"/>
        <w:spacing w:after="0"/>
        <w:tabs>
          <w:tab w:leader="none" w:pos="11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171" w:lineRule="exact"/>
        <w:rPr>
          <w:rFonts w:ascii="Arial" w:cs="Arial" w:eastAsia="Arial" w:hAnsi="Arial"/>
          <w:sz w:val="18"/>
          <w:szCs w:val="18"/>
          <w:color w:val="auto"/>
        </w:rPr>
      </w:pPr>
    </w:p>
    <w:p>
      <w:pPr>
        <w:jc w:val="both"/>
        <w:ind w:left="-40" w:right="140" w:firstLine="1492"/>
        <w:spacing w:after="0" w:line="259" w:lineRule="auto"/>
        <w:tabs>
          <w:tab w:leader="none" w:pos="1653" w:val="left"/>
        </w:tabs>
        <w:numPr>
          <w:ilvl w:val="1"/>
          <w:numId w:val="131"/>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1720" w:hanging="268"/>
        <w:spacing w:after="0"/>
        <w:tabs>
          <w:tab w:leader="none" w:pos="17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171" w:lineRule="exact"/>
        <w:rPr>
          <w:rFonts w:ascii="Arial" w:cs="Arial" w:eastAsia="Arial" w:hAnsi="Arial"/>
          <w:sz w:val="18"/>
          <w:szCs w:val="18"/>
          <w:color w:val="auto"/>
        </w:rPr>
      </w:pPr>
    </w:p>
    <w:p>
      <w:pPr>
        <w:ind w:left="1120" w:hanging="239"/>
        <w:spacing w:after="0"/>
        <w:tabs>
          <w:tab w:leader="none" w:pos="11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171" w:lineRule="exact"/>
        <w:rPr>
          <w:rFonts w:ascii="Arial" w:cs="Arial" w:eastAsia="Arial" w:hAnsi="Arial"/>
          <w:sz w:val="18"/>
          <w:szCs w:val="18"/>
          <w:color w:val="auto"/>
        </w:rPr>
      </w:pPr>
    </w:p>
    <w:p>
      <w:pPr>
        <w:ind w:left="1660" w:hanging="208"/>
        <w:spacing w:after="0"/>
        <w:tabs>
          <w:tab w:leader="none" w:pos="16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rFonts w:ascii="Arial" w:cs="Arial" w:eastAsia="Arial" w:hAnsi="Arial"/>
          <w:sz w:val="18"/>
          <w:szCs w:val="18"/>
          <w:color w:val="auto"/>
        </w:rPr>
      </w:pPr>
    </w:p>
    <w:p>
      <w:pPr>
        <w:ind w:left="-40" w:right="260" w:firstLine="1492"/>
        <w:spacing w:after="0" w:line="268" w:lineRule="auto"/>
        <w:tabs>
          <w:tab w:leader="none" w:pos="170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date on which the Company elects to terminate the Term of Employment by reason of the “disability” of Executive (as hereinafter defined in subsection (c) herein) pursuant to subsection (g) hereof; or</w:t>
      </w:r>
    </w:p>
    <w:p>
      <w:pPr>
        <w:spacing w:after="0" w:line="131" w:lineRule="exact"/>
        <w:rPr>
          <w:rFonts w:ascii="Arial" w:cs="Arial" w:eastAsia="Arial" w:hAnsi="Arial"/>
          <w:sz w:val="18"/>
          <w:szCs w:val="18"/>
          <w:color w:val="auto"/>
        </w:rPr>
      </w:pPr>
    </w:p>
    <w:p>
      <w:pPr>
        <w:ind w:left="1760" w:hanging="308"/>
        <w:spacing w:after="0"/>
        <w:tabs>
          <w:tab w:leader="none" w:pos="17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117" w:name="page118"/>
    <w:bookmarkEnd w:id="117"/>
    <w:p>
      <w:pPr>
        <w:ind w:left="-80" w:right="20" w:firstLine="921"/>
        <w:spacing w:after="0" w:line="259" w:lineRule="auto"/>
        <w:tabs>
          <w:tab w:leader="none" w:pos="1072"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80" w:right="20" w:firstLine="921"/>
        <w:spacing w:after="0" w:line="287" w:lineRule="auto"/>
        <w:tabs>
          <w:tab w:leader="none" w:pos="108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22" w:lineRule="exact"/>
        <w:rPr>
          <w:rFonts w:ascii="Arial" w:cs="Arial" w:eastAsia="Arial" w:hAnsi="Arial"/>
          <w:sz w:val="16"/>
          <w:szCs w:val="16"/>
          <w:color w:val="auto"/>
        </w:rPr>
      </w:pPr>
    </w:p>
    <w:p>
      <w:pPr>
        <w:ind w:left="-80" w:firstLine="921"/>
        <w:spacing w:after="0" w:line="289" w:lineRule="auto"/>
        <w:tabs>
          <w:tab w:leader="none" w:pos="107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18" w:lineRule="exact"/>
        <w:rPr>
          <w:rFonts w:ascii="Arial" w:cs="Arial" w:eastAsia="Arial" w:hAnsi="Arial"/>
          <w:sz w:val="16"/>
          <w:szCs w:val="16"/>
          <w:color w:val="auto"/>
        </w:rPr>
      </w:pPr>
    </w:p>
    <w:p>
      <w:pPr>
        <w:ind w:left="-80" w:right="180" w:firstLine="921"/>
        <w:spacing w:after="0" w:line="259" w:lineRule="auto"/>
        <w:tabs>
          <w:tab w:leader="none" w:pos="10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40" w:lineRule="exact"/>
        <w:rPr>
          <w:rFonts w:ascii="Arial" w:cs="Arial" w:eastAsia="Arial" w:hAnsi="Arial"/>
          <w:sz w:val="18"/>
          <w:szCs w:val="18"/>
          <w:color w:val="auto"/>
        </w:rPr>
      </w:pPr>
    </w:p>
    <w:p>
      <w:pPr>
        <w:ind w:left="-80" w:right="160" w:firstLine="921"/>
        <w:spacing w:after="0" w:line="335" w:lineRule="auto"/>
        <w:tabs>
          <w:tab w:leader="none" w:pos="1082" w:val="left"/>
        </w:tabs>
        <w:numPr>
          <w:ilvl w:val="0"/>
          <w:numId w:val="132"/>
        </w:numPr>
        <w:rPr>
          <w:rFonts w:ascii="Arial" w:cs="Arial" w:eastAsia="Arial" w:hAnsi="Arial"/>
          <w:sz w:val="15"/>
          <w:szCs w:val="15"/>
          <w:color w:val="auto"/>
        </w:rPr>
      </w:pPr>
      <w:r>
        <w:rPr>
          <w:rFonts w:ascii="Arial" w:cs="Arial" w:eastAsia="Arial" w:hAnsi="Arial"/>
          <w:sz w:val="15"/>
          <w:szCs w:val="15"/>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320" w:top="280" w:right="299" w:bottom="1440" w:gutter="0" w:footer="0" w:header="0"/>
        </w:sectPr>
      </w:pPr>
    </w:p>
    <w:bookmarkStart w:id="118" w:name="page119"/>
    <w:bookmarkEnd w:id="118"/>
    <w:p>
      <w:pPr>
        <w:ind w:left="-8" w:right="100" w:firstLine="921"/>
        <w:spacing w:after="0" w:line="335" w:lineRule="auto"/>
        <w:tabs>
          <w:tab w:leader="none" w:pos="1154" w:val="left"/>
        </w:tabs>
        <w:numPr>
          <w:ilvl w:val="1"/>
          <w:numId w:val="13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88" w:lineRule="exact"/>
        <w:rPr>
          <w:rFonts w:ascii="Arial" w:cs="Arial" w:eastAsia="Arial" w:hAnsi="Arial"/>
          <w:sz w:val="15"/>
          <w:szCs w:val="15"/>
          <w:color w:val="auto"/>
        </w:rPr>
      </w:pPr>
    </w:p>
    <w:p>
      <w:pPr>
        <w:ind w:left="-8" w:right="20" w:firstLine="921"/>
        <w:spacing w:after="0" w:line="301" w:lineRule="auto"/>
        <w:tabs>
          <w:tab w:leader="none" w:pos="1115" w:val="left"/>
        </w:tabs>
        <w:numPr>
          <w:ilvl w:val="1"/>
          <w:numId w:val="133"/>
        </w:numPr>
        <w:rPr>
          <w:rFonts w:ascii="Arial" w:cs="Arial" w:eastAsia="Arial" w:hAnsi="Arial"/>
          <w:sz w:val="15"/>
          <w:szCs w:val="15"/>
          <w:color w:val="auto"/>
        </w:rPr>
      </w:pPr>
      <w:r>
        <w:rPr>
          <w:rFonts w:ascii="Arial" w:cs="Arial" w:eastAsia="Arial" w:hAnsi="Arial"/>
          <w:sz w:val="15"/>
          <w:szCs w:val="15"/>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Good Reason”</w:t>
      </w:r>
      <w:r>
        <w:rPr>
          <w:rFonts w:ascii="Arial" w:cs="Arial" w:eastAsia="Arial" w:hAnsi="Arial"/>
          <w:sz w:val="15"/>
          <w:szCs w:val="15"/>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w:t>
      </w:r>
    </w:p>
    <w:p>
      <w:pPr>
        <w:spacing w:after="0" w:line="4" w:lineRule="exact"/>
        <w:rPr>
          <w:rFonts w:ascii="Arial" w:cs="Arial" w:eastAsia="Arial" w:hAnsi="Arial"/>
          <w:sz w:val="15"/>
          <w:szCs w:val="15"/>
          <w:color w:val="auto"/>
        </w:rPr>
      </w:pPr>
    </w:p>
    <w:p>
      <w:pPr>
        <w:ind w:left="-8" w:firstLine="8"/>
        <w:spacing w:after="0" w:line="288" w:lineRule="auto"/>
        <w:tabs>
          <w:tab w:leader="none" w:pos="28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22" w:lineRule="exact"/>
        <w:rPr>
          <w:rFonts w:ascii="Arial" w:cs="Arial" w:eastAsia="Arial" w:hAnsi="Arial"/>
          <w:sz w:val="16"/>
          <w:szCs w:val="16"/>
          <w:color w:val="auto"/>
        </w:rPr>
      </w:pPr>
    </w:p>
    <w:p>
      <w:pPr>
        <w:ind w:left="-8" w:right="100" w:firstLine="921"/>
        <w:spacing w:after="0" w:line="268" w:lineRule="auto"/>
        <w:tabs>
          <w:tab w:leader="none" w:pos="111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Clawback of Certain Compensation and Benefits. If, after the termination of the Term of Employment for any reason other than by the Company for “justifiable cause”:</w:t>
      </w:r>
    </w:p>
    <w:p>
      <w:pPr>
        <w:spacing w:after="0" w:line="131" w:lineRule="exact"/>
        <w:rPr>
          <w:rFonts w:ascii="Arial" w:cs="Arial" w:eastAsia="Arial" w:hAnsi="Arial"/>
          <w:sz w:val="18"/>
          <w:szCs w:val="18"/>
          <w:color w:val="auto"/>
        </w:rPr>
      </w:pPr>
    </w:p>
    <w:p>
      <w:pPr>
        <w:ind w:left="-8" w:right="160" w:firstLine="1948"/>
        <w:spacing w:after="0" w:line="256" w:lineRule="auto"/>
        <w:tabs>
          <w:tab w:leader="none" w:pos="2142" w:val="left"/>
        </w:tabs>
        <w:numPr>
          <w:ilvl w:val="2"/>
          <w:numId w:val="134"/>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80" w:right="259" w:bottom="1440" w:gutter="0" w:footer="0" w:header="0"/>
        </w:sectPr>
      </w:pPr>
    </w:p>
    <w:bookmarkStart w:id="119" w:name="page120"/>
    <w:bookmarkEnd w:id="119"/>
    <w:p>
      <w:pPr>
        <w:jc w:val="both"/>
        <w:ind w:left="-20" w:right="240" w:firstLine="1948"/>
        <w:spacing w:after="0" w:line="306" w:lineRule="auto"/>
        <w:tabs>
          <w:tab w:leader="none" w:pos="2178" w:val="left"/>
        </w:tabs>
        <w:numPr>
          <w:ilvl w:val="1"/>
          <w:numId w:val="1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06" w:lineRule="exact"/>
        <w:rPr>
          <w:rFonts w:ascii="Arial" w:cs="Arial" w:eastAsia="Arial" w:hAnsi="Arial"/>
          <w:sz w:val="16"/>
          <w:szCs w:val="16"/>
          <w:color w:val="auto"/>
        </w:rPr>
      </w:pPr>
    </w:p>
    <w:p>
      <w:pPr>
        <w:ind w:left="-20" w:firstLine="2404"/>
        <w:spacing w:after="0" w:line="294" w:lineRule="auto"/>
        <w:tabs>
          <w:tab w:leader="none" w:pos="2664" w:val="left"/>
        </w:tabs>
        <w:numPr>
          <w:ilvl w:val="2"/>
          <w:numId w:val="135"/>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15" w:lineRule="exact"/>
        <w:rPr>
          <w:rFonts w:ascii="Arial" w:cs="Arial" w:eastAsia="Arial" w:hAnsi="Arial"/>
          <w:sz w:val="16"/>
          <w:szCs w:val="16"/>
          <w:color w:val="auto"/>
        </w:rPr>
      </w:pPr>
    </w:p>
    <w:p>
      <w:pPr>
        <w:ind w:left="-20" w:right="700" w:firstLine="2404"/>
        <w:spacing w:after="0" w:line="268" w:lineRule="auto"/>
        <w:tabs>
          <w:tab w:leader="none" w:pos="2654" w:val="left"/>
        </w:tabs>
        <w:numPr>
          <w:ilvl w:val="2"/>
          <w:numId w:val="135"/>
        </w:numPr>
        <w:rPr>
          <w:rFonts w:ascii="Arial" w:cs="Arial" w:eastAsia="Arial" w:hAnsi="Arial"/>
          <w:sz w:val="18"/>
          <w:szCs w:val="18"/>
          <w:color w:val="auto"/>
        </w:rPr>
      </w:pPr>
      <w:r>
        <w:rPr>
          <w:rFonts w:ascii="Arial" w:cs="Arial" w:eastAsia="Arial" w:hAnsi="Arial"/>
          <w:sz w:val="18"/>
          <w:szCs w:val="18"/>
          <w:color w:val="auto"/>
        </w:rPr>
        <w:t>all vested and unvested Awards (as that term is defined in the 2006 Incentive Compensation Plan) then held by the Executive shall immediately expire; and</w:t>
      </w:r>
    </w:p>
    <w:p>
      <w:pPr>
        <w:spacing w:after="0" w:line="131" w:lineRule="exact"/>
        <w:rPr>
          <w:rFonts w:ascii="Arial" w:cs="Arial" w:eastAsia="Arial" w:hAnsi="Arial"/>
          <w:sz w:val="18"/>
          <w:szCs w:val="18"/>
          <w:color w:val="auto"/>
        </w:rPr>
      </w:pPr>
    </w:p>
    <w:p>
      <w:pPr>
        <w:ind w:left="-20" w:right="40" w:firstLine="2404"/>
        <w:spacing w:after="0" w:line="289" w:lineRule="auto"/>
        <w:tabs>
          <w:tab w:leader="none" w:pos="2654" w:val="left"/>
        </w:tabs>
        <w:numPr>
          <w:ilvl w:val="2"/>
          <w:numId w:val="135"/>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18" w:lineRule="exact"/>
        <w:rPr>
          <w:rFonts w:ascii="Arial" w:cs="Arial" w:eastAsia="Arial" w:hAnsi="Arial"/>
          <w:sz w:val="16"/>
          <w:szCs w:val="16"/>
          <w:color w:val="auto"/>
        </w:rPr>
      </w:pPr>
    </w:p>
    <w:p>
      <w:pPr>
        <w:ind w:left="-20" w:right="480" w:firstLine="921"/>
        <w:spacing w:after="0" w:line="268" w:lineRule="auto"/>
        <w:tabs>
          <w:tab w:leader="none" w:pos="114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213" w:lineRule="exact"/>
        <w:rPr>
          <w:sz w:val="20"/>
          <w:szCs w:val="20"/>
          <w:color w:val="auto"/>
        </w:rPr>
      </w:pPr>
    </w:p>
    <w:p>
      <w:pPr>
        <w:ind w:left="1080" w:hanging="179"/>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sz w:val="20"/>
          <w:szCs w:val="20"/>
          <w:color w:val="auto"/>
        </w:rPr>
      </w:pPr>
    </w:p>
    <w:p>
      <w:pPr>
        <w:ind w:left="-20" w:right="160" w:firstLine="921"/>
        <w:spacing w:after="0" w:line="268" w:lineRule="auto"/>
        <w:tabs>
          <w:tab w:leader="none" w:pos="113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20" w:name="page121"/>
    <w:bookmarkEnd w:id="120"/>
    <w:p>
      <w:pPr>
        <w:ind w:right="3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13" w:lineRule="exact"/>
        <w:rPr>
          <w:sz w:val="20"/>
          <w:szCs w:val="20"/>
          <w:color w:val="auto"/>
        </w:rPr>
      </w:pPr>
    </w:p>
    <w:p>
      <w:pPr>
        <w:jc w:val="both"/>
        <w:ind w:right="60" w:firstLine="921"/>
        <w:spacing w:after="0" w:line="259" w:lineRule="auto"/>
        <w:tabs>
          <w:tab w:leader="none" w:pos="116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171" w:lineRule="exact"/>
        <w:rPr>
          <w:rFonts w:ascii="Arial" w:cs="Arial" w:eastAsia="Arial" w:hAnsi="Arial"/>
          <w:sz w:val="18"/>
          <w:szCs w:val="18"/>
          <w:color w:val="auto"/>
        </w:rPr>
      </w:pPr>
    </w:p>
    <w:p>
      <w:pPr>
        <w:ind w:right="20" w:firstLine="1492"/>
        <w:spacing w:after="0" w:line="289" w:lineRule="auto"/>
        <w:tabs>
          <w:tab w:leader="none" w:pos="1693" w:val="left"/>
        </w:tabs>
        <w:numPr>
          <w:ilvl w:val="1"/>
          <w:numId w:val="139"/>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18" w:lineRule="exact"/>
        <w:rPr>
          <w:rFonts w:ascii="Arial" w:cs="Arial" w:eastAsia="Arial" w:hAnsi="Arial"/>
          <w:sz w:val="16"/>
          <w:szCs w:val="16"/>
          <w:color w:val="auto"/>
        </w:rPr>
      </w:pPr>
    </w:p>
    <w:p>
      <w:pPr>
        <w:ind w:firstLine="1492"/>
        <w:spacing w:after="0" w:line="256" w:lineRule="auto"/>
        <w:tabs>
          <w:tab w:leader="none" w:pos="174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ind w:right="240" w:firstLine="921"/>
        <w:spacing w:after="0" w:line="259" w:lineRule="auto"/>
        <w:tabs>
          <w:tab w:leader="none" w:pos="116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ind w:right="80" w:firstLine="921"/>
        <w:spacing w:after="0" w:line="306" w:lineRule="auto"/>
        <w:tabs>
          <w:tab w:leader="none" w:pos="115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21" w:name="page122"/>
    <w:bookmarkEnd w:id="121"/>
    <w:p>
      <w:pPr>
        <w:ind w:left="1140" w:hanging="219"/>
        <w:spacing w:after="0"/>
        <w:tabs>
          <w:tab w:leader="none" w:pos="11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Taxable Reimbursements.</w:t>
      </w:r>
    </w:p>
    <w:p>
      <w:pPr>
        <w:spacing w:after="0" w:line="171" w:lineRule="exact"/>
        <w:rPr>
          <w:rFonts w:ascii="Arial" w:cs="Arial" w:eastAsia="Arial" w:hAnsi="Arial"/>
          <w:sz w:val="18"/>
          <w:szCs w:val="18"/>
          <w:color w:val="auto"/>
        </w:rPr>
      </w:pPr>
    </w:p>
    <w:p>
      <w:pPr>
        <w:ind w:right="140" w:firstLine="1492"/>
        <w:spacing w:after="0" w:line="306" w:lineRule="auto"/>
        <w:tabs>
          <w:tab w:leader="none" w:pos="1693"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06" w:lineRule="exact"/>
        <w:rPr>
          <w:rFonts w:ascii="Arial" w:cs="Arial" w:eastAsia="Arial" w:hAnsi="Arial"/>
          <w:sz w:val="16"/>
          <w:szCs w:val="16"/>
          <w:color w:val="auto"/>
        </w:rPr>
      </w:pPr>
    </w:p>
    <w:p>
      <w:pPr>
        <w:ind w:right="20" w:firstLine="1492"/>
        <w:spacing w:after="0" w:line="268" w:lineRule="auto"/>
        <w:tabs>
          <w:tab w:leader="none" w:pos="174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31" w:lineRule="exact"/>
        <w:rPr>
          <w:rFonts w:ascii="Arial" w:cs="Arial" w:eastAsia="Arial" w:hAnsi="Arial"/>
          <w:sz w:val="18"/>
          <w:szCs w:val="18"/>
          <w:color w:val="auto"/>
        </w:rPr>
      </w:pPr>
    </w:p>
    <w:p>
      <w:pPr>
        <w:ind w:left="1800" w:hanging="308"/>
        <w:spacing w:after="0"/>
        <w:tabs>
          <w:tab w:leader="none" w:pos="18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252" w:lineRule="exact"/>
        <w:rPr>
          <w:sz w:val="20"/>
          <w:szCs w:val="20"/>
          <w:color w:val="auto"/>
        </w:rPr>
      </w:pPr>
    </w:p>
    <w:p>
      <w:pPr>
        <w:ind w:left="1100" w:hanging="179"/>
        <w:spacing w:after="0"/>
        <w:tabs>
          <w:tab w:leader="none" w:pos="110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sz w:val="20"/>
          <w:szCs w:val="20"/>
          <w:color w:val="auto"/>
        </w:rPr>
      </w:pPr>
    </w:p>
    <w:p>
      <w:pPr>
        <w:jc w:val="both"/>
        <w:ind w:right="140" w:firstLine="921"/>
        <w:spacing w:after="0" w:line="370" w:lineRule="auto"/>
        <w:tabs>
          <w:tab w:leader="none" w:pos="1152" w:val="left"/>
        </w:tabs>
        <w:numPr>
          <w:ilvl w:val="0"/>
          <w:numId w:val="142"/>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jc w:val="both"/>
        <w:ind w:right="160" w:firstLine="921"/>
        <w:spacing w:after="0" w:line="259" w:lineRule="auto"/>
        <w:tabs>
          <w:tab w:leader="none" w:pos="116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100" w:firstLine="921"/>
        <w:spacing w:after="0" w:line="370" w:lineRule="auto"/>
        <w:tabs>
          <w:tab w:leader="none" w:pos="1152" w:val="left"/>
        </w:tabs>
        <w:numPr>
          <w:ilvl w:val="0"/>
          <w:numId w:val="142"/>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62" w:lineRule="exact"/>
        <w:rPr>
          <w:rFonts w:ascii="Arial" w:cs="Arial" w:eastAsia="Arial" w:hAnsi="Arial"/>
          <w:sz w:val="15"/>
          <w:szCs w:val="15"/>
          <w:color w:val="auto"/>
        </w:rPr>
      </w:pPr>
    </w:p>
    <w:p>
      <w:pPr>
        <w:ind w:firstLine="921"/>
        <w:spacing w:after="0" w:line="259" w:lineRule="auto"/>
        <w:tabs>
          <w:tab w:leader="none" w:pos="116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paragraph 7(d)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22" w:name="page123"/>
    <w:bookmarkEnd w:id="122"/>
    <w:p>
      <w:pPr>
        <w:ind w:left="1160" w:hanging="259"/>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NON-COMPETITION</w:t>
      </w:r>
    </w:p>
    <w:p>
      <w:pPr>
        <w:spacing w:after="0" w:line="90" w:lineRule="exact"/>
        <w:rPr>
          <w:sz w:val="20"/>
          <w:szCs w:val="20"/>
          <w:color w:val="auto"/>
        </w:rPr>
      </w:pPr>
    </w:p>
    <w:p>
      <w:pPr>
        <w:ind w:left="-20" w:firstLine="921"/>
        <w:spacing w:after="0" w:line="286" w:lineRule="auto"/>
        <w:tabs>
          <w:tab w:leader="none" w:pos="113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24" w:lineRule="exact"/>
        <w:rPr>
          <w:rFonts w:ascii="Arial" w:cs="Arial" w:eastAsia="Arial" w:hAnsi="Arial"/>
          <w:sz w:val="16"/>
          <w:szCs w:val="16"/>
          <w:color w:val="auto"/>
        </w:rPr>
      </w:pPr>
    </w:p>
    <w:p>
      <w:pPr>
        <w:ind w:left="-20" w:right="160" w:firstLine="921"/>
        <w:spacing w:after="0" w:line="255" w:lineRule="auto"/>
        <w:tabs>
          <w:tab w:leader="none" w:pos="114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left="-20" w:right="20" w:firstLine="921"/>
        <w:spacing w:after="0" w:line="294" w:lineRule="auto"/>
        <w:tabs>
          <w:tab w:leader="none" w:pos="113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left="-20" w:right="40" w:firstLine="921"/>
        <w:spacing w:after="0" w:line="256" w:lineRule="auto"/>
        <w:tabs>
          <w:tab w:leader="none" w:pos="114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123" w:name="page124"/>
    <w:bookmarkEnd w:id="123"/>
    <w:p>
      <w:pPr>
        <w:ind w:left="1180" w:hanging="259"/>
        <w:spacing w:after="0"/>
        <w:tabs>
          <w:tab w:leader="none" w:pos="118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INVENTIONS AND DISCOVERIES</w:t>
      </w:r>
    </w:p>
    <w:p>
      <w:pPr>
        <w:spacing w:after="0" w:line="90" w:lineRule="exact"/>
        <w:rPr>
          <w:sz w:val="20"/>
          <w:szCs w:val="20"/>
          <w:color w:val="auto"/>
        </w:rPr>
      </w:pPr>
    </w:p>
    <w:p>
      <w:pPr>
        <w:ind w:firstLine="921"/>
        <w:spacing w:after="0" w:line="291" w:lineRule="auto"/>
        <w:tabs>
          <w:tab w:leader="none" w:pos="115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80" w:firstLine="921"/>
        <w:spacing w:after="0" w:line="289" w:lineRule="auto"/>
        <w:tabs>
          <w:tab w:leader="none" w:pos="116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99" w:lineRule="exact"/>
        <w:rPr>
          <w:sz w:val="20"/>
          <w:szCs w:val="20"/>
          <w:color w:val="auto"/>
        </w:rPr>
      </w:pPr>
    </w:p>
    <w:p>
      <w:pPr>
        <w:ind w:left="1180" w:hanging="259"/>
        <w:spacing w:after="0"/>
        <w:tabs>
          <w:tab w:leader="none" w:pos="11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firstLine="921"/>
        <w:spacing w:after="0" w:line="288" w:lineRule="auto"/>
        <w:tabs>
          <w:tab w:leader="none" w:pos="115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24" w:name="page125"/>
    <w:bookmarkEnd w:id="12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44" w:lineRule="exact"/>
        <w:rPr>
          <w:sz w:val="20"/>
          <w:szCs w:val="20"/>
          <w:color w:val="auto"/>
        </w:rPr>
      </w:pPr>
    </w:p>
    <w:p>
      <w:pPr>
        <w:ind w:right="20" w:firstLine="921"/>
        <w:spacing w:after="0" w:line="298" w:lineRule="auto"/>
        <w:tabs>
          <w:tab w:leader="none" w:pos="116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94" w:lineRule="exact"/>
        <w:rPr>
          <w:sz w:val="20"/>
          <w:szCs w:val="20"/>
          <w:color w:val="auto"/>
        </w:rPr>
      </w:pPr>
    </w:p>
    <w:p>
      <w:pPr>
        <w:ind w:left="1180" w:hanging="259"/>
        <w:spacing w:after="0"/>
        <w:tabs>
          <w:tab w:leader="none" w:pos="11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89" w:lineRule="exact"/>
        <w:rPr>
          <w:sz w:val="20"/>
          <w:szCs w:val="20"/>
          <w:color w:val="auto"/>
        </w:rPr>
      </w:pPr>
    </w:p>
    <w:p>
      <w:pPr>
        <w:ind w:left="1180" w:hanging="259"/>
        <w:spacing w:after="0"/>
        <w:tabs>
          <w:tab w:leader="none" w:pos="118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252" w:lineRule="exact"/>
        <w:rPr>
          <w:sz w:val="20"/>
          <w:szCs w:val="20"/>
          <w:color w:val="auto"/>
        </w:rPr>
      </w:pPr>
    </w:p>
    <w:p>
      <w:pPr>
        <w:ind w:left="1180" w:hanging="259"/>
        <w:spacing w:after="0"/>
        <w:tabs>
          <w:tab w:leader="none" w:pos="118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25" w:name="page126"/>
    <w:bookmarkEnd w:id="125"/>
    <w:p>
      <w:pPr>
        <w:ind w:left="1180" w:hanging="259"/>
        <w:spacing w:after="0"/>
        <w:tabs>
          <w:tab w:leader="none" w:pos="118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SEVERABILITY</w:t>
      </w:r>
    </w:p>
    <w:p>
      <w:pPr>
        <w:spacing w:after="0" w:line="90"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13" w:lineRule="exact"/>
        <w:rPr>
          <w:sz w:val="20"/>
          <w:szCs w:val="20"/>
          <w:color w:val="auto"/>
        </w:rPr>
      </w:pPr>
    </w:p>
    <w:p>
      <w:pPr>
        <w:ind w:left="1180" w:hanging="259"/>
        <w:spacing w:after="0"/>
        <w:tabs>
          <w:tab w:leader="none" w:pos="118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21" w:lineRule="exact"/>
        <w:rPr>
          <w:sz w:val="20"/>
          <w:szCs w:val="20"/>
          <w:color w:val="auto"/>
        </w:rPr>
      </w:pPr>
    </w:p>
    <w:p>
      <w:pPr>
        <w:ind w:left="1180" w:hanging="259"/>
        <w:spacing w:after="0"/>
        <w:tabs>
          <w:tab w:leader="none" w:pos="118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213" w:lineRule="exact"/>
        <w:rPr>
          <w:sz w:val="20"/>
          <w:szCs w:val="20"/>
          <w:color w:val="auto"/>
        </w:rPr>
      </w:pPr>
    </w:p>
    <w:p>
      <w:pPr>
        <w:ind w:left="1180" w:hanging="259"/>
        <w:spacing w:after="0"/>
        <w:tabs>
          <w:tab w:leader="none" w:pos="118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99" w:lineRule="exact"/>
        <w:rPr>
          <w:sz w:val="20"/>
          <w:szCs w:val="20"/>
          <w:color w:val="auto"/>
        </w:rPr>
      </w:pPr>
    </w:p>
    <w:p>
      <w:pPr>
        <w:ind w:left="1180" w:hanging="259"/>
        <w:spacing w:after="0"/>
        <w:tabs>
          <w:tab w:leader="none" w:pos="118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126" w:name="page127"/>
    <w:bookmarkEnd w:id="126"/>
    <w:p>
      <w:pPr>
        <w:ind w:left="1180" w:hanging="259"/>
        <w:spacing w:after="0"/>
        <w:tabs>
          <w:tab w:leader="none" w:pos="118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RESOLUTION OF DISPUTES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194"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94" w:lineRule="exact"/>
        <w:rPr>
          <w:sz w:val="20"/>
          <w:szCs w:val="20"/>
          <w:color w:val="auto"/>
        </w:rPr>
      </w:pPr>
    </w:p>
    <w:p>
      <w:pPr>
        <w:ind w:left="1180" w:hanging="259"/>
        <w:spacing w:after="0"/>
        <w:tabs>
          <w:tab w:leader="none" w:pos="118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90"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21" w:lineRule="exact"/>
        <w:rPr>
          <w:sz w:val="20"/>
          <w:szCs w:val="20"/>
          <w:color w:val="auto"/>
        </w:rPr>
      </w:pPr>
    </w:p>
    <w:p>
      <w:pPr>
        <w:ind w:left="1180" w:hanging="259"/>
        <w:spacing w:after="0"/>
        <w:tabs>
          <w:tab w:leader="none" w:pos="118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13" w:lineRule="exact"/>
        <w:rPr>
          <w:sz w:val="20"/>
          <w:szCs w:val="20"/>
          <w:color w:val="auto"/>
        </w:rPr>
      </w:pPr>
    </w:p>
    <w:p>
      <w:pPr>
        <w:ind w:right="7580" w:firstLine="921"/>
        <w:spacing w:after="0" w:line="344" w:lineRule="auto"/>
        <w:tabs>
          <w:tab w:leader="none" w:pos="1176"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 xml:space="preserve">SUBSIDIARIES AND AFFILIATES </w:t>
      </w:r>
      <w:r>
        <w:rPr>
          <w:rFonts w:ascii="Arial" w:cs="Arial" w:eastAsia="Arial" w:hAnsi="Arial"/>
          <w:sz w:val="18"/>
          <w:szCs w:val="18"/>
          <w:color w:val="auto"/>
        </w:rPr>
        <w:t>For purposes of this Agreement:</w:t>
      </w:r>
    </w:p>
    <w:p>
      <w:pPr>
        <w:ind w:right="360" w:firstLine="1492"/>
        <w:spacing w:after="0" w:line="259" w:lineRule="auto"/>
        <w:tabs>
          <w:tab w:leader="none" w:pos="172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40" w:lineRule="exact"/>
        <w:rPr>
          <w:rFonts w:ascii="Arial" w:cs="Arial" w:eastAsia="Arial" w:hAnsi="Arial"/>
          <w:sz w:val="18"/>
          <w:szCs w:val="18"/>
          <w:color w:val="auto"/>
        </w:rPr>
      </w:pPr>
    </w:p>
    <w:p>
      <w:pPr>
        <w:ind w:firstLine="1492"/>
        <w:spacing w:after="0" w:line="256" w:lineRule="auto"/>
        <w:tabs>
          <w:tab w:leader="none" w:pos="173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27" w:name="page128"/>
    <w:bookmarkEnd w:id="127"/>
    <w:p>
      <w:pPr>
        <w:ind w:left="1180" w:hanging="259"/>
        <w:spacing w:after="0"/>
        <w:tabs>
          <w:tab w:leader="none" w:pos="118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HEADINGS</w:t>
      </w:r>
    </w:p>
    <w:p>
      <w:pPr>
        <w:spacing w:after="0" w:line="9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213" w:lineRule="exact"/>
        <w:rPr>
          <w:sz w:val="20"/>
          <w:szCs w:val="20"/>
          <w:color w:val="auto"/>
        </w:rPr>
      </w:pPr>
    </w:p>
    <w:p>
      <w:pPr>
        <w:ind w:left="1180" w:hanging="259"/>
        <w:spacing w:after="0"/>
        <w:tabs>
          <w:tab w:leader="none" w:pos="118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ectPr>
          <w:pgSz w:w="11900" w:h="16838" w:orient="portrait"/>
          <w:cols w:equalWidth="0" w:num="1">
            <w:col w:w="11380"/>
          </w:cols>
          <w:pgMar w:left="240" w:top="280" w:right="27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David A. Levin</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President, Chief Executive Officer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Executive VP, COO, CFO</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Francis C. Chane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220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Francis C. Chane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Date: January 8, 2010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Date: January 8, 2010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Date: January 8, 2010</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5400" w:space="220"/>
            <w:col w:w="5760"/>
          </w:cols>
          <w:pgMar w:left="240" w:top="280" w:right="279" w:bottom="144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171" w:lineRule="exact"/>
        <w:rPr>
          <w:sz w:val="20"/>
          <w:szCs w:val="20"/>
          <w:color w:val="auto"/>
        </w:rPr>
      </w:pPr>
    </w:p>
    <w:p>
      <w:pPr>
        <w:ind w:left="-40" w:firstLine="464"/>
        <w:spacing w:after="0" w:line="284" w:lineRule="auto"/>
        <w:tabs>
          <w:tab w:leader="none" w:pos="59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Francis C. Chane (“</w:t>
      </w:r>
      <w:r>
        <w:rPr>
          <w:rFonts w:ascii="Arial" w:cs="Arial" w:eastAsia="Arial" w:hAnsi="Arial"/>
          <w:sz w:val="16"/>
          <w:szCs w:val="16"/>
          <w:u w:val="single" w:color="auto"/>
          <w:color w:val="auto"/>
        </w:rPr>
        <w:t>Executive</w:t>
      </w:r>
      <w:r>
        <w:rPr>
          <w:rFonts w:ascii="Arial" w:cs="Arial" w:eastAsia="Arial" w:hAnsi="Arial"/>
          <w:sz w:val="16"/>
          <w:szCs w:val="16"/>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does hereby release and forever discharge Casual Male Retail Group, Inc. (the “</w:t>
      </w:r>
      <w:r>
        <w:rPr>
          <w:rFonts w:ascii="Arial" w:cs="Arial" w:eastAsia="Arial" w:hAnsi="Arial"/>
          <w:sz w:val="16"/>
          <w:szCs w:val="16"/>
          <w:u w:val="single" w:color="auto"/>
          <w:color w:val="auto"/>
        </w:rPr>
        <w:t>Company</w:t>
      </w:r>
      <w:r>
        <w:rPr>
          <w:rFonts w:ascii="Arial" w:cs="Arial" w:eastAsia="Arial" w:hAnsi="Arial"/>
          <w:sz w:val="16"/>
          <w:szCs w:val="16"/>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280" w:right="259" w:bottom="1440" w:gutter="0" w:footer="0" w:header="0"/>
        </w:sectPr>
      </w:pPr>
    </w:p>
    <w:bookmarkStart w:id="129" w:name="page130"/>
    <w:bookmarkEnd w:id="129"/>
    <w:p>
      <w:pPr>
        <w:ind w:left="-20" w:firstLine="464"/>
        <w:spacing w:after="0" w:line="294" w:lineRule="auto"/>
        <w:tabs>
          <w:tab w:leader="none" w:pos="612" w:val="left"/>
        </w:tabs>
        <w:numPr>
          <w:ilvl w:val="0"/>
          <w:numId w:val="1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his right to commence a Proceeding to challenge whether Executive knowingly and voluntarily waived his rights under ADEA.</w:t>
      </w:r>
    </w:p>
    <w:p>
      <w:pPr>
        <w:spacing w:after="0" w:line="115" w:lineRule="exact"/>
        <w:rPr>
          <w:rFonts w:ascii="Arial" w:cs="Arial" w:eastAsia="Arial" w:hAnsi="Arial"/>
          <w:sz w:val="16"/>
          <w:szCs w:val="16"/>
          <w:color w:val="auto"/>
        </w:rPr>
      </w:pPr>
    </w:p>
    <w:p>
      <w:pPr>
        <w:ind w:left="-20" w:right="180" w:firstLine="464"/>
        <w:spacing w:after="0" w:line="256" w:lineRule="auto"/>
        <w:tabs>
          <w:tab w:leader="none" w:pos="61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43"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31" w:lineRule="exact"/>
        <w:rPr>
          <w:rFonts w:ascii="Arial" w:cs="Arial" w:eastAsia="Arial" w:hAnsi="Arial"/>
          <w:sz w:val="18"/>
          <w:szCs w:val="18"/>
          <w:color w:val="auto"/>
        </w:rPr>
      </w:pPr>
    </w:p>
    <w:p>
      <w:pPr>
        <w:jc w:val="both"/>
        <w:ind w:left="-20" w:right="420" w:firstLine="464"/>
        <w:spacing w:after="0" w:line="259" w:lineRule="auto"/>
        <w:tabs>
          <w:tab w:leader="none" w:pos="61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40"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269240</wp:posOffset>
            </wp:positionV>
            <wp:extent cx="28987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Francis C. Chane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8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10.35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Employment Agreement (“Agreement”) is made as of January 8, 2010 between CASUAL MALE RETAIL GROUP, INC., a Delaware corporation with an office at 555 Turnpike Street, Canton, Massachusetts, 02021 (the “Company” which term includes any affiliates and subsidiaries), and Kenneth M. Ederle (the “Executive”) having an address at 13 Stanhope Street #3A Boston, MA 02116.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WHEREAS, the Company desires that Executive serve as Vice President, General Merchandise Manager - - Rochester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13" w:lineRule="exact"/>
        <w:rPr>
          <w:sz w:val="20"/>
          <w:szCs w:val="20"/>
          <w:color w:val="auto"/>
        </w:rPr>
      </w:pPr>
    </w:p>
    <w:p>
      <w:pPr>
        <w:ind w:left="1100" w:hanging="179"/>
        <w:spacing w:after="0"/>
        <w:tabs>
          <w:tab w:leader="none" w:pos="110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Vice President, General Merchandise Manager - Rochester.</w:t>
      </w:r>
    </w:p>
    <w:p>
      <w:pPr>
        <w:spacing w:after="0" w:line="246" w:lineRule="exact"/>
        <w:rPr>
          <w:sz w:val="20"/>
          <w:szCs w:val="20"/>
          <w:color w:val="auto"/>
        </w:rPr>
      </w:pPr>
    </w:p>
    <w:p>
      <w:pPr>
        <w:ind w:left="1100" w:hanging="179"/>
        <w:spacing w:after="0"/>
        <w:tabs>
          <w:tab w:leader="none" w:pos="110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term of employment under this Agreement (the “Term of Employment”) shall begin on the date set forth above (the “Effective Date”) and shall continue until terminated by either party as hereinafter set forth.</w:t>
      </w:r>
    </w:p>
    <w:p>
      <w:pPr>
        <w:spacing w:after="0" w:line="213" w:lineRule="exact"/>
        <w:rPr>
          <w:sz w:val="20"/>
          <w:szCs w:val="20"/>
          <w:color w:val="auto"/>
        </w:rPr>
      </w:pPr>
    </w:p>
    <w:p>
      <w:pPr>
        <w:ind w:left="1100" w:hanging="179"/>
        <w:spacing w:after="0"/>
        <w:tabs>
          <w:tab w:leader="none" w:pos="110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sz w:val="20"/>
          <w:szCs w:val="20"/>
          <w:color w:val="auto"/>
        </w:rPr>
      </w:pPr>
    </w:p>
    <w:p>
      <w:pPr>
        <w:ind w:right="200" w:firstLine="921"/>
        <w:spacing w:after="0" w:line="255" w:lineRule="auto"/>
        <w:tabs>
          <w:tab w:leader="none" w:pos="115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Twenty-Five Thousand Dollars and 00/100 Cents ($225,000.00)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142" w:lineRule="exact"/>
        <w:rPr>
          <w:rFonts w:ascii="Arial" w:cs="Arial" w:eastAsia="Arial" w:hAnsi="Arial"/>
          <w:sz w:val="18"/>
          <w:szCs w:val="18"/>
          <w:color w:val="auto"/>
        </w:rPr>
      </w:pPr>
    </w:p>
    <w:p>
      <w:pPr>
        <w:ind w:firstLine="921"/>
        <w:spacing w:after="0" w:line="306" w:lineRule="auto"/>
        <w:tabs>
          <w:tab w:leader="none" w:pos="116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w:t>
      </w:r>
    </w:p>
    <w:p>
      <w:pPr>
        <w:sectPr>
          <w:pgSz w:w="11900" w:h="16838" w:orient="portrait"/>
          <w:cols w:equalWidth="0" w:num="1">
            <w:col w:w="11420"/>
          </w:cols>
          <w:pgMar w:left="240" w:top="125" w:right="239" w:bottom="1440" w:gutter="0" w:footer="0" w:header="0"/>
        </w:sectPr>
      </w:pPr>
    </w:p>
    <w:bookmarkStart w:id="131" w:name="page132"/>
    <w:bookmarkEnd w:id="13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individual and Company performance conditions are met) shall be 35%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43" w:lineRule="exact"/>
        <w:rPr>
          <w:sz w:val="20"/>
          <w:szCs w:val="20"/>
          <w:color w:val="auto"/>
        </w:rPr>
      </w:pPr>
    </w:p>
    <w:p>
      <w:pPr>
        <w:ind w:right="20" w:firstLine="921"/>
        <w:spacing w:after="0" w:line="255" w:lineRule="auto"/>
        <w:tabs>
          <w:tab w:leader="none" w:pos="11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w:t>
      </w:r>
      <w:r>
        <w:rPr>
          <w:rFonts w:ascii="Arial" w:cs="Arial" w:eastAsia="Arial" w:hAnsi="Arial"/>
          <w:sz w:val="18"/>
          <w:szCs w:val="18"/>
          <w:b w:val="1"/>
          <w:bCs w:val="1"/>
          <w:color w:val="auto"/>
        </w:rPr>
        <w:t>,</w:t>
      </w:r>
      <w:r>
        <w:rPr>
          <w:rFonts w:ascii="Arial" w:cs="Arial" w:eastAsia="Arial" w:hAnsi="Arial"/>
          <w:sz w:val="18"/>
          <w:szCs w:val="18"/>
          <w:color w:val="auto"/>
        </w:rPr>
        <w:t xml:space="preserve"> of Executive’s combined actual annual Base Earnings, for the incentive period, based upon the Company’s targeted performance as defined in the LTIP documents in effect at the time of the award.</w:t>
      </w:r>
    </w:p>
    <w:p>
      <w:pPr>
        <w:spacing w:after="0" w:line="224" w:lineRule="exact"/>
        <w:rPr>
          <w:sz w:val="20"/>
          <w:szCs w:val="20"/>
          <w:color w:val="auto"/>
        </w:rPr>
      </w:pPr>
    </w:p>
    <w:p>
      <w:pPr>
        <w:ind w:left="1100" w:hanging="179"/>
        <w:spacing w:after="0"/>
        <w:tabs>
          <w:tab w:leader="none" w:pos="110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240" w:firstLine="913"/>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94" w:lineRule="exact"/>
        <w:rPr>
          <w:sz w:val="20"/>
          <w:szCs w:val="20"/>
          <w:color w:val="auto"/>
        </w:rPr>
      </w:pPr>
    </w:p>
    <w:p>
      <w:pPr>
        <w:ind w:left="1100" w:hanging="179"/>
        <w:spacing w:after="0"/>
        <w:tabs>
          <w:tab w:leader="none" w:pos="110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sz w:val="20"/>
          <w:szCs w:val="20"/>
          <w:color w:val="auto"/>
        </w:rPr>
      </w:pPr>
    </w:p>
    <w:p>
      <w:pPr>
        <w:ind w:right="280" w:firstLine="921"/>
        <w:spacing w:after="0" w:line="298" w:lineRule="auto"/>
        <w:tabs>
          <w:tab w:leader="none" w:pos="115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right="60" w:firstLine="921"/>
        <w:spacing w:after="0" w:line="298" w:lineRule="auto"/>
        <w:tabs>
          <w:tab w:leader="none" w:pos="116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Company will, during the Term of Employment, provide Executive with an automobile allowance in the total amount of Seven Thousand Two Hundred Dollars and 00/100 ($7,200.00)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3" w:lineRule="exact"/>
        <w:rPr>
          <w:sz w:val="20"/>
          <w:szCs w:val="20"/>
          <w:color w:val="auto"/>
        </w:rPr>
      </w:pPr>
    </w:p>
    <w:p>
      <w:pPr>
        <w:ind w:left="5680" w:right="3460" w:hanging="4759"/>
        <w:spacing w:after="0" w:line="440" w:lineRule="auto"/>
        <w:tabs>
          <w:tab w:leader="none" w:pos="117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 2</w:t>
      </w:r>
    </w:p>
    <w:p>
      <w:pPr>
        <w:sectPr>
          <w:pgSz w:w="11900" w:h="16838" w:orient="portrait"/>
          <w:cols w:equalWidth="0" w:num="1">
            <w:col w:w="11420"/>
          </w:cols>
          <w:pgMar w:left="240" w:top="280" w:right="239" w:bottom="1440" w:gutter="0" w:footer="0" w:header="0"/>
        </w:sectPr>
      </w:pPr>
    </w:p>
    <w:bookmarkStart w:id="132" w:name="page133"/>
    <w:bookmarkEnd w:id="132"/>
    <w:p>
      <w:pPr>
        <w:ind w:left="1060" w:hanging="179"/>
        <w:spacing w:after="0"/>
        <w:tabs>
          <w:tab w:leader="none" w:pos="106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DUTIES</w:t>
      </w:r>
    </w:p>
    <w:p>
      <w:pPr>
        <w:spacing w:after="0" w:line="90" w:lineRule="exact"/>
        <w:rPr>
          <w:sz w:val="20"/>
          <w:szCs w:val="20"/>
          <w:color w:val="auto"/>
        </w:rPr>
      </w:pPr>
    </w:p>
    <w:p>
      <w:pPr>
        <w:ind w:left="-40" w:right="160" w:firstLine="921"/>
        <w:spacing w:after="0" w:line="259" w:lineRule="auto"/>
        <w:tabs>
          <w:tab w:leader="none" w:pos="111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Vice President, General Merchandise Manager - Rochester and/or as the Company shall from time to time determine and Executive shall comply in the performance of his duties with the policies of, and be subject to the direction of the Company.</w:t>
      </w:r>
    </w:p>
    <w:p>
      <w:pPr>
        <w:spacing w:after="0" w:line="140" w:lineRule="exact"/>
        <w:rPr>
          <w:rFonts w:ascii="Arial" w:cs="Arial" w:eastAsia="Arial" w:hAnsi="Arial"/>
          <w:sz w:val="18"/>
          <w:szCs w:val="18"/>
          <w:color w:val="auto"/>
        </w:rPr>
      </w:pPr>
    </w:p>
    <w:p>
      <w:pPr>
        <w:ind w:left="-40" w:right="120" w:firstLine="921"/>
        <w:spacing w:after="0" w:line="298" w:lineRule="auto"/>
        <w:tabs>
          <w:tab w:leader="none" w:pos="112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12" w:lineRule="exact"/>
        <w:rPr>
          <w:rFonts w:ascii="Arial" w:cs="Arial" w:eastAsia="Arial" w:hAnsi="Arial"/>
          <w:sz w:val="16"/>
          <w:szCs w:val="16"/>
          <w:color w:val="auto"/>
        </w:rPr>
      </w:pPr>
    </w:p>
    <w:p>
      <w:pPr>
        <w:jc w:val="both"/>
        <w:ind w:left="-40" w:firstLine="921"/>
        <w:spacing w:after="0" w:line="335" w:lineRule="auto"/>
        <w:tabs>
          <w:tab w:leader="none" w:pos="1112" w:val="left"/>
        </w:tabs>
        <w:numPr>
          <w:ilvl w:val="0"/>
          <w:numId w:val="176"/>
        </w:numPr>
        <w:rPr>
          <w:rFonts w:ascii="Arial" w:cs="Arial" w:eastAsia="Arial" w:hAnsi="Arial"/>
          <w:sz w:val="15"/>
          <w:szCs w:val="15"/>
          <w:color w:val="auto"/>
        </w:rPr>
      </w:pPr>
      <w:r>
        <w:rPr>
          <w:rFonts w:ascii="Arial" w:cs="Arial" w:eastAsia="Arial" w:hAnsi="Arial"/>
          <w:sz w:val="15"/>
          <w:szCs w:val="15"/>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169" w:lineRule="exact"/>
        <w:rPr>
          <w:sz w:val="20"/>
          <w:szCs w:val="20"/>
          <w:color w:val="auto"/>
        </w:rPr>
      </w:pPr>
    </w:p>
    <w:p>
      <w:pPr>
        <w:ind w:left="1060" w:hanging="179"/>
        <w:spacing w:after="0"/>
        <w:tabs>
          <w:tab w:leader="none" w:pos="106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sz w:val="20"/>
          <w:szCs w:val="20"/>
          <w:color w:val="auto"/>
        </w:rPr>
      </w:pPr>
    </w:p>
    <w:p>
      <w:pPr>
        <w:ind w:left="1120" w:hanging="239"/>
        <w:spacing w:after="0"/>
        <w:tabs>
          <w:tab w:leader="none" w:pos="11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171" w:lineRule="exact"/>
        <w:rPr>
          <w:rFonts w:ascii="Arial" w:cs="Arial" w:eastAsia="Arial" w:hAnsi="Arial"/>
          <w:sz w:val="18"/>
          <w:szCs w:val="18"/>
          <w:color w:val="auto"/>
        </w:rPr>
      </w:pPr>
    </w:p>
    <w:p>
      <w:pPr>
        <w:jc w:val="both"/>
        <w:ind w:left="-40" w:right="120" w:firstLine="1492"/>
        <w:spacing w:after="0" w:line="259" w:lineRule="auto"/>
        <w:tabs>
          <w:tab w:leader="none" w:pos="165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1720" w:hanging="268"/>
        <w:spacing w:after="0"/>
        <w:tabs>
          <w:tab w:leader="none" w:pos="17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171" w:lineRule="exact"/>
        <w:rPr>
          <w:rFonts w:ascii="Arial" w:cs="Arial" w:eastAsia="Arial" w:hAnsi="Arial"/>
          <w:sz w:val="18"/>
          <w:szCs w:val="18"/>
          <w:color w:val="auto"/>
        </w:rPr>
      </w:pPr>
    </w:p>
    <w:p>
      <w:pPr>
        <w:ind w:left="1120" w:hanging="239"/>
        <w:spacing w:after="0"/>
        <w:tabs>
          <w:tab w:leader="none" w:pos="11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171" w:lineRule="exact"/>
        <w:rPr>
          <w:rFonts w:ascii="Arial" w:cs="Arial" w:eastAsia="Arial" w:hAnsi="Arial"/>
          <w:sz w:val="18"/>
          <w:szCs w:val="18"/>
          <w:color w:val="auto"/>
        </w:rPr>
      </w:pPr>
    </w:p>
    <w:p>
      <w:pPr>
        <w:ind w:left="1660" w:hanging="208"/>
        <w:spacing w:after="0"/>
        <w:tabs>
          <w:tab w:leader="none" w:pos="16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rFonts w:ascii="Arial" w:cs="Arial" w:eastAsia="Arial" w:hAnsi="Arial"/>
          <w:sz w:val="18"/>
          <w:szCs w:val="18"/>
          <w:color w:val="auto"/>
        </w:rPr>
      </w:pPr>
    </w:p>
    <w:p>
      <w:pPr>
        <w:ind w:left="-40" w:right="240" w:firstLine="1492"/>
        <w:spacing w:after="0" w:line="268" w:lineRule="auto"/>
        <w:tabs>
          <w:tab w:leader="none" w:pos="1702"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date on which the Company elects to terminate the Term of Employment by reason of the “disability” of Executive (as hereinafter defined in subsection (c) herein) pursuant to subsection (g) hereof; or</w:t>
      </w:r>
    </w:p>
    <w:p>
      <w:pPr>
        <w:spacing w:after="0" w:line="131" w:lineRule="exact"/>
        <w:rPr>
          <w:rFonts w:ascii="Arial" w:cs="Arial" w:eastAsia="Arial" w:hAnsi="Arial"/>
          <w:sz w:val="18"/>
          <w:szCs w:val="18"/>
          <w:color w:val="auto"/>
        </w:rPr>
      </w:pPr>
    </w:p>
    <w:p>
      <w:pPr>
        <w:ind w:left="1760" w:hanging="308"/>
        <w:spacing w:after="0"/>
        <w:tabs>
          <w:tab w:leader="none" w:pos="17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80" w:right="279" w:bottom="1440" w:gutter="0" w:footer="0" w:header="0"/>
        </w:sectPr>
      </w:pPr>
    </w:p>
    <w:bookmarkStart w:id="133" w:name="page134"/>
    <w:bookmarkEnd w:id="133"/>
    <w:p>
      <w:pPr>
        <w:ind w:left="-80" w:right="20" w:firstLine="921"/>
        <w:spacing w:after="0" w:line="259" w:lineRule="auto"/>
        <w:tabs>
          <w:tab w:leader="none" w:pos="1072" w:val="left"/>
        </w:tabs>
        <w:numPr>
          <w:ilvl w:val="0"/>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80" w:right="20" w:firstLine="921"/>
        <w:spacing w:after="0" w:line="287" w:lineRule="auto"/>
        <w:tabs>
          <w:tab w:leader="none" w:pos="108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22" w:lineRule="exact"/>
        <w:rPr>
          <w:rFonts w:ascii="Arial" w:cs="Arial" w:eastAsia="Arial" w:hAnsi="Arial"/>
          <w:sz w:val="16"/>
          <w:szCs w:val="16"/>
          <w:color w:val="auto"/>
        </w:rPr>
      </w:pPr>
    </w:p>
    <w:p>
      <w:pPr>
        <w:ind w:left="-80" w:firstLine="921"/>
        <w:spacing w:after="0" w:line="289" w:lineRule="auto"/>
        <w:tabs>
          <w:tab w:leader="none" w:pos="107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18" w:lineRule="exact"/>
        <w:rPr>
          <w:rFonts w:ascii="Arial" w:cs="Arial" w:eastAsia="Arial" w:hAnsi="Arial"/>
          <w:sz w:val="16"/>
          <w:szCs w:val="16"/>
          <w:color w:val="auto"/>
        </w:rPr>
      </w:pPr>
    </w:p>
    <w:p>
      <w:pPr>
        <w:ind w:left="-80" w:right="180" w:firstLine="921"/>
        <w:spacing w:after="0" w:line="259" w:lineRule="auto"/>
        <w:tabs>
          <w:tab w:leader="none" w:pos="105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40" w:lineRule="exact"/>
        <w:rPr>
          <w:rFonts w:ascii="Arial" w:cs="Arial" w:eastAsia="Arial" w:hAnsi="Arial"/>
          <w:sz w:val="18"/>
          <w:szCs w:val="18"/>
          <w:color w:val="auto"/>
        </w:rPr>
      </w:pPr>
    </w:p>
    <w:p>
      <w:pPr>
        <w:ind w:left="-80" w:right="160" w:firstLine="921"/>
        <w:spacing w:after="0" w:line="335" w:lineRule="auto"/>
        <w:tabs>
          <w:tab w:leader="none" w:pos="1082" w:val="left"/>
        </w:tabs>
        <w:numPr>
          <w:ilvl w:val="0"/>
          <w:numId w:val="179"/>
        </w:numPr>
        <w:rPr>
          <w:rFonts w:ascii="Arial" w:cs="Arial" w:eastAsia="Arial" w:hAnsi="Arial"/>
          <w:sz w:val="15"/>
          <w:szCs w:val="15"/>
          <w:color w:val="auto"/>
        </w:rPr>
      </w:pPr>
      <w:r>
        <w:rPr>
          <w:rFonts w:ascii="Arial" w:cs="Arial" w:eastAsia="Arial" w:hAnsi="Arial"/>
          <w:sz w:val="15"/>
          <w:szCs w:val="15"/>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320" w:top="280" w:right="299" w:bottom="1440" w:gutter="0" w:footer="0" w:header="0"/>
        </w:sectPr>
      </w:pPr>
    </w:p>
    <w:bookmarkStart w:id="134" w:name="page135"/>
    <w:bookmarkEnd w:id="134"/>
    <w:p>
      <w:pPr>
        <w:ind w:left="-8" w:right="100" w:firstLine="921"/>
        <w:spacing w:after="0" w:line="335" w:lineRule="auto"/>
        <w:tabs>
          <w:tab w:leader="none" w:pos="1154" w:val="left"/>
        </w:tabs>
        <w:numPr>
          <w:ilvl w:val="1"/>
          <w:numId w:val="18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88" w:lineRule="exact"/>
        <w:rPr>
          <w:rFonts w:ascii="Arial" w:cs="Arial" w:eastAsia="Arial" w:hAnsi="Arial"/>
          <w:sz w:val="15"/>
          <w:szCs w:val="15"/>
          <w:color w:val="auto"/>
        </w:rPr>
      </w:pPr>
    </w:p>
    <w:p>
      <w:pPr>
        <w:ind w:left="-8" w:right="20" w:firstLine="921"/>
        <w:spacing w:after="0" w:line="301" w:lineRule="auto"/>
        <w:tabs>
          <w:tab w:leader="none" w:pos="1115" w:val="left"/>
        </w:tabs>
        <w:numPr>
          <w:ilvl w:val="1"/>
          <w:numId w:val="180"/>
        </w:numPr>
        <w:rPr>
          <w:rFonts w:ascii="Arial" w:cs="Arial" w:eastAsia="Arial" w:hAnsi="Arial"/>
          <w:sz w:val="15"/>
          <w:szCs w:val="15"/>
          <w:color w:val="auto"/>
        </w:rPr>
      </w:pPr>
      <w:r>
        <w:rPr>
          <w:rFonts w:ascii="Arial" w:cs="Arial" w:eastAsia="Arial" w:hAnsi="Arial"/>
          <w:sz w:val="15"/>
          <w:szCs w:val="15"/>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Good Reason”</w:t>
      </w:r>
      <w:r>
        <w:rPr>
          <w:rFonts w:ascii="Arial" w:cs="Arial" w:eastAsia="Arial" w:hAnsi="Arial"/>
          <w:sz w:val="15"/>
          <w:szCs w:val="15"/>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w:t>
      </w:r>
    </w:p>
    <w:p>
      <w:pPr>
        <w:spacing w:after="0" w:line="4" w:lineRule="exact"/>
        <w:rPr>
          <w:rFonts w:ascii="Arial" w:cs="Arial" w:eastAsia="Arial" w:hAnsi="Arial"/>
          <w:sz w:val="15"/>
          <w:szCs w:val="15"/>
          <w:color w:val="auto"/>
        </w:rPr>
      </w:pPr>
    </w:p>
    <w:p>
      <w:pPr>
        <w:ind w:left="-8" w:firstLine="8"/>
        <w:spacing w:after="0" w:line="288" w:lineRule="auto"/>
        <w:tabs>
          <w:tab w:leader="none" w:pos="289"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22" w:lineRule="exact"/>
        <w:rPr>
          <w:rFonts w:ascii="Arial" w:cs="Arial" w:eastAsia="Arial" w:hAnsi="Arial"/>
          <w:sz w:val="16"/>
          <w:szCs w:val="16"/>
          <w:color w:val="auto"/>
        </w:rPr>
      </w:pPr>
    </w:p>
    <w:p>
      <w:pPr>
        <w:ind w:left="-8" w:right="100" w:firstLine="921"/>
        <w:spacing w:after="0" w:line="268" w:lineRule="auto"/>
        <w:tabs>
          <w:tab w:leader="none" w:pos="1115" w:val="left"/>
        </w:tabs>
        <w:numPr>
          <w:ilvl w:val="1"/>
          <w:numId w:val="181"/>
        </w:numPr>
        <w:rPr>
          <w:rFonts w:ascii="Arial" w:cs="Arial" w:eastAsia="Arial" w:hAnsi="Arial"/>
          <w:sz w:val="18"/>
          <w:szCs w:val="18"/>
          <w:color w:val="auto"/>
        </w:rPr>
      </w:pPr>
      <w:r>
        <w:rPr>
          <w:rFonts w:ascii="Arial" w:cs="Arial" w:eastAsia="Arial" w:hAnsi="Arial"/>
          <w:sz w:val="18"/>
          <w:szCs w:val="18"/>
          <w:color w:val="auto"/>
        </w:rPr>
        <w:t>Clawback of Certain Compensation and Benefits. If, after the termination of the Term of Employment for any reason other than by the Company for “justifiable cause”:</w:t>
      </w:r>
    </w:p>
    <w:p>
      <w:pPr>
        <w:spacing w:after="0" w:line="132" w:lineRule="exact"/>
        <w:rPr>
          <w:sz w:val="20"/>
          <w:szCs w:val="20"/>
          <w:color w:val="auto"/>
        </w:rPr>
      </w:pPr>
    </w:p>
    <w:p>
      <w:pPr>
        <w:ind w:left="-8" w:right="160" w:firstLine="1492"/>
        <w:spacing w:after="0" w:line="256" w:lineRule="auto"/>
        <w:tabs>
          <w:tab w:leader="none" w:pos="168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80" w:right="259" w:bottom="1440" w:gutter="0" w:footer="0" w:header="0"/>
        </w:sectPr>
      </w:pPr>
    </w:p>
    <w:bookmarkStart w:id="135" w:name="page136"/>
    <w:bookmarkEnd w:id="135"/>
    <w:p>
      <w:pPr>
        <w:ind w:left="-20" w:right="240" w:firstLine="1492"/>
        <w:spacing w:after="0" w:line="306" w:lineRule="auto"/>
        <w:tabs>
          <w:tab w:leader="none" w:pos="1722" w:val="left"/>
        </w:tabs>
        <w:numPr>
          <w:ilvl w:val="1"/>
          <w:numId w:val="1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06" w:lineRule="exact"/>
        <w:rPr>
          <w:rFonts w:ascii="Arial" w:cs="Arial" w:eastAsia="Arial" w:hAnsi="Arial"/>
          <w:sz w:val="16"/>
          <w:szCs w:val="16"/>
          <w:color w:val="auto"/>
        </w:rPr>
      </w:pPr>
    </w:p>
    <w:p>
      <w:pPr>
        <w:ind w:left="-20" w:firstLine="2404"/>
        <w:spacing w:after="0" w:line="294" w:lineRule="auto"/>
        <w:tabs>
          <w:tab w:leader="none" w:pos="2664" w:val="left"/>
        </w:tabs>
        <w:numPr>
          <w:ilvl w:val="2"/>
          <w:numId w:val="183"/>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15" w:lineRule="exact"/>
        <w:rPr>
          <w:rFonts w:ascii="Arial" w:cs="Arial" w:eastAsia="Arial" w:hAnsi="Arial"/>
          <w:sz w:val="16"/>
          <w:szCs w:val="16"/>
          <w:color w:val="auto"/>
        </w:rPr>
      </w:pPr>
    </w:p>
    <w:p>
      <w:pPr>
        <w:ind w:left="-20" w:right="700" w:firstLine="2404"/>
        <w:spacing w:after="0" w:line="268" w:lineRule="auto"/>
        <w:tabs>
          <w:tab w:leader="none" w:pos="2654" w:val="left"/>
        </w:tabs>
        <w:numPr>
          <w:ilvl w:val="2"/>
          <w:numId w:val="183"/>
        </w:numPr>
        <w:rPr>
          <w:rFonts w:ascii="Arial" w:cs="Arial" w:eastAsia="Arial" w:hAnsi="Arial"/>
          <w:sz w:val="18"/>
          <w:szCs w:val="18"/>
          <w:color w:val="auto"/>
        </w:rPr>
      </w:pPr>
      <w:r>
        <w:rPr>
          <w:rFonts w:ascii="Arial" w:cs="Arial" w:eastAsia="Arial" w:hAnsi="Arial"/>
          <w:sz w:val="18"/>
          <w:szCs w:val="18"/>
          <w:color w:val="auto"/>
        </w:rPr>
        <w:t>all vested and unvested Awards (as that term is defined in the 2006 Incentive Compensation Plan) then held by the Executive shall immediately expire; and</w:t>
      </w:r>
    </w:p>
    <w:p>
      <w:pPr>
        <w:spacing w:after="0" w:line="131" w:lineRule="exact"/>
        <w:rPr>
          <w:rFonts w:ascii="Arial" w:cs="Arial" w:eastAsia="Arial" w:hAnsi="Arial"/>
          <w:sz w:val="18"/>
          <w:szCs w:val="18"/>
          <w:color w:val="auto"/>
        </w:rPr>
      </w:pPr>
    </w:p>
    <w:p>
      <w:pPr>
        <w:ind w:left="-20" w:right="40" w:firstLine="2404"/>
        <w:spacing w:after="0" w:line="289" w:lineRule="auto"/>
        <w:tabs>
          <w:tab w:leader="none" w:pos="2654" w:val="left"/>
        </w:tabs>
        <w:numPr>
          <w:ilvl w:val="2"/>
          <w:numId w:val="183"/>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18" w:lineRule="exact"/>
        <w:rPr>
          <w:rFonts w:ascii="Arial" w:cs="Arial" w:eastAsia="Arial" w:hAnsi="Arial"/>
          <w:sz w:val="16"/>
          <w:szCs w:val="16"/>
          <w:color w:val="auto"/>
        </w:rPr>
      </w:pPr>
    </w:p>
    <w:p>
      <w:pPr>
        <w:ind w:left="-20" w:right="480" w:firstLine="921"/>
        <w:spacing w:after="0" w:line="268" w:lineRule="auto"/>
        <w:tabs>
          <w:tab w:leader="none" w:pos="114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213" w:lineRule="exact"/>
        <w:rPr>
          <w:sz w:val="20"/>
          <w:szCs w:val="20"/>
          <w:color w:val="auto"/>
        </w:rPr>
      </w:pPr>
    </w:p>
    <w:p>
      <w:pPr>
        <w:ind w:left="1080" w:hanging="179"/>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sz w:val="20"/>
          <w:szCs w:val="20"/>
          <w:color w:val="auto"/>
        </w:rPr>
      </w:pPr>
    </w:p>
    <w:p>
      <w:pPr>
        <w:ind w:left="-20" w:right="160" w:firstLine="921"/>
        <w:spacing w:after="0" w:line="268" w:lineRule="auto"/>
        <w:tabs>
          <w:tab w:leader="none" w:pos="113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36" w:name="page137"/>
    <w:bookmarkEnd w:id="136"/>
    <w:p>
      <w:pPr>
        <w:ind w:right="3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13" w:lineRule="exact"/>
        <w:rPr>
          <w:sz w:val="20"/>
          <w:szCs w:val="20"/>
          <w:color w:val="auto"/>
        </w:rPr>
      </w:pPr>
    </w:p>
    <w:p>
      <w:pPr>
        <w:jc w:val="both"/>
        <w:ind w:right="60" w:firstLine="921"/>
        <w:spacing w:after="0" w:line="259" w:lineRule="auto"/>
        <w:tabs>
          <w:tab w:leader="none" w:pos="116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171" w:lineRule="exact"/>
        <w:rPr>
          <w:rFonts w:ascii="Arial" w:cs="Arial" w:eastAsia="Arial" w:hAnsi="Arial"/>
          <w:sz w:val="18"/>
          <w:szCs w:val="18"/>
          <w:color w:val="auto"/>
        </w:rPr>
      </w:pPr>
    </w:p>
    <w:p>
      <w:pPr>
        <w:ind w:right="20" w:firstLine="1492"/>
        <w:spacing w:after="0" w:line="289" w:lineRule="auto"/>
        <w:tabs>
          <w:tab w:leader="none" w:pos="1693" w:val="left"/>
        </w:tabs>
        <w:numPr>
          <w:ilvl w:val="1"/>
          <w:numId w:val="187"/>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18" w:lineRule="exact"/>
        <w:rPr>
          <w:rFonts w:ascii="Arial" w:cs="Arial" w:eastAsia="Arial" w:hAnsi="Arial"/>
          <w:sz w:val="16"/>
          <w:szCs w:val="16"/>
          <w:color w:val="auto"/>
        </w:rPr>
      </w:pPr>
    </w:p>
    <w:p>
      <w:pPr>
        <w:ind w:firstLine="1492"/>
        <w:spacing w:after="0" w:line="256" w:lineRule="auto"/>
        <w:tabs>
          <w:tab w:leader="none" w:pos="174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ind w:right="240" w:firstLine="921"/>
        <w:spacing w:after="0" w:line="259" w:lineRule="auto"/>
        <w:tabs>
          <w:tab w:leader="none" w:pos="116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ind w:right="80" w:firstLine="921"/>
        <w:spacing w:after="0" w:line="306" w:lineRule="auto"/>
        <w:tabs>
          <w:tab w:leader="none" w:pos="1152"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37" w:name="page138"/>
    <w:bookmarkEnd w:id="137"/>
    <w:p>
      <w:pPr>
        <w:ind w:left="1140" w:hanging="219"/>
        <w:spacing w:after="0"/>
        <w:tabs>
          <w:tab w:leader="none" w:pos="11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Taxable Reimbursements.</w:t>
      </w:r>
    </w:p>
    <w:p>
      <w:pPr>
        <w:spacing w:after="0" w:line="171" w:lineRule="exact"/>
        <w:rPr>
          <w:rFonts w:ascii="Arial" w:cs="Arial" w:eastAsia="Arial" w:hAnsi="Arial"/>
          <w:sz w:val="18"/>
          <w:szCs w:val="18"/>
          <w:color w:val="auto"/>
        </w:rPr>
      </w:pPr>
    </w:p>
    <w:p>
      <w:pPr>
        <w:ind w:right="140" w:firstLine="1492"/>
        <w:spacing w:after="0" w:line="306" w:lineRule="auto"/>
        <w:tabs>
          <w:tab w:leader="none" w:pos="1693" w:val="left"/>
        </w:tabs>
        <w:numPr>
          <w:ilvl w:val="1"/>
          <w:numId w:val="188"/>
        </w:numPr>
        <w:rPr>
          <w:rFonts w:ascii="Arial" w:cs="Arial" w:eastAsia="Arial" w:hAnsi="Arial"/>
          <w:sz w:val="16"/>
          <w:szCs w:val="16"/>
          <w:color w:val="auto"/>
        </w:rPr>
      </w:pPr>
      <w:r>
        <w:rPr>
          <w:rFonts w:ascii="Arial" w:cs="Arial" w:eastAsia="Arial" w:hAnsi="Arial"/>
          <w:sz w:val="16"/>
          <w:szCs w:val="16"/>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06" w:lineRule="exact"/>
        <w:rPr>
          <w:rFonts w:ascii="Arial" w:cs="Arial" w:eastAsia="Arial" w:hAnsi="Arial"/>
          <w:sz w:val="16"/>
          <w:szCs w:val="16"/>
          <w:color w:val="auto"/>
        </w:rPr>
      </w:pPr>
    </w:p>
    <w:p>
      <w:pPr>
        <w:ind w:right="20" w:firstLine="1492"/>
        <w:spacing w:after="0" w:line="268" w:lineRule="auto"/>
        <w:tabs>
          <w:tab w:leader="none" w:pos="174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31" w:lineRule="exact"/>
        <w:rPr>
          <w:rFonts w:ascii="Arial" w:cs="Arial" w:eastAsia="Arial" w:hAnsi="Arial"/>
          <w:sz w:val="18"/>
          <w:szCs w:val="18"/>
          <w:color w:val="auto"/>
        </w:rPr>
      </w:pPr>
    </w:p>
    <w:p>
      <w:pPr>
        <w:ind w:left="1800" w:hanging="308"/>
        <w:spacing w:after="0"/>
        <w:tabs>
          <w:tab w:leader="none" w:pos="18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252" w:lineRule="exact"/>
        <w:rPr>
          <w:sz w:val="20"/>
          <w:szCs w:val="20"/>
          <w:color w:val="auto"/>
        </w:rPr>
      </w:pPr>
    </w:p>
    <w:p>
      <w:pPr>
        <w:ind w:left="1100" w:hanging="179"/>
        <w:spacing w:after="0"/>
        <w:tabs>
          <w:tab w:leader="none" w:pos="110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sz w:val="20"/>
          <w:szCs w:val="20"/>
          <w:color w:val="auto"/>
        </w:rPr>
      </w:pPr>
    </w:p>
    <w:p>
      <w:pPr>
        <w:jc w:val="both"/>
        <w:ind w:right="140" w:firstLine="921"/>
        <w:spacing w:after="0" w:line="370" w:lineRule="auto"/>
        <w:tabs>
          <w:tab w:leader="none" w:pos="1152" w:val="left"/>
        </w:tabs>
        <w:numPr>
          <w:ilvl w:val="0"/>
          <w:numId w:val="190"/>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jc w:val="both"/>
        <w:ind w:right="160" w:firstLine="921"/>
        <w:spacing w:after="0" w:line="259" w:lineRule="auto"/>
        <w:tabs>
          <w:tab w:leader="none" w:pos="116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100" w:firstLine="921"/>
        <w:spacing w:after="0" w:line="370" w:lineRule="auto"/>
        <w:tabs>
          <w:tab w:leader="none" w:pos="1152" w:val="left"/>
        </w:tabs>
        <w:numPr>
          <w:ilvl w:val="0"/>
          <w:numId w:val="190"/>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62" w:lineRule="exact"/>
        <w:rPr>
          <w:rFonts w:ascii="Arial" w:cs="Arial" w:eastAsia="Arial" w:hAnsi="Arial"/>
          <w:sz w:val="15"/>
          <w:szCs w:val="15"/>
          <w:color w:val="auto"/>
        </w:rPr>
      </w:pPr>
    </w:p>
    <w:p>
      <w:pPr>
        <w:ind w:firstLine="921"/>
        <w:spacing w:after="0" w:line="259" w:lineRule="auto"/>
        <w:tabs>
          <w:tab w:leader="none" w:pos="116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paragraph 7(d)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38" w:name="page139"/>
    <w:bookmarkEnd w:id="138"/>
    <w:p>
      <w:pPr>
        <w:ind w:left="1160" w:hanging="259"/>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NON-COMPETITION</w:t>
      </w:r>
    </w:p>
    <w:p>
      <w:pPr>
        <w:spacing w:after="0" w:line="90" w:lineRule="exact"/>
        <w:rPr>
          <w:sz w:val="20"/>
          <w:szCs w:val="20"/>
          <w:color w:val="auto"/>
        </w:rPr>
      </w:pPr>
    </w:p>
    <w:p>
      <w:pPr>
        <w:ind w:left="-20" w:firstLine="921"/>
        <w:spacing w:after="0" w:line="286" w:lineRule="auto"/>
        <w:tabs>
          <w:tab w:leader="none" w:pos="113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24" w:lineRule="exact"/>
        <w:rPr>
          <w:rFonts w:ascii="Arial" w:cs="Arial" w:eastAsia="Arial" w:hAnsi="Arial"/>
          <w:sz w:val="16"/>
          <w:szCs w:val="16"/>
          <w:color w:val="auto"/>
        </w:rPr>
      </w:pPr>
    </w:p>
    <w:p>
      <w:pPr>
        <w:ind w:left="-20" w:right="160" w:firstLine="921"/>
        <w:spacing w:after="0" w:line="255" w:lineRule="auto"/>
        <w:tabs>
          <w:tab w:leader="none" w:pos="114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left="-20" w:right="20" w:firstLine="921"/>
        <w:spacing w:after="0" w:line="294" w:lineRule="auto"/>
        <w:tabs>
          <w:tab w:leader="none" w:pos="113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left="-20" w:right="220" w:firstLine="921"/>
        <w:spacing w:after="0" w:line="268" w:lineRule="auto"/>
        <w:tabs>
          <w:tab w:leader="none" w:pos="114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139" w:name="page140"/>
    <w:bookmarkEnd w:id="139"/>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13" w:lineRule="exact"/>
        <w:rPr>
          <w:sz w:val="20"/>
          <w:szCs w:val="20"/>
          <w:color w:val="auto"/>
        </w:rPr>
      </w:pPr>
    </w:p>
    <w:p>
      <w:pPr>
        <w:ind w:left="1180" w:hanging="259"/>
        <w:spacing w:after="0"/>
        <w:tabs>
          <w:tab w:leader="none" w:pos="118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sz w:val="20"/>
          <w:szCs w:val="20"/>
          <w:color w:val="auto"/>
        </w:rPr>
      </w:pPr>
    </w:p>
    <w:p>
      <w:pPr>
        <w:ind w:firstLine="921"/>
        <w:spacing w:after="0" w:line="291" w:lineRule="auto"/>
        <w:tabs>
          <w:tab w:leader="none" w:pos="1152" w:val="left"/>
        </w:tabs>
        <w:numPr>
          <w:ilvl w:val="0"/>
          <w:numId w:val="194"/>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80" w:firstLine="921"/>
        <w:spacing w:after="0" w:line="289" w:lineRule="auto"/>
        <w:tabs>
          <w:tab w:leader="none" w:pos="1162" w:val="left"/>
        </w:tabs>
        <w:numPr>
          <w:ilvl w:val="0"/>
          <w:numId w:val="194"/>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99" w:lineRule="exact"/>
        <w:rPr>
          <w:sz w:val="20"/>
          <w:szCs w:val="20"/>
          <w:color w:val="auto"/>
        </w:rPr>
      </w:pPr>
    </w:p>
    <w:p>
      <w:pPr>
        <w:ind w:left="1180" w:hanging="259"/>
        <w:spacing w:after="0"/>
        <w:tabs>
          <w:tab w:leader="none" w:pos="118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right="40" w:firstLine="921"/>
        <w:spacing w:after="0" w:line="291" w:lineRule="auto"/>
        <w:tabs>
          <w:tab w:leader="none" w:pos="1152" w:val="left"/>
        </w:tabs>
        <w:numPr>
          <w:ilvl w:val="0"/>
          <w:numId w:val="196"/>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40" w:name="page141"/>
    <w:bookmarkEnd w:id="140"/>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20" w:lineRule="exact"/>
        <w:rPr>
          <w:sz w:val="20"/>
          <w:szCs w:val="20"/>
          <w:color w:val="auto"/>
        </w:rPr>
      </w:pPr>
    </w:p>
    <w:p>
      <w:pPr>
        <w:ind w:right="20" w:firstLine="921"/>
        <w:spacing w:after="0" w:line="298" w:lineRule="auto"/>
        <w:tabs>
          <w:tab w:leader="none" w:pos="116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94" w:lineRule="exact"/>
        <w:rPr>
          <w:sz w:val="20"/>
          <w:szCs w:val="20"/>
          <w:color w:val="auto"/>
        </w:rPr>
      </w:pPr>
    </w:p>
    <w:p>
      <w:pPr>
        <w:ind w:left="1180" w:hanging="259"/>
        <w:spacing w:after="0"/>
        <w:tabs>
          <w:tab w:leader="none" w:pos="118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89" w:lineRule="exact"/>
        <w:rPr>
          <w:sz w:val="20"/>
          <w:szCs w:val="20"/>
          <w:color w:val="auto"/>
        </w:rPr>
      </w:pPr>
    </w:p>
    <w:p>
      <w:pPr>
        <w:ind w:left="1180" w:hanging="259"/>
        <w:spacing w:after="0"/>
        <w:tabs>
          <w:tab w:leader="none" w:pos="118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jc w:val="center"/>
        <w:ind w:left="320" w:right="840"/>
        <w:spacing w:after="0" w:line="440" w:lineRule="auto"/>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 11</w:t>
      </w:r>
    </w:p>
    <w:p>
      <w:pPr>
        <w:sectPr>
          <w:pgSz w:w="11900" w:h="16838" w:orient="portrait"/>
          <w:cols w:equalWidth="0" w:num="1">
            <w:col w:w="11420"/>
          </w:cols>
          <w:pgMar w:left="240" w:top="280" w:right="239" w:bottom="1440" w:gutter="0" w:footer="0" w:header="0"/>
        </w:sectPr>
      </w:pPr>
    </w:p>
    <w:bookmarkStart w:id="141" w:name="page142"/>
    <w:bookmarkEnd w:id="141"/>
    <w:p>
      <w:pPr>
        <w:ind w:left="1180" w:hanging="259"/>
        <w:spacing w:after="0"/>
        <w:tabs>
          <w:tab w:leader="none" w:pos="118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p>
    <w:p>
      <w:pPr>
        <w:spacing w:after="0" w:line="9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13" w:lineRule="exact"/>
        <w:rPr>
          <w:sz w:val="20"/>
          <w:szCs w:val="20"/>
          <w:color w:val="auto"/>
        </w:rPr>
      </w:pPr>
    </w:p>
    <w:p>
      <w:pPr>
        <w:ind w:left="1180" w:hanging="259"/>
        <w:spacing w:after="0"/>
        <w:tabs>
          <w:tab w:leader="none" w:pos="118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13" w:lineRule="exact"/>
        <w:rPr>
          <w:sz w:val="20"/>
          <w:szCs w:val="20"/>
          <w:color w:val="auto"/>
        </w:rPr>
      </w:pPr>
    </w:p>
    <w:p>
      <w:pPr>
        <w:ind w:left="1180" w:hanging="259"/>
        <w:spacing w:after="0"/>
        <w:tabs>
          <w:tab w:leader="none" w:pos="118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21" w:lineRule="exact"/>
        <w:rPr>
          <w:sz w:val="20"/>
          <w:szCs w:val="20"/>
          <w:color w:val="auto"/>
        </w:rPr>
      </w:pPr>
    </w:p>
    <w:p>
      <w:pPr>
        <w:ind w:left="1180" w:hanging="259"/>
        <w:spacing w:after="0"/>
        <w:tabs>
          <w:tab w:leader="none" w:pos="118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213" w:lineRule="exact"/>
        <w:rPr>
          <w:sz w:val="20"/>
          <w:szCs w:val="20"/>
          <w:color w:val="auto"/>
        </w:rPr>
      </w:pPr>
    </w:p>
    <w:p>
      <w:pPr>
        <w:ind w:left="1180" w:hanging="259"/>
        <w:spacing w:after="0"/>
        <w:tabs>
          <w:tab w:leader="none" w:pos="118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99" w:lineRule="exact"/>
        <w:rPr>
          <w:sz w:val="20"/>
          <w:szCs w:val="20"/>
          <w:color w:val="auto"/>
        </w:rPr>
      </w:pPr>
    </w:p>
    <w:p>
      <w:pPr>
        <w:ind w:left="1180" w:hanging="259"/>
        <w:spacing w:after="0"/>
        <w:tabs>
          <w:tab w:leader="none" w:pos="118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142" w:name="page143"/>
    <w:bookmarkEnd w:id="142"/>
    <w:p>
      <w:pPr>
        <w:ind w:left="1180" w:hanging="259"/>
        <w:spacing w:after="0"/>
        <w:tabs>
          <w:tab w:leader="none" w:pos="118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RESOLUTION OF DISPUTES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194"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94" w:lineRule="exact"/>
        <w:rPr>
          <w:sz w:val="20"/>
          <w:szCs w:val="20"/>
          <w:color w:val="auto"/>
        </w:rPr>
      </w:pPr>
    </w:p>
    <w:p>
      <w:pPr>
        <w:ind w:left="1180" w:hanging="259"/>
        <w:spacing w:after="0"/>
        <w:tabs>
          <w:tab w:leader="none" w:pos="118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90"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21" w:lineRule="exact"/>
        <w:rPr>
          <w:sz w:val="20"/>
          <w:szCs w:val="20"/>
          <w:color w:val="auto"/>
        </w:rPr>
      </w:pPr>
    </w:p>
    <w:p>
      <w:pPr>
        <w:ind w:left="1180" w:hanging="259"/>
        <w:spacing w:after="0"/>
        <w:tabs>
          <w:tab w:leader="none" w:pos="118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13" w:lineRule="exact"/>
        <w:rPr>
          <w:sz w:val="20"/>
          <w:szCs w:val="20"/>
          <w:color w:val="auto"/>
        </w:rPr>
      </w:pPr>
    </w:p>
    <w:p>
      <w:pPr>
        <w:ind w:right="7580" w:firstLine="921"/>
        <w:spacing w:after="0" w:line="362" w:lineRule="auto"/>
        <w:tabs>
          <w:tab w:leader="none" w:pos="1176"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 xml:space="preserve">SUBSIDIARIES AND AFFILIATES </w:t>
      </w:r>
      <w:r>
        <w:rPr>
          <w:rFonts w:ascii="Arial" w:cs="Arial" w:eastAsia="Arial" w:hAnsi="Arial"/>
          <w:sz w:val="18"/>
          <w:szCs w:val="18"/>
          <w:color w:val="auto"/>
        </w:rPr>
        <w:t>For purposes of this Agreement:</w:t>
      </w:r>
    </w:p>
    <w:p>
      <w:pPr>
        <w:spacing w:after="0" w:line="50" w:lineRule="exact"/>
        <w:rPr>
          <w:rFonts w:ascii="Arial" w:cs="Arial" w:eastAsia="Arial" w:hAnsi="Arial"/>
          <w:sz w:val="18"/>
          <w:szCs w:val="18"/>
          <w:color w:val="auto"/>
        </w:rPr>
      </w:pPr>
    </w:p>
    <w:p>
      <w:pPr>
        <w:ind w:right="360" w:firstLine="1492"/>
        <w:spacing w:after="0" w:line="259" w:lineRule="auto"/>
        <w:tabs>
          <w:tab w:leader="none" w:pos="1722"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40" w:lineRule="exact"/>
        <w:rPr>
          <w:rFonts w:ascii="Arial" w:cs="Arial" w:eastAsia="Arial" w:hAnsi="Arial"/>
          <w:sz w:val="18"/>
          <w:szCs w:val="18"/>
          <w:color w:val="auto"/>
        </w:rPr>
      </w:pPr>
    </w:p>
    <w:p>
      <w:pPr>
        <w:ind w:firstLine="1492"/>
        <w:spacing w:after="0" w:line="256" w:lineRule="auto"/>
        <w:tabs>
          <w:tab w:leader="none" w:pos="1732"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43" w:name="page144"/>
    <w:bookmarkEnd w:id="143"/>
    <w:p>
      <w:pPr>
        <w:ind w:left="1180" w:hanging="259"/>
        <w:spacing w:after="0"/>
        <w:tabs>
          <w:tab w:leader="none" w:pos="118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HEADINGS</w:t>
      </w:r>
    </w:p>
    <w:p>
      <w:pPr>
        <w:spacing w:after="0" w:line="9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213" w:lineRule="exact"/>
        <w:rPr>
          <w:sz w:val="20"/>
          <w:szCs w:val="20"/>
          <w:color w:val="auto"/>
        </w:rPr>
      </w:pPr>
    </w:p>
    <w:p>
      <w:pPr>
        <w:ind w:left="1180" w:hanging="259"/>
        <w:spacing w:after="0"/>
        <w:tabs>
          <w:tab w:leader="none" w:pos="118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ectPr>
          <w:pgSz w:w="11900" w:h="16838" w:orient="portrait"/>
          <w:cols w:equalWidth="0" w:num="1">
            <w:col w:w="11380"/>
          </w:cols>
          <w:pgMar w:left="240" w:top="280" w:right="279" w:bottom="1440" w:gutter="0" w:footer="0" w:header="0"/>
        </w:sect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David A. Levin</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President, Chief Executive Officer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Executive VP, COO, CFO</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Kenneth M. Ederle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2201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Kenneth M. Ederle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Date: January 8, 2010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Date: January 8, 2010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Date: January 8, 2010</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5400" w:space="220"/>
            <w:col w:w="5760"/>
          </w:cols>
          <w:pgMar w:left="240" w:top="280" w:right="279" w:bottom="1440" w:gutter="0" w:footer="0" w:header="0"/>
          <w:type w:val="continuous"/>
        </w:sectPr>
      </w:pPr>
    </w:p>
    <w:bookmarkStart w:id="144" w:name="page145"/>
    <w:bookmarkEnd w:id="144"/>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171" w:lineRule="exact"/>
        <w:rPr>
          <w:sz w:val="20"/>
          <w:szCs w:val="20"/>
          <w:color w:val="auto"/>
        </w:rPr>
      </w:pPr>
    </w:p>
    <w:p>
      <w:pPr>
        <w:ind w:left="-40" w:firstLine="464"/>
        <w:spacing w:after="0" w:line="284" w:lineRule="auto"/>
        <w:tabs>
          <w:tab w:leader="none" w:pos="592" w:val="left"/>
        </w:tabs>
        <w:numPr>
          <w:ilvl w:val="0"/>
          <w:numId w:val="212"/>
        </w:numPr>
        <w:rPr>
          <w:rFonts w:ascii="Arial" w:cs="Arial" w:eastAsia="Arial" w:hAnsi="Arial"/>
          <w:sz w:val="16"/>
          <w:szCs w:val="16"/>
          <w:color w:val="auto"/>
        </w:rPr>
      </w:pPr>
      <w:r>
        <w:rPr>
          <w:rFonts w:ascii="Arial" w:cs="Arial" w:eastAsia="Arial" w:hAnsi="Arial"/>
          <w:sz w:val="16"/>
          <w:szCs w:val="16"/>
          <w:color w:val="auto"/>
        </w:rPr>
        <w:t>Kenneth M. Ederle (“</w:t>
      </w:r>
      <w:r>
        <w:rPr>
          <w:rFonts w:ascii="Arial" w:cs="Arial" w:eastAsia="Arial" w:hAnsi="Arial"/>
          <w:sz w:val="16"/>
          <w:szCs w:val="16"/>
          <w:u w:val="single" w:color="auto"/>
          <w:color w:val="auto"/>
        </w:rPr>
        <w:t>Executive</w:t>
      </w:r>
      <w:r>
        <w:rPr>
          <w:rFonts w:ascii="Arial" w:cs="Arial" w:eastAsia="Arial" w:hAnsi="Arial"/>
          <w:sz w:val="16"/>
          <w:szCs w:val="16"/>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does hereby release and forever discharge Casual Male Retail Group, Inc. (the “</w:t>
      </w:r>
      <w:r>
        <w:rPr>
          <w:rFonts w:ascii="Arial" w:cs="Arial" w:eastAsia="Arial" w:hAnsi="Arial"/>
          <w:sz w:val="16"/>
          <w:szCs w:val="16"/>
          <w:u w:val="single" w:color="auto"/>
          <w:color w:val="auto"/>
        </w:rPr>
        <w:t>Company</w:t>
      </w:r>
      <w:r>
        <w:rPr>
          <w:rFonts w:ascii="Arial" w:cs="Arial" w:eastAsia="Arial" w:hAnsi="Arial"/>
          <w:sz w:val="16"/>
          <w:szCs w:val="16"/>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280" w:right="259" w:bottom="1440" w:gutter="0" w:footer="0" w:header="0"/>
        </w:sectPr>
      </w:pPr>
    </w:p>
    <w:bookmarkStart w:id="145" w:name="page146"/>
    <w:bookmarkEnd w:id="145"/>
    <w:p>
      <w:pPr>
        <w:jc w:val="both"/>
        <w:ind w:left="-20" w:firstLine="921"/>
        <w:spacing w:after="0" w:line="294" w:lineRule="auto"/>
        <w:tabs>
          <w:tab w:leader="none" w:pos="1068" w:val="left"/>
        </w:tabs>
        <w:numPr>
          <w:ilvl w:val="0"/>
          <w:numId w:val="2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his right to commence a Proceeding to challenge whether Executive knowingly and voluntarily waived his rights under ADEA.</w:t>
      </w:r>
    </w:p>
    <w:p>
      <w:pPr>
        <w:spacing w:after="0" w:line="115" w:lineRule="exact"/>
        <w:rPr>
          <w:rFonts w:ascii="Arial" w:cs="Arial" w:eastAsia="Arial" w:hAnsi="Arial"/>
          <w:sz w:val="16"/>
          <w:szCs w:val="16"/>
          <w:color w:val="auto"/>
        </w:rPr>
      </w:pPr>
    </w:p>
    <w:p>
      <w:pPr>
        <w:ind w:left="-20" w:right="20" w:firstLine="921"/>
        <w:spacing w:after="0" w:line="256" w:lineRule="auto"/>
        <w:tabs>
          <w:tab w:leader="none" w:pos="106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43" w:lineRule="exact"/>
        <w:rPr>
          <w:rFonts w:ascii="Arial" w:cs="Arial" w:eastAsia="Arial" w:hAnsi="Arial"/>
          <w:sz w:val="18"/>
          <w:szCs w:val="18"/>
          <w:color w:val="auto"/>
        </w:rPr>
      </w:pPr>
    </w:p>
    <w:p>
      <w:pPr>
        <w:ind w:left="-20" w:right="60" w:firstLine="921"/>
        <w:spacing w:after="0" w:line="268" w:lineRule="auto"/>
        <w:tabs>
          <w:tab w:leader="none" w:pos="106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31" w:lineRule="exact"/>
        <w:rPr>
          <w:rFonts w:ascii="Arial" w:cs="Arial" w:eastAsia="Arial" w:hAnsi="Arial"/>
          <w:sz w:val="18"/>
          <w:szCs w:val="18"/>
          <w:color w:val="auto"/>
        </w:rPr>
      </w:pPr>
    </w:p>
    <w:p>
      <w:pPr>
        <w:jc w:val="both"/>
        <w:ind w:left="-20" w:right="180" w:firstLine="921"/>
        <w:spacing w:after="0" w:line="259" w:lineRule="auto"/>
        <w:tabs>
          <w:tab w:leader="none" w:pos="106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40" w:lineRule="exact"/>
        <w:rPr>
          <w:rFonts w:ascii="Arial" w:cs="Arial" w:eastAsia="Arial" w:hAnsi="Arial"/>
          <w:sz w:val="18"/>
          <w:szCs w:val="18"/>
          <w:color w:val="auto"/>
        </w:rPr>
      </w:pPr>
    </w:p>
    <w:p>
      <w:pPr>
        <w:ind w:left="-20" w:right="480" w:firstLine="921"/>
        <w:spacing w:after="0" w:line="268" w:lineRule="auto"/>
        <w:tabs>
          <w:tab w:leader="none" w:pos="106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320675</wp:posOffset>
            </wp:positionV>
            <wp:extent cx="28987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Kenneth M. Ederle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80"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10.36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Employment Agreement (“Agreement”) is made as of January 8, 2010 between CASUAL MALE RETAIL GROUP, INC., a Delaware corporation with an office at 555 Turnpike Street, Canton, Massachusetts, 02021 (the “Company” which term includes any affiliates and subsidiaries), and Douglas L. Hearn (the “Executive”) having an address at 140 Gilbert Street, Mansfield, MA 02048.</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General Merchandise Manager-Casual Male XL and Global Sourcing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13" w:lineRule="exact"/>
        <w:rPr>
          <w:sz w:val="20"/>
          <w:szCs w:val="20"/>
          <w:color w:val="auto"/>
        </w:rPr>
      </w:pPr>
    </w:p>
    <w:p>
      <w:pPr>
        <w:ind w:left="1100" w:hanging="179"/>
        <w:spacing w:after="0"/>
        <w:tabs>
          <w:tab w:leader="none" w:pos="110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Senior Vice President, General Merchandise Manager-Casual Male XL and Global Sourcing.</w:t>
      </w:r>
    </w:p>
    <w:p>
      <w:pPr>
        <w:spacing w:after="0" w:line="246" w:lineRule="exact"/>
        <w:rPr>
          <w:sz w:val="20"/>
          <w:szCs w:val="20"/>
          <w:color w:val="auto"/>
        </w:rPr>
      </w:pPr>
    </w:p>
    <w:p>
      <w:pPr>
        <w:ind w:left="1100" w:hanging="179"/>
        <w:spacing w:after="0"/>
        <w:tabs>
          <w:tab w:leader="none" w:pos="110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term of employment under this Agreement (the “Term of Employment”) shall begin on the date set forth above (the “Effective Date”) and shall continue until terminated by either party as hereinafter set forth.</w:t>
      </w:r>
    </w:p>
    <w:p>
      <w:pPr>
        <w:spacing w:after="0" w:line="213" w:lineRule="exact"/>
        <w:rPr>
          <w:sz w:val="20"/>
          <w:szCs w:val="20"/>
          <w:color w:val="auto"/>
        </w:rPr>
      </w:pPr>
    </w:p>
    <w:p>
      <w:pPr>
        <w:ind w:left="1100" w:hanging="179"/>
        <w:spacing w:after="0"/>
        <w:tabs>
          <w:tab w:leader="none" w:pos="110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sz w:val="20"/>
          <w:szCs w:val="20"/>
          <w:color w:val="auto"/>
        </w:rPr>
      </w:pPr>
    </w:p>
    <w:p>
      <w:pPr>
        <w:ind w:right="100" w:firstLine="921"/>
        <w:spacing w:after="0" w:line="255" w:lineRule="auto"/>
        <w:tabs>
          <w:tab w:leader="none" w:pos="115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Sixty-Two Thousand Five Hundred Dollars and 00/100 Cents ($262,500.00)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142" w:lineRule="exact"/>
        <w:rPr>
          <w:rFonts w:ascii="Arial" w:cs="Arial" w:eastAsia="Arial" w:hAnsi="Arial"/>
          <w:sz w:val="18"/>
          <w:szCs w:val="18"/>
          <w:color w:val="auto"/>
        </w:rPr>
      </w:pPr>
    </w:p>
    <w:p>
      <w:pPr>
        <w:ind w:firstLine="921"/>
        <w:spacing w:after="0" w:line="259" w:lineRule="auto"/>
        <w:tabs>
          <w:tab w:leader="none" w:pos="116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w:t>
      </w:r>
    </w:p>
    <w:p>
      <w:pPr>
        <w:sectPr>
          <w:pgSz w:w="11900" w:h="16838" w:orient="portrait"/>
          <w:cols w:equalWidth="0" w:num="1">
            <w:col w:w="11420"/>
          </w:cols>
          <w:pgMar w:left="240" w:top="125" w:right="239" w:bottom="1440" w:gutter="0" w:footer="0" w:header="0"/>
        </w:sectPr>
      </w:pPr>
    </w:p>
    <w:bookmarkStart w:id="147" w:name="page148"/>
    <w:bookmarkEnd w:id="147"/>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participate in the Company’s incentive program and Executive’s target bonus under such plan (if all individual and Company performance conditions are met) shall be 35%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13" w:lineRule="exact"/>
        <w:rPr>
          <w:sz w:val="20"/>
          <w:szCs w:val="20"/>
          <w:color w:val="auto"/>
        </w:rPr>
      </w:pPr>
    </w:p>
    <w:p>
      <w:pPr>
        <w:ind w:firstLine="921"/>
        <w:spacing w:after="0" w:line="255" w:lineRule="auto"/>
        <w:tabs>
          <w:tab w:leader="none" w:pos="115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24" w:lineRule="exact"/>
        <w:rPr>
          <w:sz w:val="20"/>
          <w:szCs w:val="20"/>
          <w:color w:val="auto"/>
        </w:rPr>
      </w:pPr>
    </w:p>
    <w:p>
      <w:pPr>
        <w:ind w:left="1100" w:hanging="179"/>
        <w:spacing w:after="0"/>
        <w:tabs>
          <w:tab w:leader="none" w:pos="110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220" w:firstLine="913"/>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94" w:lineRule="exact"/>
        <w:rPr>
          <w:sz w:val="20"/>
          <w:szCs w:val="20"/>
          <w:color w:val="auto"/>
        </w:rPr>
      </w:pPr>
    </w:p>
    <w:p>
      <w:pPr>
        <w:ind w:left="1100" w:hanging="179"/>
        <w:spacing w:after="0"/>
        <w:tabs>
          <w:tab w:leader="none" w:pos="110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sz w:val="20"/>
          <w:szCs w:val="20"/>
          <w:color w:val="auto"/>
        </w:rPr>
      </w:pPr>
    </w:p>
    <w:p>
      <w:pPr>
        <w:ind w:right="260" w:firstLine="921"/>
        <w:spacing w:after="0" w:line="298" w:lineRule="auto"/>
        <w:tabs>
          <w:tab w:leader="none" w:pos="1152" w:val="left"/>
        </w:tabs>
        <w:numPr>
          <w:ilvl w:val="0"/>
          <w:numId w:val="221"/>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right="20" w:firstLine="921"/>
        <w:spacing w:after="0" w:line="298" w:lineRule="auto"/>
        <w:tabs>
          <w:tab w:leader="none" w:pos="1162"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48" w:name="page149"/>
    <w:bookmarkEnd w:id="148"/>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Executive will be eligible to participate in the Company’s annual performance appraisal process.</w:t>
      </w:r>
    </w:p>
    <w:p>
      <w:pPr>
        <w:spacing w:after="0" w:line="252" w:lineRule="exact"/>
        <w:rPr>
          <w:sz w:val="20"/>
          <w:szCs w:val="20"/>
          <w:color w:val="auto"/>
        </w:rPr>
      </w:pPr>
    </w:p>
    <w:p>
      <w:pPr>
        <w:ind w:left="1060" w:hanging="179"/>
        <w:spacing w:after="0"/>
        <w:tabs>
          <w:tab w:leader="none" w:pos="106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sz w:val="20"/>
          <w:szCs w:val="20"/>
          <w:color w:val="auto"/>
        </w:rPr>
      </w:pPr>
    </w:p>
    <w:p>
      <w:pPr>
        <w:ind w:left="-40" w:right="200" w:firstLine="921"/>
        <w:spacing w:after="0" w:line="259" w:lineRule="auto"/>
        <w:tabs>
          <w:tab w:leader="none" w:pos="111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General Merchandise Manager-Casual Male XL and Global Sourcing and/or as the Company shall from time to time determine and Executive shall comply in the performance of his duties with the policies of, and be subject to the direction of the Company.</w:t>
      </w:r>
    </w:p>
    <w:p>
      <w:pPr>
        <w:spacing w:after="0" w:line="140" w:lineRule="exact"/>
        <w:rPr>
          <w:rFonts w:ascii="Arial" w:cs="Arial" w:eastAsia="Arial" w:hAnsi="Arial"/>
          <w:sz w:val="18"/>
          <w:szCs w:val="18"/>
          <w:color w:val="auto"/>
        </w:rPr>
      </w:pPr>
    </w:p>
    <w:p>
      <w:pPr>
        <w:ind w:left="-40" w:right="120" w:firstLine="921"/>
        <w:spacing w:after="0" w:line="298" w:lineRule="auto"/>
        <w:tabs>
          <w:tab w:leader="none" w:pos="1122" w:val="left"/>
        </w:tabs>
        <w:numPr>
          <w:ilvl w:val="0"/>
          <w:numId w:val="223"/>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12" w:lineRule="exact"/>
        <w:rPr>
          <w:rFonts w:ascii="Arial" w:cs="Arial" w:eastAsia="Arial" w:hAnsi="Arial"/>
          <w:sz w:val="16"/>
          <w:szCs w:val="16"/>
          <w:color w:val="auto"/>
        </w:rPr>
      </w:pPr>
    </w:p>
    <w:p>
      <w:pPr>
        <w:jc w:val="both"/>
        <w:ind w:left="-40" w:firstLine="921"/>
        <w:spacing w:after="0" w:line="335" w:lineRule="auto"/>
        <w:tabs>
          <w:tab w:leader="none" w:pos="1112"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169" w:lineRule="exact"/>
        <w:rPr>
          <w:sz w:val="20"/>
          <w:szCs w:val="20"/>
          <w:color w:val="auto"/>
        </w:rPr>
      </w:pPr>
    </w:p>
    <w:p>
      <w:pPr>
        <w:ind w:left="1060" w:hanging="179"/>
        <w:spacing w:after="0"/>
        <w:tabs>
          <w:tab w:leader="none" w:pos="106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sz w:val="20"/>
          <w:szCs w:val="20"/>
          <w:color w:val="auto"/>
        </w:rPr>
      </w:pPr>
    </w:p>
    <w:p>
      <w:pPr>
        <w:ind w:left="1120" w:hanging="239"/>
        <w:spacing w:after="0"/>
        <w:tabs>
          <w:tab w:leader="none" w:pos="11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171" w:lineRule="exact"/>
        <w:rPr>
          <w:rFonts w:ascii="Arial" w:cs="Arial" w:eastAsia="Arial" w:hAnsi="Arial"/>
          <w:sz w:val="18"/>
          <w:szCs w:val="18"/>
          <w:color w:val="auto"/>
        </w:rPr>
      </w:pPr>
    </w:p>
    <w:p>
      <w:pPr>
        <w:jc w:val="both"/>
        <w:ind w:left="-40" w:right="120" w:firstLine="1492"/>
        <w:spacing w:after="0" w:line="259" w:lineRule="auto"/>
        <w:tabs>
          <w:tab w:leader="none" w:pos="1653" w:val="left"/>
        </w:tabs>
        <w:numPr>
          <w:ilvl w:val="1"/>
          <w:numId w:val="225"/>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1720" w:hanging="268"/>
        <w:spacing w:after="0"/>
        <w:tabs>
          <w:tab w:leader="none" w:pos="17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171" w:lineRule="exact"/>
        <w:rPr>
          <w:rFonts w:ascii="Arial" w:cs="Arial" w:eastAsia="Arial" w:hAnsi="Arial"/>
          <w:sz w:val="18"/>
          <w:szCs w:val="18"/>
          <w:color w:val="auto"/>
        </w:rPr>
      </w:pPr>
    </w:p>
    <w:p>
      <w:pPr>
        <w:ind w:left="1120" w:hanging="239"/>
        <w:spacing w:after="0"/>
        <w:tabs>
          <w:tab w:leader="none" w:pos="11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171" w:lineRule="exact"/>
        <w:rPr>
          <w:rFonts w:ascii="Arial" w:cs="Arial" w:eastAsia="Arial" w:hAnsi="Arial"/>
          <w:sz w:val="18"/>
          <w:szCs w:val="18"/>
          <w:color w:val="auto"/>
        </w:rPr>
      </w:pPr>
    </w:p>
    <w:p>
      <w:pPr>
        <w:ind w:left="1660" w:hanging="208"/>
        <w:spacing w:after="0"/>
        <w:tabs>
          <w:tab w:leader="none" w:pos="16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rFonts w:ascii="Arial" w:cs="Arial" w:eastAsia="Arial" w:hAnsi="Arial"/>
          <w:sz w:val="18"/>
          <w:szCs w:val="18"/>
          <w:color w:val="auto"/>
        </w:rPr>
      </w:pPr>
    </w:p>
    <w:p>
      <w:pPr>
        <w:ind w:left="-40" w:right="240" w:firstLine="1492"/>
        <w:spacing w:after="0" w:line="268" w:lineRule="auto"/>
        <w:tabs>
          <w:tab w:leader="none" w:pos="170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date on which the Company elects to terminate the Term of Employment by reason of the “disability” of Executive (as hereinafter defined in subsection (c) herein) pursuant to subsection (g) hereof;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80" w:right="279" w:bottom="1440" w:gutter="0" w:footer="0" w:header="0"/>
        </w:sectPr>
      </w:pPr>
    </w:p>
    <w:bookmarkStart w:id="149" w:name="page150"/>
    <w:bookmarkEnd w:id="149"/>
    <w:p>
      <w:pPr>
        <w:ind w:left="1720" w:hanging="308"/>
        <w:spacing w:after="0"/>
        <w:tabs>
          <w:tab w:leader="none" w:pos="17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Executive’s resignation of employment.</w:t>
      </w:r>
    </w:p>
    <w:p>
      <w:pPr>
        <w:spacing w:after="0" w:line="171" w:lineRule="exact"/>
        <w:rPr>
          <w:rFonts w:ascii="Arial" w:cs="Arial" w:eastAsia="Arial" w:hAnsi="Arial"/>
          <w:sz w:val="18"/>
          <w:szCs w:val="18"/>
          <w:color w:val="auto"/>
        </w:rPr>
      </w:pPr>
    </w:p>
    <w:p>
      <w:pPr>
        <w:ind w:left="-80" w:right="20" w:firstLine="921"/>
        <w:spacing w:after="0" w:line="259" w:lineRule="auto"/>
        <w:tabs>
          <w:tab w:leader="none" w:pos="107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80" w:right="20" w:firstLine="921"/>
        <w:spacing w:after="0" w:line="287" w:lineRule="auto"/>
        <w:tabs>
          <w:tab w:leader="none" w:pos="108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22" w:lineRule="exact"/>
        <w:rPr>
          <w:rFonts w:ascii="Arial" w:cs="Arial" w:eastAsia="Arial" w:hAnsi="Arial"/>
          <w:sz w:val="16"/>
          <w:szCs w:val="16"/>
          <w:color w:val="auto"/>
        </w:rPr>
      </w:pPr>
    </w:p>
    <w:p>
      <w:pPr>
        <w:ind w:left="-80" w:firstLine="921"/>
        <w:spacing w:after="0" w:line="289" w:lineRule="auto"/>
        <w:tabs>
          <w:tab w:leader="none" w:pos="107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18" w:lineRule="exact"/>
        <w:rPr>
          <w:rFonts w:ascii="Arial" w:cs="Arial" w:eastAsia="Arial" w:hAnsi="Arial"/>
          <w:sz w:val="16"/>
          <w:szCs w:val="16"/>
          <w:color w:val="auto"/>
        </w:rPr>
      </w:pPr>
    </w:p>
    <w:p>
      <w:pPr>
        <w:ind w:left="-80" w:right="180" w:firstLine="921"/>
        <w:spacing w:after="0" w:line="259" w:lineRule="auto"/>
        <w:tabs>
          <w:tab w:leader="none" w:pos="105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40" w:lineRule="exact"/>
        <w:rPr>
          <w:rFonts w:ascii="Arial" w:cs="Arial" w:eastAsia="Arial" w:hAnsi="Arial"/>
          <w:sz w:val="18"/>
          <w:szCs w:val="18"/>
          <w:color w:val="auto"/>
        </w:rPr>
      </w:pPr>
    </w:p>
    <w:p>
      <w:pPr>
        <w:ind w:left="-80" w:right="620" w:firstLine="921"/>
        <w:spacing w:after="0" w:line="268" w:lineRule="auto"/>
        <w:tabs>
          <w:tab w:leader="none" w:pos="108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Upon Executive’s “disability”, the Company shall have the right to terminate Executive’s employment. Any termination pursuant to this subsection (g) shall be effective 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320" w:top="280" w:right="299" w:bottom="1440" w:gutter="0" w:footer="0" w:header="0"/>
        </w:sectPr>
      </w:pPr>
    </w:p>
    <w:bookmarkStart w:id="150" w:name="page151"/>
    <w:bookmarkEnd w:id="150"/>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85" w:lineRule="exact"/>
        <w:rPr>
          <w:sz w:val="20"/>
          <w:szCs w:val="20"/>
          <w:color w:val="auto"/>
        </w:rPr>
      </w:pPr>
    </w:p>
    <w:p>
      <w:pPr>
        <w:ind w:right="100" w:firstLine="921"/>
        <w:spacing w:after="0" w:line="335" w:lineRule="auto"/>
        <w:tabs>
          <w:tab w:leader="none" w:pos="1162" w:val="left"/>
        </w:tabs>
        <w:numPr>
          <w:ilvl w:val="1"/>
          <w:numId w:val="228"/>
        </w:numPr>
        <w:rPr>
          <w:rFonts w:ascii="Arial" w:cs="Arial" w:eastAsia="Arial" w:hAnsi="Arial"/>
          <w:sz w:val="15"/>
          <w:szCs w:val="15"/>
          <w:color w:val="auto"/>
        </w:rPr>
      </w:pPr>
      <w:r>
        <w:rPr>
          <w:rFonts w:ascii="Arial" w:cs="Arial" w:eastAsia="Arial" w:hAnsi="Arial"/>
          <w:sz w:val="15"/>
          <w:szCs w:val="15"/>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88" w:lineRule="exact"/>
        <w:rPr>
          <w:rFonts w:ascii="Arial" w:cs="Arial" w:eastAsia="Arial" w:hAnsi="Arial"/>
          <w:sz w:val="15"/>
          <w:szCs w:val="15"/>
          <w:color w:val="auto"/>
        </w:rPr>
      </w:pPr>
    </w:p>
    <w:p>
      <w:pPr>
        <w:ind w:right="20" w:firstLine="921"/>
        <w:spacing w:after="0" w:line="301" w:lineRule="auto"/>
        <w:tabs>
          <w:tab w:leader="none" w:pos="1123" w:val="left"/>
        </w:tabs>
        <w:numPr>
          <w:ilvl w:val="1"/>
          <w:numId w:val="228"/>
        </w:numPr>
        <w:rPr>
          <w:rFonts w:ascii="Arial" w:cs="Arial" w:eastAsia="Arial" w:hAnsi="Arial"/>
          <w:sz w:val="15"/>
          <w:szCs w:val="15"/>
          <w:color w:val="auto"/>
        </w:rPr>
      </w:pPr>
      <w:r>
        <w:rPr>
          <w:rFonts w:ascii="Arial" w:cs="Arial" w:eastAsia="Arial" w:hAnsi="Arial"/>
          <w:sz w:val="15"/>
          <w:szCs w:val="15"/>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Good Reason”</w:t>
      </w:r>
      <w:r>
        <w:rPr>
          <w:rFonts w:ascii="Arial" w:cs="Arial" w:eastAsia="Arial" w:hAnsi="Arial"/>
          <w:sz w:val="15"/>
          <w:szCs w:val="15"/>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w:t>
      </w:r>
    </w:p>
    <w:p>
      <w:pPr>
        <w:spacing w:after="0" w:line="4" w:lineRule="exact"/>
        <w:rPr>
          <w:rFonts w:ascii="Arial" w:cs="Arial" w:eastAsia="Arial" w:hAnsi="Arial"/>
          <w:sz w:val="15"/>
          <w:szCs w:val="15"/>
          <w:color w:val="auto"/>
        </w:rPr>
      </w:pPr>
    </w:p>
    <w:p>
      <w:pPr>
        <w:ind w:firstLine="8"/>
        <w:spacing w:after="0" w:line="288" w:lineRule="auto"/>
        <w:tabs>
          <w:tab w:leader="none" w:pos="29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22" w:lineRule="exact"/>
        <w:rPr>
          <w:rFonts w:ascii="Arial" w:cs="Arial" w:eastAsia="Arial" w:hAnsi="Arial"/>
          <w:sz w:val="16"/>
          <w:szCs w:val="16"/>
          <w:color w:val="auto"/>
        </w:rPr>
      </w:pPr>
    </w:p>
    <w:p>
      <w:pPr>
        <w:ind w:right="100" w:firstLine="921"/>
        <w:spacing w:after="0" w:line="268" w:lineRule="auto"/>
        <w:tabs>
          <w:tab w:leader="none" w:pos="1123" w:val="left"/>
        </w:tabs>
        <w:numPr>
          <w:ilvl w:val="1"/>
          <w:numId w:val="229"/>
        </w:numPr>
        <w:rPr>
          <w:rFonts w:ascii="Arial" w:cs="Arial" w:eastAsia="Arial" w:hAnsi="Arial"/>
          <w:sz w:val="18"/>
          <w:szCs w:val="18"/>
          <w:color w:val="auto"/>
        </w:rPr>
      </w:pPr>
      <w:r>
        <w:rPr>
          <w:rFonts w:ascii="Arial" w:cs="Arial" w:eastAsia="Arial" w:hAnsi="Arial"/>
          <w:sz w:val="18"/>
          <w:szCs w:val="18"/>
          <w:color w:val="auto"/>
        </w:rPr>
        <w:t>Clawback of Certain Compensation and Benefits. If, after the termination of the Term of Employment for any reason other than by the Company for “justifiable cause”:</w:t>
      </w:r>
    </w:p>
    <w:p>
      <w:pPr>
        <w:spacing w:after="0" w:line="131" w:lineRule="exact"/>
        <w:rPr>
          <w:rFonts w:ascii="Arial" w:cs="Arial" w:eastAsia="Arial" w:hAnsi="Arial"/>
          <w:sz w:val="18"/>
          <w:szCs w:val="18"/>
          <w:color w:val="auto"/>
        </w:rPr>
      </w:pPr>
    </w:p>
    <w:p>
      <w:pPr>
        <w:ind w:right="160" w:firstLine="1948"/>
        <w:spacing w:after="0" w:line="256" w:lineRule="auto"/>
        <w:tabs>
          <w:tab w:leader="none" w:pos="215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51" w:name="page152"/>
    <w:bookmarkEnd w:id="151"/>
    <w:p>
      <w:pPr>
        <w:jc w:val="both"/>
        <w:ind w:left="-20" w:right="240" w:firstLine="1948"/>
        <w:spacing w:after="0" w:line="306" w:lineRule="auto"/>
        <w:tabs>
          <w:tab w:leader="none" w:pos="2178" w:val="left"/>
        </w:tabs>
        <w:numPr>
          <w:ilvl w:val="1"/>
          <w:numId w:val="2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06" w:lineRule="exact"/>
        <w:rPr>
          <w:rFonts w:ascii="Arial" w:cs="Arial" w:eastAsia="Arial" w:hAnsi="Arial"/>
          <w:sz w:val="16"/>
          <w:szCs w:val="16"/>
          <w:color w:val="auto"/>
        </w:rPr>
      </w:pPr>
    </w:p>
    <w:p>
      <w:pPr>
        <w:ind w:left="-20" w:firstLine="2404"/>
        <w:spacing w:after="0" w:line="294" w:lineRule="auto"/>
        <w:tabs>
          <w:tab w:leader="none" w:pos="2664" w:val="left"/>
        </w:tabs>
        <w:numPr>
          <w:ilvl w:val="2"/>
          <w:numId w:val="230"/>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15" w:lineRule="exact"/>
        <w:rPr>
          <w:rFonts w:ascii="Arial" w:cs="Arial" w:eastAsia="Arial" w:hAnsi="Arial"/>
          <w:sz w:val="16"/>
          <w:szCs w:val="16"/>
          <w:color w:val="auto"/>
        </w:rPr>
      </w:pPr>
    </w:p>
    <w:p>
      <w:pPr>
        <w:ind w:left="-20" w:right="700" w:firstLine="2404"/>
        <w:spacing w:after="0" w:line="268" w:lineRule="auto"/>
        <w:tabs>
          <w:tab w:leader="none" w:pos="2654" w:val="left"/>
        </w:tabs>
        <w:numPr>
          <w:ilvl w:val="2"/>
          <w:numId w:val="230"/>
        </w:numPr>
        <w:rPr>
          <w:rFonts w:ascii="Arial" w:cs="Arial" w:eastAsia="Arial" w:hAnsi="Arial"/>
          <w:sz w:val="18"/>
          <w:szCs w:val="18"/>
          <w:color w:val="auto"/>
        </w:rPr>
      </w:pPr>
      <w:r>
        <w:rPr>
          <w:rFonts w:ascii="Arial" w:cs="Arial" w:eastAsia="Arial" w:hAnsi="Arial"/>
          <w:sz w:val="18"/>
          <w:szCs w:val="18"/>
          <w:color w:val="auto"/>
        </w:rPr>
        <w:t>all vested and unvested Awards (as that term is defined in the 2006 Incentive Compensation Plan) then held by the Executive shall immediately expire; and</w:t>
      </w:r>
    </w:p>
    <w:p>
      <w:pPr>
        <w:spacing w:after="0" w:line="131" w:lineRule="exact"/>
        <w:rPr>
          <w:rFonts w:ascii="Arial" w:cs="Arial" w:eastAsia="Arial" w:hAnsi="Arial"/>
          <w:sz w:val="18"/>
          <w:szCs w:val="18"/>
          <w:color w:val="auto"/>
        </w:rPr>
      </w:pPr>
    </w:p>
    <w:p>
      <w:pPr>
        <w:ind w:left="-20" w:right="40" w:firstLine="2404"/>
        <w:spacing w:after="0" w:line="289" w:lineRule="auto"/>
        <w:tabs>
          <w:tab w:leader="none" w:pos="2654" w:val="left"/>
        </w:tabs>
        <w:numPr>
          <w:ilvl w:val="2"/>
          <w:numId w:val="230"/>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18" w:lineRule="exact"/>
        <w:rPr>
          <w:rFonts w:ascii="Arial" w:cs="Arial" w:eastAsia="Arial" w:hAnsi="Arial"/>
          <w:sz w:val="16"/>
          <w:szCs w:val="16"/>
          <w:color w:val="auto"/>
        </w:rPr>
      </w:pPr>
    </w:p>
    <w:p>
      <w:pPr>
        <w:ind w:left="-20" w:right="480" w:firstLine="921"/>
        <w:spacing w:after="0" w:line="268" w:lineRule="auto"/>
        <w:tabs>
          <w:tab w:leader="none" w:pos="114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213" w:lineRule="exact"/>
        <w:rPr>
          <w:sz w:val="20"/>
          <w:szCs w:val="20"/>
          <w:color w:val="auto"/>
        </w:rPr>
      </w:pPr>
    </w:p>
    <w:p>
      <w:pPr>
        <w:ind w:left="1080" w:hanging="179"/>
        <w:spacing w:after="0"/>
        <w:tabs>
          <w:tab w:leader="none" w:pos="108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sz w:val="20"/>
          <w:szCs w:val="20"/>
          <w:color w:val="auto"/>
        </w:rPr>
      </w:pPr>
    </w:p>
    <w:p>
      <w:pPr>
        <w:ind w:left="-20" w:right="160" w:firstLine="921"/>
        <w:spacing w:after="0" w:line="268" w:lineRule="auto"/>
        <w:tabs>
          <w:tab w:leader="none" w:pos="113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79" w:right="239" w:bottom="1440" w:gutter="0" w:footer="0" w:header="0"/>
        </w:sectPr>
      </w:pPr>
    </w:p>
    <w:bookmarkStart w:id="152" w:name="page153"/>
    <w:bookmarkEnd w:id="152"/>
    <w:p>
      <w:pPr>
        <w:ind w:right="3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13" w:lineRule="exact"/>
        <w:rPr>
          <w:sz w:val="20"/>
          <w:szCs w:val="20"/>
          <w:color w:val="auto"/>
        </w:rPr>
      </w:pPr>
    </w:p>
    <w:p>
      <w:pPr>
        <w:jc w:val="both"/>
        <w:ind w:right="60" w:firstLine="921"/>
        <w:spacing w:after="0" w:line="259" w:lineRule="auto"/>
        <w:tabs>
          <w:tab w:leader="none" w:pos="116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171" w:lineRule="exact"/>
        <w:rPr>
          <w:rFonts w:ascii="Arial" w:cs="Arial" w:eastAsia="Arial" w:hAnsi="Arial"/>
          <w:sz w:val="18"/>
          <w:szCs w:val="18"/>
          <w:color w:val="auto"/>
        </w:rPr>
      </w:pPr>
    </w:p>
    <w:p>
      <w:pPr>
        <w:ind w:right="20" w:firstLine="1492"/>
        <w:spacing w:after="0" w:line="289" w:lineRule="auto"/>
        <w:tabs>
          <w:tab w:leader="none" w:pos="1693" w:val="left"/>
        </w:tabs>
        <w:numPr>
          <w:ilvl w:val="1"/>
          <w:numId w:val="234"/>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18" w:lineRule="exact"/>
        <w:rPr>
          <w:rFonts w:ascii="Arial" w:cs="Arial" w:eastAsia="Arial" w:hAnsi="Arial"/>
          <w:sz w:val="16"/>
          <w:szCs w:val="16"/>
          <w:color w:val="auto"/>
        </w:rPr>
      </w:pPr>
    </w:p>
    <w:p>
      <w:pPr>
        <w:ind w:firstLine="1492"/>
        <w:spacing w:after="0" w:line="256" w:lineRule="auto"/>
        <w:tabs>
          <w:tab w:leader="none" w:pos="174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ind w:right="240" w:firstLine="921"/>
        <w:spacing w:after="0" w:line="259" w:lineRule="auto"/>
        <w:tabs>
          <w:tab w:leader="none" w:pos="116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ind w:right="80" w:firstLine="921"/>
        <w:spacing w:after="0" w:line="306" w:lineRule="auto"/>
        <w:tabs>
          <w:tab w:leader="none" w:pos="115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53" w:name="page154"/>
    <w:bookmarkEnd w:id="153"/>
    <w:p>
      <w:pPr>
        <w:ind w:left="1140" w:hanging="219"/>
        <w:spacing w:after="0"/>
        <w:tabs>
          <w:tab w:leader="none" w:pos="11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Taxable Reimbursements.</w:t>
      </w:r>
    </w:p>
    <w:p>
      <w:pPr>
        <w:spacing w:after="0" w:line="171" w:lineRule="exact"/>
        <w:rPr>
          <w:rFonts w:ascii="Arial" w:cs="Arial" w:eastAsia="Arial" w:hAnsi="Arial"/>
          <w:sz w:val="18"/>
          <w:szCs w:val="18"/>
          <w:color w:val="auto"/>
        </w:rPr>
      </w:pPr>
    </w:p>
    <w:p>
      <w:pPr>
        <w:ind w:right="140" w:firstLine="1492"/>
        <w:spacing w:after="0" w:line="306" w:lineRule="auto"/>
        <w:tabs>
          <w:tab w:leader="none" w:pos="1693" w:val="left"/>
        </w:tabs>
        <w:numPr>
          <w:ilvl w:val="1"/>
          <w:numId w:val="235"/>
        </w:numPr>
        <w:rPr>
          <w:rFonts w:ascii="Arial" w:cs="Arial" w:eastAsia="Arial" w:hAnsi="Arial"/>
          <w:sz w:val="16"/>
          <w:szCs w:val="16"/>
          <w:color w:val="auto"/>
        </w:rPr>
      </w:pPr>
      <w:r>
        <w:rPr>
          <w:rFonts w:ascii="Arial" w:cs="Arial" w:eastAsia="Arial" w:hAnsi="Arial"/>
          <w:sz w:val="16"/>
          <w:szCs w:val="16"/>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06" w:lineRule="exact"/>
        <w:rPr>
          <w:rFonts w:ascii="Arial" w:cs="Arial" w:eastAsia="Arial" w:hAnsi="Arial"/>
          <w:sz w:val="16"/>
          <w:szCs w:val="16"/>
          <w:color w:val="auto"/>
        </w:rPr>
      </w:pPr>
    </w:p>
    <w:p>
      <w:pPr>
        <w:ind w:right="20" w:firstLine="1492"/>
        <w:spacing w:after="0" w:line="268" w:lineRule="auto"/>
        <w:tabs>
          <w:tab w:leader="none" w:pos="174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31" w:lineRule="exact"/>
        <w:rPr>
          <w:rFonts w:ascii="Arial" w:cs="Arial" w:eastAsia="Arial" w:hAnsi="Arial"/>
          <w:sz w:val="18"/>
          <w:szCs w:val="18"/>
          <w:color w:val="auto"/>
        </w:rPr>
      </w:pPr>
    </w:p>
    <w:p>
      <w:pPr>
        <w:ind w:left="1800" w:hanging="308"/>
        <w:spacing w:after="0"/>
        <w:tabs>
          <w:tab w:leader="none" w:pos="180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252" w:lineRule="exact"/>
        <w:rPr>
          <w:sz w:val="20"/>
          <w:szCs w:val="20"/>
          <w:color w:val="auto"/>
        </w:rPr>
      </w:pPr>
    </w:p>
    <w:p>
      <w:pPr>
        <w:ind w:left="1100" w:hanging="179"/>
        <w:spacing w:after="0"/>
        <w:tabs>
          <w:tab w:leader="none" w:pos="110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sz w:val="20"/>
          <w:szCs w:val="20"/>
          <w:color w:val="auto"/>
        </w:rPr>
      </w:pPr>
    </w:p>
    <w:p>
      <w:pPr>
        <w:jc w:val="both"/>
        <w:ind w:right="140" w:firstLine="921"/>
        <w:spacing w:after="0" w:line="370" w:lineRule="auto"/>
        <w:tabs>
          <w:tab w:leader="none" w:pos="1152" w:val="left"/>
        </w:tabs>
        <w:numPr>
          <w:ilvl w:val="0"/>
          <w:numId w:val="237"/>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jc w:val="both"/>
        <w:ind w:right="160" w:firstLine="921"/>
        <w:spacing w:after="0" w:line="259" w:lineRule="auto"/>
        <w:tabs>
          <w:tab w:leader="none" w:pos="116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100" w:firstLine="921"/>
        <w:spacing w:after="0" w:line="370" w:lineRule="auto"/>
        <w:tabs>
          <w:tab w:leader="none" w:pos="1152" w:val="left"/>
        </w:tabs>
        <w:numPr>
          <w:ilvl w:val="0"/>
          <w:numId w:val="237"/>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62" w:lineRule="exact"/>
        <w:rPr>
          <w:rFonts w:ascii="Arial" w:cs="Arial" w:eastAsia="Arial" w:hAnsi="Arial"/>
          <w:sz w:val="15"/>
          <w:szCs w:val="15"/>
          <w:color w:val="auto"/>
        </w:rPr>
      </w:pPr>
    </w:p>
    <w:p>
      <w:pPr>
        <w:ind w:firstLine="921"/>
        <w:spacing w:after="0" w:line="259" w:lineRule="auto"/>
        <w:tabs>
          <w:tab w:leader="none" w:pos="116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paragraph 7(d)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54" w:name="page155"/>
    <w:bookmarkEnd w:id="154"/>
    <w:p>
      <w:pPr>
        <w:ind w:left="1160" w:hanging="259"/>
        <w:spacing w:after="0"/>
        <w:tabs>
          <w:tab w:leader="none" w:pos="116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NON-COMPETITION</w:t>
      </w:r>
    </w:p>
    <w:p>
      <w:pPr>
        <w:spacing w:after="0" w:line="90" w:lineRule="exact"/>
        <w:rPr>
          <w:sz w:val="20"/>
          <w:szCs w:val="20"/>
          <w:color w:val="auto"/>
        </w:rPr>
      </w:pPr>
    </w:p>
    <w:p>
      <w:pPr>
        <w:ind w:left="-20" w:firstLine="921"/>
        <w:spacing w:after="0" w:line="286" w:lineRule="auto"/>
        <w:tabs>
          <w:tab w:leader="none" w:pos="1132" w:val="left"/>
        </w:tabs>
        <w:numPr>
          <w:ilvl w:val="0"/>
          <w:numId w:val="239"/>
        </w:numPr>
        <w:rPr>
          <w:rFonts w:ascii="Arial" w:cs="Arial" w:eastAsia="Arial" w:hAnsi="Arial"/>
          <w:sz w:val="16"/>
          <w:szCs w:val="16"/>
          <w:color w:val="auto"/>
        </w:rPr>
      </w:pPr>
      <w:r>
        <w:rPr>
          <w:rFonts w:ascii="Arial" w:cs="Arial" w:eastAsia="Arial" w:hAnsi="Arial"/>
          <w:sz w:val="16"/>
          <w:szCs w:val="16"/>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24" w:lineRule="exact"/>
        <w:rPr>
          <w:rFonts w:ascii="Arial" w:cs="Arial" w:eastAsia="Arial" w:hAnsi="Arial"/>
          <w:sz w:val="16"/>
          <w:szCs w:val="16"/>
          <w:color w:val="auto"/>
        </w:rPr>
      </w:pPr>
    </w:p>
    <w:p>
      <w:pPr>
        <w:ind w:left="-20" w:right="160" w:firstLine="921"/>
        <w:spacing w:after="0" w:line="255" w:lineRule="auto"/>
        <w:tabs>
          <w:tab w:leader="none" w:pos="114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left="-20" w:right="20" w:firstLine="921"/>
        <w:spacing w:after="0" w:line="294" w:lineRule="auto"/>
        <w:tabs>
          <w:tab w:leader="none" w:pos="1132" w:val="left"/>
        </w:tabs>
        <w:numPr>
          <w:ilvl w:val="0"/>
          <w:numId w:val="239"/>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left="-20" w:right="220" w:firstLine="921"/>
        <w:spacing w:after="0" w:line="268" w:lineRule="auto"/>
        <w:tabs>
          <w:tab w:leader="none" w:pos="114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155" w:name="page156"/>
    <w:bookmarkEnd w:id="155"/>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13" w:lineRule="exact"/>
        <w:rPr>
          <w:sz w:val="20"/>
          <w:szCs w:val="20"/>
          <w:color w:val="auto"/>
        </w:rPr>
      </w:pPr>
    </w:p>
    <w:p>
      <w:pPr>
        <w:ind w:left="1180" w:hanging="259"/>
        <w:spacing w:after="0"/>
        <w:tabs>
          <w:tab w:leader="none" w:pos="118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sz w:val="20"/>
          <w:szCs w:val="20"/>
          <w:color w:val="auto"/>
        </w:rPr>
      </w:pPr>
    </w:p>
    <w:p>
      <w:pPr>
        <w:ind w:firstLine="921"/>
        <w:spacing w:after="0" w:line="291" w:lineRule="auto"/>
        <w:tabs>
          <w:tab w:leader="none" w:pos="1152" w:val="left"/>
        </w:tabs>
        <w:numPr>
          <w:ilvl w:val="0"/>
          <w:numId w:val="241"/>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80" w:firstLine="921"/>
        <w:spacing w:after="0" w:line="289" w:lineRule="auto"/>
        <w:tabs>
          <w:tab w:leader="none" w:pos="1162" w:val="left"/>
        </w:tabs>
        <w:numPr>
          <w:ilvl w:val="0"/>
          <w:numId w:val="241"/>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99" w:lineRule="exact"/>
        <w:rPr>
          <w:sz w:val="20"/>
          <w:szCs w:val="20"/>
          <w:color w:val="auto"/>
        </w:rPr>
      </w:pPr>
    </w:p>
    <w:p>
      <w:pPr>
        <w:ind w:left="1180" w:hanging="259"/>
        <w:spacing w:after="0"/>
        <w:tabs>
          <w:tab w:leader="none" w:pos="118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right="40" w:firstLine="921"/>
        <w:spacing w:after="0" w:line="291" w:lineRule="auto"/>
        <w:tabs>
          <w:tab w:leader="none" w:pos="1152" w:val="left"/>
        </w:tabs>
        <w:numPr>
          <w:ilvl w:val="0"/>
          <w:numId w:val="243"/>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56" w:name="page157"/>
    <w:bookmarkEnd w:id="15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20" w:lineRule="exact"/>
        <w:rPr>
          <w:sz w:val="20"/>
          <w:szCs w:val="20"/>
          <w:color w:val="auto"/>
        </w:rPr>
      </w:pPr>
    </w:p>
    <w:p>
      <w:pPr>
        <w:ind w:firstLine="921"/>
        <w:spacing w:after="0" w:line="298" w:lineRule="auto"/>
        <w:tabs>
          <w:tab w:leader="none" w:pos="1162"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94" w:lineRule="exact"/>
        <w:rPr>
          <w:sz w:val="20"/>
          <w:szCs w:val="20"/>
          <w:color w:val="auto"/>
        </w:rPr>
      </w:pPr>
    </w:p>
    <w:p>
      <w:pPr>
        <w:ind w:left="1180" w:hanging="259"/>
        <w:spacing w:after="0"/>
        <w:tabs>
          <w:tab w:leader="none" w:pos="118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201" w:lineRule="exact"/>
        <w:rPr>
          <w:sz w:val="20"/>
          <w:szCs w:val="20"/>
          <w:color w:val="auto"/>
        </w:rPr>
      </w:pPr>
    </w:p>
    <w:p>
      <w:pPr>
        <w:ind w:left="1180" w:hanging="259"/>
        <w:spacing w:after="0"/>
        <w:tabs>
          <w:tab w:leader="none" w:pos="118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jc w:val="center"/>
        <w:ind w:left="340" w:right="820"/>
        <w:spacing w:after="0" w:line="440" w:lineRule="auto"/>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 11</w:t>
      </w:r>
    </w:p>
    <w:p>
      <w:pPr>
        <w:sectPr>
          <w:pgSz w:w="11900" w:h="16838" w:orient="portrait"/>
          <w:cols w:equalWidth="0" w:num="1">
            <w:col w:w="11400"/>
          </w:cols>
          <w:pgMar w:left="240" w:top="280" w:right="259" w:bottom="1440" w:gutter="0" w:footer="0" w:header="0"/>
        </w:sectPr>
      </w:pPr>
    </w:p>
    <w:bookmarkStart w:id="157" w:name="page158"/>
    <w:bookmarkEnd w:id="157"/>
    <w:p>
      <w:pPr>
        <w:ind w:left="1180" w:hanging="259"/>
        <w:spacing w:after="0"/>
        <w:tabs>
          <w:tab w:leader="none" w:pos="1180"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p>
    <w:p>
      <w:pPr>
        <w:spacing w:after="0" w:line="9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13" w:lineRule="exact"/>
        <w:rPr>
          <w:sz w:val="20"/>
          <w:szCs w:val="20"/>
          <w:color w:val="auto"/>
        </w:rPr>
      </w:pPr>
    </w:p>
    <w:p>
      <w:pPr>
        <w:ind w:left="1180" w:hanging="259"/>
        <w:spacing w:after="0"/>
        <w:tabs>
          <w:tab w:leader="none" w:pos="118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13" w:lineRule="exact"/>
        <w:rPr>
          <w:sz w:val="20"/>
          <w:szCs w:val="20"/>
          <w:color w:val="auto"/>
        </w:rPr>
      </w:pPr>
    </w:p>
    <w:p>
      <w:pPr>
        <w:ind w:left="1180" w:hanging="259"/>
        <w:spacing w:after="0"/>
        <w:tabs>
          <w:tab w:leader="none" w:pos="118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21" w:lineRule="exact"/>
        <w:rPr>
          <w:sz w:val="20"/>
          <w:szCs w:val="20"/>
          <w:color w:val="auto"/>
        </w:rPr>
      </w:pPr>
    </w:p>
    <w:p>
      <w:pPr>
        <w:ind w:left="1180" w:hanging="259"/>
        <w:spacing w:after="0"/>
        <w:tabs>
          <w:tab w:leader="none" w:pos="118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213" w:lineRule="exact"/>
        <w:rPr>
          <w:sz w:val="20"/>
          <w:szCs w:val="20"/>
          <w:color w:val="auto"/>
        </w:rPr>
      </w:pPr>
    </w:p>
    <w:p>
      <w:pPr>
        <w:ind w:left="1180" w:hanging="259"/>
        <w:spacing w:after="0"/>
        <w:tabs>
          <w:tab w:leader="none" w:pos="118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158" w:name="page159"/>
    <w:bookmarkEnd w:id="158"/>
    <w:p>
      <w:pPr>
        <w:ind w:left="1180" w:hanging="259"/>
        <w:spacing w:after="0"/>
        <w:tabs>
          <w:tab w:leader="none" w:pos="118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SURVIVAL</w:t>
      </w:r>
    </w:p>
    <w:p>
      <w:pPr>
        <w:spacing w:after="0" w:line="9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213" w:lineRule="exact"/>
        <w:rPr>
          <w:sz w:val="20"/>
          <w:szCs w:val="20"/>
          <w:color w:val="auto"/>
        </w:rPr>
      </w:pPr>
    </w:p>
    <w:p>
      <w:pPr>
        <w:ind w:left="1180" w:hanging="259"/>
        <w:spacing w:after="0"/>
        <w:tabs>
          <w:tab w:leader="none" w:pos="118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194"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94" w:lineRule="exact"/>
        <w:rPr>
          <w:sz w:val="20"/>
          <w:szCs w:val="20"/>
          <w:color w:val="auto"/>
        </w:rPr>
      </w:pPr>
    </w:p>
    <w:p>
      <w:pPr>
        <w:ind w:left="1180" w:hanging="259"/>
        <w:spacing w:after="0"/>
        <w:tabs>
          <w:tab w:leader="none" w:pos="118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90"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21" w:lineRule="exact"/>
        <w:rPr>
          <w:sz w:val="20"/>
          <w:szCs w:val="20"/>
          <w:color w:val="auto"/>
        </w:rPr>
      </w:pPr>
    </w:p>
    <w:p>
      <w:pPr>
        <w:ind w:left="1180" w:hanging="259"/>
        <w:spacing w:after="0"/>
        <w:tabs>
          <w:tab w:leader="none" w:pos="118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13" w:lineRule="exact"/>
        <w:rPr>
          <w:sz w:val="20"/>
          <w:szCs w:val="20"/>
          <w:color w:val="auto"/>
        </w:rPr>
      </w:pPr>
    </w:p>
    <w:p>
      <w:pPr>
        <w:ind w:right="7580" w:firstLine="921"/>
        <w:spacing w:after="0" w:line="344" w:lineRule="auto"/>
        <w:tabs>
          <w:tab w:leader="none" w:pos="1176"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 xml:space="preserve">SUBSIDIARIES AND AFFILIATES </w:t>
      </w:r>
      <w:r>
        <w:rPr>
          <w:rFonts w:ascii="Arial" w:cs="Arial" w:eastAsia="Arial" w:hAnsi="Arial"/>
          <w:sz w:val="18"/>
          <w:szCs w:val="18"/>
          <w:color w:val="auto"/>
        </w:rPr>
        <w:t>For purposes of this Agreement:</w:t>
      </w:r>
    </w:p>
    <w:p>
      <w:pPr>
        <w:ind w:right="360" w:firstLine="1492"/>
        <w:spacing w:after="0" w:line="259" w:lineRule="auto"/>
        <w:tabs>
          <w:tab w:leader="none" w:pos="1722" w:val="left"/>
        </w:tabs>
        <w:numPr>
          <w:ilvl w:val="1"/>
          <w:numId w:val="256"/>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40" w:lineRule="exact"/>
        <w:rPr>
          <w:rFonts w:ascii="Arial" w:cs="Arial" w:eastAsia="Arial" w:hAnsi="Arial"/>
          <w:sz w:val="18"/>
          <w:szCs w:val="18"/>
          <w:color w:val="auto"/>
        </w:rPr>
      </w:pPr>
    </w:p>
    <w:p>
      <w:pPr>
        <w:ind w:firstLine="1492"/>
        <w:spacing w:after="0" w:line="256" w:lineRule="auto"/>
        <w:tabs>
          <w:tab w:leader="none" w:pos="1732" w:val="left"/>
        </w:tabs>
        <w:numPr>
          <w:ilvl w:val="1"/>
          <w:numId w:val="256"/>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59" w:name="page160"/>
    <w:bookmarkEnd w:id="159"/>
    <w:p>
      <w:pPr>
        <w:ind w:left="1180" w:hanging="259"/>
        <w:spacing w:after="0"/>
        <w:tabs>
          <w:tab w:leader="none" w:pos="118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HEADINGS</w:t>
      </w:r>
    </w:p>
    <w:p>
      <w:pPr>
        <w:spacing w:after="0" w:line="9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213" w:lineRule="exact"/>
        <w:rPr>
          <w:sz w:val="20"/>
          <w:szCs w:val="20"/>
          <w:color w:val="auto"/>
        </w:rPr>
      </w:pPr>
    </w:p>
    <w:p>
      <w:pPr>
        <w:ind w:left="1180" w:hanging="259"/>
        <w:spacing w:after="0"/>
        <w:tabs>
          <w:tab w:leader="none" w:pos="118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ectPr>
          <w:pgSz w:w="11900" w:h="16838" w:orient="portrait"/>
          <w:cols w:equalWidth="0" w:num="1">
            <w:col w:w="11380"/>
          </w:cols>
          <w:pgMar w:left="240" w:top="280" w:right="27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David A. Levin</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President, Chief Executive Officer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Executive VP, COO, CFO</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Douglas L. Hearn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220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L. Hearn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Date: January 8, 2010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Date: January 8, 2010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Date: January 8, 2010</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5400" w:space="220"/>
            <w:col w:w="5760"/>
          </w:cols>
          <w:pgMar w:left="240" w:top="280" w:right="279" w:bottom="1440" w:gutter="0" w:footer="0" w:header="0"/>
          <w:type w:val="continuous"/>
        </w:sectPr>
      </w:pPr>
    </w:p>
    <w:bookmarkStart w:id="160" w:name="page161"/>
    <w:bookmarkEnd w:id="160"/>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171" w:lineRule="exact"/>
        <w:rPr>
          <w:sz w:val="20"/>
          <w:szCs w:val="20"/>
          <w:color w:val="auto"/>
        </w:rPr>
      </w:pPr>
    </w:p>
    <w:p>
      <w:pPr>
        <w:ind w:left="-40" w:firstLine="464"/>
        <w:spacing w:after="0" w:line="284" w:lineRule="auto"/>
        <w:tabs>
          <w:tab w:leader="none" w:pos="592" w:val="left"/>
        </w:tabs>
        <w:numPr>
          <w:ilvl w:val="0"/>
          <w:numId w:val="259"/>
        </w:numPr>
        <w:rPr>
          <w:rFonts w:ascii="Arial" w:cs="Arial" w:eastAsia="Arial" w:hAnsi="Arial"/>
          <w:sz w:val="16"/>
          <w:szCs w:val="16"/>
          <w:color w:val="auto"/>
        </w:rPr>
      </w:pPr>
      <w:r>
        <w:rPr>
          <w:rFonts w:ascii="Arial" w:cs="Arial" w:eastAsia="Arial" w:hAnsi="Arial"/>
          <w:sz w:val="16"/>
          <w:szCs w:val="16"/>
          <w:color w:val="auto"/>
        </w:rPr>
        <w:t>Douglas L. Hearn (“</w:t>
      </w:r>
      <w:r>
        <w:rPr>
          <w:rFonts w:ascii="Arial" w:cs="Arial" w:eastAsia="Arial" w:hAnsi="Arial"/>
          <w:sz w:val="16"/>
          <w:szCs w:val="16"/>
          <w:u w:val="single" w:color="auto"/>
          <w:color w:val="auto"/>
        </w:rPr>
        <w:t>Executive</w:t>
      </w:r>
      <w:r>
        <w:rPr>
          <w:rFonts w:ascii="Arial" w:cs="Arial" w:eastAsia="Arial" w:hAnsi="Arial"/>
          <w:sz w:val="16"/>
          <w:szCs w:val="16"/>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does hereby release and forever discharge Casual Male Retail Group, Inc. (the “</w:t>
      </w:r>
      <w:r>
        <w:rPr>
          <w:rFonts w:ascii="Arial" w:cs="Arial" w:eastAsia="Arial" w:hAnsi="Arial"/>
          <w:sz w:val="16"/>
          <w:szCs w:val="16"/>
          <w:u w:val="single" w:color="auto"/>
          <w:color w:val="auto"/>
        </w:rPr>
        <w:t>Company</w:t>
      </w:r>
      <w:r>
        <w:rPr>
          <w:rFonts w:ascii="Arial" w:cs="Arial" w:eastAsia="Arial" w:hAnsi="Arial"/>
          <w:sz w:val="16"/>
          <w:szCs w:val="16"/>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280" w:right="259" w:bottom="1440" w:gutter="0" w:footer="0" w:header="0"/>
        </w:sectPr>
      </w:pPr>
    </w:p>
    <w:bookmarkStart w:id="161" w:name="page162"/>
    <w:bookmarkEnd w:id="161"/>
    <w:p>
      <w:pPr>
        <w:ind w:left="-20" w:firstLine="464"/>
        <w:spacing w:after="0" w:line="294" w:lineRule="auto"/>
        <w:tabs>
          <w:tab w:leader="none" w:pos="612" w:val="left"/>
        </w:tabs>
        <w:numPr>
          <w:ilvl w:val="0"/>
          <w:numId w:val="2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his right to commence a Proceeding to challenge whether Executive knowingly and voluntarily waived his rights under ADEA.</w:t>
      </w:r>
    </w:p>
    <w:p>
      <w:pPr>
        <w:spacing w:after="0" w:line="115" w:lineRule="exact"/>
        <w:rPr>
          <w:rFonts w:ascii="Arial" w:cs="Arial" w:eastAsia="Arial" w:hAnsi="Arial"/>
          <w:sz w:val="16"/>
          <w:szCs w:val="16"/>
          <w:color w:val="auto"/>
        </w:rPr>
      </w:pPr>
    </w:p>
    <w:p>
      <w:pPr>
        <w:ind w:left="-20" w:right="180" w:firstLine="464"/>
        <w:spacing w:after="0" w:line="256" w:lineRule="auto"/>
        <w:tabs>
          <w:tab w:leader="none" w:pos="61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43"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31" w:lineRule="exact"/>
        <w:rPr>
          <w:rFonts w:ascii="Arial" w:cs="Arial" w:eastAsia="Arial" w:hAnsi="Arial"/>
          <w:sz w:val="18"/>
          <w:szCs w:val="18"/>
          <w:color w:val="auto"/>
        </w:rPr>
      </w:pPr>
    </w:p>
    <w:p>
      <w:pPr>
        <w:jc w:val="both"/>
        <w:ind w:left="-20" w:right="420" w:firstLine="464"/>
        <w:spacing w:after="0" w:line="259" w:lineRule="auto"/>
        <w:tabs>
          <w:tab w:leader="none" w:pos="61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40"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320675</wp:posOffset>
            </wp:positionV>
            <wp:extent cx="28987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Douglas L. Hearn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80"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10.37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Employment Agreement (“Agreement”) is made as of January 8, 2010 between CASUAL MALE RETAIL GROUP, INC., a Delaware corporation with an office at 555 Turnpike Street, Canton, Massachusetts, 02021 (the “Company” which term includes any affiliates and subsidiaries), and Jack R. McKinney (the “Executive”) having an address at 304 Liberty Street, Braintree, MA 02184.</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Chief Information Officer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13" w:lineRule="exact"/>
        <w:rPr>
          <w:sz w:val="20"/>
          <w:szCs w:val="20"/>
          <w:color w:val="auto"/>
        </w:rPr>
      </w:pPr>
    </w:p>
    <w:p>
      <w:pPr>
        <w:ind w:left="1100" w:hanging="179"/>
        <w:spacing w:after="0"/>
        <w:tabs>
          <w:tab w:leader="none" w:pos="110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Senior Vice President, Chief Information Officer.</w:t>
      </w:r>
    </w:p>
    <w:p>
      <w:pPr>
        <w:spacing w:after="0" w:line="246" w:lineRule="exact"/>
        <w:rPr>
          <w:sz w:val="20"/>
          <w:szCs w:val="20"/>
          <w:color w:val="auto"/>
        </w:rPr>
      </w:pPr>
    </w:p>
    <w:p>
      <w:pPr>
        <w:ind w:left="1100" w:hanging="179"/>
        <w:spacing w:after="0"/>
        <w:tabs>
          <w:tab w:leader="none" w:pos="110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term of employment under this Agreement (the “Term of Employment”) shall begin on the date set forth above (the “Effective Date”) and shall continue until terminated by either party as hereinafter set forth.</w:t>
      </w:r>
    </w:p>
    <w:p>
      <w:pPr>
        <w:spacing w:after="0" w:line="213" w:lineRule="exact"/>
        <w:rPr>
          <w:sz w:val="20"/>
          <w:szCs w:val="20"/>
          <w:color w:val="auto"/>
        </w:rPr>
      </w:pPr>
    </w:p>
    <w:p>
      <w:pPr>
        <w:ind w:left="1100" w:hanging="179"/>
        <w:spacing w:after="0"/>
        <w:tabs>
          <w:tab w:leader="none" w:pos="110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sz w:val="20"/>
          <w:szCs w:val="20"/>
          <w:color w:val="auto"/>
        </w:rPr>
      </w:pPr>
    </w:p>
    <w:p>
      <w:pPr>
        <w:ind w:right="100" w:firstLine="921"/>
        <w:spacing w:after="0" w:line="255" w:lineRule="auto"/>
        <w:tabs>
          <w:tab w:leader="none" w:pos="11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Fifty-Five Thousand Five Hundred Twenty-Eight Dollars and 00/100 Cents ($255,528.00)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142" w:lineRule="exact"/>
        <w:rPr>
          <w:rFonts w:ascii="Arial" w:cs="Arial" w:eastAsia="Arial" w:hAnsi="Arial"/>
          <w:sz w:val="18"/>
          <w:szCs w:val="18"/>
          <w:color w:val="auto"/>
        </w:rPr>
      </w:pPr>
    </w:p>
    <w:p>
      <w:pPr>
        <w:ind w:firstLine="921"/>
        <w:spacing w:after="0" w:line="306" w:lineRule="auto"/>
        <w:tabs>
          <w:tab w:leader="none" w:pos="1162" w:val="left"/>
        </w:tabs>
        <w:numPr>
          <w:ilvl w:val="0"/>
          <w:numId w:val="264"/>
        </w:numPr>
        <w:rPr>
          <w:rFonts w:ascii="Arial" w:cs="Arial" w:eastAsia="Arial" w:hAnsi="Arial"/>
          <w:sz w:val="16"/>
          <w:szCs w:val="16"/>
          <w:color w:val="auto"/>
        </w:rPr>
      </w:pPr>
      <w:r>
        <w:rPr>
          <w:rFonts w:ascii="Arial" w:cs="Arial" w:eastAsia="Arial" w:hAnsi="Arial"/>
          <w:sz w:val="16"/>
          <w:szCs w:val="16"/>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w:t>
      </w:r>
    </w:p>
    <w:p>
      <w:pPr>
        <w:sectPr>
          <w:pgSz w:w="11900" w:h="16838" w:orient="portrait"/>
          <w:cols w:equalWidth="0" w:num="1">
            <w:col w:w="11420"/>
          </w:cols>
          <w:pgMar w:left="240" w:top="125" w:right="239" w:bottom="1440" w:gutter="0" w:footer="0" w:header="0"/>
        </w:sectPr>
      </w:pPr>
    </w:p>
    <w:bookmarkStart w:id="163" w:name="page164"/>
    <w:bookmarkEnd w:id="16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individual and Company performance conditions are met) shall be 35%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43" w:lineRule="exact"/>
        <w:rPr>
          <w:sz w:val="20"/>
          <w:szCs w:val="20"/>
          <w:color w:val="auto"/>
        </w:rPr>
      </w:pPr>
    </w:p>
    <w:p>
      <w:pPr>
        <w:ind w:right="20" w:firstLine="921"/>
        <w:spacing w:after="0" w:line="255" w:lineRule="auto"/>
        <w:tabs>
          <w:tab w:leader="none" w:pos="115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24" w:lineRule="exact"/>
        <w:rPr>
          <w:sz w:val="20"/>
          <w:szCs w:val="20"/>
          <w:color w:val="auto"/>
        </w:rPr>
      </w:pPr>
    </w:p>
    <w:p>
      <w:pPr>
        <w:ind w:left="1100" w:hanging="179"/>
        <w:spacing w:after="0"/>
        <w:tabs>
          <w:tab w:leader="none" w:pos="110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240" w:firstLine="913"/>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94" w:lineRule="exact"/>
        <w:rPr>
          <w:sz w:val="20"/>
          <w:szCs w:val="20"/>
          <w:color w:val="auto"/>
        </w:rPr>
      </w:pPr>
    </w:p>
    <w:p>
      <w:pPr>
        <w:ind w:left="1100" w:hanging="179"/>
        <w:spacing w:after="0"/>
        <w:tabs>
          <w:tab w:leader="none" w:pos="110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sz w:val="20"/>
          <w:szCs w:val="20"/>
          <w:color w:val="auto"/>
        </w:rPr>
      </w:pPr>
    </w:p>
    <w:p>
      <w:pPr>
        <w:ind w:right="280" w:firstLine="921"/>
        <w:spacing w:after="0" w:line="298" w:lineRule="auto"/>
        <w:tabs>
          <w:tab w:leader="none" w:pos="1152" w:val="left"/>
        </w:tabs>
        <w:numPr>
          <w:ilvl w:val="0"/>
          <w:numId w:val="268"/>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right="40" w:firstLine="921"/>
        <w:spacing w:after="0" w:line="298" w:lineRule="auto"/>
        <w:tabs>
          <w:tab w:leader="none" w:pos="1162"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3" w:lineRule="exact"/>
        <w:rPr>
          <w:sz w:val="20"/>
          <w:szCs w:val="20"/>
          <w:color w:val="auto"/>
        </w:rPr>
      </w:pPr>
    </w:p>
    <w:p>
      <w:pPr>
        <w:ind w:left="5680" w:right="3460" w:hanging="4759"/>
        <w:spacing w:after="0" w:line="440" w:lineRule="auto"/>
        <w:tabs>
          <w:tab w:leader="none" w:pos="117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 2</w:t>
      </w:r>
    </w:p>
    <w:p>
      <w:pPr>
        <w:sectPr>
          <w:pgSz w:w="11900" w:h="16838" w:orient="portrait"/>
          <w:cols w:equalWidth="0" w:num="1">
            <w:col w:w="11420"/>
          </w:cols>
          <w:pgMar w:left="240" w:top="280" w:right="239" w:bottom="1440" w:gutter="0" w:footer="0" w:header="0"/>
        </w:sectPr>
      </w:pPr>
    </w:p>
    <w:bookmarkStart w:id="164" w:name="page165"/>
    <w:bookmarkEnd w:id="164"/>
    <w:p>
      <w:pPr>
        <w:ind w:left="1060" w:hanging="179"/>
        <w:spacing w:after="0"/>
        <w:tabs>
          <w:tab w:leader="none" w:pos="1060"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DUTIES</w:t>
      </w:r>
    </w:p>
    <w:p>
      <w:pPr>
        <w:spacing w:after="0" w:line="90" w:lineRule="exact"/>
        <w:rPr>
          <w:sz w:val="20"/>
          <w:szCs w:val="20"/>
          <w:color w:val="auto"/>
        </w:rPr>
      </w:pPr>
    </w:p>
    <w:p>
      <w:pPr>
        <w:ind w:left="-40" w:firstLine="921"/>
        <w:spacing w:after="0" w:line="259" w:lineRule="auto"/>
        <w:tabs>
          <w:tab w:leader="none" w:pos="111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Chief Information Officer and/or as the Company shall from time to time determine and Executive shall comply in the performance of his duties with the policies of, and be subject to the direction of the Company.</w:t>
      </w:r>
    </w:p>
    <w:p>
      <w:pPr>
        <w:spacing w:after="0" w:line="140" w:lineRule="exact"/>
        <w:rPr>
          <w:rFonts w:ascii="Arial" w:cs="Arial" w:eastAsia="Arial" w:hAnsi="Arial"/>
          <w:sz w:val="18"/>
          <w:szCs w:val="18"/>
          <w:color w:val="auto"/>
        </w:rPr>
      </w:pPr>
    </w:p>
    <w:p>
      <w:pPr>
        <w:ind w:left="-40" w:right="140" w:firstLine="921"/>
        <w:spacing w:after="0" w:line="298" w:lineRule="auto"/>
        <w:tabs>
          <w:tab w:leader="none" w:pos="1122" w:val="left"/>
        </w:tabs>
        <w:numPr>
          <w:ilvl w:val="0"/>
          <w:numId w:val="271"/>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12" w:lineRule="exact"/>
        <w:rPr>
          <w:rFonts w:ascii="Arial" w:cs="Arial" w:eastAsia="Arial" w:hAnsi="Arial"/>
          <w:sz w:val="16"/>
          <w:szCs w:val="16"/>
          <w:color w:val="auto"/>
        </w:rPr>
      </w:pPr>
    </w:p>
    <w:p>
      <w:pPr>
        <w:jc w:val="both"/>
        <w:ind w:left="-40" w:right="20" w:firstLine="921"/>
        <w:spacing w:after="0" w:line="335" w:lineRule="auto"/>
        <w:tabs>
          <w:tab w:leader="none" w:pos="1112" w:val="left"/>
        </w:tabs>
        <w:numPr>
          <w:ilvl w:val="0"/>
          <w:numId w:val="271"/>
        </w:numPr>
        <w:rPr>
          <w:rFonts w:ascii="Arial" w:cs="Arial" w:eastAsia="Arial" w:hAnsi="Arial"/>
          <w:sz w:val="15"/>
          <w:szCs w:val="15"/>
          <w:color w:val="auto"/>
        </w:rPr>
      </w:pPr>
      <w:r>
        <w:rPr>
          <w:rFonts w:ascii="Arial" w:cs="Arial" w:eastAsia="Arial" w:hAnsi="Arial"/>
          <w:sz w:val="15"/>
          <w:szCs w:val="15"/>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169" w:lineRule="exact"/>
        <w:rPr>
          <w:sz w:val="20"/>
          <w:szCs w:val="20"/>
          <w:color w:val="auto"/>
        </w:rPr>
      </w:pPr>
    </w:p>
    <w:p>
      <w:pPr>
        <w:ind w:left="1060" w:hanging="179"/>
        <w:spacing w:after="0"/>
        <w:tabs>
          <w:tab w:leader="none" w:pos="106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sz w:val="20"/>
          <w:szCs w:val="20"/>
          <w:color w:val="auto"/>
        </w:rPr>
      </w:pPr>
    </w:p>
    <w:p>
      <w:pPr>
        <w:ind w:left="1120" w:hanging="239"/>
        <w:spacing w:after="0"/>
        <w:tabs>
          <w:tab w:leader="none" w:pos="11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171" w:lineRule="exact"/>
        <w:rPr>
          <w:rFonts w:ascii="Arial" w:cs="Arial" w:eastAsia="Arial" w:hAnsi="Arial"/>
          <w:sz w:val="18"/>
          <w:szCs w:val="18"/>
          <w:color w:val="auto"/>
        </w:rPr>
      </w:pPr>
    </w:p>
    <w:p>
      <w:pPr>
        <w:jc w:val="both"/>
        <w:ind w:left="-40" w:right="140" w:firstLine="1492"/>
        <w:spacing w:after="0" w:line="259" w:lineRule="auto"/>
        <w:tabs>
          <w:tab w:leader="none" w:pos="1653" w:val="left"/>
        </w:tabs>
        <w:numPr>
          <w:ilvl w:val="1"/>
          <w:numId w:val="273"/>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1720" w:hanging="268"/>
        <w:spacing w:after="0"/>
        <w:tabs>
          <w:tab w:leader="none" w:pos="172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171" w:lineRule="exact"/>
        <w:rPr>
          <w:rFonts w:ascii="Arial" w:cs="Arial" w:eastAsia="Arial" w:hAnsi="Arial"/>
          <w:sz w:val="18"/>
          <w:szCs w:val="18"/>
          <w:color w:val="auto"/>
        </w:rPr>
      </w:pPr>
    </w:p>
    <w:p>
      <w:pPr>
        <w:ind w:left="1120" w:hanging="239"/>
        <w:spacing w:after="0"/>
        <w:tabs>
          <w:tab w:leader="none" w:pos="11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171" w:lineRule="exact"/>
        <w:rPr>
          <w:rFonts w:ascii="Arial" w:cs="Arial" w:eastAsia="Arial" w:hAnsi="Arial"/>
          <w:sz w:val="18"/>
          <w:szCs w:val="18"/>
          <w:color w:val="auto"/>
        </w:rPr>
      </w:pPr>
    </w:p>
    <w:p>
      <w:pPr>
        <w:ind w:left="1660" w:hanging="208"/>
        <w:spacing w:after="0"/>
        <w:tabs>
          <w:tab w:leader="none" w:pos="166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rFonts w:ascii="Arial" w:cs="Arial" w:eastAsia="Arial" w:hAnsi="Arial"/>
          <w:sz w:val="18"/>
          <w:szCs w:val="18"/>
          <w:color w:val="auto"/>
        </w:rPr>
      </w:pPr>
    </w:p>
    <w:p>
      <w:pPr>
        <w:ind w:left="-40" w:right="260" w:firstLine="1492"/>
        <w:spacing w:after="0" w:line="268" w:lineRule="auto"/>
        <w:tabs>
          <w:tab w:leader="none" w:pos="1702"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date on which the Company elects to terminate the Term of Employment by reason of the “disability” of Executive (as hereinafter defined in subsection (c) herein) pursuant to subsection (g) hereof; or</w:t>
      </w:r>
    </w:p>
    <w:p>
      <w:pPr>
        <w:spacing w:after="0" w:line="131" w:lineRule="exact"/>
        <w:rPr>
          <w:rFonts w:ascii="Arial" w:cs="Arial" w:eastAsia="Arial" w:hAnsi="Arial"/>
          <w:sz w:val="18"/>
          <w:szCs w:val="18"/>
          <w:color w:val="auto"/>
        </w:rPr>
      </w:pPr>
    </w:p>
    <w:p>
      <w:pPr>
        <w:ind w:left="1760" w:hanging="308"/>
        <w:spacing w:after="0"/>
        <w:tabs>
          <w:tab w:leader="none" w:pos="176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165" w:name="page166"/>
    <w:bookmarkEnd w:id="165"/>
    <w:p>
      <w:pPr>
        <w:ind w:left="-80" w:right="20" w:firstLine="921"/>
        <w:spacing w:after="0" w:line="259" w:lineRule="auto"/>
        <w:tabs>
          <w:tab w:leader="none" w:pos="1072" w:val="left"/>
        </w:tabs>
        <w:numPr>
          <w:ilvl w:val="0"/>
          <w:numId w:val="2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80" w:right="20" w:firstLine="921"/>
        <w:spacing w:after="0" w:line="287" w:lineRule="auto"/>
        <w:tabs>
          <w:tab w:leader="none" w:pos="1082" w:val="left"/>
        </w:tabs>
        <w:numPr>
          <w:ilvl w:val="0"/>
          <w:numId w:val="274"/>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22" w:lineRule="exact"/>
        <w:rPr>
          <w:rFonts w:ascii="Arial" w:cs="Arial" w:eastAsia="Arial" w:hAnsi="Arial"/>
          <w:sz w:val="16"/>
          <w:szCs w:val="16"/>
          <w:color w:val="auto"/>
        </w:rPr>
      </w:pPr>
    </w:p>
    <w:p>
      <w:pPr>
        <w:ind w:left="-80" w:firstLine="921"/>
        <w:spacing w:after="0" w:line="289" w:lineRule="auto"/>
        <w:tabs>
          <w:tab w:leader="none" w:pos="1072" w:val="left"/>
        </w:tabs>
        <w:numPr>
          <w:ilvl w:val="0"/>
          <w:numId w:val="274"/>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18" w:lineRule="exact"/>
        <w:rPr>
          <w:rFonts w:ascii="Arial" w:cs="Arial" w:eastAsia="Arial" w:hAnsi="Arial"/>
          <w:sz w:val="16"/>
          <w:szCs w:val="16"/>
          <w:color w:val="auto"/>
        </w:rPr>
      </w:pPr>
    </w:p>
    <w:p>
      <w:pPr>
        <w:ind w:left="-80" w:right="180" w:firstLine="921"/>
        <w:spacing w:after="0" w:line="259" w:lineRule="auto"/>
        <w:tabs>
          <w:tab w:leader="none" w:pos="105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40" w:lineRule="exact"/>
        <w:rPr>
          <w:rFonts w:ascii="Arial" w:cs="Arial" w:eastAsia="Arial" w:hAnsi="Arial"/>
          <w:sz w:val="18"/>
          <w:szCs w:val="18"/>
          <w:color w:val="auto"/>
        </w:rPr>
      </w:pPr>
    </w:p>
    <w:p>
      <w:pPr>
        <w:ind w:left="-80" w:right="160" w:firstLine="921"/>
        <w:spacing w:after="0" w:line="335" w:lineRule="auto"/>
        <w:tabs>
          <w:tab w:leader="none" w:pos="1082" w:val="left"/>
        </w:tabs>
        <w:numPr>
          <w:ilvl w:val="0"/>
          <w:numId w:val="274"/>
        </w:numPr>
        <w:rPr>
          <w:rFonts w:ascii="Arial" w:cs="Arial" w:eastAsia="Arial" w:hAnsi="Arial"/>
          <w:sz w:val="15"/>
          <w:szCs w:val="15"/>
          <w:color w:val="auto"/>
        </w:rPr>
      </w:pPr>
      <w:r>
        <w:rPr>
          <w:rFonts w:ascii="Arial" w:cs="Arial" w:eastAsia="Arial" w:hAnsi="Arial"/>
          <w:sz w:val="15"/>
          <w:szCs w:val="15"/>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320" w:top="280" w:right="299" w:bottom="1440" w:gutter="0" w:footer="0" w:header="0"/>
        </w:sectPr>
      </w:pPr>
    </w:p>
    <w:bookmarkStart w:id="166" w:name="page167"/>
    <w:bookmarkEnd w:id="166"/>
    <w:p>
      <w:pPr>
        <w:ind w:left="-8" w:right="100" w:firstLine="921"/>
        <w:spacing w:after="0" w:line="335" w:lineRule="auto"/>
        <w:tabs>
          <w:tab w:leader="none" w:pos="1154" w:val="left"/>
        </w:tabs>
        <w:numPr>
          <w:ilvl w:val="1"/>
          <w:numId w:val="27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88" w:lineRule="exact"/>
        <w:rPr>
          <w:rFonts w:ascii="Arial" w:cs="Arial" w:eastAsia="Arial" w:hAnsi="Arial"/>
          <w:sz w:val="15"/>
          <w:szCs w:val="15"/>
          <w:color w:val="auto"/>
        </w:rPr>
      </w:pPr>
    </w:p>
    <w:p>
      <w:pPr>
        <w:ind w:left="-8" w:right="20" w:firstLine="921"/>
        <w:spacing w:after="0" w:line="301" w:lineRule="auto"/>
        <w:tabs>
          <w:tab w:leader="none" w:pos="1115" w:val="left"/>
        </w:tabs>
        <w:numPr>
          <w:ilvl w:val="1"/>
          <w:numId w:val="275"/>
        </w:numPr>
        <w:rPr>
          <w:rFonts w:ascii="Arial" w:cs="Arial" w:eastAsia="Arial" w:hAnsi="Arial"/>
          <w:sz w:val="15"/>
          <w:szCs w:val="15"/>
          <w:color w:val="auto"/>
        </w:rPr>
      </w:pPr>
      <w:r>
        <w:rPr>
          <w:rFonts w:ascii="Arial" w:cs="Arial" w:eastAsia="Arial" w:hAnsi="Arial"/>
          <w:sz w:val="15"/>
          <w:szCs w:val="15"/>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Good Reason”</w:t>
      </w:r>
      <w:r>
        <w:rPr>
          <w:rFonts w:ascii="Arial" w:cs="Arial" w:eastAsia="Arial" w:hAnsi="Arial"/>
          <w:sz w:val="15"/>
          <w:szCs w:val="15"/>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w:t>
      </w:r>
    </w:p>
    <w:p>
      <w:pPr>
        <w:spacing w:after="0" w:line="4" w:lineRule="exact"/>
        <w:rPr>
          <w:rFonts w:ascii="Arial" w:cs="Arial" w:eastAsia="Arial" w:hAnsi="Arial"/>
          <w:sz w:val="15"/>
          <w:szCs w:val="15"/>
          <w:color w:val="auto"/>
        </w:rPr>
      </w:pPr>
    </w:p>
    <w:p>
      <w:pPr>
        <w:ind w:left="-8" w:firstLine="8"/>
        <w:spacing w:after="0" w:line="288" w:lineRule="auto"/>
        <w:tabs>
          <w:tab w:leader="none" w:pos="289" w:val="left"/>
        </w:tabs>
        <w:numPr>
          <w:ilvl w:val="0"/>
          <w:numId w:val="276"/>
        </w:numPr>
        <w:rPr>
          <w:rFonts w:ascii="Arial" w:cs="Arial" w:eastAsia="Arial" w:hAnsi="Arial"/>
          <w:sz w:val="16"/>
          <w:szCs w:val="16"/>
          <w:color w:val="auto"/>
        </w:rPr>
      </w:pPr>
      <w:r>
        <w:rPr>
          <w:rFonts w:ascii="Arial" w:cs="Arial" w:eastAsia="Arial" w:hAnsi="Arial"/>
          <w:sz w:val="16"/>
          <w:szCs w:val="16"/>
          <w:color w:val="auto"/>
        </w:rPr>
        <w:t>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22" w:lineRule="exact"/>
        <w:rPr>
          <w:rFonts w:ascii="Arial" w:cs="Arial" w:eastAsia="Arial" w:hAnsi="Arial"/>
          <w:sz w:val="16"/>
          <w:szCs w:val="16"/>
          <w:color w:val="auto"/>
        </w:rPr>
      </w:pPr>
    </w:p>
    <w:p>
      <w:pPr>
        <w:ind w:left="-8" w:right="100" w:firstLine="921"/>
        <w:spacing w:after="0" w:line="268" w:lineRule="auto"/>
        <w:tabs>
          <w:tab w:leader="none" w:pos="1115" w:val="left"/>
        </w:tabs>
        <w:numPr>
          <w:ilvl w:val="1"/>
          <w:numId w:val="276"/>
        </w:numPr>
        <w:rPr>
          <w:rFonts w:ascii="Arial" w:cs="Arial" w:eastAsia="Arial" w:hAnsi="Arial"/>
          <w:sz w:val="18"/>
          <w:szCs w:val="18"/>
          <w:color w:val="auto"/>
        </w:rPr>
      </w:pPr>
      <w:r>
        <w:rPr>
          <w:rFonts w:ascii="Arial" w:cs="Arial" w:eastAsia="Arial" w:hAnsi="Arial"/>
          <w:sz w:val="18"/>
          <w:szCs w:val="18"/>
          <w:color w:val="auto"/>
        </w:rPr>
        <w:t>Clawback of Certain Compensation and Benefits. If, after the termination of the Term of Employment for any reason other than by the Company for “justifiable cause”:</w:t>
      </w:r>
    </w:p>
    <w:p>
      <w:pPr>
        <w:spacing w:after="0" w:line="131" w:lineRule="exact"/>
        <w:rPr>
          <w:rFonts w:ascii="Arial" w:cs="Arial" w:eastAsia="Arial" w:hAnsi="Arial"/>
          <w:sz w:val="18"/>
          <w:szCs w:val="18"/>
          <w:color w:val="auto"/>
        </w:rPr>
      </w:pPr>
    </w:p>
    <w:p>
      <w:pPr>
        <w:ind w:left="-8" w:right="160" w:firstLine="1948"/>
        <w:spacing w:after="0" w:line="256" w:lineRule="auto"/>
        <w:tabs>
          <w:tab w:leader="none" w:pos="2142" w:val="left"/>
        </w:tabs>
        <w:numPr>
          <w:ilvl w:val="2"/>
          <w:numId w:val="276"/>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80" w:right="259" w:bottom="1440" w:gutter="0" w:footer="0" w:header="0"/>
        </w:sectPr>
      </w:pPr>
    </w:p>
    <w:bookmarkStart w:id="167" w:name="page168"/>
    <w:bookmarkEnd w:id="167"/>
    <w:p>
      <w:pPr>
        <w:jc w:val="both"/>
        <w:ind w:left="-20" w:right="240" w:firstLine="1948"/>
        <w:spacing w:after="0" w:line="306" w:lineRule="auto"/>
        <w:tabs>
          <w:tab w:leader="none" w:pos="2178" w:val="left"/>
        </w:tabs>
        <w:numPr>
          <w:ilvl w:val="1"/>
          <w:numId w:val="2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06" w:lineRule="exact"/>
        <w:rPr>
          <w:rFonts w:ascii="Arial" w:cs="Arial" w:eastAsia="Arial" w:hAnsi="Arial"/>
          <w:sz w:val="16"/>
          <w:szCs w:val="16"/>
          <w:color w:val="auto"/>
        </w:rPr>
      </w:pPr>
    </w:p>
    <w:p>
      <w:pPr>
        <w:ind w:left="-20" w:firstLine="2404"/>
        <w:spacing w:after="0" w:line="294" w:lineRule="auto"/>
        <w:tabs>
          <w:tab w:leader="none" w:pos="2664" w:val="left"/>
        </w:tabs>
        <w:numPr>
          <w:ilvl w:val="2"/>
          <w:numId w:val="277"/>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15" w:lineRule="exact"/>
        <w:rPr>
          <w:rFonts w:ascii="Arial" w:cs="Arial" w:eastAsia="Arial" w:hAnsi="Arial"/>
          <w:sz w:val="16"/>
          <w:szCs w:val="16"/>
          <w:color w:val="auto"/>
        </w:rPr>
      </w:pPr>
    </w:p>
    <w:p>
      <w:pPr>
        <w:ind w:left="-20" w:right="700" w:firstLine="2404"/>
        <w:spacing w:after="0" w:line="268" w:lineRule="auto"/>
        <w:tabs>
          <w:tab w:leader="none" w:pos="2654" w:val="left"/>
        </w:tabs>
        <w:numPr>
          <w:ilvl w:val="2"/>
          <w:numId w:val="277"/>
        </w:numPr>
        <w:rPr>
          <w:rFonts w:ascii="Arial" w:cs="Arial" w:eastAsia="Arial" w:hAnsi="Arial"/>
          <w:sz w:val="18"/>
          <w:szCs w:val="18"/>
          <w:color w:val="auto"/>
        </w:rPr>
      </w:pPr>
      <w:r>
        <w:rPr>
          <w:rFonts w:ascii="Arial" w:cs="Arial" w:eastAsia="Arial" w:hAnsi="Arial"/>
          <w:sz w:val="18"/>
          <w:szCs w:val="18"/>
          <w:color w:val="auto"/>
        </w:rPr>
        <w:t>all vested and unvested Awards (as that term is defined in the 2006 Incentive Compensation Plan) then held by the Executive shall immediately expire; and</w:t>
      </w:r>
    </w:p>
    <w:p>
      <w:pPr>
        <w:spacing w:after="0" w:line="131" w:lineRule="exact"/>
        <w:rPr>
          <w:rFonts w:ascii="Arial" w:cs="Arial" w:eastAsia="Arial" w:hAnsi="Arial"/>
          <w:sz w:val="18"/>
          <w:szCs w:val="18"/>
          <w:color w:val="auto"/>
        </w:rPr>
      </w:pPr>
    </w:p>
    <w:p>
      <w:pPr>
        <w:ind w:left="-20" w:right="40" w:firstLine="2404"/>
        <w:spacing w:after="0" w:line="289" w:lineRule="auto"/>
        <w:tabs>
          <w:tab w:leader="none" w:pos="2654" w:val="left"/>
        </w:tabs>
        <w:numPr>
          <w:ilvl w:val="2"/>
          <w:numId w:val="277"/>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18" w:lineRule="exact"/>
        <w:rPr>
          <w:rFonts w:ascii="Arial" w:cs="Arial" w:eastAsia="Arial" w:hAnsi="Arial"/>
          <w:sz w:val="16"/>
          <w:szCs w:val="16"/>
          <w:color w:val="auto"/>
        </w:rPr>
      </w:pPr>
    </w:p>
    <w:p>
      <w:pPr>
        <w:ind w:left="-20" w:right="480" w:firstLine="921"/>
        <w:spacing w:after="0" w:line="268" w:lineRule="auto"/>
        <w:tabs>
          <w:tab w:leader="none" w:pos="114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213" w:lineRule="exact"/>
        <w:rPr>
          <w:sz w:val="20"/>
          <w:szCs w:val="20"/>
          <w:color w:val="auto"/>
        </w:rPr>
      </w:pPr>
    </w:p>
    <w:p>
      <w:pPr>
        <w:ind w:left="1080" w:hanging="179"/>
        <w:spacing w:after="0"/>
        <w:tabs>
          <w:tab w:leader="none" w:pos="108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sz w:val="20"/>
          <w:szCs w:val="20"/>
          <w:color w:val="auto"/>
        </w:rPr>
      </w:pPr>
    </w:p>
    <w:p>
      <w:pPr>
        <w:ind w:left="-20" w:right="160" w:firstLine="921"/>
        <w:spacing w:after="0" w:line="268" w:lineRule="auto"/>
        <w:tabs>
          <w:tab w:leader="none" w:pos="113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68" w:name="page169"/>
    <w:bookmarkEnd w:id="168"/>
    <w:p>
      <w:pPr>
        <w:ind w:right="3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13" w:lineRule="exact"/>
        <w:rPr>
          <w:sz w:val="20"/>
          <w:szCs w:val="20"/>
          <w:color w:val="auto"/>
        </w:rPr>
      </w:pPr>
    </w:p>
    <w:p>
      <w:pPr>
        <w:jc w:val="both"/>
        <w:ind w:right="60" w:firstLine="921"/>
        <w:spacing w:after="0" w:line="259" w:lineRule="auto"/>
        <w:tabs>
          <w:tab w:leader="none" w:pos="116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171" w:lineRule="exact"/>
        <w:rPr>
          <w:rFonts w:ascii="Arial" w:cs="Arial" w:eastAsia="Arial" w:hAnsi="Arial"/>
          <w:sz w:val="18"/>
          <w:szCs w:val="18"/>
          <w:color w:val="auto"/>
        </w:rPr>
      </w:pPr>
    </w:p>
    <w:p>
      <w:pPr>
        <w:ind w:right="20" w:firstLine="1492"/>
        <w:spacing w:after="0" w:line="289" w:lineRule="auto"/>
        <w:tabs>
          <w:tab w:leader="none" w:pos="1693" w:val="left"/>
        </w:tabs>
        <w:numPr>
          <w:ilvl w:val="1"/>
          <w:numId w:val="281"/>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separations from service. Such interest shall be calculated from the date on which the payment otherwise would have been made until the date on which the payment is made.</w:t>
      </w:r>
    </w:p>
    <w:p>
      <w:pPr>
        <w:spacing w:after="0" w:line="118" w:lineRule="exact"/>
        <w:rPr>
          <w:rFonts w:ascii="Arial" w:cs="Arial" w:eastAsia="Arial" w:hAnsi="Arial"/>
          <w:sz w:val="16"/>
          <w:szCs w:val="16"/>
          <w:color w:val="auto"/>
        </w:rPr>
      </w:pPr>
    </w:p>
    <w:p>
      <w:pPr>
        <w:ind w:firstLine="1492"/>
        <w:spacing w:after="0" w:line="256" w:lineRule="auto"/>
        <w:tabs>
          <w:tab w:leader="none" w:pos="1742" w:val="left"/>
        </w:tabs>
        <w:numPr>
          <w:ilvl w:val="1"/>
          <w:numId w:val="281"/>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ind w:right="240" w:firstLine="921"/>
        <w:spacing w:after="0" w:line="259" w:lineRule="auto"/>
        <w:tabs>
          <w:tab w:leader="none" w:pos="116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ind w:right="80" w:firstLine="921"/>
        <w:spacing w:after="0" w:line="306" w:lineRule="auto"/>
        <w:tabs>
          <w:tab w:leader="none" w:pos="1152"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69" w:name="page170"/>
    <w:bookmarkEnd w:id="169"/>
    <w:p>
      <w:pPr>
        <w:ind w:left="1140" w:hanging="219"/>
        <w:spacing w:after="0"/>
        <w:tabs>
          <w:tab w:leader="none" w:pos="11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Taxable Reimbursements.</w:t>
      </w:r>
    </w:p>
    <w:p>
      <w:pPr>
        <w:spacing w:after="0" w:line="171" w:lineRule="exact"/>
        <w:rPr>
          <w:rFonts w:ascii="Arial" w:cs="Arial" w:eastAsia="Arial" w:hAnsi="Arial"/>
          <w:sz w:val="18"/>
          <w:szCs w:val="18"/>
          <w:color w:val="auto"/>
        </w:rPr>
      </w:pPr>
    </w:p>
    <w:p>
      <w:pPr>
        <w:ind w:right="140" w:firstLine="1492"/>
        <w:spacing w:after="0" w:line="306" w:lineRule="auto"/>
        <w:tabs>
          <w:tab w:leader="none" w:pos="1693" w:val="left"/>
        </w:tabs>
        <w:numPr>
          <w:ilvl w:val="1"/>
          <w:numId w:val="282"/>
        </w:numPr>
        <w:rPr>
          <w:rFonts w:ascii="Arial" w:cs="Arial" w:eastAsia="Arial" w:hAnsi="Arial"/>
          <w:sz w:val="16"/>
          <w:szCs w:val="16"/>
          <w:color w:val="auto"/>
        </w:rPr>
      </w:pPr>
      <w:r>
        <w:rPr>
          <w:rFonts w:ascii="Arial" w:cs="Arial" w:eastAsia="Arial" w:hAnsi="Arial"/>
          <w:sz w:val="16"/>
          <w:szCs w:val="16"/>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06" w:lineRule="exact"/>
        <w:rPr>
          <w:rFonts w:ascii="Arial" w:cs="Arial" w:eastAsia="Arial" w:hAnsi="Arial"/>
          <w:sz w:val="16"/>
          <w:szCs w:val="16"/>
          <w:color w:val="auto"/>
        </w:rPr>
      </w:pPr>
    </w:p>
    <w:p>
      <w:pPr>
        <w:ind w:right="20" w:firstLine="1492"/>
        <w:spacing w:after="0" w:line="268" w:lineRule="auto"/>
        <w:tabs>
          <w:tab w:leader="none" w:pos="1742"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31" w:lineRule="exact"/>
        <w:rPr>
          <w:rFonts w:ascii="Arial" w:cs="Arial" w:eastAsia="Arial" w:hAnsi="Arial"/>
          <w:sz w:val="18"/>
          <w:szCs w:val="18"/>
          <w:color w:val="auto"/>
        </w:rPr>
      </w:pPr>
    </w:p>
    <w:p>
      <w:pPr>
        <w:ind w:left="1800" w:hanging="308"/>
        <w:spacing w:after="0"/>
        <w:tabs>
          <w:tab w:leader="none" w:pos="180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252" w:lineRule="exact"/>
        <w:rPr>
          <w:sz w:val="20"/>
          <w:szCs w:val="20"/>
          <w:color w:val="auto"/>
        </w:rPr>
      </w:pPr>
    </w:p>
    <w:p>
      <w:pPr>
        <w:ind w:left="1100" w:hanging="179"/>
        <w:spacing w:after="0"/>
        <w:tabs>
          <w:tab w:leader="none" w:pos="110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sz w:val="20"/>
          <w:szCs w:val="20"/>
          <w:color w:val="auto"/>
        </w:rPr>
      </w:pPr>
    </w:p>
    <w:p>
      <w:pPr>
        <w:jc w:val="both"/>
        <w:ind w:right="140" w:firstLine="921"/>
        <w:spacing w:after="0" w:line="370" w:lineRule="auto"/>
        <w:tabs>
          <w:tab w:leader="none" w:pos="1152" w:val="left"/>
        </w:tabs>
        <w:numPr>
          <w:ilvl w:val="0"/>
          <w:numId w:val="284"/>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jc w:val="both"/>
        <w:ind w:right="160" w:firstLine="921"/>
        <w:spacing w:after="0" w:line="259" w:lineRule="auto"/>
        <w:tabs>
          <w:tab w:leader="none" w:pos="116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100" w:firstLine="921"/>
        <w:spacing w:after="0" w:line="370" w:lineRule="auto"/>
        <w:tabs>
          <w:tab w:leader="none" w:pos="1152" w:val="left"/>
        </w:tabs>
        <w:numPr>
          <w:ilvl w:val="0"/>
          <w:numId w:val="284"/>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62" w:lineRule="exact"/>
        <w:rPr>
          <w:rFonts w:ascii="Arial" w:cs="Arial" w:eastAsia="Arial" w:hAnsi="Arial"/>
          <w:sz w:val="15"/>
          <w:szCs w:val="15"/>
          <w:color w:val="auto"/>
        </w:rPr>
      </w:pPr>
    </w:p>
    <w:p>
      <w:pPr>
        <w:ind w:firstLine="921"/>
        <w:spacing w:after="0" w:line="259" w:lineRule="auto"/>
        <w:tabs>
          <w:tab w:leader="none" w:pos="116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paragraph 7(d)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70" w:name="page171"/>
    <w:bookmarkEnd w:id="170"/>
    <w:p>
      <w:pPr>
        <w:ind w:left="1160" w:hanging="259"/>
        <w:spacing w:after="0"/>
        <w:tabs>
          <w:tab w:leader="none" w:pos="116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NON-COMPETITION</w:t>
      </w:r>
    </w:p>
    <w:p>
      <w:pPr>
        <w:spacing w:after="0" w:line="90" w:lineRule="exact"/>
        <w:rPr>
          <w:sz w:val="20"/>
          <w:szCs w:val="20"/>
          <w:color w:val="auto"/>
        </w:rPr>
      </w:pPr>
    </w:p>
    <w:p>
      <w:pPr>
        <w:ind w:left="-20" w:firstLine="921"/>
        <w:spacing w:after="0" w:line="286" w:lineRule="auto"/>
        <w:tabs>
          <w:tab w:leader="none" w:pos="1132" w:val="left"/>
        </w:tabs>
        <w:numPr>
          <w:ilvl w:val="0"/>
          <w:numId w:val="286"/>
        </w:numPr>
        <w:rPr>
          <w:rFonts w:ascii="Arial" w:cs="Arial" w:eastAsia="Arial" w:hAnsi="Arial"/>
          <w:sz w:val="16"/>
          <w:szCs w:val="16"/>
          <w:color w:val="auto"/>
        </w:rPr>
      </w:pPr>
      <w:r>
        <w:rPr>
          <w:rFonts w:ascii="Arial" w:cs="Arial" w:eastAsia="Arial" w:hAnsi="Arial"/>
          <w:sz w:val="16"/>
          <w:szCs w:val="16"/>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24" w:lineRule="exact"/>
        <w:rPr>
          <w:rFonts w:ascii="Arial" w:cs="Arial" w:eastAsia="Arial" w:hAnsi="Arial"/>
          <w:sz w:val="16"/>
          <w:szCs w:val="16"/>
          <w:color w:val="auto"/>
        </w:rPr>
      </w:pPr>
    </w:p>
    <w:p>
      <w:pPr>
        <w:ind w:left="-20" w:right="160" w:firstLine="921"/>
        <w:spacing w:after="0" w:line="255" w:lineRule="auto"/>
        <w:tabs>
          <w:tab w:leader="none" w:pos="114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left="-20" w:right="20" w:firstLine="921"/>
        <w:spacing w:after="0" w:line="294" w:lineRule="auto"/>
        <w:tabs>
          <w:tab w:leader="none" w:pos="1132" w:val="left"/>
        </w:tabs>
        <w:numPr>
          <w:ilvl w:val="0"/>
          <w:numId w:val="286"/>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left="-20" w:right="220" w:firstLine="921"/>
        <w:spacing w:after="0" w:line="268" w:lineRule="auto"/>
        <w:tabs>
          <w:tab w:leader="none" w:pos="114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171" w:name="page172"/>
    <w:bookmarkEnd w:id="171"/>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13" w:lineRule="exact"/>
        <w:rPr>
          <w:sz w:val="20"/>
          <w:szCs w:val="20"/>
          <w:color w:val="auto"/>
        </w:rPr>
      </w:pPr>
    </w:p>
    <w:p>
      <w:pPr>
        <w:ind w:left="1180" w:hanging="259"/>
        <w:spacing w:after="0"/>
        <w:tabs>
          <w:tab w:leader="none" w:pos="118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sz w:val="20"/>
          <w:szCs w:val="20"/>
          <w:color w:val="auto"/>
        </w:rPr>
      </w:pPr>
    </w:p>
    <w:p>
      <w:pPr>
        <w:ind w:firstLine="921"/>
        <w:spacing w:after="0" w:line="291" w:lineRule="auto"/>
        <w:tabs>
          <w:tab w:leader="none" w:pos="1152" w:val="left"/>
        </w:tabs>
        <w:numPr>
          <w:ilvl w:val="0"/>
          <w:numId w:val="288"/>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80" w:firstLine="921"/>
        <w:spacing w:after="0" w:line="289" w:lineRule="auto"/>
        <w:tabs>
          <w:tab w:leader="none" w:pos="1162" w:val="left"/>
        </w:tabs>
        <w:numPr>
          <w:ilvl w:val="0"/>
          <w:numId w:val="288"/>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99" w:lineRule="exact"/>
        <w:rPr>
          <w:sz w:val="20"/>
          <w:szCs w:val="20"/>
          <w:color w:val="auto"/>
        </w:rPr>
      </w:pPr>
    </w:p>
    <w:p>
      <w:pPr>
        <w:ind w:left="1180" w:hanging="259"/>
        <w:spacing w:after="0"/>
        <w:tabs>
          <w:tab w:leader="none" w:pos="118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right="40" w:firstLine="921"/>
        <w:spacing w:after="0" w:line="291" w:lineRule="auto"/>
        <w:tabs>
          <w:tab w:leader="none" w:pos="1152" w:val="left"/>
        </w:tabs>
        <w:numPr>
          <w:ilvl w:val="0"/>
          <w:numId w:val="290"/>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72" w:name="page173"/>
    <w:bookmarkEnd w:id="172"/>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20" w:lineRule="exact"/>
        <w:rPr>
          <w:sz w:val="20"/>
          <w:szCs w:val="20"/>
          <w:color w:val="auto"/>
        </w:rPr>
      </w:pPr>
    </w:p>
    <w:p>
      <w:pPr>
        <w:ind w:right="20" w:firstLine="921"/>
        <w:spacing w:after="0" w:line="298" w:lineRule="auto"/>
        <w:tabs>
          <w:tab w:leader="none" w:pos="1162"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94" w:lineRule="exact"/>
        <w:rPr>
          <w:sz w:val="20"/>
          <w:szCs w:val="20"/>
          <w:color w:val="auto"/>
        </w:rPr>
      </w:pPr>
    </w:p>
    <w:p>
      <w:pPr>
        <w:ind w:left="1180" w:hanging="259"/>
        <w:spacing w:after="0"/>
        <w:tabs>
          <w:tab w:leader="none" w:pos="1180"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89" w:lineRule="exact"/>
        <w:rPr>
          <w:sz w:val="20"/>
          <w:szCs w:val="20"/>
          <w:color w:val="auto"/>
        </w:rPr>
      </w:pPr>
    </w:p>
    <w:p>
      <w:pPr>
        <w:ind w:left="1180" w:hanging="259"/>
        <w:spacing w:after="0"/>
        <w:tabs>
          <w:tab w:leader="none" w:pos="1180"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jc w:val="center"/>
        <w:ind w:left="320" w:right="840"/>
        <w:spacing w:after="0" w:line="440" w:lineRule="auto"/>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 11</w:t>
      </w:r>
    </w:p>
    <w:p>
      <w:pPr>
        <w:sectPr>
          <w:pgSz w:w="11900" w:h="16838" w:orient="portrait"/>
          <w:cols w:equalWidth="0" w:num="1">
            <w:col w:w="11420"/>
          </w:cols>
          <w:pgMar w:left="240" w:top="280" w:right="239" w:bottom="1440" w:gutter="0" w:footer="0" w:header="0"/>
        </w:sectPr>
      </w:pPr>
    </w:p>
    <w:bookmarkStart w:id="173" w:name="page174"/>
    <w:bookmarkEnd w:id="173"/>
    <w:p>
      <w:pPr>
        <w:ind w:left="1180" w:hanging="259"/>
        <w:spacing w:after="0"/>
        <w:tabs>
          <w:tab w:leader="none" w:pos="1180"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p>
    <w:p>
      <w:pPr>
        <w:spacing w:after="0" w:line="9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13" w:lineRule="exact"/>
        <w:rPr>
          <w:sz w:val="20"/>
          <w:szCs w:val="20"/>
          <w:color w:val="auto"/>
        </w:rPr>
      </w:pPr>
    </w:p>
    <w:p>
      <w:pPr>
        <w:ind w:left="1180" w:hanging="259"/>
        <w:spacing w:after="0"/>
        <w:tabs>
          <w:tab w:leader="none" w:pos="118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13" w:lineRule="exact"/>
        <w:rPr>
          <w:sz w:val="20"/>
          <w:szCs w:val="20"/>
          <w:color w:val="auto"/>
        </w:rPr>
      </w:pPr>
    </w:p>
    <w:p>
      <w:pPr>
        <w:ind w:left="1180" w:hanging="259"/>
        <w:spacing w:after="0"/>
        <w:tabs>
          <w:tab w:leader="none" w:pos="118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21" w:lineRule="exact"/>
        <w:rPr>
          <w:sz w:val="20"/>
          <w:szCs w:val="20"/>
          <w:color w:val="auto"/>
        </w:rPr>
      </w:pPr>
    </w:p>
    <w:p>
      <w:pPr>
        <w:ind w:left="1180" w:hanging="259"/>
        <w:spacing w:after="0"/>
        <w:tabs>
          <w:tab w:leader="none" w:pos="1180"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213" w:lineRule="exact"/>
        <w:rPr>
          <w:sz w:val="20"/>
          <w:szCs w:val="20"/>
          <w:color w:val="auto"/>
        </w:rPr>
      </w:pPr>
    </w:p>
    <w:p>
      <w:pPr>
        <w:ind w:left="1180" w:hanging="259"/>
        <w:spacing w:after="0"/>
        <w:tabs>
          <w:tab w:leader="none" w:pos="1180"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174" w:name="page175"/>
    <w:bookmarkEnd w:id="174"/>
    <w:p>
      <w:pPr>
        <w:ind w:left="1180" w:hanging="259"/>
        <w:spacing w:after="0"/>
        <w:tabs>
          <w:tab w:leader="none" w:pos="1180"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SURVIVAL</w:t>
      </w:r>
    </w:p>
    <w:p>
      <w:pPr>
        <w:spacing w:after="0" w:line="9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213" w:lineRule="exact"/>
        <w:rPr>
          <w:sz w:val="20"/>
          <w:szCs w:val="20"/>
          <w:color w:val="auto"/>
        </w:rPr>
      </w:pPr>
    </w:p>
    <w:p>
      <w:pPr>
        <w:ind w:left="1180" w:hanging="259"/>
        <w:spacing w:after="0"/>
        <w:tabs>
          <w:tab w:leader="none" w:pos="118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194"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94" w:lineRule="exact"/>
        <w:rPr>
          <w:sz w:val="20"/>
          <w:szCs w:val="20"/>
          <w:color w:val="auto"/>
        </w:rPr>
      </w:pPr>
    </w:p>
    <w:p>
      <w:pPr>
        <w:ind w:left="1180" w:hanging="259"/>
        <w:spacing w:after="0"/>
        <w:tabs>
          <w:tab w:leader="none" w:pos="118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90"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21" w:lineRule="exact"/>
        <w:rPr>
          <w:sz w:val="20"/>
          <w:szCs w:val="20"/>
          <w:color w:val="auto"/>
        </w:rPr>
      </w:pPr>
    </w:p>
    <w:p>
      <w:pPr>
        <w:ind w:left="1180" w:hanging="259"/>
        <w:spacing w:after="0"/>
        <w:tabs>
          <w:tab w:leader="none" w:pos="118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13" w:lineRule="exact"/>
        <w:rPr>
          <w:sz w:val="20"/>
          <w:szCs w:val="20"/>
          <w:color w:val="auto"/>
        </w:rPr>
      </w:pPr>
    </w:p>
    <w:p>
      <w:pPr>
        <w:ind w:right="7580" w:firstLine="921"/>
        <w:spacing w:after="0" w:line="362" w:lineRule="auto"/>
        <w:tabs>
          <w:tab w:leader="none" w:pos="1176"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 xml:space="preserve">SUBSIDIARIES AND AFFILIATES </w:t>
      </w:r>
      <w:r>
        <w:rPr>
          <w:rFonts w:ascii="Arial" w:cs="Arial" w:eastAsia="Arial" w:hAnsi="Arial"/>
          <w:sz w:val="18"/>
          <w:szCs w:val="18"/>
          <w:color w:val="auto"/>
        </w:rPr>
        <w:t>For purposes of this Agreement:</w:t>
      </w:r>
    </w:p>
    <w:p>
      <w:pPr>
        <w:spacing w:after="0" w:line="50" w:lineRule="exact"/>
        <w:rPr>
          <w:rFonts w:ascii="Arial" w:cs="Arial" w:eastAsia="Arial" w:hAnsi="Arial"/>
          <w:sz w:val="18"/>
          <w:szCs w:val="18"/>
          <w:color w:val="auto"/>
        </w:rPr>
      </w:pPr>
    </w:p>
    <w:p>
      <w:pPr>
        <w:ind w:right="360" w:firstLine="1492"/>
        <w:spacing w:after="0" w:line="259" w:lineRule="auto"/>
        <w:tabs>
          <w:tab w:leader="none" w:pos="1722"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40" w:lineRule="exact"/>
        <w:rPr>
          <w:rFonts w:ascii="Arial" w:cs="Arial" w:eastAsia="Arial" w:hAnsi="Arial"/>
          <w:sz w:val="18"/>
          <w:szCs w:val="18"/>
          <w:color w:val="auto"/>
        </w:rPr>
      </w:pPr>
    </w:p>
    <w:p>
      <w:pPr>
        <w:ind w:firstLine="1492"/>
        <w:spacing w:after="0" w:line="256" w:lineRule="auto"/>
        <w:tabs>
          <w:tab w:leader="none" w:pos="1732" w:val="left"/>
        </w:tabs>
        <w:numPr>
          <w:ilvl w:val="1"/>
          <w:numId w:val="303"/>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75" w:name="page176"/>
    <w:bookmarkEnd w:id="175"/>
    <w:p>
      <w:pPr>
        <w:ind w:left="1180" w:hanging="259"/>
        <w:spacing w:after="0"/>
        <w:tabs>
          <w:tab w:leader="none" w:pos="118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HEADINGS</w:t>
      </w:r>
    </w:p>
    <w:p>
      <w:pPr>
        <w:spacing w:after="0" w:line="9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213" w:lineRule="exact"/>
        <w:rPr>
          <w:sz w:val="20"/>
          <w:szCs w:val="20"/>
          <w:color w:val="auto"/>
        </w:rPr>
      </w:pPr>
    </w:p>
    <w:p>
      <w:pPr>
        <w:ind w:left="1180" w:hanging="259"/>
        <w:spacing w:after="0"/>
        <w:tabs>
          <w:tab w:leader="none" w:pos="118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ectPr>
          <w:pgSz w:w="11900" w:h="16838" w:orient="portrait"/>
          <w:cols w:equalWidth="0" w:num="1">
            <w:col w:w="11380"/>
          </w:cols>
          <w:pgMar w:left="240" w:top="280" w:right="27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David A. Levin</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President, Chief Executive Officer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Executive VP, COO, CFO</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Jack R. McKinney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2201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Jack R. McKinney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Date: January 8, 2010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Date: January 8, 2010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Date: January 8, 2010</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5400" w:space="220"/>
            <w:col w:w="5760"/>
          </w:cols>
          <w:pgMar w:left="240" w:top="280" w:right="279" w:bottom="1440" w:gutter="0" w:footer="0" w:header="0"/>
          <w:type w:val="continuous"/>
        </w:sectPr>
      </w:pPr>
    </w:p>
    <w:bookmarkStart w:id="176" w:name="page177"/>
    <w:bookmarkEnd w:id="176"/>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171" w:lineRule="exact"/>
        <w:rPr>
          <w:sz w:val="20"/>
          <w:szCs w:val="20"/>
          <w:color w:val="auto"/>
        </w:rPr>
      </w:pPr>
    </w:p>
    <w:p>
      <w:pPr>
        <w:ind w:left="-40" w:firstLine="464"/>
        <w:spacing w:after="0" w:line="284" w:lineRule="auto"/>
        <w:tabs>
          <w:tab w:leader="none" w:pos="592" w:val="left"/>
        </w:tabs>
        <w:numPr>
          <w:ilvl w:val="0"/>
          <w:numId w:val="306"/>
        </w:numPr>
        <w:rPr>
          <w:rFonts w:ascii="Arial" w:cs="Arial" w:eastAsia="Arial" w:hAnsi="Arial"/>
          <w:sz w:val="16"/>
          <w:szCs w:val="16"/>
          <w:color w:val="auto"/>
        </w:rPr>
      </w:pPr>
      <w:r>
        <w:rPr>
          <w:rFonts w:ascii="Arial" w:cs="Arial" w:eastAsia="Arial" w:hAnsi="Arial"/>
          <w:sz w:val="16"/>
          <w:szCs w:val="16"/>
          <w:color w:val="auto"/>
        </w:rPr>
        <w:t>Jack R. McKinney (“</w:t>
      </w:r>
      <w:r>
        <w:rPr>
          <w:rFonts w:ascii="Arial" w:cs="Arial" w:eastAsia="Arial" w:hAnsi="Arial"/>
          <w:sz w:val="16"/>
          <w:szCs w:val="16"/>
          <w:u w:val="single" w:color="auto"/>
          <w:color w:val="auto"/>
        </w:rPr>
        <w:t>Executive</w:t>
      </w:r>
      <w:r>
        <w:rPr>
          <w:rFonts w:ascii="Arial" w:cs="Arial" w:eastAsia="Arial" w:hAnsi="Arial"/>
          <w:sz w:val="16"/>
          <w:szCs w:val="16"/>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does hereby release and forever discharge Casual Male Retail Group, Inc. (the “</w:t>
      </w:r>
      <w:r>
        <w:rPr>
          <w:rFonts w:ascii="Arial" w:cs="Arial" w:eastAsia="Arial" w:hAnsi="Arial"/>
          <w:sz w:val="16"/>
          <w:szCs w:val="16"/>
          <w:u w:val="single" w:color="auto"/>
          <w:color w:val="auto"/>
        </w:rPr>
        <w:t>Company</w:t>
      </w:r>
      <w:r>
        <w:rPr>
          <w:rFonts w:ascii="Arial" w:cs="Arial" w:eastAsia="Arial" w:hAnsi="Arial"/>
          <w:sz w:val="16"/>
          <w:szCs w:val="16"/>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280" w:right="259" w:bottom="1440" w:gutter="0" w:footer="0" w:header="0"/>
        </w:sectPr>
      </w:pPr>
    </w:p>
    <w:bookmarkStart w:id="177" w:name="page178"/>
    <w:bookmarkEnd w:id="177"/>
    <w:p>
      <w:pPr>
        <w:ind w:left="-20" w:firstLine="464"/>
        <w:spacing w:after="0" w:line="294" w:lineRule="auto"/>
        <w:tabs>
          <w:tab w:leader="none" w:pos="612" w:val="left"/>
        </w:tabs>
        <w:numPr>
          <w:ilvl w:val="0"/>
          <w:numId w:val="3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his right to commence a Proceeding to challenge whether Executive knowingly and voluntarily waived his rights under ADEA.</w:t>
      </w:r>
    </w:p>
    <w:p>
      <w:pPr>
        <w:spacing w:after="0" w:line="115" w:lineRule="exact"/>
        <w:rPr>
          <w:rFonts w:ascii="Arial" w:cs="Arial" w:eastAsia="Arial" w:hAnsi="Arial"/>
          <w:sz w:val="16"/>
          <w:szCs w:val="16"/>
          <w:color w:val="auto"/>
        </w:rPr>
      </w:pPr>
    </w:p>
    <w:p>
      <w:pPr>
        <w:ind w:left="-20" w:right="180" w:firstLine="464"/>
        <w:spacing w:after="0" w:line="256" w:lineRule="auto"/>
        <w:tabs>
          <w:tab w:leader="none" w:pos="612"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43"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31" w:lineRule="exact"/>
        <w:rPr>
          <w:rFonts w:ascii="Arial" w:cs="Arial" w:eastAsia="Arial" w:hAnsi="Arial"/>
          <w:sz w:val="18"/>
          <w:szCs w:val="18"/>
          <w:color w:val="auto"/>
        </w:rPr>
      </w:pPr>
    </w:p>
    <w:p>
      <w:pPr>
        <w:jc w:val="both"/>
        <w:ind w:left="-20" w:right="420" w:firstLine="464"/>
        <w:spacing w:after="0" w:line="259" w:lineRule="auto"/>
        <w:tabs>
          <w:tab w:leader="none" w:pos="612"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40"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269240</wp:posOffset>
            </wp:positionV>
            <wp:extent cx="28987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Jack R. McKinney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80"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10.38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Employment Agreement (“Agreement”) is made as of January 7, 2010 between CASUAL MALE RETAIL GROUP, INC., a Delaware corporation with an office at 555 Turnpike Street, Canton, Massachusetts, 02021 (the “Company” which term includes any affiliates and subsidiaries), and Peter E. Schmitz (the “Executive”) having an address at 170 Congdon Street, Providence, RI 02906.</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of Real Estate and Store Development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13" w:lineRule="exact"/>
        <w:rPr>
          <w:sz w:val="20"/>
          <w:szCs w:val="20"/>
          <w:color w:val="auto"/>
        </w:rPr>
      </w:pPr>
    </w:p>
    <w:p>
      <w:pPr>
        <w:ind w:left="1100" w:hanging="179"/>
        <w:spacing w:after="0"/>
        <w:tabs>
          <w:tab w:leader="none" w:pos="110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Senior Vice President of Real Estate and Store Development.</w:t>
      </w:r>
    </w:p>
    <w:p>
      <w:pPr>
        <w:spacing w:after="0" w:line="246" w:lineRule="exact"/>
        <w:rPr>
          <w:sz w:val="20"/>
          <w:szCs w:val="20"/>
          <w:color w:val="auto"/>
        </w:rPr>
      </w:pPr>
    </w:p>
    <w:p>
      <w:pPr>
        <w:ind w:left="1100" w:hanging="179"/>
        <w:spacing w:after="0"/>
        <w:tabs>
          <w:tab w:leader="none" w:pos="110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term of employment under this Agreement (the “Term of Employment”) shall begin on the date set forth above (the “Effective Date”) and shall continue until terminated by either party as hereinafter set forth.</w:t>
      </w:r>
    </w:p>
    <w:p>
      <w:pPr>
        <w:spacing w:after="0" w:line="213" w:lineRule="exact"/>
        <w:rPr>
          <w:sz w:val="20"/>
          <w:szCs w:val="20"/>
          <w:color w:val="auto"/>
        </w:rPr>
      </w:pPr>
    </w:p>
    <w:p>
      <w:pPr>
        <w:ind w:left="1100" w:hanging="179"/>
        <w:spacing w:after="0"/>
        <w:tabs>
          <w:tab w:leader="none" w:pos="110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sz w:val="20"/>
          <w:szCs w:val="20"/>
          <w:color w:val="auto"/>
        </w:rPr>
      </w:pPr>
    </w:p>
    <w:p>
      <w:pPr>
        <w:ind w:right="200" w:firstLine="921"/>
        <w:spacing w:after="0" w:line="255" w:lineRule="auto"/>
        <w:tabs>
          <w:tab w:leader="none" w:pos="1152" w:val="left"/>
        </w:tabs>
        <w:numPr>
          <w:ilvl w:val="0"/>
          <w:numId w:val="311"/>
        </w:numPr>
        <w:rPr>
          <w:rFonts w:ascii="Arial" w:cs="Arial" w:eastAsia="Arial" w:hAnsi="Arial"/>
          <w:sz w:val="18"/>
          <w:szCs w:val="18"/>
          <w:color w:val="auto"/>
        </w:rPr>
      </w:pPr>
      <w:r>
        <w:rPr>
          <w:rFonts w:ascii="Arial" w:cs="Arial" w:eastAsia="Arial" w:hAnsi="Arial"/>
          <w:sz w:val="18"/>
          <w:szCs w:val="18"/>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Twenty-Five Thousand One Hundred Twelve Dollars and 42/100 Cents ($225,112.42) (the “Base Salary”). The Base Salary shall be reviewed at least annually to ascertain whether, in the judgment of the Company, such Base Salary should be adjusted. If so, the adjusted Base Salary shall be adjusted for all purposes of this Agreement.</w:t>
      </w:r>
    </w:p>
    <w:p>
      <w:pPr>
        <w:spacing w:after="0" w:line="142" w:lineRule="exact"/>
        <w:rPr>
          <w:rFonts w:ascii="Arial" w:cs="Arial" w:eastAsia="Arial" w:hAnsi="Arial"/>
          <w:sz w:val="18"/>
          <w:szCs w:val="18"/>
          <w:color w:val="auto"/>
        </w:rPr>
      </w:pPr>
    </w:p>
    <w:p>
      <w:pPr>
        <w:ind w:firstLine="921"/>
        <w:spacing w:after="0" w:line="306" w:lineRule="auto"/>
        <w:tabs>
          <w:tab w:leader="none" w:pos="1162" w:val="left"/>
        </w:tabs>
        <w:numPr>
          <w:ilvl w:val="0"/>
          <w:numId w:val="311"/>
        </w:numPr>
        <w:rPr>
          <w:rFonts w:ascii="Arial" w:cs="Arial" w:eastAsia="Arial" w:hAnsi="Arial"/>
          <w:sz w:val="16"/>
          <w:szCs w:val="16"/>
          <w:color w:val="auto"/>
        </w:rPr>
      </w:pPr>
      <w:r>
        <w:rPr>
          <w:rFonts w:ascii="Arial" w:cs="Arial" w:eastAsia="Arial" w:hAnsi="Arial"/>
          <w:sz w:val="16"/>
          <w:szCs w:val="16"/>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w:t>
      </w:r>
    </w:p>
    <w:p>
      <w:pPr>
        <w:sectPr>
          <w:pgSz w:w="11900" w:h="16838" w:orient="portrait"/>
          <w:cols w:equalWidth="0" w:num="1">
            <w:col w:w="11420"/>
          </w:cols>
          <w:pgMar w:left="240" w:top="125" w:right="239" w:bottom="1440" w:gutter="0" w:footer="0" w:header="0"/>
        </w:sectPr>
      </w:pPr>
    </w:p>
    <w:bookmarkStart w:id="179" w:name="page180"/>
    <w:bookmarkEnd w:id="17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individual and Company performance conditions are met) shall be 35%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43" w:lineRule="exact"/>
        <w:rPr>
          <w:sz w:val="20"/>
          <w:szCs w:val="20"/>
          <w:color w:val="auto"/>
        </w:rPr>
      </w:pPr>
    </w:p>
    <w:p>
      <w:pPr>
        <w:ind w:right="20" w:firstLine="921"/>
        <w:spacing w:after="0" w:line="255" w:lineRule="auto"/>
        <w:tabs>
          <w:tab w:leader="none" w:pos="115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24" w:lineRule="exact"/>
        <w:rPr>
          <w:sz w:val="20"/>
          <w:szCs w:val="20"/>
          <w:color w:val="auto"/>
        </w:rPr>
      </w:pPr>
    </w:p>
    <w:p>
      <w:pPr>
        <w:ind w:left="1100" w:hanging="179"/>
        <w:spacing w:after="0"/>
        <w:tabs>
          <w:tab w:leader="none" w:pos="1100"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240" w:firstLine="913"/>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94" w:lineRule="exact"/>
        <w:rPr>
          <w:sz w:val="20"/>
          <w:szCs w:val="20"/>
          <w:color w:val="auto"/>
        </w:rPr>
      </w:pPr>
    </w:p>
    <w:p>
      <w:pPr>
        <w:ind w:left="1100" w:hanging="179"/>
        <w:spacing w:after="0"/>
        <w:tabs>
          <w:tab w:leader="none" w:pos="1100"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sz w:val="20"/>
          <w:szCs w:val="20"/>
          <w:color w:val="auto"/>
        </w:rPr>
      </w:pPr>
    </w:p>
    <w:p>
      <w:pPr>
        <w:ind w:right="280" w:firstLine="921"/>
        <w:spacing w:after="0" w:line="298" w:lineRule="auto"/>
        <w:tabs>
          <w:tab w:leader="none" w:pos="1152" w:val="left"/>
        </w:tabs>
        <w:numPr>
          <w:ilvl w:val="0"/>
          <w:numId w:val="315"/>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right="40" w:firstLine="921"/>
        <w:spacing w:after="0" w:line="298" w:lineRule="auto"/>
        <w:tabs>
          <w:tab w:leader="none" w:pos="1162"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3" w:lineRule="exact"/>
        <w:rPr>
          <w:sz w:val="20"/>
          <w:szCs w:val="20"/>
          <w:color w:val="auto"/>
        </w:rPr>
      </w:pPr>
    </w:p>
    <w:p>
      <w:pPr>
        <w:ind w:left="5680" w:right="3460" w:hanging="4759"/>
        <w:spacing w:after="0" w:line="440" w:lineRule="auto"/>
        <w:tabs>
          <w:tab w:leader="none" w:pos="1179"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 2</w:t>
      </w:r>
    </w:p>
    <w:p>
      <w:pPr>
        <w:sectPr>
          <w:pgSz w:w="11900" w:h="16838" w:orient="portrait"/>
          <w:cols w:equalWidth="0" w:num="1">
            <w:col w:w="11420"/>
          </w:cols>
          <w:pgMar w:left="240" w:top="280" w:right="239" w:bottom="1440" w:gutter="0" w:footer="0" w:header="0"/>
        </w:sectPr>
      </w:pPr>
    </w:p>
    <w:bookmarkStart w:id="180" w:name="page181"/>
    <w:bookmarkEnd w:id="180"/>
    <w:p>
      <w:pPr>
        <w:ind w:left="1060" w:hanging="179"/>
        <w:spacing w:after="0"/>
        <w:tabs>
          <w:tab w:leader="none" w:pos="106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DUTIES</w:t>
      </w:r>
    </w:p>
    <w:p>
      <w:pPr>
        <w:spacing w:after="0" w:line="90" w:lineRule="exact"/>
        <w:rPr>
          <w:sz w:val="20"/>
          <w:szCs w:val="20"/>
          <w:color w:val="auto"/>
        </w:rPr>
      </w:pPr>
    </w:p>
    <w:p>
      <w:pPr>
        <w:ind w:left="-40" w:right="160" w:firstLine="921"/>
        <w:spacing w:after="0" w:line="259" w:lineRule="auto"/>
        <w:tabs>
          <w:tab w:leader="none" w:pos="1112"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of Real Estate and Store Development and/or as the Company shall from time to time determine and Executive shall comply in the performance of his duties with the policies of, and be subject to the direction of the Company.</w:t>
      </w:r>
    </w:p>
    <w:p>
      <w:pPr>
        <w:spacing w:after="0" w:line="140" w:lineRule="exact"/>
        <w:rPr>
          <w:rFonts w:ascii="Arial" w:cs="Arial" w:eastAsia="Arial" w:hAnsi="Arial"/>
          <w:sz w:val="18"/>
          <w:szCs w:val="18"/>
          <w:color w:val="auto"/>
        </w:rPr>
      </w:pPr>
    </w:p>
    <w:p>
      <w:pPr>
        <w:ind w:left="-40" w:right="120" w:firstLine="921"/>
        <w:spacing w:after="0" w:line="298" w:lineRule="auto"/>
        <w:tabs>
          <w:tab w:leader="none" w:pos="112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12" w:lineRule="exact"/>
        <w:rPr>
          <w:rFonts w:ascii="Arial" w:cs="Arial" w:eastAsia="Arial" w:hAnsi="Arial"/>
          <w:sz w:val="16"/>
          <w:szCs w:val="16"/>
          <w:color w:val="auto"/>
        </w:rPr>
      </w:pPr>
    </w:p>
    <w:p>
      <w:pPr>
        <w:jc w:val="both"/>
        <w:ind w:left="-40" w:firstLine="921"/>
        <w:spacing w:after="0" w:line="335" w:lineRule="auto"/>
        <w:tabs>
          <w:tab w:leader="none" w:pos="1112" w:val="left"/>
        </w:tabs>
        <w:numPr>
          <w:ilvl w:val="0"/>
          <w:numId w:val="318"/>
        </w:numPr>
        <w:rPr>
          <w:rFonts w:ascii="Arial" w:cs="Arial" w:eastAsia="Arial" w:hAnsi="Arial"/>
          <w:sz w:val="15"/>
          <w:szCs w:val="15"/>
          <w:color w:val="auto"/>
        </w:rPr>
      </w:pPr>
      <w:r>
        <w:rPr>
          <w:rFonts w:ascii="Arial" w:cs="Arial" w:eastAsia="Arial" w:hAnsi="Arial"/>
          <w:sz w:val="15"/>
          <w:szCs w:val="15"/>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169" w:lineRule="exact"/>
        <w:rPr>
          <w:sz w:val="20"/>
          <w:szCs w:val="20"/>
          <w:color w:val="auto"/>
        </w:rPr>
      </w:pPr>
    </w:p>
    <w:p>
      <w:pPr>
        <w:ind w:left="1060" w:hanging="179"/>
        <w:spacing w:after="0"/>
        <w:tabs>
          <w:tab w:leader="none" w:pos="1060"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sz w:val="20"/>
          <w:szCs w:val="20"/>
          <w:color w:val="auto"/>
        </w:rPr>
      </w:pPr>
    </w:p>
    <w:p>
      <w:pPr>
        <w:ind w:left="1120" w:hanging="239"/>
        <w:spacing w:after="0"/>
        <w:tabs>
          <w:tab w:leader="none" w:pos="11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171" w:lineRule="exact"/>
        <w:rPr>
          <w:rFonts w:ascii="Arial" w:cs="Arial" w:eastAsia="Arial" w:hAnsi="Arial"/>
          <w:sz w:val="18"/>
          <w:szCs w:val="18"/>
          <w:color w:val="auto"/>
        </w:rPr>
      </w:pPr>
    </w:p>
    <w:p>
      <w:pPr>
        <w:jc w:val="both"/>
        <w:ind w:left="-40" w:right="120" w:firstLine="1492"/>
        <w:spacing w:after="0" w:line="259" w:lineRule="auto"/>
        <w:tabs>
          <w:tab w:leader="none" w:pos="1653" w:val="left"/>
        </w:tabs>
        <w:numPr>
          <w:ilvl w:val="1"/>
          <w:numId w:val="320"/>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1720" w:hanging="268"/>
        <w:spacing w:after="0"/>
        <w:tabs>
          <w:tab w:leader="none" w:pos="172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171" w:lineRule="exact"/>
        <w:rPr>
          <w:rFonts w:ascii="Arial" w:cs="Arial" w:eastAsia="Arial" w:hAnsi="Arial"/>
          <w:sz w:val="18"/>
          <w:szCs w:val="18"/>
          <w:color w:val="auto"/>
        </w:rPr>
      </w:pPr>
    </w:p>
    <w:p>
      <w:pPr>
        <w:ind w:left="1120" w:hanging="239"/>
        <w:spacing w:after="0"/>
        <w:tabs>
          <w:tab w:leader="none" w:pos="11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171" w:lineRule="exact"/>
        <w:rPr>
          <w:rFonts w:ascii="Arial" w:cs="Arial" w:eastAsia="Arial" w:hAnsi="Arial"/>
          <w:sz w:val="18"/>
          <w:szCs w:val="18"/>
          <w:color w:val="auto"/>
        </w:rPr>
      </w:pPr>
    </w:p>
    <w:p>
      <w:pPr>
        <w:ind w:left="1660" w:hanging="208"/>
        <w:spacing w:after="0"/>
        <w:tabs>
          <w:tab w:leader="none" w:pos="166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rFonts w:ascii="Arial" w:cs="Arial" w:eastAsia="Arial" w:hAnsi="Arial"/>
          <w:sz w:val="18"/>
          <w:szCs w:val="18"/>
          <w:color w:val="auto"/>
        </w:rPr>
      </w:pPr>
    </w:p>
    <w:p>
      <w:pPr>
        <w:ind w:left="-40" w:right="240" w:firstLine="1492"/>
        <w:spacing w:after="0" w:line="268" w:lineRule="auto"/>
        <w:tabs>
          <w:tab w:leader="none" w:pos="1702"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date on which the Company elects to terminate the Term of Employment by reason of the “disability” of Executive (as hereinafter defined in subsection (c) herein) pursuant to subsection (g) hereof; or</w:t>
      </w:r>
    </w:p>
    <w:p>
      <w:pPr>
        <w:spacing w:after="0" w:line="131" w:lineRule="exact"/>
        <w:rPr>
          <w:rFonts w:ascii="Arial" w:cs="Arial" w:eastAsia="Arial" w:hAnsi="Arial"/>
          <w:sz w:val="18"/>
          <w:szCs w:val="18"/>
          <w:color w:val="auto"/>
        </w:rPr>
      </w:pPr>
    </w:p>
    <w:p>
      <w:pPr>
        <w:ind w:left="1760" w:hanging="308"/>
        <w:spacing w:after="0"/>
        <w:tabs>
          <w:tab w:leader="none" w:pos="176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80" w:right="279" w:bottom="1440" w:gutter="0" w:footer="0" w:header="0"/>
        </w:sectPr>
      </w:pPr>
    </w:p>
    <w:bookmarkStart w:id="181" w:name="page182"/>
    <w:bookmarkEnd w:id="181"/>
    <w:p>
      <w:pPr>
        <w:ind w:left="-80" w:right="20" w:firstLine="921"/>
        <w:spacing w:after="0" w:line="259" w:lineRule="auto"/>
        <w:tabs>
          <w:tab w:leader="none" w:pos="1072" w:val="left"/>
        </w:tabs>
        <w:numPr>
          <w:ilvl w:val="0"/>
          <w:numId w:val="3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80" w:right="20" w:firstLine="921"/>
        <w:spacing w:after="0" w:line="287" w:lineRule="auto"/>
        <w:tabs>
          <w:tab w:leader="none" w:pos="1082" w:val="left"/>
        </w:tabs>
        <w:numPr>
          <w:ilvl w:val="0"/>
          <w:numId w:val="321"/>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22" w:lineRule="exact"/>
        <w:rPr>
          <w:rFonts w:ascii="Arial" w:cs="Arial" w:eastAsia="Arial" w:hAnsi="Arial"/>
          <w:sz w:val="16"/>
          <w:szCs w:val="16"/>
          <w:color w:val="auto"/>
        </w:rPr>
      </w:pPr>
    </w:p>
    <w:p>
      <w:pPr>
        <w:ind w:left="-80" w:firstLine="921"/>
        <w:spacing w:after="0" w:line="289" w:lineRule="auto"/>
        <w:tabs>
          <w:tab w:leader="none" w:pos="1072" w:val="left"/>
        </w:tabs>
        <w:numPr>
          <w:ilvl w:val="0"/>
          <w:numId w:val="321"/>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18" w:lineRule="exact"/>
        <w:rPr>
          <w:rFonts w:ascii="Arial" w:cs="Arial" w:eastAsia="Arial" w:hAnsi="Arial"/>
          <w:sz w:val="16"/>
          <w:szCs w:val="16"/>
          <w:color w:val="auto"/>
        </w:rPr>
      </w:pPr>
    </w:p>
    <w:p>
      <w:pPr>
        <w:ind w:left="-80" w:right="180" w:firstLine="921"/>
        <w:spacing w:after="0" w:line="259" w:lineRule="auto"/>
        <w:tabs>
          <w:tab w:leader="none" w:pos="105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40" w:lineRule="exact"/>
        <w:rPr>
          <w:rFonts w:ascii="Arial" w:cs="Arial" w:eastAsia="Arial" w:hAnsi="Arial"/>
          <w:sz w:val="18"/>
          <w:szCs w:val="18"/>
          <w:color w:val="auto"/>
        </w:rPr>
      </w:pPr>
    </w:p>
    <w:p>
      <w:pPr>
        <w:ind w:left="-80" w:right="160" w:firstLine="921"/>
        <w:spacing w:after="0" w:line="335" w:lineRule="auto"/>
        <w:tabs>
          <w:tab w:leader="none" w:pos="1082" w:val="left"/>
        </w:tabs>
        <w:numPr>
          <w:ilvl w:val="0"/>
          <w:numId w:val="321"/>
        </w:numPr>
        <w:rPr>
          <w:rFonts w:ascii="Arial" w:cs="Arial" w:eastAsia="Arial" w:hAnsi="Arial"/>
          <w:sz w:val="15"/>
          <w:szCs w:val="15"/>
          <w:color w:val="auto"/>
        </w:rPr>
      </w:pPr>
      <w:r>
        <w:rPr>
          <w:rFonts w:ascii="Arial" w:cs="Arial" w:eastAsia="Arial" w:hAnsi="Arial"/>
          <w:sz w:val="15"/>
          <w:szCs w:val="15"/>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320" w:top="280" w:right="299" w:bottom="1440" w:gutter="0" w:footer="0" w:header="0"/>
        </w:sectPr>
      </w:pPr>
    </w:p>
    <w:bookmarkStart w:id="182" w:name="page183"/>
    <w:bookmarkEnd w:id="182"/>
    <w:p>
      <w:pPr>
        <w:ind w:left="-8" w:right="100" w:firstLine="921"/>
        <w:spacing w:after="0" w:line="335" w:lineRule="auto"/>
        <w:tabs>
          <w:tab w:leader="none" w:pos="1154" w:val="left"/>
        </w:tabs>
        <w:numPr>
          <w:ilvl w:val="1"/>
          <w:numId w:val="32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88" w:lineRule="exact"/>
        <w:rPr>
          <w:rFonts w:ascii="Arial" w:cs="Arial" w:eastAsia="Arial" w:hAnsi="Arial"/>
          <w:sz w:val="15"/>
          <w:szCs w:val="15"/>
          <w:color w:val="auto"/>
        </w:rPr>
      </w:pPr>
    </w:p>
    <w:p>
      <w:pPr>
        <w:ind w:left="-8" w:right="20" w:firstLine="921"/>
        <w:spacing w:after="0" w:line="301" w:lineRule="auto"/>
        <w:tabs>
          <w:tab w:leader="none" w:pos="1115" w:val="left"/>
        </w:tabs>
        <w:numPr>
          <w:ilvl w:val="1"/>
          <w:numId w:val="322"/>
        </w:numPr>
        <w:rPr>
          <w:rFonts w:ascii="Arial" w:cs="Arial" w:eastAsia="Arial" w:hAnsi="Arial"/>
          <w:sz w:val="15"/>
          <w:szCs w:val="15"/>
          <w:color w:val="auto"/>
        </w:rPr>
      </w:pPr>
      <w:r>
        <w:rPr>
          <w:rFonts w:ascii="Arial" w:cs="Arial" w:eastAsia="Arial" w:hAnsi="Arial"/>
          <w:sz w:val="15"/>
          <w:szCs w:val="15"/>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Good Reason”</w:t>
      </w:r>
      <w:r>
        <w:rPr>
          <w:rFonts w:ascii="Arial" w:cs="Arial" w:eastAsia="Arial" w:hAnsi="Arial"/>
          <w:sz w:val="15"/>
          <w:szCs w:val="15"/>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w:t>
      </w:r>
    </w:p>
    <w:p>
      <w:pPr>
        <w:spacing w:after="0" w:line="4" w:lineRule="exact"/>
        <w:rPr>
          <w:rFonts w:ascii="Arial" w:cs="Arial" w:eastAsia="Arial" w:hAnsi="Arial"/>
          <w:sz w:val="15"/>
          <w:szCs w:val="15"/>
          <w:color w:val="auto"/>
        </w:rPr>
      </w:pPr>
    </w:p>
    <w:p>
      <w:pPr>
        <w:ind w:left="-8" w:firstLine="8"/>
        <w:spacing w:after="0" w:line="288" w:lineRule="auto"/>
        <w:tabs>
          <w:tab w:leader="none" w:pos="289" w:val="left"/>
        </w:tabs>
        <w:numPr>
          <w:ilvl w:val="0"/>
          <w:numId w:val="323"/>
        </w:numPr>
        <w:rPr>
          <w:rFonts w:ascii="Arial" w:cs="Arial" w:eastAsia="Arial" w:hAnsi="Arial"/>
          <w:sz w:val="16"/>
          <w:szCs w:val="16"/>
          <w:color w:val="auto"/>
        </w:rPr>
      </w:pPr>
      <w:r>
        <w:rPr>
          <w:rFonts w:ascii="Arial" w:cs="Arial" w:eastAsia="Arial" w:hAnsi="Arial"/>
          <w:sz w:val="16"/>
          <w:szCs w:val="16"/>
          <w:color w:val="auto"/>
        </w:rPr>
        <w:t>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22" w:lineRule="exact"/>
        <w:rPr>
          <w:rFonts w:ascii="Arial" w:cs="Arial" w:eastAsia="Arial" w:hAnsi="Arial"/>
          <w:sz w:val="16"/>
          <w:szCs w:val="16"/>
          <w:color w:val="auto"/>
        </w:rPr>
      </w:pPr>
    </w:p>
    <w:p>
      <w:pPr>
        <w:ind w:left="-8" w:right="100" w:firstLine="921"/>
        <w:spacing w:after="0" w:line="268" w:lineRule="auto"/>
        <w:tabs>
          <w:tab w:leader="none" w:pos="1115" w:val="left"/>
        </w:tabs>
        <w:numPr>
          <w:ilvl w:val="1"/>
          <w:numId w:val="323"/>
        </w:numPr>
        <w:rPr>
          <w:rFonts w:ascii="Arial" w:cs="Arial" w:eastAsia="Arial" w:hAnsi="Arial"/>
          <w:sz w:val="18"/>
          <w:szCs w:val="18"/>
          <w:color w:val="auto"/>
        </w:rPr>
      </w:pPr>
      <w:r>
        <w:rPr>
          <w:rFonts w:ascii="Arial" w:cs="Arial" w:eastAsia="Arial" w:hAnsi="Arial"/>
          <w:sz w:val="18"/>
          <w:szCs w:val="18"/>
          <w:color w:val="auto"/>
        </w:rPr>
        <w:t>Clawback of Certain Compensation and Benefits. If, after the termination of the Term of Employment for any reason other than by the Company for “justifiable cause”:</w:t>
      </w:r>
    </w:p>
    <w:p>
      <w:pPr>
        <w:spacing w:after="0" w:line="132" w:lineRule="exact"/>
        <w:rPr>
          <w:sz w:val="20"/>
          <w:szCs w:val="20"/>
          <w:color w:val="auto"/>
        </w:rPr>
      </w:pPr>
    </w:p>
    <w:p>
      <w:pPr>
        <w:ind w:left="-8" w:right="160" w:firstLine="1948"/>
        <w:spacing w:after="0" w:line="256" w:lineRule="auto"/>
        <w:tabs>
          <w:tab w:leader="none" w:pos="2142"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80" w:right="259" w:bottom="1440" w:gutter="0" w:footer="0" w:header="0"/>
        </w:sectPr>
      </w:pPr>
    </w:p>
    <w:bookmarkStart w:id="183" w:name="page184"/>
    <w:bookmarkEnd w:id="183"/>
    <w:p>
      <w:pPr>
        <w:jc w:val="both"/>
        <w:ind w:left="-20" w:right="240" w:firstLine="1948"/>
        <w:spacing w:after="0" w:line="306" w:lineRule="auto"/>
        <w:tabs>
          <w:tab w:leader="none" w:pos="2178" w:val="left"/>
        </w:tabs>
        <w:numPr>
          <w:ilvl w:val="1"/>
          <w:numId w:val="3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06" w:lineRule="exact"/>
        <w:rPr>
          <w:rFonts w:ascii="Arial" w:cs="Arial" w:eastAsia="Arial" w:hAnsi="Arial"/>
          <w:sz w:val="16"/>
          <w:szCs w:val="16"/>
          <w:color w:val="auto"/>
        </w:rPr>
      </w:pPr>
    </w:p>
    <w:p>
      <w:pPr>
        <w:ind w:left="-20" w:firstLine="2404"/>
        <w:spacing w:after="0" w:line="294" w:lineRule="auto"/>
        <w:tabs>
          <w:tab w:leader="none" w:pos="2664" w:val="left"/>
        </w:tabs>
        <w:numPr>
          <w:ilvl w:val="2"/>
          <w:numId w:val="325"/>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15" w:lineRule="exact"/>
        <w:rPr>
          <w:rFonts w:ascii="Arial" w:cs="Arial" w:eastAsia="Arial" w:hAnsi="Arial"/>
          <w:sz w:val="16"/>
          <w:szCs w:val="16"/>
          <w:color w:val="auto"/>
        </w:rPr>
      </w:pPr>
    </w:p>
    <w:p>
      <w:pPr>
        <w:ind w:left="-20" w:right="700" w:firstLine="2404"/>
        <w:spacing w:after="0" w:line="268" w:lineRule="auto"/>
        <w:tabs>
          <w:tab w:leader="none" w:pos="2654" w:val="left"/>
        </w:tabs>
        <w:numPr>
          <w:ilvl w:val="2"/>
          <w:numId w:val="325"/>
        </w:numPr>
        <w:rPr>
          <w:rFonts w:ascii="Arial" w:cs="Arial" w:eastAsia="Arial" w:hAnsi="Arial"/>
          <w:sz w:val="18"/>
          <w:szCs w:val="18"/>
          <w:color w:val="auto"/>
        </w:rPr>
      </w:pPr>
      <w:r>
        <w:rPr>
          <w:rFonts w:ascii="Arial" w:cs="Arial" w:eastAsia="Arial" w:hAnsi="Arial"/>
          <w:sz w:val="18"/>
          <w:szCs w:val="18"/>
          <w:color w:val="auto"/>
        </w:rPr>
        <w:t>all vested and unvested Awards (as that term is defined in the 2006 Incentive Compensation Plan) then held by the Executive shall immediately expire; and</w:t>
      </w:r>
    </w:p>
    <w:p>
      <w:pPr>
        <w:spacing w:after="0" w:line="131" w:lineRule="exact"/>
        <w:rPr>
          <w:rFonts w:ascii="Arial" w:cs="Arial" w:eastAsia="Arial" w:hAnsi="Arial"/>
          <w:sz w:val="18"/>
          <w:szCs w:val="18"/>
          <w:color w:val="auto"/>
        </w:rPr>
      </w:pPr>
    </w:p>
    <w:p>
      <w:pPr>
        <w:ind w:left="-20" w:right="40" w:firstLine="2404"/>
        <w:spacing w:after="0" w:line="289" w:lineRule="auto"/>
        <w:tabs>
          <w:tab w:leader="none" w:pos="2654" w:val="left"/>
        </w:tabs>
        <w:numPr>
          <w:ilvl w:val="2"/>
          <w:numId w:val="325"/>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18" w:lineRule="exact"/>
        <w:rPr>
          <w:rFonts w:ascii="Arial" w:cs="Arial" w:eastAsia="Arial" w:hAnsi="Arial"/>
          <w:sz w:val="16"/>
          <w:szCs w:val="16"/>
          <w:color w:val="auto"/>
        </w:rPr>
      </w:pPr>
    </w:p>
    <w:p>
      <w:pPr>
        <w:ind w:left="-20" w:right="480" w:firstLine="921"/>
        <w:spacing w:after="0" w:line="268" w:lineRule="auto"/>
        <w:tabs>
          <w:tab w:leader="none" w:pos="1142"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213" w:lineRule="exact"/>
        <w:rPr>
          <w:sz w:val="20"/>
          <w:szCs w:val="20"/>
          <w:color w:val="auto"/>
        </w:rPr>
      </w:pPr>
    </w:p>
    <w:p>
      <w:pPr>
        <w:ind w:left="1080" w:hanging="179"/>
        <w:spacing w:after="0"/>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sz w:val="20"/>
          <w:szCs w:val="20"/>
          <w:color w:val="auto"/>
        </w:rPr>
      </w:pPr>
    </w:p>
    <w:p>
      <w:pPr>
        <w:ind w:left="-20" w:right="160" w:firstLine="921"/>
        <w:spacing w:after="0" w:line="268" w:lineRule="auto"/>
        <w:tabs>
          <w:tab w:leader="none" w:pos="113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84" w:name="page185"/>
    <w:bookmarkEnd w:id="184"/>
    <w:p>
      <w:pPr>
        <w:ind w:right="3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13" w:lineRule="exact"/>
        <w:rPr>
          <w:sz w:val="20"/>
          <w:szCs w:val="20"/>
          <w:color w:val="auto"/>
        </w:rPr>
      </w:pPr>
    </w:p>
    <w:p>
      <w:pPr>
        <w:jc w:val="both"/>
        <w:ind w:right="60" w:firstLine="921"/>
        <w:spacing w:after="0" w:line="259" w:lineRule="auto"/>
        <w:tabs>
          <w:tab w:leader="none" w:pos="1162" w:val="left"/>
        </w:tabs>
        <w:numPr>
          <w:ilvl w:val="0"/>
          <w:numId w:val="329"/>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171" w:lineRule="exact"/>
        <w:rPr>
          <w:rFonts w:ascii="Arial" w:cs="Arial" w:eastAsia="Arial" w:hAnsi="Arial"/>
          <w:sz w:val="18"/>
          <w:szCs w:val="18"/>
          <w:color w:val="auto"/>
        </w:rPr>
      </w:pPr>
    </w:p>
    <w:p>
      <w:pPr>
        <w:ind w:right="20" w:firstLine="1492"/>
        <w:spacing w:after="0" w:line="289" w:lineRule="auto"/>
        <w:tabs>
          <w:tab w:leader="none" w:pos="1693" w:val="left"/>
        </w:tabs>
        <w:numPr>
          <w:ilvl w:val="1"/>
          <w:numId w:val="329"/>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18" w:lineRule="exact"/>
        <w:rPr>
          <w:rFonts w:ascii="Arial" w:cs="Arial" w:eastAsia="Arial" w:hAnsi="Arial"/>
          <w:sz w:val="16"/>
          <w:szCs w:val="16"/>
          <w:color w:val="auto"/>
        </w:rPr>
      </w:pPr>
    </w:p>
    <w:p>
      <w:pPr>
        <w:ind w:firstLine="1492"/>
        <w:spacing w:after="0" w:line="256" w:lineRule="auto"/>
        <w:tabs>
          <w:tab w:leader="none" w:pos="1742" w:val="left"/>
        </w:tabs>
        <w:numPr>
          <w:ilvl w:val="1"/>
          <w:numId w:val="329"/>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ind w:right="240" w:firstLine="921"/>
        <w:spacing w:after="0" w:line="259" w:lineRule="auto"/>
        <w:tabs>
          <w:tab w:leader="none" w:pos="1162" w:val="left"/>
        </w:tabs>
        <w:numPr>
          <w:ilvl w:val="0"/>
          <w:numId w:val="329"/>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ind w:right="80" w:firstLine="921"/>
        <w:spacing w:after="0" w:line="306" w:lineRule="auto"/>
        <w:tabs>
          <w:tab w:leader="none" w:pos="1152"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85" w:name="page186"/>
    <w:bookmarkEnd w:id="185"/>
    <w:p>
      <w:pPr>
        <w:ind w:left="1140" w:hanging="219"/>
        <w:spacing w:after="0"/>
        <w:tabs>
          <w:tab w:leader="none" w:pos="11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Taxable Reimbursements.</w:t>
      </w:r>
    </w:p>
    <w:p>
      <w:pPr>
        <w:spacing w:after="0" w:line="171" w:lineRule="exact"/>
        <w:rPr>
          <w:rFonts w:ascii="Arial" w:cs="Arial" w:eastAsia="Arial" w:hAnsi="Arial"/>
          <w:sz w:val="18"/>
          <w:szCs w:val="18"/>
          <w:color w:val="auto"/>
        </w:rPr>
      </w:pPr>
    </w:p>
    <w:p>
      <w:pPr>
        <w:ind w:right="140" w:firstLine="1492"/>
        <w:spacing w:after="0" w:line="306" w:lineRule="auto"/>
        <w:tabs>
          <w:tab w:leader="none" w:pos="1693" w:val="left"/>
        </w:tabs>
        <w:numPr>
          <w:ilvl w:val="1"/>
          <w:numId w:val="330"/>
        </w:numPr>
        <w:rPr>
          <w:rFonts w:ascii="Arial" w:cs="Arial" w:eastAsia="Arial" w:hAnsi="Arial"/>
          <w:sz w:val="16"/>
          <w:szCs w:val="16"/>
          <w:color w:val="auto"/>
        </w:rPr>
      </w:pPr>
      <w:r>
        <w:rPr>
          <w:rFonts w:ascii="Arial" w:cs="Arial" w:eastAsia="Arial" w:hAnsi="Arial"/>
          <w:sz w:val="16"/>
          <w:szCs w:val="16"/>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06" w:lineRule="exact"/>
        <w:rPr>
          <w:rFonts w:ascii="Arial" w:cs="Arial" w:eastAsia="Arial" w:hAnsi="Arial"/>
          <w:sz w:val="16"/>
          <w:szCs w:val="16"/>
          <w:color w:val="auto"/>
        </w:rPr>
      </w:pPr>
    </w:p>
    <w:p>
      <w:pPr>
        <w:ind w:right="20" w:firstLine="1492"/>
        <w:spacing w:after="0" w:line="268" w:lineRule="auto"/>
        <w:tabs>
          <w:tab w:leader="none" w:pos="1742"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31" w:lineRule="exact"/>
        <w:rPr>
          <w:rFonts w:ascii="Arial" w:cs="Arial" w:eastAsia="Arial" w:hAnsi="Arial"/>
          <w:sz w:val="18"/>
          <w:szCs w:val="18"/>
          <w:color w:val="auto"/>
        </w:rPr>
      </w:pPr>
    </w:p>
    <w:p>
      <w:pPr>
        <w:ind w:left="1800" w:hanging="308"/>
        <w:spacing w:after="0"/>
        <w:tabs>
          <w:tab w:leader="none" w:pos="180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252" w:lineRule="exact"/>
        <w:rPr>
          <w:sz w:val="20"/>
          <w:szCs w:val="20"/>
          <w:color w:val="auto"/>
        </w:rPr>
      </w:pPr>
    </w:p>
    <w:p>
      <w:pPr>
        <w:ind w:left="1100" w:hanging="179"/>
        <w:spacing w:after="0"/>
        <w:tabs>
          <w:tab w:leader="none" w:pos="1100"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sz w:val="20"/>
          <w:szCs w:val="20"/>
          <w:color w:val="auto"/>
        </w:rPr>
      </w:pPr>
    </w:p>
    <w:p>
      <w:pPr>
        <w:jc w:val="both"/>
        <w:ind w:right="140" w:firstLine="921"/>
        <w:spacing w:after="0" w:line="370" w:lineRule="auto"/>
        <w:tabs>
          <w:tab w:leader="none" w:pos="1152" w:val="left"/>
        </w:tabs>
        <w:numPr>
          <w:ilvl w:val="0"/>
          <w:numId w:val="332"/>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jc w:val="both"/>
        <w:ind w:right="160" w:firstLine="921"/>
        <w:spacing w:after="0" w:line="259" w:lineRule="auto"/>
        <w:tabs>
          <w:tab w:leader="none" w:pos="1162" w:val="left"/>
        </w:tabs>
        <w:numPr>
          <w:ilvl w:val="0"/>
          <w:numId w:val="332"/>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100" w:firstLine="921"/>
        <w:spacing w:after="0" w:line="370" w:lineRule="auto"/>
        <w:tabs>
          <w:tab w:leader="none" w:pos="1152" w:val="left"/>
        </w:tabs>
        <w:numPr>
          <w:ilvl w:val="0"/>
          <w:numId w:val="332"/>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62" w:lineRule="exact"/>
        <w:rPr>
          <w:rFonts w:ascii="Arial" w:cs="Arial" w:eastAsia="Arial" w:hAnsi="Arial"/>
          <w:sz w:val="15"/>
          <w:szCs w:val="15"/>
          <w:color w:val="auto"/>
        </w:rPr>
      </w:pPr>
    </w:p>
    <w:p>
      <w:pPr>
        <w:ind w:firstLine="921"/>
        <w:spacing w:after="0" w:line="259" w:lineRule="auto"/>
        <w:tabs>
          <w:tab w:leader="none" w:pos="1162" w:val="left"/>
        </w:tabs>
        <w:numPr>
          <w:ilvl w:val="0"/>
          <w:numId w:val="332"/>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paragraph 7(d)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86" w:name="page187"/>
    <w:bookmarkEnd w:id="186"/>
    <w:p>
      <w:pPr>
        <w:ind w:left="1160" w:hanging="259"/>
        <w:spacing w:after="0"/>
        <w:tabs>
          <w:tab w:leader="none" w:pos="1160"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NON-COMPETITION</w:t>
      </w:r>
    </w:p>
    <w:p>
      <w:pPr>
        <w:spacing w:after="0" w:line="90" w:lineRule="exact"/>
        <w:rPr>
          <w:sz w:val="20"/>
          <w:szCs w:val="20"/>
          <w:color w:val="auto"/>
        </w:rPr>
      </w:pPr>
    </w:p>
    <w:p>
      <w:pPr>
        <w:ind w:left="-20" w:firstLine="921"/>
        <w:spacing w:after="0" w:line="286" w:lineRule="auto"/>
        <w:tabs>
          <w:tab w:leader="none" w:pos="1132" w:val="left"/>
        </w:tabs>
        <w:numPr>
          <w:ilvl w:val="0"/>
          <w:numId w:val="334"/>
        </w:numPr>
        <w:rPr>
          <w:rFonts w:ascii="Arial" w:cs="Arial" w:eastAsia="Arial" w:hAnsi="Arial"/>
          <w:sz w:val="16"/>
          <w:szCs w:val="16"/>
          <w:color w:val="auto"/>
        </w:rPr>
      </w:pPr>
      <w:r>
        <w:rPr>
          <w:rFonts w:ascii="Arial" w:cs="Arial" w:eastAsia="Arial" w:hAnsi="Arial"/>
          <w:sz w:val="16"/>
          <w:szCs w:val="16"/>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24" w:lineRule="exact"/>
        <w:rPr>
          <w:rFonts w:ascii="Arial" w:cs="Arial" w:eastAsia="Arial" w:hAnsi="Arial"/>
          <w:sz w:val="16"/>
          <w:szCs w:val="16"/>
          <w:color w:val="auto"/>
        </w:rPr>
      </w:pPr>
    </w:p>
    <w:p>
      <w:pPr>
        <w:ind w:left="-20" w:right="160" w:firstLine="921"/>
        <w:spacing w:after="0" w:line="255" w:lineRule="auto"/>
        <w:tabs>
          <w:tab w:leader="none" w:pos="114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left="-20" w:right="20" w:firstLine="921"/>
        <w:spacing w:after="0" w:line="294" w:lineRule="auto"/>
        <w:tabs>
          <w:tab w:leader="none" w:pos="1132" w:val="left"/>
        </w:tabs>
        <w:numPr>
          <w:ilvl w:val="0"/>
          <w:numId w:val="334"/>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left="-20" w:right="220" w:firstLine="921"/>
        <w:spacing w:after="0" w:line="268" w:lineRule="auto"/>
        <w:tabs>
          <w:tab w:leader="none" w:pos="114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187" w:name="page188"/>
    <w:bookmarkEnd w:id="18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21" w:lineRule="exact"/>
        <w:rPr>
          <w:sz w:val="20"/>
          <w:szCs w:val="20"/>
          <w:color w:val="auto"/>
        </w:rPr>
      </w:pPr>
    </w:p>
    <w:p>
      <w:pPr>
        <w:ind w:left="1180" w:hanging="259"/>
        <w:spacing w:after="0"/>
        <w:tabs>
          <w:tab w:leader="none" w:pos="118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sz w:val="20"/>
          <w:szCs w:val="20"/>
          <w:color w:val="auto"/>
        </w:rPr>
      </w:pPr>
    </w:p>
    <w:p>
      <w:pPr>
        <w:ind w:firstLine="921"/>
        <w:spacing w:after="0" w:line="291" w:lineRule="auto"/>
        <w:tabs>
          <w:tab w:leader="none" w:pos="1152" w:val="left"/>
        </w:tabs>
        <w:numPr>
          <w:ilvl w:val="0"/>
          <w:numId w:val="336"/>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80" w:firstLine="921"/>
        <w:spacing w:after="0" w:line="289" w:lineRule="auto"/>
        <w:tabs>
          <w:tab w:leader="none" w:pos="1162" w:val="left"/>
        </w:tabs>
        <w:numPr>
          <w:ilvl w:val="0"/>
          <w:numId w:val="336"/>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99" w:lineRule="exact"/>
        <w:rPr>
          <w:sz w:val="20"/>
          <w:szCs w:val="20"/>
          <w:color w:val="auto"/>
        </w:rPr>
      </w:pPr>
    </w:p>
    <w:p>
      <w:pPr>
        <w:ind w:left="1180" w:hanging="259"/>
        <w:spacing w:after="0"/>
        <w:tabs>
          <w:tab w:leader="none" w:pos="1180"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right="40" w:firstLine="921"/>
        <w:spacing w:after="0" w:line="254" w:lineRule="auto"/>
        <w:tabs>
          <w:tab w:leader="none" w:pos="1152"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88" w:name="page189"/>
    <w:bookmarkEnd w:id="188"/>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20" w:lineRule="exact"/>
        <w:rPr>
          <w:sz w:val="20"/>
          <w:szCs w:val="20"/>
          <w:color w:val="auto"/>
        </w:rPr>
      </w:pPr>
    </w:p>
    <w:p>
      <w:pPr>
        <w:ind w:right="20" w:firstLine="921"/>
        <w:spacing w:after="0" w:line="298" w:lineRule="auto"/>
        <w:tabs>
          <w:tab w:leader="none" w:pos="1162" w:val="left"/>
        </w:tabs>
        <w:numPr>
          <w:ilvl w:val="0"/>
          <w:numId w:val="339"/>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94" w:lineRule="exact"/>
        <w:rPr>
          <w:sz w:val="20"/>
          <w:szCs w:val="20"/>
          <w:color w:val="auto"/>
        </w:rPr>
      </w:pPr>
    </w:p>
    <w:p>
      <w:pPr>
        <w:ind w:left="1180" w:hanging="259"/>
        <w:spacing w:after="0"/>
        <w:tabs>
          <w:tab w:leader="none" w:pos="1180"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89" w:lineRule="exact"/>
        <w:rPr>
          <w:sz w:val="20"/>
          <w:szCs w:val="20"/>
          <w:color w:val="auto"/>
        </w:rPr>
      </w:pPr>
    </w:p>
    <w:p>
      <w:pPr>
        <w:ind w:left="1180" w:hanging="259"/>
        <w:spacing w:after="0"/>
        <w:tabs>
          <w:tab w:leader="none" w:pos="1180"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jc w:val="center"/>
        <w:ind w:left="320" w:right="840"/>
        <w:spacing w:after="0" w:line="440" w:lineRule="auto"/>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 11</w:t>
      </w:r>
    </w:p>
    <w:p>
      <w:pPr>
        <w:sectPr>
          <w:pgSz w:w="11900" w:h="16838" w:orient="portrait"/>
          <w:cols w:equalWidth="0" w:num="1">
            <w:col w:w="11420"/>
          </w:cols>
          <w:pgMar w:left="240" w:top="280" w:right="239" w:bottom="1440" w:gutter="0" w:footer="0" w:header="0"/>
        </w:sectPr>
      </w:pPr>
    </w:p>
    <w:bookmarkStart w:id="189" w:name="page190"/>
    <w:bookmarkEnd w:id="189"/>
    <w:p>
      <w:pPr>
        <w:ind w:left="1180" w:hanging="259"/>
        <w:spacing w:after="0"/>
        <w:tabs>
          <w:tab w:leader="none" w:pos="1180"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p>
    <w:p>
      <w:pPr>
        <w:spacing w:after="0" w:line="9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13" w:lineRule="exact"/>
        <w:rPr>
          <w:sz w:val="20"/>
          <w:szCs w:val="20"/>
          <w:color w:val="auto"/>
        </w:rPr>
      </w:pPr>
    </w:p>
    <w:p>
      <w:pPr>
        <w:ind w:left="1180" w:hanging="259"/>
        <w:spacing w:after="0"/>
        <w:tabs>
          <w:tab w:leader="none" w:pos="1180"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13" w:lineRule="exact"/>
        <w:rPr>
          <w:sz w:val="20"/>
          <w:szCs w:val="20"/>
          <w:color w:val="auto"/>
        </w:rPr>
      </w:pPr>
    </w:p>
    <w:p>
      <w:pPr>
        <w:ind w:left="1180" w:hanging="259"/>
        <w:spacing w:after="0"/>
        <w:tabs>
          <w:tab w:leader="none" w:pos="1180"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21" w:lineRule="exact"/>
        <w:rPr>
          <w:sz w:val="20"/>
          <w:szCs w:val="20"/>
          <w:color w:val="auto"/>
        </w:rPr>
      </w:pPr>
    </w:p>
    <w:p>
      <w:pPr>
        <w:ind w:left="1180" w:hanging="259"/>
        <w:spacing w:after="0"/>
        <w:tabs>
          <w:tab w:leader="none" w:pos="1180"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213" w:lineRule="exact"/>
        <w:rPr>
          <w:sz w:val="20"/>
          <w:szCs w:val="20"/>
          <w:color w:val="auto"/>
        </w:rPr>
      </w:pPr>
    </w:p>
    <w:p>
      <w:pPr>
        <w:ind w:left="1180" w:hanging="259"/>
        <w:spacing w:after="0"/>
        <w:tabs>
          <w:tab w:leader="none" w:pos="1180"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190" w:name="page191"/>
    <w:bookmarkEnd w:id="190"/>
    <w:p>
      <w:pPr>
        <w:ind w:left="1180" w:hanging="259"/>
        <w:spacing w:after="0"/>
        <w:tabs>
          <w:tab w:leader="none" w:pos="1180"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SURVIVAL</w:t>
      </w:r>
    </w:p>
    <w:p>
      <w:pPr>
        <w:spacing w:after="0" w:line="9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213" w:lineRule="exact"/>
        <w:rPr>
          <w:sz w:val="20"/>
          <w:szCs w:val="20"/>
          <w:color w:val="auto"/>
        </w:rPr>
      </w:pPr>
    </w:p>
    <w:p>
      <w:pPr>
        <w:ind w:left="1180" w:hanging="259"/>
        <w:spacing w:after="0"/>
        <w:tabs>
          <w:tab w:leader="none" w:pos="1180"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194"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94" w:lineRule="exact"/>
        <w:rPr>
          <w:sz w:val="20"/>
          <w:szCs w:val="20"/>
          <w:color w:val="auto"/>
        </w:rPr>
      </w:pPr>
    </w:p>
    <w:p>
      <w:pPr>
        <w:ind w:left="1180" w:hanging="259"/>
        <w:spacing w:after="0"/>
        <w:tabs>
          <w:tab w:leader="none" w:pos="1180"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21" w:lineRule="exact"/>
        <w:rPr>
          <w:sz w:val="20"/>
          <w:szCs w:val="20"/>
          <w:color w:val="auto"/>
        </w:rPr>
      </w:pPr>
    </w:p>
    <w:p>
      <w:pPr>
        <w:ind w:left="1180" w:hanging="259"/>
        <w:spacing w:after="0"/>
        <w:tabs>
          <w:tab w:leader="none" w:pos="1180"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13" w:lineRule="exact"/>
        <w:rPr>
          <w:sz w:val="20"/>
          <w:szCs w:val="20"/>
          <w:color w:val="auto"/>
        </w:rPr>
      </w:pPr>
    </w:p>
    <w:p>
      <w:pPr>
        <w:ind w:right="7520" w:firstLine="921"/>
        <w:spacing w:after="0" w:line="362" w:lineRule="auto"/>
        <w:tabs>
          <w:tab w:leader="none" w:pos="1176"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 xml:space="preserve">SUBSIDIARIES AND AFFILIATES </w:t>
      </w:r>
      <w:r>
        <w:rPr>
          <w:rFonts w:ascii="Arial" w:cs="Arial" w:eastAsia="Arial" w:hAnsi="Arial"/>
          <w:sz w:val="18"/>
          <w:szCs w:val="18"/>
          <w:color w:val="auto"/>
        </w:rPr>
        <w:t>For purposes of this Agreement:</w:t>
      </w:r>
    </w:p>
    <w:p>
      <w:pPr>
        <w:spacing w:after="0" w:line="50" w:lineRule="exact"/>
        <w:rPr>
          <w:rFonts w:ascii="Arial" w:cs="Arial" w:eastAsia="Arial" w:hAnsi="Arial"/>
          <w:sz w:val="18"/>
          <w:szCs w:val="18"/>
          <w:color w:val="auto"/>
        </w:rPr>
      </w:pPr>
    </w:p>
    <w:p>
      <w:pPr>
        <w:ind w:right="300" w:firstLine="1492"/>
        <w:spacing w:after="0" w:line="259" w:lineRule="auto"/>
        <w:tabs>
          <w:tab w:leader="none" w:pos="1722" w:val="left"/>
        </w:tabs>
        <w:numPr>
          <w:ilvl w:val="1"/>
          <w:numId w:val="351"/>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40" w:lineRule="exact"/>
        <w:rPr>
          <w:rFonts w:ascii="Arial" w:cs="Arial" w:eastAsia="Arial" w:hAnsi="Arial"/>
          <w:sz w:val="18"/>
          <w:szCs w:val="18"/>
          <w:color w:val="auto"/>
        </w:rPr>
      </w:pPr>
    </w:p>
    <w:p>
      <w:pPr>
        <w:ind w:right="100" w:firstLine="1492"/>
        <w:spacing w:after="0" w:line="332" w:lineRule="auto"/>
        <w:tabs>
          <w:tab w:leader="none" w:pos="1732" w:val="left"/>
        </w:tabs>
        <w:numPr>
          <w:ilvl w:val="1"/>
          <w:numId w:val="351"/>
        </w:numPr>
        <w:rPr>
          <w:rFonts w:ascii="Arial" w:cs="Arial" w:eastAsia="Arial" w:hAnsi="Arial"/>
          <w:sz w:val="16"/>
          <w:szCs w:val="16"/>
          <w:color w:val="auto"/>
        </w:rPr>
      </w:pPr>
      <w:r>
        <w:rPr>
          <w:rFonts w:ascii="Arial" w:cs="Arial" w:eastAsia="Arial" w:hAnsi="Arial"/>
          <w:sz w:val="16"/>
          <w:szCs w:val="16"/>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80" w:right="339" w:bottom="1440" w:gutter="0" w:footer="0" w:header="0"/>
        </w:sectPr>
      </w:pPr>
    </w:p>
    <w:bookmarkStart w:id="191" w:name="page192"/>
    <w:bookmarkEnd w:id="191"/>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generally in the election of directors (or similar governing body of a non-corporate entity) or in which the Company has the right to receive 50% or more of the distribution of profits or 50% or more of the assets on liquidation or dissolution.</w:t>
      </w:r>
    </w:p>
    <w:p>
      <w:pPr>
        <w:spacing w:after="0" w:line="213" w:lineRule="exact"/>
        <w:rPr>
          <w:sz w:val="20"/>
          <w:szCs w:val="20"/>
          <w:color w:val="auto"/>
        </w:rPr>
      </w:pPr>
    </w:p>
    <w:p>
      <w:pPr>
        <w:ind w:left="1180" w:hanging="259"/>
        <w:spacing w:after="0"/>
        <w:tabs>
          <w:tab w:leader="none" w:pos="1180"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213" w:lineRule="exact"/>
        <w:rPr>
          <w:sz w:val="20"/>
          <w:szCs w:val="20"/>
          <w:color w:val="auto"/>
        </w:rPr>
      </w:pPr>
    </w:p>
    <w:p>
      <w:pPr>
        <w:ind w:left="1180" w:hanging="259"/>
        <w:spacing w:after="0"/>
        <w:tabs>
          <w:tab w:leader="none" w:pos="118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ectPr>
          <w:pgSz w:w="11900" w:h="16838" w:orient="portrait"/>
          <w:cols w:equalWidth="0" w:num="1">
            <w:col w:w="11380"/>
          </w:cols>
          <w:pgMar w:left="240" w:top="280" w:right="27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David A. Levin</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President, Chief Executive Officer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Executive VP, COO, CFO</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Peter E.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2201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E. Schmitz</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Date: January 8, 2010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Date: January 8, 2010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Date: January 7, 2010</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5400" w:space="220"/>
            <w:col w:w="5760"/>
          </w:cols>
          <w:pgMar w:left="240" w:top="280" w:right="279" w:bottom="1440" w:gutter="0" w:footer="0" w:header="0"/>
          <w:type w:val="continuous"/>
        </w:sectPr>
      </w:pPr>
    </w:p>
    <w:bookmarkStart w:id="192" w:name="page193"/>
    <w:bookmarkEnd w:id="192"/>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171" w:lineRule="exact"/>
        <w:rPr>
          <w:sz w:val="20"/>
          <w:szCs w:val="20"/>
          <w:color w:val="auto"/>
        </w:rPr>
      </w:pPr>
    </w:p>
    <w:p>
      <w:pPr>
        <w:ind w:left="-40" w:firstLine="464"/>
        <w:spacing w:after="0" w:line="284" w:lineRule="auto"/>
        <w:tabs>
          <w:tab w:leader="none" w:pos="592" w:val="left"/>
        </w:tabs>
        <w:numPr>
          <w:ilvl w:val="0"/>
          <w:numId w:val="354"/>
        </w:numPr>
        <w:rPr>
          <w:rFonts w:ascii="Arial" w:cs="Arial" w:eastAsia="Arial" w:hAnsi="Arial"/>
          <w:sz w:val="16"/>
          <w:szCs w:val="16"/>
          <w:color w:val="auto"/>
        </w:rPr>
      </w:pPr>
      <w:r>
        <w:rPr>
          <w:rFonts w:ascii="Arial" w:cs="Arial" w:eastAsia="Arial" w:hAnsi="Arial"/>
          <w:sz w:val="16"/>
          <w:szCs w:val="16"/>
          <w:color w:val="auto"/>
        </w:rPr>
        <w:t>Peter E. Schmitz (“</w:t>
      </w:r>
      <w:r>
        <w:rPr>
          <w:rFonts w:ascii="Arial" w:cs="Arial" w:eastAsia="Arial" w:hAnsi="Arial"/>
          <w:sz w:val="16"/>
          <w:szCs w:val="16"/>
          <w:u w:val="single" w:color="auto"/>
          <w:color w:val="auto"/>
        </w:rPr>
        <w:t>Executive</w:t>
      </w:r>
      <w:r>
        <w:rPr>
          <w:rFonts w:ascii="Arial" w:cs="Arial" w:eastAsia="Arial" w:hAnsi="Arial"/>
          <w:sz w:val="16"/>
          <w:szCs w:val="16"/>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does hereby release and forever discharge Casual Male Retail Group, Inc. (the “</w:t>
      </w:r>
      <w:r>
        <w:rPr>
          <w:rFonts w:ascii="Arial" w:cs="Arial" w:eastAsia="Arial" w:hAnsi="Arial"/>
          <w:sz w:val="16"/>
          <w:szCs w:val="16"/>
          <w:u w:val="single" w:color="auto"/>
          <w:color w:val="auto"/>
        </w:rPr>
        <w:t>Company</w:t>
      </w:r>
      <w:r>
        <w:rPr>
          <w:rFonts w:ascii="Arial" w:cs="Arial" w:eastAsia="Arial" w:hAnsi="Arial"/>
          <w:sz w:val="16"/>
          <w:szCs w:val="16"/>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280" w:right="259" w:bottom="1440" w:gutter="0" w:footer="0" w:header="0"/>
        </w:sectPr>
      </w:pPr>
    </w:p>
    <w:bookmarkStart w:id="193" w:name="page194"/>
    <w:bookmarkEnd w:id="193"/>
    <w:p>
      <w:pPr>
        <w:ind w:left="-20" w:firstLine="464"/>
        <w:spacing w:after="0" w:line="294" w:lineRule="auto"/>
        <w:tabs>
          <w:tab w:leader="none" w:pos="612" w:val="left"/>
        </w:tabs>
        <w:numPr>
          <w:ilvl w:val="0"/>
          <w:numId w:val="3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his right to commence a Proceeding to challenge whether Executive knowingly and voluntarily waived his rights under ADEA.</w:t>
      </w:r>
    </w:p>
    <w:p>
      <w:pPr>
        <w:spacing w:after="0" w:line="115" w:lineRule="exact"/>
        <w:rPr>
          <w:rFonts w:ascii="Arial" w:cs="Arial" w:eastAsia="Arial" w:hAnsi="Arial"/>
          <w:sz w:val="16"/>
          <w:szCs w:val="16"/>
          <w:color w:val="auto"/>
        </w:rPr>
      </w:pPr>
    </w:p>
    <w:p>
      <w:pPr>
        <w:ind w:left="-20" w:right="180" w:firstLine="464"/>
        <w:spacing w:after="0" w:line="256" w:lineRule="auto"/>
        <w:tabs>
          <w:tab w:leader="none" w:pos="612" w:val="left"/>
        </w:tabs>
        <w:numPr>
          <w:ilvl w:val="0"/>
          <w:numId w:val="355"/>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43"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355"/>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31" w:lineRule="exact"/>
        <w:rPr>
          <w:rFonts w:ascii="Arial" w:cs="Arial" w:eastAsia="Arial" w:hAnsi="Arial"/>
          <w:sz w:val="18"/>
          <w:szCs w:val="18"/>
          <w:color w:val="auto"/>
        </w:rPr>
      </w:pPr>
    </w:p>
    <w:p>
      <w:pPr>
        <w:jc w:val="both"/>
        <w:ind w:left="-20" w:right="420" w:firstLine="464"/>
        <w:spacing w:after="0" w:line="259" w:lineRule="auto"/>
        <w:tabs>
          <w:tab w:leader="none" w:pos="612" w:val="left"/>
        </w:tabs>
        <w:numPr>
          <w:ilvl w:val="0"/>
          <w:numId w:val="355"/>
        </w:numPr>
        <w:rPr>
          <w:rFonts w:ascii="Arial" w:cs="Arial" w:eastAsia="Arial" w:hAnsi="Arial"/>
          <w:sz w:val="18"/>
          <w:szCs w:val="18"/>
          <w:color w:val="auto"/>
        </w:rPr>
      </w:pPr>
      <w:r>
        <w:rPr>
          <w:rFonts w:ascii="Arial" w:cs="Arial" w:eastAsia="Arial" w:hAnsi="Arial"/>
          <w:sz w:val="18"/>
          <w:szCs w:val="18"/>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40"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269240</wp:posOffset>
            </wp:positionV>
            <wp:extent cx="28987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Peter E. Schmitz</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80"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10.39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Employment Agreement (“Agreement”) is made as of January 7, 2010 between CASUAL MALE RETAIL GROUP, INC., a Delaware corporation with an office at 555 Turnpike Street, Canton, Massachusetts, 02021 (the “Company” which term includes any affiliates and subsidiaries), and Vickie Smith (the “Executive”) having an address at 550 Liberty Street, 804, Braintree, MA 02184.</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Planning and Allocation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13" w:lineRule="exact"/>
        <w:rPr>
          <w:sz w:val="20"/>
          <w:szCs w:val="20"/>
          <w:color w:val="auto"/>
        </w:rPr>
      </w:pPr>
    </w:p>
    <w:p>
      <w:pPr>
        <w:ind w:left="1100" w:hanging="179"/>
        <w:spacing w:after="0"/>
        <w:tabs>
          <w:tab w:leader="none" w:pos="110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Senior Vice President, Planning and Allocation.</w:t>
      </w:r>
    </w:p>
    <w:p>
      <w:pPr>
        <w:spacing w:after="0" w:line="246" w:lineRule="exact"/>
        <w:rPr>
          <w:sz w:val="20"/>
          <w:szCs w:val="20"/>
          <w:color w:val="auto"/>
        </w:rPr>
      </w:pPr>
    </w:p>
    <w:p>
      <w:pPr>
        <w:ind w:left="1100" w:hanging="179"/>
        <w:spacing w:after="0"/>
        <w:tabs>
          <w:tab w:leader="none" w:pos="110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term of employment under this Agreement (the “Term of Employment”) shall begin on the date set forth above (the “Effective Date”) and shall continue until terminated by either party as hereinafter set forth.</w:t>
      </w:r>
    </w:p>
    <w:p>
      <w:pPr>
        <w:spacing w:after="0" w:line="213" w:lineRule="exact"/>
        <w:rPr>
          <w:sz w:val="20"/>
          <w:szCs w:val="20"/>
          <w:color w:val="auto"/>
        </w:rPr>
      </w:pPr>
    </w:p>
    <w:p>
      <w:pPr>
        <w:ind w:left="1100" w:hanging="179"/>
        <w:spacing w:after="0"/>
        <w:tabs>
          <w:tab w:leader="none" w:pos="110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sz w:val="20"/>
          <w:szCs w:val="20"/>
          <w:color w:val="auto"/>
        </w:rPr>
      </w:pPr>
    </w:p>
    <w:p>
      <w:pPr>
        <w:ind w:right="180" w:firstLine="921"/>
        <w:spacing w:after="0" w:line="323" w:lineRule="auto"/>
        <w:tabs>
          <w:tab w:leader="none" w:pos="1152" w:val="left"/>
        </w:tabs>
        <w:numPr>
          <w:ilvl w:val="0"/>
          <w:numId w:val="359"/>
        </w:numPr>
        <w:rPr>
          <w:rFonts w:ascii="Arial" w:cs="Arial" w:eastAsia="Arial" w:hAnsi="Arial"/>
          <w:sz w:val="15"/>
          <w:szCs w:val="15"/>
          <w:color w:val="auto"/>
        </w:rPr>
      </w:pPr>
      <w:r>
        <w:rPr>
          <w:rFonts w:ascii="Arial" w:cs="Arial" w:eastAsia="Arial" w:hAnsi="Arial"/>
          <w:sz w:val="15"/>
          <w:szCs w:val="15"/>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Sixty Thousand Dollars and 00/100 Cents ($260,000.00)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97" w:lineRule="exact"/>
        <w:rPr>
          <w:rFonts w:ascii="Arial" w:cs="Arial" w:eastAsia="Arial" w:hAnsi="Arial"/>
          <w:sz w:val="15"/>
          <w:szCs w:val="15"/>
          <w:color w:val="auto"/>
        </w:rPr>
      </w:pPr>
    </w:p>
    <w:p>
      <w:pPr>
        <w:ind w:firstLine="921"/>
        <w:spacing w:after="0" w:line="306" w:lineRule="auto"/>
        <w:tabs>
          <w:tab w:leader="none" w:pos="1162" w:val="left"/>
        </w:tabs>
        <w:numPr>
          <w:ilvl w:val="0"/>
          <w:numId w:val="359"/>
        </w:numPr>
        <w:rPr>
          <w:rFonts w:ascii="Arial" w:cs="Arial" w:eastAsia="Arial" w:hAnsi="Arial"/>
          <w:sz w:val="16"/>
          <w:szCs w:val="16"/>
          <w:color w:val="auto"/>
        </w:rPr>
      </w:pPr>
      <w:r>
        <w:rPr>
          <w:rFonts w:ascii="Arial" w:cs="Arial" w:eastAsia="Arial" w:hAnsi="Arial"/>
          <w:sz w:val="16"/>
          <w:szCs w:val="16"/>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w:t>
      </w:r>
    </w:p>
    <w:p>
      <w:pPr>
        <w:sectPr>
          <w:pgSz w:w="11900" w:h="16838" w:orient="portrait"/>
          <w:cols w:equalWidth="0" w:num="1">
            <w:col w:w="11420"/>
          </w:cols>
          <w:pgMar w:left="240" w:top="125" w:right="239" w:bottom="1440" w:gutter="0" w:footer="0" w:header="0"/>
        </w:sectPr>
      </w:pPr>
    </w:p>
    <w:bookmarkStart w:id="195" w:name="page196"/>
    <w:bookmarkEnd w:id="19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individual and Company performance conditions are met) shall be 35%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43" w:lineRule="exact"/>
        <w:rPr>
          <w:sz w:val="20"/>
          <w:szCs w:val="20"/>
          <w:color w:val="auto"/>
        </w:rPr>
      </w:pPr>
    </w:p>
    <w:p>
      <w:pPr>
        <w:ind w:right="20" w:firstLine="921"/>
        <w:spacing w:after="0" w:line="255" w:lineRule="auto"/>
        <w:tabs>
          <w:tab w:leader="none" w:pos="1152"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24" w:lineRule="exact"/>
        <w:rPr>
          <w:sz w:val="20"/>
          <w:szCs w:val="20"/>
          <w:color w:val="auto"/>
        </w:rPr>
      </w:pPr>
    </w:p>
    <w:p>
      <w:pPr>
        <w:ind w:left="1100" w:hanging="179"/>
        <w:spacing w:after="0"/>
        <w:tabs>
          <w:tab w:leader="none" w:pos="1100"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240" w:firstLine="913"/>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her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94" w:lineRule="exact"/>
        <w:rPr>
          <w:sz w:val="20"/>
          <w:szCs w:val="20"/>
          <w:color w:val="auto"/>
        </w:rPr>
      </w:pPr>
    </w:p>
    <w:p>
      <w:pPr>
        <w:ind w:left="1100" w:hanging="179"/>
        <w:spacing w:after="0"/>
        <w:tabs>
          <w:tab w:leader="none" w:pos="110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sz w:val="20"/>
          <w:szCs w:val="20"/>
          <w:color w:val="auto"/>
        </w:rPr>
      </w:pPr>
    </w:p>
    <w:p>
      <w:pPr>
        <w:ind w:right="280" w:firstLine="921"/>
        <w:spacing w:after="0" w:line="298" w:lineRule="auto"/>
        <w:tabs>
          <w:tab w:leader="none" w:pos="1152" w:val="left"/>
        </w:tabs>
        <w:numPr>
          <w:ilvl w:val="0"/>
          <w:numId w:val="363"/>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right="40" w:firstLine="921"/>
        <w:spacing w:after="0" w:line="298" w:lineRule="auto"/>
        <w:tabs>
          <w:tab w:leader="none" w:pos="1162" w:val="left"/>
        </w:tabs>
        <w:numPr>
          <w:ilvl w:val="0"/>
          <w:numId w:val="363"/>
        </w:numPr>
        <w:rPr>
          <w:rFonts w:ascii="Arial" w:cs="Arial" w:eastAsia="Arial" w:hAnsi="Arial"/>
          <w:sz w:val="16"/>
          <w:szCs w:val="16"/>
          <w:color w:val="auto"/>
        </w:rPr>
      </w:pPr>
      <w:r>
        <w:rPr>
          <w:rFonts w:ascii="Arial" w:cs="Arial" w:eastAsia="Arial" w:hAnsi="Arial"/>
          <w:sz w:val="16"/>
          <w:szCs w:val="16"/>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her gasoline, unless the gasoline expense is reimbursable under the Company’s policies and procedures.</w:t>
      </w:r>
    </w:p>
    <w:p>
      <w:pPr>
        <w:spacing w:after="0" w:line="113" w:lineRule="exact"/>
        <w:rPr>
          <w:sz w:val="20"/>
          <w:szCs w:val="20"/>
          <w:color w:val="auto"/>
        </w:rPr>
      </w:pPr>
    </w:p>
    <w:p>
      <w:pPr>
        <w:ind w:left="5680" w:right="3460" w:hanging="4759"/>
        <w:spacing w:after="0" w:line="440" w:lineRule="auto"/>
        <w:tabs>
          <w:tab w:leader="none" w:pos="1179" w:val="left"/>
        </w:tabs>
        <w:numPr>
          <w:ilvl w:val="0"/>
          <w:numId w:val="364"/>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 2</w:t>
      </w:r>
    </w:p>
    <w:p>
      <w:pPr>
        <w:sectPr>
          <w:pgSz w:w="11900" w:h="16838" w:orient="portrait"/>
          <w:cols w:equalWidth="0" w:num="1">
            <w:col w:w="11420"/>
          </w:cols>
          <w:pgMar w:left="240" w:top="280" w:right="239" w:bottom="1440" w:gutter="0" w:footer="0" w:header="0"/>
        </w:sectPr>
      </w:pPr>
    </w:p>
    <w:bookmarkStart w:id="196" w:name="page197"/>
    <w:bookmarkEnd w:id="196"/>
    <w:p>
      <w:pPr>
        <w:ind w:left="1080" w:hanging="179"/>
        <w:spacing w:after="0"/>
        <w:tabs>
          <w:tab w:leader="none" w:pos="1080"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DUTIES</w:t>
      </w:r>
    </w:p>
    <w:p>
      <w:pPr>
        <w:spacing w:after="0" w:line="90" w:lineRule="exact"/>
        <w:rPr>
          <w:sz w:val="20"/>
          <w:szCs w:val="20"/>
          <w:color w:val="auto"/>
        </w:rPr>
      </w:pPr>
    </w:p>
    <w:p>
      <w:pPr>
        <w:ind w:left="-20" w:firstLine="921"/>
        <w:spacing w:after="0" w:line="259" w:lineRule="auto"/>
        <w:tabs>
          <w:tab w:leader="none" w:pos="1132" w:val="left"/>
        </w:tabs>
        <w:numPr>
          <w:ilvl w:val="0"/>
          <w:numId w:val="366"/>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Planning and Allocation and/or as the Company shall from time to time determine and Executive shall comply in the performance of her duties with the policies of, and be subject to the direction of the Company.</w:t>
      </w:r>
    </w:p>
    <w:p>
      <w:pPr>
        <w:spacing w:after="0" w:line="140" w:lineRule="exact"/>
        <w:rPr>
          <w:rFonts w:ascii="Arial" w:cs="Arial" w:eastAsia="Arial" w:hAnsi="Arial"/>
          <w:sz w:val="18"/>
          <w:szCs w:val="18"/>
          <w:color w:val="auto"/>
        </w:rPr>
      </w:pPr>
    </w:p>
    <w:p>
      <w:pPr>
        <w:ind w:left="-20" w:right="160" w:firstLine="921"/>
        <w:spacing w:after="0" w:line="298" w:lineRule="auto"/>
        <w:tabs>
          <w:tab w:leader="none" w:pos="1142" w:val="left"/>
        </w:tabs>
        <w:numPr>
          <w:ilvl w:val="0"/>
          <w:numId w:val="366"/>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her time and attention, vacation time and absences for sickness excepted, to the business of the Company, as necessary to fulfill her duties. Executive shall perform the duties assigned to her with fidelity and to the best of her ability. Notwithstanding anything herein to the contrary, and subject to the foregoing, Executive shall not be prevented from accepting positions in outside organizations so long as such activities do not interfere with Executive’s performance of her duties hereunder and do not violate paragraph 10 hereof.</w:t>
      </w:r>
    </w:p>
    <w:p>
      <w:pPr>
        <w:spacing w:after="0" w:line="112" w:lineRule="exact"/>
        <w:rPr>
          <w:rFonts w:ascii="Arial" w:cs="Arial" w:eastAsia="Arial" w:hAnsi="Arial"/>
          <w:sz w:val="16"/>
          <w:szCs w:val="16"/>
          <w:color w:val="auto"/>
        </w:rPr>
      </w:pPr>
    </w:p>
    <w:p>
      <w:pPr>
        <w:jc w:val="both"/>
        <w:ind w:left="-20" w:right="20" w:firstLine="921"/>
        <w:spacing w:after="0" w:line="306" w:lineRule="auto"/>
        <w:tabs>
          <w:tab w:leader="none" w:pos="1132" w:val="left"/>
        </w:tabs>
        <w:numPr>
          <w:ilvl w:val="0"/>
          <w:numId w:val="366"/>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her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her duties hereunder, and Executive recognizes that such duties may involve travel.</w:t>
      </w:r>
    </w:p>
    <w:p>
      <w:pPr>
        <w:spacing w:after="0" w:line="188" w:lineRule="exact"/>
        <w:rPr>
          <w:sz w:val="20"/>
          <w:szCs w:val="20"/>
          <w:color w:val="auto"/>
        </w:rPr>
      </w:pPr>
    </w:p>
    <w:p>
      <w:pPr>
        <w:ind w:left="1080" w:hanging="179"/>
        <w:spacing w:after="0"/>
        <w:tabs>
          <w:tab w:leader="none" w:pos="108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sz w:val="20"/>
          <w:szCs w:val="20"/>
          <w:color w:val="auto"/>
        </w:rPr>
      </w:pPr>
    </w:p>
    <w:p>
      <w:pPr>
        <w:ind w:left="1140" w:hanging="239"/>
        <w:spacing w:after="0"/>
        <w:tabs>
          <w:tab w:leader="none" w:pos="11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171" w:lineRule="exact"/>
        <w:rPr>
          <w:rFonts w:ascii="Arial" w:cs="Arial" w:eastAsia="Arial" w:hAnsi="Arial"/>
          <w:sz w:val="18"/>
          <w:szCs w:val="18"/>
          <w:color w:val="auto"/>
        </w:rPr>
      </w:pPr>
    </w:p>
    <w:p>
      <w:pPr>
        <w:jc w:val="both"/>
        <w:ind w:left="-20" w:right="160" w:firstLine="1492"/>
        <w:spacing w:after="0" w:line="259" w:lineRule="auto"/>
        <w:tabs>
          <w:tab w:leader="none" w:pos="1673" w:val="left"/>
        </w:tabs>
        <w:numPr>
          <w:ilvl w:val="1"/>
          <w:numId w:val="368"/>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her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1740" w:hanging="268"/>
        <w:spacing w:after="0"/>
        <w:tabs>
          <w:tab w:leader="none" w:pos="174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171" w:lineRule="exact"/>
        <w:rPr>
          <w:rFonts w:ascii="Arial" w:cs="Arial" w:eastAsia="Arial" w:hAnsi="Arial"/>
          <w:sz w:val="18"/>
          <w:szCs w:val="18"/>
          <w:color w:val="auto"/>
        </w:rPr>
      </w:pPr>
    </w:p>
    <w:p>
      <w:pPr>
        <w:ind w:left="1140" w:hanging="239"/>
        <w:spacing w:after="0"/>
        <w:tabs>
          <w:tab w:leader="none" w:pos="11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171" w:lineRule="exact"/>
        <w:rPr>
          <w:rFonts w:ascii="Arial" w:cs="Arial" w:eastAsia="Arial" w:hAnsi="Arial"/>
          <w:sz w:val="18"/>
          <w:szCs w:val="18"/>
          <w:color w:val="auto"/>
        </w:rPr>
      </w:pPr>
    </w:p>
    <w:p>
      <w:pPr>
        <w:ind w:left="1680" w:hanging="208"/>
        <w:spacing w:after="0"/>
        <w:tabs>
          <w:tab w:leader="none" w:pos="168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rFonts w:ascii="Arial" w:cs="Arial" w:eastAsia="Arial" w:hAnsi="Arial"/>
          <w:sz w:val="18"/>
          <w:szCs w:val="18"/>
          <w:color w:val="auto"/>
        </w:rPr>
      </w:pPr>
    </w:p>
    <w:p>
      <w:pPr>
        <w:ind w:left="-20" w:right="280" w:firstLine="1492"/>
        <w:spacing w:after="0" w:line="268" w:lineRule="auto"/>
        <w:tabs>
          <w:tab w:leader="none" w:pos="1722" w:val="left"/>
        </w:tabs>
        <w:numPr>
          <w:ilvl w:val="1"/>
          <w:numId w:val="368"/>
        </w:numPr>
        <w:rPr>
          <w:rFonts w:ascii="Arial" w:cs="Arial" w:eastAsia="Arial" w:hAnsi="Arial"/>
          <w:sz w:val="18"/>
          <w:szCs w:val="18"/>
          <w:color w:val="auto"/>
        </w:rPr>
      </w:pPr>
      <w:r>
        <w:rPr>
          <w:rFonts w:ascii="Arial" w:cs="Arial" w:eastAsia="Arial" w:hAnsi="Arial"/>
          <w:sz w:val="18"/>
          <w:szCs w:val="18"/>
          <w:color w:val="auto"/>
        </w:rPr>
        <w:t>the date on which the Company elects to terminate the Term of Employment by reason of the “disability” of Executive (as hereinafter defined in subsection (c) herein) pursuant to subsection (g) hereof; or</w:t>
      </w:r>
    </w:p>
    <w:p>
      <w:pPr>
        <w:spacing w:after="0" w:line="131" w:lineRule="exact"/>
        <w:rPr>
          <w:rFonts w:ascii="Arial" w:cs="Arial" w:eastAsia="Arial" w:hAnsi="Arial"/>
          <w:sz w:val="18"/>
          <w:szCs w:val="18"/>
          <w:color w:val="auto"/>
        </w:rPr>
      </w:pPr>
    </w:p>
    <w:p>
      <w:pPr>
        <w:ind w:left="1780" w:hanging="308"/>
        <w:spacing w:after="0"/>
        <w:tabs>
          <w:tab w:leader="none" w:pos="178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197" w:name="page198"/>
    <w:bookmarkEnd w:id="197"/>
    <w:p>
      <w:pPr>
        <w:ind w:left="-80" w:right="20" w:firstLine="921"/>
        <w:spacing w:after="0" w:line="259" w:lineRule="auto"/>
        <w:tabs>
          <w:tab w:leader="none" w:pos="1072" w:val="left"/>
        </w:tabs>
        <w:numPr>
          <w:ilvl w:val="0"/>
          <w:numId w:val="3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80" w:right="20" w:firstLine="921"/>
        <w:spacing w:after="0" w:line="287" w:lineRule="auto"/>
        <w:tabs>
          <w:tab w:leader="none" w:pos="1082" w:val="left"/>
        </w:tabs>
        <w:numPr>
          <w:ilvl w:val="0"/>
          <w:numId w:val="369"/>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her duties in a satisfactory manner; Executive’s performance of any act or her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her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her termination of employment.</w:t>
      </w:r>
    </w:p>
    <w:p>
      <w:pPr>
        <w:spacing w:after="0" w:line="122" w:lineRule="exact"/>
        <w:rPr>
          <w:rFonts w:ascii="Arial" w:cs="Arial" w:eastAsia="Arial" w:hAnsi="Arial"/>
          <w:sz w:val="16"/>
          <w:szCs w:val="16"/>
          <w:color w:val="auto"/>
        </w:rPr>
      </w:pPr>
    </w:p>
    <w:p>
      <w:pPr>
        <w:ind w:left="-80" w:firstLine="921"/>
        <w:spacing w:after="0" w:line="289" w:lineRule="auto"/>
        <w:tabs>
          <w:tab w:leader="none" w:pos="1072" w:val="left"/>
        </w:tabs>
        <w:numPr>
          <w:ilvl w:val="0"/>
          <w:numId w:val="369"/>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7(a)(i), the Company shall pay Executive her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18" w:lineRule="exact"/>
        <w:rPr>
          <w:rFonts w:ascii="Arial" w:cs="Arial" w:eastAsia="Arial" w:hAnsi="Arial"/>
          <w:sz w:val="16"/>
          <w:szCs w:val="16"/>
          <w:color w:val="auto"/>
        </w:rPr>
      </w:pPr>
    </w:p>
    <w:p>
      <w:pPr>
        <w:ind w:left="-80" w:right="180" w:firstLine="921"/>
        <w:spacing w:after="0" w:line="259" w:lineRule="auto"/>
        <w:tabs>
          <w:tab w:leader="none" w:pos="1052"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If Executive shall die during the term of her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her death.</w:t>
      </w:r>
    </w:p>
    <w:p>
      <w:pPr>
        <w:spacing w:after="0" w:line="140" w:lineRule="exact"/>
        <w:rPr>
          <w:rFonts w:ascii="Arial" w:cs="Arial" w:eastAsia="Arial" w:hAnsi="Arial"/>
          <w:sz w:val="18"/>
          <w:szCs w:val="18"/>
          <w:color w:val="auto"/>
        </w:rPr>
      </w:pPr>
    </w:p>
    <w:p>
      <w:pPr>
        <w:ind w:left="-80" w:right="80" w:firstLine="921"/>
        <w:spacing w:after="0" w:line="335" w:lineRule="auto"/>
        <w:tabs>
          <w:tab w:leader="none" w:pos="1082" w:val="left"/>
        </w:tabs>
        <w:numPr>
          <w:ilvl w:val="0"/>
          <w:numId w:val="369"/>
        </w:numPr>
        <w:rPr>
          <w:rFonts w:ascii="Arial" w:cs="Arial" w:eastAsia="Arial" w:hAnsi="Arial"/>
          <w:sz w:val="15"/>
          <w:szCs w:val="15"/>
          <w:color w:val="auto"/>
        </w:rPr>
      </w:pPr>
      <w:r>
        <w:rPr>
          <w:rFonts w:ascii="Arial" w:cs="Arial" w:eastAsia="Arial" w:hAnsi="Arial"/>
          <w:sz w:val="15"/>
          <w:szCs w:val="15"/>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she begins to receive long-term disability insurance benefits under the policy provided by the Company pursuant to paragraph 5 hereof.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320" w:top="280" w:right="299" w:bottom="1440" w:gutter="0" w:footer="0" w:header="0"/>
        </w:sectPr>
      </w:pPr>
    </w:p>
    <w:bookmarkStart w:id="198" w:name="page199"/>
    <w:bookmarkEnd w:id="198"/>
    <w:p>
      <w:pPr>
        <w:ind w:left="-8" w:right="20" w:firstLine="921"/>
        <w:spacing w:after="0" w:line="335" w:lineRule="auto"/>
        <w:tabs>
          <w:tab w:leader="none" w:pos="1154" w:val="left"/>
        </w:tabs>
        <w:numPr>
          <w:ilvl w:val="1"/>
          <w:numId w:val="37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resignation of Executive in any capacity, that resignation will be deemed to be a resignation from all offices and positions that Executive holds with respect to the Company and any of its subsidiaries and affiliates. In the event of Executive’s resignation, she shall be entitled only to receive such portion of her annual Base Salary and reimbursement of expenses pursuant to paragraph 4 as have been accrued through the date of her resignation.</w:t>
      </w:r>
    </w:p>
    <w:p>
      <w:pPr>
        <w:spacing w:after="0" w:line="88" w:lineRule="exact"/>
        <w:rPr>
          <w:rFonts w:ascii="Arial" w:cs="Arial" w:eastAsia="Arial" w:hAnsi="Arial"/>
          <w:sz w:val="15"/>
          <w:szCs w:val="15"/>
          <w:color w:val="auto"/>
        </w:rPr>
      </w:pPr>
    </w:p>
    <w:p>
      <w:pPr>
        <w:ind w:left="-8" w:right="20" w:firstLine="921"/>
        <w:spacing w:after="0" w:line="301" w:lineRule="auto"/>
        <w:tabs>
          <w:tab w:leader="none" w:pos="1115" w:val="left"/>
        </w:tabs>
        <w:numPr>
          <w:ilvl w:val="1"/>
          <w:numId w:val="370"/>
        </w:numPr>
        <w:rPr>
          <w:rFonts w:ascii="Arial" w:cs="Arial" w:eastAsia="Arial" w:hAnsi="Arial"/>
          <w:sz w:val="15"/>
          <w:szCs w:val="15"/>
          <w:color w:val="auto"/>
        </w:rPr>
      </w:pPr>
      <w:r>
        <w:rPr>
          <w:rFonts w:ascii="Arial" w:cs="Arial" w:eastAsia="Arial" w:hAnsi="Arial"/>
          <w:sz w:val="15"/>
          <w:szCs w:val="15"/>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Good Reason”</w:t>
      </w:r>
      <w:r>
        <w:rPr>
          <w:rFonts w:ascii="Arial" w:cs="Arial" w:eastAsia="Arial" w:hAnsi="Arial"/>
          <w:sz w:val="15"/>
          <w:szCs w:val="15"/>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w:t>
      </w:r>
    </w:p>
    <w:p>
      <w:pPr>
        <w:spacing w:after="0" w:line="4" w:lineRule="exact"/>
        <w:rPr>
          <w:rFonts w:ascii="Arial" w:cs="Arial" w:eastAsia="Arial" w:hAnsi="Arial"/>
          <w:sz w:val="15"/>
          <w:szCs w:val="15"/>
          <w:color w:val="auto"/>
        </w:rPr>
      </w:pPr>
    </w:p>
    <w:p>
      <w:pPr>
        <w:ind w:left="-8" w:firstLine="8"/>
        <w:spacing w:after="0" w:line="288" w:lineRule="auto"/>
        <w:tabs>
          <w:tab w:leader="none" w:pos="289" w:val="left"/>
        </w:tabs>
        <w:numPr>
          <w:ilvl w:val="0"/>
          <w:numId w:val="371"/>
        </w:numPr>
        <w:rPr>
          <w:rFonts w:ascii="Arial" w:cs="Arial" w:eastAsia="Arial" w:hAnsi="Arial"/>
          <w:sz w:val="16"/>
          <w:szCs w:val="16"/>
          <w:color w:val="auto"/>
        </w:rPr>
      </w:pPr>
      <w:r>
        <w:rPr>
          <w:rFonts w:ascii="Arial" w:cs="Arial" w:eastAsia="Arial" w:hAnsi="Arial"/>
          <w:sz w:val="16"/>
          <w:szCs w:val="16"/>
          <w:color w:val="auto"/>
        </w:rPr>
        <w:t>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22" w:lineRule="exact"/>
        <w:rPr>
          <w:rFonts w:ascii="Arial" w:cs="Arial" w:eastAsia="Arial" w:hAnsi="Arial"/>
          <w:sz w:val="16"/>
          <w:szCs w:val="16"/>
          <w:color w:val="auto"/>
        </w:rPr>
      </w:pPr>
    </w:p>
    <w:p>
      <w:pPr>
        <w:ind w:left="-8" w:right="100" w:firstLine="921"/>
        <w:spacing w:after="0" w:line="268" w:lineRule="auto"/>
        <w:tabs>
          <w:tab w:leader="none" w:pos="1115" w:val="left"/>
        </w:tabs>
        <w:numPr>
          <w:ilvl w:val="1"/>
          <w:numId w:val="371"/>
        </w:numPr>
        <w:rPr>
          <w:rFonts w:ascii="Arial" w:cs="Arial" w:eastAsia="Arial" w:hAnsi="Arial"/>
          <w:sz w:val="18"/>
          <w:szCs w:val="18"/>
          <w:color w:val="auto"/>
        </w:rPr>
      </w:pPr>
      <w:r>
        <w:rPr>
          <w:rFonts w:ascii="Arial" w:cs="Arial" w:eastAsia="Arial" w:hAnsi="Arial"/>
          <w:sz w:val="18"/>
          <w:szCs w:val="18"/>
          <w:color w:val="auto"/>
        </w:rPr>
        <w:t>Clawback of Certain Compensation and Benefits. If, after the termination of the Term of Employment for any reason other than by the Company for “justifiable cause”:</w:t>
      </w:r>
    </w:p>
    <w:p>
      <w:pPr>
        <w:spacing w:after="0" w:line="132" w:lineRule="exact"/>
        <w:rPr>
          <w:sz w:val="20"/>
          <w:szCs w:val="20"/>
          <w:color w:val="auto"/>
        </w:rPr>
      </w:pPr>
    </w:p>
    <w:p>
      <w:pPr>
        <w:ind w:left="-8" w:right="160" w:firstLine="1492"/>
        <w:spacing w:after="0" w:line="256" w:lineRule="auto"/>
        <w:tabs>
          <w:tab w:leader="none" w:pos="1685"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80" w:right="259" w:bottom="1440" w:gutter="0" w:footer="0" w:header="0"/>
        </w:sectPr>
      </w:pPr>
    </w:p>
    <w:bookmarkStart w:id="199" w:name="page200"/>
    <w:bookmarkEnd w:id="199"/>
    <w:p>
      <w:pPr>
        <w:ind w:right="220" w:firstLine="1492"/>
        <w:spacing w:after="0" w:line="306" w:lineRule="auto"/>
        <w:tabs>
          <w:tab w:leader="none" w:pos="1742" w:val="left"/>
        </w:tabs>
        <w:numPr>
          <w:ilvl w:val="1"/>
          <w:numId w:val="3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06" w:lineRule="exact"/>
        <w:rPr>
          <w:rFonts w:ascii="Arial" w:cs="Arial" w:eastAsia="Arial" w:hAnsi="Arial"/>
          <w:sz w:val="16"/>
          <w:szCs w:val="16"/>
          <w:color w:val="auto"/>
        </w:rPr>
      </w:pPr>
    </w:p>
    <w:p>
      <w:pPr>
        <w:ind w:right="40" w:firstLine="1948"/>
        <w:spacing w:after="0" w:line="318" w:lineRule="auto"/>
        <w:tabs>
          <w:tab w:leader="none" w:pos="2228" w:val="left"/>
        </w:tabs>
        <w:numPr>
          <w:ilvl w:val="2"/>
          <w:numId w:val="373"/>
        </w:numPr>
        <w:rPr>
          <w:rFonts w:ascii="Arial" w:cs="Arial" w:eastAsia="Arial" w:hAnsi="Arial"/>
          <w:sz w:val="15"/>
          <w:szCs w:val="15"/>
          <w:color w:val="auto"/>
        </w:rPr>
      </w:pPr>
      <w:r>
        <w:rPr>
          <w:rFonts w:ascii="Arial" w:cs="Arial" w:eastAsia="Arial" w:hAnsi="Arial"/>
          <w:sz w:val="15"/>
          <w:szCs w:val="15"/>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99" w:lineRule="exact"/>
        <w:rPr>
          <w:rFonts w:ascii="Arial" w:cs="Arial" w:eastAsia="Arial" w:hAnsi="Arial"/>
          <w:sz w:val="15"/>
          <w:szCs w:val="15"/>
          <w:color w:val="auto"/>
        </w:rPr>
      </w:pPr>
    </w:p>
    <w:p>
      <w:pPr>
        <w:ind w:left="2220" w:hanging="272"/>
        <w:spacing w:after="0"/>
        <w:tabs>
          <w:tab w:leader="none" w:pos="2220" w:val="left"/>
        </w:tabs>
        <w:numPr>
          <w:ilvl w:val="2"/>
          <w:numId w:val="373"/>
        </w:numPr>
        <w:rPr>
          <w:rFonts w:ascii="Arial" w:cs="Arial" w:eastAsia="Arial" w:hAnsi="Arial"/>
          <w:sz w:val="15"/>
          <w:szCs w:val="15"/>
          <w:color w:val="auto"/>
        </w:rPr>
      </w:pPr>
      <w:r>
        <w:rPr>
          <w:rFonts w:ascii="Arial" w:cs="Arial" w:eastAsia="Arial" w:hAnsi="Arial"/>
          <w:sz w:val="15"/>
          <w:szCs w:val="15"/>
          <w:color w:val="auto"/>
        </w:rPr>
        <w:t>all vested and unvested Awards (as that term is defined in the 2006 Incentive Compensation Plan) then held by the Executive shall</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immediately expire; and</w:t>
      </w:r>
    </w:p>
    <w:p>
      <w:pPr>
        <w:spacing w:after="0" w:line="164" w:lineRule="exact"/>
        <w:rPr>
          <w:rFonts w:ascii="Arial" w:cs="Arial" w:eastAsia="Arial" w:hAnsi="Arial"/>
          <w:sz w:val="15"/>
          <w:szCs w:val="15"/>
          <w:color w:val="auto"/>
        </w:rPr>
      </w:pPr>
    </w:p>
    <w:p>
      <w:pPr>
        <w:ind w:firstLine="1948"/>
        <w:spacing w:after="0" w:line="289" w:lineRule="auto"/>
        <w:tabs>
          <w:tab w:leader="none" w:pos="2218" w:val="left"/>
        </w:tabs>
        <w:numPr>
          <w:ilvl w:val="2"/>
          <w:numId w:val="373"/>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18" w:lineRule="exact"/>
        <w:rPr>
          <w:rFonts w:ascii="Arial" w:cs="Arial" w:eastAsia="Arial" w:hAnsi="Arial"/>
          <w:sz w:val="16"/>
          <w:szCs w:val="16"/>
          <w:color w:val="auto"/>
        </w:rPr>
      </w:pPr>
    </w:p>
    <w:p>
      <w:pPr>
        <w:ind w:right="460" w:firstLine="921"/>
        <w:spacing w:after="0" w:line="268" w:lineRule="auto"/>
        <w:tabs>
          <w:tab w:leader="none" w:pos="1162"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213" w:lineRule="exact"/>
        <w:rPr>
          <w:sz w:val="20"/>
          <w:szCs w:val="20"/>
          <w:color w:val="auto"/>
        </w:rPr>
      </w:pPr>
    </w:p>
    <w:p>
      <w:pPr>
        <w:ind w:left="1100" w:hanging="179"/>
        <w:spacing w:after="0"/>
        <w:tabs>
          <w:tab w:leader="none" w:pos="1100"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sz w:val="20"/>
          <w:szCs w:val="20"/>
          <w:color w:val="auto"/>
        </w:rPr>
      </w:pPr>
    </w:p>
    <w:p>
      <w:pPr>
        <w:ind w:right="140" w:firstLine="921"/>
        <w:spacing w:after="0" w:line="268" w:lineRule="auto"/>
        <w:tabs>
          <w:tab w:leader="none" w:pos="1152" w:val="left"/>
        </w:tabs>
        <w:numPr>
          <w:ilvl w:val="0"/>
          <w:numId w:val="376"/>
        </w:numPr>
        <w:rPr>
          <w:rFonts w:ascii="Arial" w:cs="Arial" w:eastAsia="Arial" w:hAnsi="Arial"/>
          <w:sz w:val="18"/>
          <w:szCs w:val="18"/>
          <w:color w:val="auto"/>
        </w:rPr>
      </w:pPr>
      <w:r>
        <w:rPr>
          <w:rFonts w:ascii="Arial" w:cs="Arial" w:eastAsia="Arial" w:hAnsi="Arial"/>
          <w:sz w:val="18"/>
          <w:szCs w:val="18"/>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00" w:name="page201"/>
    <w:bookmarkEnd w:id="200"/>
    <w:p>
      <w:pPr>
        <w:ind w:right="3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13" w:lineRule="exact"/>
        <w:rPr>
          <w:sz w:val="20"/>
          <w:szCs w:val="20"/>
          <w:color w:val="auto"/>
        </w:rPr>
      </w:pPr>
    </w:p>
    <w:p>
      <w:pPr>
        <w:jc w:val="both"/>
        <w:ind w:right="60" w:firstLine="921"/>
        <w:spacing w:after="0" w:line="259" w:lineRule="auto"/>
        <w:tabs>
          <w:tab w:leader="none" w:pos="1162" w:val="left"/>
        </w:tabs>
        <w:numPr>
          <w:ilvl w:val="0"/>
          <w:numId w:val="377"/>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171" w:lineRule="exact"/>
        <w:rPr>
          <w:rFonts w:ascii="Arial" w:cs="Arial" w:eastAsia="Arial" w:hAnsi="Arial"/>
          <w:sz w:val="18"/>
          <w:szCs w:val="18"/>
          <w:color w:val="auto"/>
        </w:rPr>
      </w:pPr>
    </w:p>
    <w:p>
      <w:pPr>
        <w:ind w:right="20" w:firstLine="1492"/>
        <w:spacing w:after="0" w:line="289" w:lineRule="auto"/>
        <w:tabs>
          <w:tab w:leader="none" w:pos="1693" w:val="left"/>
        </w:tabs>
        <w:numPr>
          <w:ilvl w:val="1"/>
          <w:numId w:val="377"/>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18" w:lineRule="exact"/>
        <w:rPr>
          <w:rFonts w:ascii="Arial" w:cs="Arial" w:eastAsia="Arial" w:hAnsi="Arial"/>
          <w:sz w:val="16"/>
          <w:szCs w:val="16"/>
          <w:color w:val="auto"/>
        </w:rPr>
      </w:pPr>
    </w:p>
    <w:p>
      <w:pPr>
        <w:ind w:firstLine="1492"/>
        <w:spacing w:after="0" w:line="256" w:lineRule="auto"/>
        <w:tabs>
          <w:tab w:leader="none" w:pos="1742" w:val="left"/>
        </w:tabs>
        <w:numPr>
          <w:ilvl w:val="1"/>
          <w:numId w:val="377"/>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ind w:right="240" w:firstLine="921"/>
        <w:spacing w:after="0" w:line="259" w:lineRule="auto"/>
        <w:tabs>
          <w:tab w:leader="none" w:pos="1162" w:val="left"/>
        </w:tabs>
        <w:numPr>
          <w:ilvl w:val="0"/>
          <w:numId w:val="377"/>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ind w:right="80" w:firstLine="921"/>
        <w:spacing w:after="0" w:line="306" w:lineRule="auto"/>
        <w:tabs>
          <w:tab w:leader="none" w:pos="1152" w:val="left"/>
        </w:tabs>
        <w:numPr>
          <w:ilvl w:val="0"/>
          <w:numId w:val="377"/>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01" w:name="page202"/>
    <w:bookmarkEnd w:id="201"/>
    <w:p>
      <w:pPr>
        <w:ind w:left="1140" w:hanging="219"/>
        <w:spacing w:after="0"/>
        <w:tabs>
          <w:tab w:leader="none" w:pos="1140" w:val="left"/>
        </w:tabs>
        <w:numPr>
          <w:ilvl w:val="0"/>
          <w:numId w:val="3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Taxable Reimbursements.</w:t>
      </w:r>
    </w:p>
    <w:p>
      <w:pPr>
        <w:spacing w:after="0" w:line="171" w:lineRule="exact"/>
        <w:rPr>
          <w:rFonts w:ascii="Arial" w:cs="Arial" w:eastAsia="Arial" w:hAnsi="Arial"/>
          <w:sz w:val="18"/>
          <w:szCs w:val="18"/>
          <w:color w:val="auto"/>
        </w:rPr>
      </w:pPr>
    </w:p>
    <w:p>
      <w:pPr>
        <w:ind w:right="120" w:firstLine="1492"/>
        <w:spacing w:after="0" w:line="306" w:lineRule="auto"/>
        <w:tabs>
          <w:tab w:leader="none" w:pos="1693" w:val="left"/>
        </w:tabs>
        <w:numPr>
          <w:ilvl w:val="1"/>
          <w:numId w:val="378"/>
        </w:numPr>
        <w:rPr>
          <w:rFonts w:ascii="Arial" w:cs="Arial" w:eastAsia="Arial" w:hAnsi="Arial"/>
          <w:sz w:val="16"/>
          <w:szCs w:val="16"/>
          <w:color w:val="auto"/>
        </w:rPr>
      </w:pPr>
      <w:r>
        <w:rPr>
          <w:rFonts w:ascii="Arial" w:cs="Arial" w:eastAsia="Arial" w:hAnsi="Arial"/>
          <w:sz w:val="16"/>
          <w:szCs w:val="16"/>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06" w:lineRule="exact"/>
        <w:rPr>
          <w:rFonts w:ascii="Arial" w:cs="Arial" w:eastAsia="Arial" w:hAnsi="Arial"/>
          <w:sz w:val="16"/>
          <w:szCs w:val="16"/>
          <w:color w:val="auto"/>
        </w:rPr>
      </w:pPr>
    </w:p>
    <w:p>
      <w:pPr>
        <w:ind w:firstLine="1492"/>
        <w:spacing w:after="0" w:line="268" w:lineRule="auto"/>
        <w:tabs>
          <w:tab w:leader="none" w:pos="1742"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31" w:lineRule="exact"/>
        <w:rPr>
          <w:rFonts w:ascii="Arial" w:cs="Arial" w:eastAsia="Arial" w:hAnsi="Arial"/>
          <w:sz w:val="18"/>
          <w:szCs w:val="18"/>
          <w:color w:val="auto"/>
        </w:rPr>
      </w:pPr>
    </w:p>
    <w:p>
      <w:pPr>
        <w:ind w:left="1800" w:hanging="308"/>
        <w:spacing w:after="0"/>
        <w:tabs>
          <w:tab w:leader="none" w:pos="180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252" w:lineRule="exact"/>
        <w:rPr>
          <w:sz w:val="20"/>
          <w:szCs w:val="20"/>
          <w:color w:val="auto"/>
        </w:rPr>
      </w:pPr>
    </w:p>
    <w:p>
      <w:pPr>
        <w:ind w:left="1100" w:hanging="179"/>
        <w:spacing w:after="0"/>
        <w:tabs>
          <w:tab w:leader="none" w:pos="1100"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sz w:val="20"/>
          <w:szCs w:val="20"/>
          <w:color w:val="auto"/>
        </w:rPr>
      </w:pPr>
    </w:p>
    <w:p>
      <w:pPr>
        <w:ind w:right="40" w:firstLine="921"/>
        <w:spacing w:after="0" w:line="370" w:lineRule="auto"/>
        <w:tabs>
          <w:tab w:leader="none" w:pos="1152" w:val="left"/>
        </w:tabs>
        <w:numPr>
          <w:ilvl w:val="0"/>
          <w:numId w:val="380"/>
        </w:numPr>
        <w:rPr>
          <w:rFonts w:ascii="Arial" w:cs="Arial" w:eastAsia="Arial" w:hAnsi="Arial"/>
          <w:sz w:val="15"/>
          <w:szCs w:val="15"/>
          <w:color w:val="auto"/>
        </w:rPr>
      </w:pPr>
      <w:r>
        <w:rPr>
          <w:rFonts w:ascii="Arial" w:cs="Arial" w:eastAsia="Arial" w:hAnsi="Arial"/>
          <w:sz w:val="15"/>
          <w:szCs w:val="15"/>
          <w:color w:val="auto"/>
        </w:rPr>
        <w:t>Executive represents and warrants that she is free to enter into this Agreement and to perform the duties required hereunder, and that there are no employment contracts or understandings, restrictive covenants or other restrictions, whether written or oral, preventing the performance of her duties hereunder.</w:t>
      </w:r>
    </w:p>
    <w:p>
      <w:pPr>
        <w:spacing w:after="0" w:line="62" w:lineRule="exact"/>
        <w:rPr>
          <w:rFonts w:ascii="Arial" w:cs="Arial" w:eastAsia="Arial" w:hAnsi="Arial"/>
          <w:sz w:val="15"/>
          <w:szCs w:val="15"/>
          <w:color w:val="auto"/>
        </w:rPr>
      </w:pPr>
    </w:p>
    <w:p>
      <w:pPr>
        <w:jc w:val="both"/>
        <w:ind w:right="140" w:firstLine="921"/>
        <w:spacing w:after="0" w:line="259" w:lineRule="auto"/>
        <w:tabs>
          <w:tab w:leader="none" w:pos="1162"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140" w:firstLine="921"/>
        <w:spacing w:after="0" w:line="259" w:lineRule="auto"/>
        <w:tabs>
          <w:tab w:leader="none" w:pos="1152"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convicted of a felony and she has not been convicted or incarcerated for a misdemeanor within the past five years, other than a first conviction for drunkenness, simple assault, speeding, minor traffic violations, affray, or disturbance of the peace.</w:t>
      </w:r>
    </w:p>
    <w:p>
      <w:pPr>
        <w:spacing w:after="0" w:line="140" w:lineRule="exact"/>
        <w:rPr>
          <w:rFonts w:ascii="Arial" w:cs="Arial" w:eastAsia="Arial" w:hAnsi="Arial"/>
          <w:sz w:val="18"/>
          <w:szCs w:val="18"/>
          <w:color w:val="auto"/>
        </w:rPr>
      </w:pPr>
    </w:p>
    <w:p>
      <w:pPr>
        <w:ind w:right="20" w:firstLine="921"/>
        <w:spacing w:after="0" w:line="259" w:lineRule="auto"/>
        <w:tabs>
          <w:tab w:leader="none" w:pos="1162"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a party to any judicial or administrative proceeding that resulted in a judgement, decree, or final order (i) enjoining her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paragraph 7(d)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202" w:name="page203"/>
    <w:bookmarkEnd w:id="202"/>
    <w:p>
      <w:pPr>
        <w:ind w:left="1160" w:hanging="259"/>
        <w:spacing w:after="0"/>
        <w:tabs>
          <w:tab w:leader="none" w:pos="116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NON-COMPETITION</w:t>
      </w:r>
    </w:p>
    <w:p>
      <w:pPr>
        <w:spacing w:after="0" w:line="90" w:lineRule="exact"/>
        <w:rPr>
          <w:sz w:val="20"/>
          <w:szCs w:val="20"/>
          <w:color w:val="auto"/>
        </w:rPr>
      </w:pPr>
    </w:p>
    <w:p>
      <w:pPr>
        <w:ind w:left="-20" w:firstLine="921"/>
        <w:spacing w:after="0" w:line="286" w:lineRule="auto"/>
        <w:tabs>
          <w:tab w:leader="none" w:pos="1132" w:val="left"/>
        </w:tabs>
        <w:numPr>
          <w:ilvl w:val="1"/>
          <w:numId w:val="382"/>
        </w:numPr>
        <w:rPr>
          <w:rFonts w:ascii="Arial" w:cs="Arial" w:eastAsia="Arial" w:hAnsi="Arial"/>
          <w:sz w:val="16"/>
          <w:szCs w:val="16"/>
          <w:color w:val="auto"/>
        </w:rPr>
      </w:pPr>
      <w:r>
        <w:rPr>
          <w:rFonts w:ascii="Arial" w:cs="Arial" w:eastAsia="Arial" w:hAnsi="Arial"/>
          <w:sz w:val="16"/>
          <w:szCs w:val="16"/>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24" w:lineRule="exact"/>
        <w:rPr>
          <w:rFonts w:ascii="Arial" w:cs="Arial" w:eastAsia="Arial" w:hAnsi="Arial"/>
          <w:sz w:val="16"/>
          <w:szCs w:val="16"/>
          <w:color w:val="auto"/>
        </w:rPr>
      </w:pPr>
    </w:p>
    <w:p>
      <w:pPr>
        <w:ind w:left="-20" w:right="160" w:firstLine="464"/>
        <w:spacing w:after="0" w:line="255" w:lineRule="auto"/>
        <w:tabs>
          <w:tab w:leader="none" w:pos="685"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left="-20" w:right="20" w:firstLine="464"/>
        <w:spacing w:after="0" w:line="294" w:lineRule="auto"/>
        <w:tabs>
          <w:tab w:leader="none" w:pos="675" w:val="left"/>
        </w:tabs>
        <w:numPr>
          <w:ilvl w:val="0"/>
          <w:numId w:val="383"/>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left="-20" w:right="240" w:firstLine="464"/>
        <w:spacing w:after="0" w:line="256" w:lineRule="auto"/>
        <w:tabs>
          <w:tab w:leader="none" w:pos="685"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203" w:name="page204"/>
    <w:bookmarkEnd w:id="203"/>
    <w:p>
      <w:pPr>
        <w:ind w:left="1140" w:hanging="259"/>
        <w:spacing w:after="0"/>
        <w:tabs>
          <w:tab w:leader="none" w:pos="1140"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INVENTIONS AND DISCOVERIES</w:t>
      </w:r>
    </w:p>
    <w:p>
      <w:pPr>
        <w:spacing w:after="0" w:line="90" w:lineRule="exact"/>
        <w:rPr>
          <w:sz w:val="20"/>
          <w:szCs w:val="20"/>
          <w:color w:val="auto"/>
        </w:rPr>
      </w:pPr>
    </w:p>
    <w:p>
      <w:pPr>
        <w:ind w:left="-40" w:firstLine="921"/>
        <w:spacing w:after="0" w:line="253" w:lineRule="auto"/>
        <w:tabs>
          <w:tab w:leader="none" w:pos="1112" w:val="left"/>
        </w:tabs>
        <w:numPr>
          <w:ilvl w:val="0"/>
          <w:numId w:val="385"/>
        </w:numPr>
        <w:rPr>
          <w:rFonts w:ascii="Arial" w:cs="Arial" w:eastAsia="Arial" w:hAnsi="Arial"/>
          <w:sz w:val="18"/>
          <w:szCs w:val="18"/>
          <w:color w:val="auto"/>
        </w:rPr>
      </w:pPr>
      <w:r>
        <w:rPr>
          <w:rFonts w:ascii="Arial" w:cs="Arial" w:eastAsia="Arial" w:hAnsi="Arial"/>
          <w:sz w:val="18"/>
          <w:szCs w:val="18"/>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her employment with, or rendering of advisory or consulting services to, the Company or any of its subsidiaries and affiliates, solely or jointly with others, in or relating to any activities of the Company or its subsidiaries and affiliates known to him as a consequence of her employment or the rendering of advisory and consulting services hereunder (collectively the “Subject Matter”).</w:t>
      </w:r>
    </w:p>
    <w:p>
      <w:pPr>
        <w:spacing w:after="0" w:line="147" w:lineRule="exact"/>
        <w:rPr>
          <w:rFonts w:ascii="Arial" w:cs="Arial" w:eastAsia="Arial" w:hAnsi="Arial"/>
          <w:sz w:val="18"/>
          <w:szCs w:val="18"/>
          <w:color w:val="auto"/>
        </w:rPr>
      </w:pPr>
    </w:p>
    <w:p>
      <w:pPr>
        <w:ind w:left="-40" w:right="40" w:firstLine="921"/>
        <w:spacing w:after="0" w:line="289" w:lineRule="auto"/>
        <w:tabs>
          <w:tab w:leader="none" w:pos="1122" w:val="left"/>
        </w:tabs>
        <w:numPr>
          <w:ilvl w:val="0"/>
          <w:numId w:val="385"/>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her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99" w:lineRule="exact"/>
        <w:rPr>
          <w:sz w:val="20"/>
          <w:szCs w:val="20"/>
          <w:color w:val="auto"/>
        </w:rPr>
      </w:pPr>
    </w:p>
    <w:p>
      <w:pPr>
        <w:ind w:left="1140" w:hanging="259"/>
        <w:spacing w:after="0"/>
        <w:tabs>
          <w:tab w:leader="none" w:pos="1140"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left="-40" w:firstLine="921"/>
        <w:spacing w:after="0" w:line="289" w:lineRule="auto"/>
        <w:tabs>
          <w:tab w:leader="none" w:pos="1112" w:val="left"/>
        </w:tabs>
        <w:numPr>
          <w:ilvl w:val="0"/>
          <w:numId w:val="387"/>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her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her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her during the course of, or as an incident to, her employment or the rendering of her advisory or consulting services hereunder, relating to the Company or any of its subsidiaries or affiliates, the directors of the Company or its subsidiaries or affiliates, any supplier or customer of the Company or any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80" w:top="280" w:right="279" w:bottom="1440" w:gutter="0" w:footer="0" w:header="0"/>
        </w:sectPr>
      </w:pPr>
    </w:p>
    <w:bookmarkStart w:id="204" w:name="page205"/>
    <w:bookmarkEnd w:id="204"/>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18" w:lineRule="exact"/>
        <w:rPr>
          <w:sz w:val="20"/>
          <w:szCs w:val="20"/>
          <w:color w:val="auto"/>
        </w:rPr>
      </w:pPr>
    </w:p>
    <w:p>
      <w:pPr>
        <w:ind w:firstLine="921"/>
        <w:spacing w:after="0" w:line="298" w:lineRule="auto"/>
        <w:tabs>
          <w:tab w:leader="none" w:pos="1162" w:val="left"/>
        </w:tabs>
        <w:numPr>
          <w:ilvl w:val="0"/>
          <w:numId w:val="388"/>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94" w:lineRule="exact"/>
        <w:rPr>
          <w:sz w:val="20"/>
          <w:szCs w:val="20"/>
          <w:color w:val="auto"/>
        </w:rPr>
      </w:pPr>
    </w:p>
    <w:p>
      <w:pPr>
        <w:ind w:left="1180" w:hanging="259"/>
        <w:spacing w:after="0"/>
        <w:tabs>
          <w:tab w:leader="none" w:pos="1180"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Executive agrees that if she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her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201" w:lineRule="exact"/>
        <w:rPr>
          <w:sz w:val="20"/>
          <w:szCs w:val="20"/>
          <w:color w:val="auto"/>
        </w:rPr>
      </w:pPr>
    </w:p>
    <w:p>
      <w:pPr>
        <w:ind w:left="1180" w:hanging="259"/>
        <w:spacing w:after="0"/>
        <w:tabs>
          <w:tab w:leader="none" w:pos="1180"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jc w:val="center"/>
        <w:ind w:left="340" w:right="820"/>
        <w:spacing w:after="0" w:line="440" w:lineRule="auto"/>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 11</w:t>
      </w:r>
    </w:p>
    <w:p>
      <w:pPr>
        <w:sectPr>
          <w:pgSz w:w="11900" w:h="16838" w:orient="portrait"/>
          <w:cols w:equalWidth="0" w:num="1">
            <w:col w:w="11400"/>
          </w:cols>
          <w:pgMar w:left="240" w:top="280" w:right="259" w:bottom="1440" w:gutter="0" w:footer="0" w:header="0"/>
        </w:sectPr>
      </w:pPr>
    </w:p>
    <w:bookmarkStart w:id="205" w:name="page206"/>
    <w:bookmarkEnd w:id="205"/>
    <w:p>
      <w:pPr>
        <w:ind w:left="1180" w:hanging="259"/>
        <w:spacing w:after="0"/>
        <w:tabs>
          <w:tab w:leader="none" w:pos="1180"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p>
    <w:p>
      <w:pPr>
        <w:spacing w:after="0" w:line="9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13" w:lineRule="exact"/>
        <w:rPr>
          <w:sz w:val="20"/>
          <w:szCs w:val="20"/>
          <w:color w:val="auto"/>
        </w:rPr>
      </w:pPr>
    </w:p>
    <w:p>
      <w:pPr>
        <w:ind w:left="1180" w:hanging="259"/>
        <w:spacing w:after="0"/>
        <w:tabs>
          <w:tab w:leader="none" w:pos="1180"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13" w:lineRule="exact"/>
        <w:rPr>
          <w:sz w:val="20"/>
          <w:szCs w:val="20"/>
          <w:color w:val="auto"/>
        </w:rPr>
      </w:pPr>
    </w:p>
    <w:p>
      <w:pPr>
        <w:ind w:left="1180" w:hanging="259"/>
        <w:spacing w:after="0"/>
        <w:tabs>
          <w:tab w:leader="none" w:pos="1180"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21" w:lineRule="exact"/>
        <w:rPr>
          <w:sz w:val="20"/>
          <w:szCs w:val="20"/>
          <w:color w:val="auto"/>
        </w:rPr>
      </w:pPr>
    </w:p>
    <w:p>
      <w:pPr>
        <w:ind w:left="1180" w:hanging="259"/>
        <w:spacing w:after="0"/>
        <w:tabs>
          <w:tab w:leader="none" w:pos="1180"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213" w:lineRule="exact"/>
        <w:rPr>
          <w:sz w:val="20"/>
          <w:szCs w:val="20"/>
          <w:color w:val="auto"/>
        </w:rPr>
      </w:pPr>
    </w:p>
    <w:p>
      <w:pPr>
        <w:ind w:left="1180" w:hanging="259"/>
        <w:spacing w:after="0"/>
        <w:tabs>
          <w:tab w:leader="none" w:pos="1180"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her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99" w:lineRule="exact"/>
        <w:rPr>
          <w:sz w:val="20"/>
          <w:szCs w:val="20"/>
          <w:color w:val="auto"/>
        </w:rPr>
      </w:pPr>
    </w:p>
    <w:p>
      <w:pPr>
        <w:ind w:left="1180" w:hanging="259"/>
        <w:spacing w:after="0"/>
        <w:tabs>
          <w:tab w:leader="none" w:pos="1180"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206" w:name="page207"/>
    <w:bookmarkEnd w:id="206"/>
    <w:p>
      <w:pPr>
        <w:ind w:left="1180" w:hanging="259"/>
        <w:spacing w:after="0"/>
        <w:tabs>
          <w:tab w:leader="none" w:pos="118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RESOLUTION OF DISPUTES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194"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94" w:lineRule="exact"/>
        <w:rPr>
          <w:sz w:val="20"/>
          <w:szCs w:val="20"/>
          <w:color w:val="auto"/>
        </w:rPr>
      </w:pPr>
    </w:p>
    <w:p>
      <w:pPr>
        <w:ind w:left="1180" w:hanging="259"/>
        <w:spacing w:after="0"/>
        <w:tabs>
          <w:tab w:leader="none" w:pos="1180"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21" w:lineRule="exact"/>
        <w:rPr>
          <w:sz w:val="20"/>
          <w:szCs w:val="20"/>
          <w:color w:val="auto"/>
        </w:rPr>
      </w:pPr>
    </w:p>
    <w:p>
      <w:pPr>
        <w:ind w:left="1180" w:hanging="259"/>
        <w:spacing w:after="0"/>
        <w:tabs>
          <w:tab w:leader="none" w:pos="1180"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13" w:lineRule="exact"/>
        <w:rPr>
          <w:sz w:val="20"/>
          <w:szCs w:val="20"/>
          <w:color w:val="auto"/>
        </w:rPr>
      </w:pPr>
    </w:p>
    <w:p>
      <w:pPr>
        <w:ind w:right="7520" w:firstLine="921"/>
        <w:spacing w:after="0" w:line="362" w:lineRule="auto"/>
        <w:tabs>
          <w:tab w:leader="none" w:pos="1176"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 xml:space="preserve">SUBSIDIARIES AND AFFILIATES </w:t>
      </w:r>
      <w:r>
        <w:rPr>
          <w:rFonts w:ascii="Arial" w:cs="Arial" w:eastAsia="Arial" w:hAnsi="Arial"/>
          <w:sz w:val="18"/>
          <w:szCs w:val="18"/>
          <w:color w:val="auto"/>
        </w:rPr>
        <w:t>For purposes of this Agreement:</w:t>
      </w:r>
    </w:p>
    <w:p>
      <w:pPr>
        <w:spacing w:after="0" w:line="51" w:lineRule="exact"/>
        <w:rPr>
          <w:sz w:val="20"/>
          <w:szCs w:val="20"/>
          <w:color w:val="auto"/>
        </w:rPr>
      </w:pPr>
    </w:p>
    <w:p>
      <w:pPr>
        <w:ind w:right="180" w:firstLine="921"/>
        <w:spacing w:after="0" w:line="332" w:lineRule="auto"/>
        <w:tabs>
          <w:tab w:leader="none" w:pos="1152" w:val="left"/>
        </w:tabs>
        <w:numPr>
          <w:ilvl w:val="0"/>
          <w:numId w:val="401"/>
        </w:numPr>
        <w:rPr>
          <w:rFonts w:ascii="Arial" w:cs="Arial" w:eastAsia="Arial" w:hAnsi="Arial"/>
          <w:sz w:val="16"/>
          <w:szCs w:val="16"/>
          <w:color w:val="auto"/>
        </w:rPr>
      </w:pPr>
      <w:r>
        <w:rPr>
          <w:rFonts w:ascii="Arial" w:cs="Arial" w:eastAsia="Arial" w:hAnsi="Arial"/>
          <w:sz w:val="16"/>
          <w:szCs w:val="16"/>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85" w:lineRule="exact"/>
        <w:rPr>
          <w:rFonts w:ascii="Arial" w:cs="Arial" w:eastAsia="Arial" w:hAnsi="Arial"/>
          <w:sz w:val="16"/>
          <w:szCs w:val="16"/>
          <w:color w:val="auto"/>
        </w:rPr>
      </w:pPr>
    </w:p>
    <w:p>
      <w:pPr>
        <w:jc w:val="both"/>
        <w:ind w:right="40" w:firstLine="921"/>
        <w:spacing w:after="0" w:line="256" w:lineRule="auto"/>
        <w:tabs>
          <w:tab w:leader="none" w:pos="1162" w:val="left"/>
        </w:tabs>
        <w:numPr>
          <w:ilvl w:val="0"/>
          <w:numId w:val="401"/>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80" w:right="339" w:bottom="1440" w:gutter="0" w:footer="0" w:header="0"/>
        </w:sectPr>
      </w:pPr>
    </w:p>
    <w:bookmarkStart w:id="207" w:name="page208"/>
    <w:bookmarkEnd w:id="207"/>
    <w:p>
      <w:pPr>
        <w:ind w:left="1180" w:hanging="259"/>
        <w:spacing w:after="0"/>
        <w:tabs>
          <w:tab w:leader="none" w:pos="118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HEADINGS</w:t>
      </w:r>
    </w:p>
    <w:p>
      <w:pPr>
        <w:spacing w:after="0" w:line="9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213" w:lineRule="exact"/>
        <w:rPr>
          <w:sz w:val="20"/>
          <w:szCs w:val="20"/>
          <w:color w:val="auto"/>
        </w:rPr>
      </w:pPr>
    </w:p>
    <w:p>
      <w:pPr>
        <w:ind w:left="1180" w:hanging="259"/>
        <w:spacing w:after="0"/>
        <w:tabs>
          <w:tab w:leader="none" w:pos="1180"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ectPr>
          <w:pgSz w:w="11900" w:h="16838" w:orient="portrait"/>
          <w:cols w:equalWidth="0" w:num="1">
            <w:col w:w="11380"/>
          </w:cols>
          <w:pgMar w:left="240" w:top="280" w:right="27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David A. Levin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960" w:type="dxa"/>
            <w:vAlign w:val="bottom"/>
          </w:tcPr>
          <w:p>
            <w:pPr>
              <w:spacing w:after="0"/>
              <w:rPr>
                <w:sz w:val="20"/>
                <w:szCs w:val="20"/>
                <w:color w:val="auto"/>
              </w:rPr>
            </w:pPr>
            <w:r>
              <w:rPr>
                <w:rFonts w:ascii="Arial" w:cs="Arial" w:eastAsia="Arial" w:hAnsi="Arial"/>
                <w:sz w:val="18"/>
                <w:szCs w:val="18"/>
                <w:color w:val="auto"/>
              </w:rPr>
              <w:t>President, Chief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960" w:type="dxa"/>
            <w:vAlign w:val="bottom"/>
          </w:tcPr>
          <w:p>
            <w:pPr>
              <w:spacing w:after="0"/>
              <w:rPr>
                <w:sz w:val="20"/>
                <w:szCs w:val="20"/>
                <w:color w:val="auto"/>
              </w:rPr>
            </w:pPr>
            <w:r>
              <w:rPr>
                <w:rFonts w:ascii="Arial" w:cs="Arial" w:eastAsia="Arial" w:hAnsi="Arial"/>
                <w:sz w:val="18"/>
                <w:szCs w:val="18"/>
                <w:color w:val="auto"/>
              </w:rPr>
              <w:t>Executive VP, COO, CFO</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Vickie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1599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Vickie Smith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3180"/>
        <w:spacing w:after="0"/>
        <w:rPr>
          <w:sz w:val="20"/>
          <w:szCs w:val="20"/>
          <w:color w:val="auto"/>
        </w:rPr>
      </w:pPr>
      <w:r>
        <w:rPr>
          <w:rFonts w:ascii="Arial" w:cs="Arial" w:eastAsia="Arial" w:hAnsi="Arial"/>
          <w:sz w:val="18"/>
          <w:szCs w:val="18"/>
          <w:color w:val="auto"/>
        </w:rPr>
        <w:t>Date: January 8, 2010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180"/>
        <w:spacing w:after="0"/>
        <w:rPr>
          <w:sz w:val="20"/>
          <w:szCs w:val="20"/>
          <w:color w:val="auto"/>
        </w:rPr>
      </w:pPr>
      <w:r>
        <w:rPr>
          <w:rFonts w:ascii="Arial" w:cs="Arial" w:eastAsia="Arial" w:hAnsi="Arial"/>
          <w:sz w:val="18"/>
          <w:szCs w:val="18"/>
          <w:color w:val="auto"/>
        </w:rPr>
        <w:t>Date: January 8, 2010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180"/>
        <w:spacing w:after="0"/>
        <w:rPr>
          <w:sz w:val="20"/>
          <w:szCs w:val="20"/>
          <w:color w:val="auto"/>
        </w:rPr>
      </w:pPr>
      <w:r>
        <w:rPr>
          <w:rFonts w:ascii="Arial" w:cs="Arial" w:eastAsia="Arial" w:hAnsi="Arial"/>
          <w:sz w:val="18"/>
          <w:szCs w:val="18"/>
          <w:color w:val="auto"/>
        </w:rPr>
        <w:t>Date: January 7, 2010</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5540" w:space="80"/>
            <w:col w:w="5760"/>
          </w:cols>
          <w:pgMar w:left="240" w:top="280" w:right="279" w:bottom="1440" w:gutter="0" w:footer="0" w:header="0"/>
          <w:type w:val="continuous"/>
        </w:sectPr>
      </w:pPr>
    </w:p>
    <w:bookmarkStart w:id="208" w:name="page209"/>
    <w:bookmarkEnd w:id="208"/>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171" w:lineRule="exact"/>
        <w:rPr>
          <w:sz w:val="20"/>
          <w:szCs w:val="20"/>
          <w:color w:val="auto"/>
        </w:rPr>
      </w:pPr>
    </w:p>
    <w:p>
      <w:pPr>
        <w:ind w:left="-40" w:firstLine="464"/>
        <w:spacing w:after="0" w:line="284" w:lineRule="auto"/>
        <w:tabs>
          <w:tab w:leader="none" w:pos="592" w:val="left"/>
        </w:tabs>
        <w:numPr>
          <w:ilvl w:val="0"/>
          <w:numId w:val="404"/>
        </w:numPr>
        <w:rPr>
          <w:rFonts w:ascii="Arial" w:cs="Arial" w:eastAsia="Arial" w:hAnsi="Arial"/>
          <w:sz w:val="16"/>
          <w:szCs w:val="16"/>
          <w:color w:val="auto"/>
        </w:rPr>
      </w:pPr>
      <w:r>
        <w:rPr>
          <w:rFonts w:ascii="Arial" w:cs="Arial" w:eastAsia="Arial" w:hAnsi="Arial"/>
          <w:sz w:val="16"/>
          <w:szCs w:val="16"/>
          <w:color w:val="auto"/>
        </w:rPr>
        <w:t>Vickie Smith (“</w:t>
      </w:r>
      <w:r>
        <w:rPr>
          <w:rFonts w:ascii="Arial" w:cs="Arial" w:eastAsia="Arial" w:hAnsi="Arial"/>
          <w:sz w:val="16"/>
          <w:szCs w:val="16"/>
          <w:u w:val="single" w:color="auto"/>
          <w:color w:val="auto"/>
        </w:rPr>
        <w:t>Executive</w:t>
      </w:r>
      <w:r>
        <w:rPr>
          <w:rFonts w:ascii="Arial" w:cs="Arial" w:eastAsia="Arial" w:hAnsi="Arial"/>
          <w:sz w:val="16"/>
          <w:szCs w:val="16"/>
          <w:color w:val="auto"/>
        </w:rPr>
        <w:t>”), for herself and her family, heirs, executors, administrators, legal representatives and their respective successors and assigns, in exchange for good and valuable consideration to be paid after the date of her termination as set forth in the Employment Agreement to which this release is attached as Exhibit A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does hereby release and forever discharge Casual Male Retail Group, Inc. (the “</w:t>
      </w:r>
      <w:r>
        <w:rPr>
          <w:rFonts w:ascii="Arial" w:cs="Arial" w:eastAsia="Arial" w:hAnsi="Arial"/>
          <w:sz w:val="16"/>
          <w:szCs w:val="16"/>
          <w:u w:val="single" w:color="auto"/>
          <w:color w:val="auto"/>
        </w:rPr>
        <w:t>Company</w:t>
      </w:r>
      <w:r>
        <w:rPr>
          <w:rFonts w:ascii="Arial" w:cs="Arial" w:eastAsia="Arial" w:hAnsi="Arial"/>
          <w:sz w:val="16"/>
          <w:szCs w:val="16"/>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her to consult with an attorney of her choosing, and through this General Release of Claims encourages her to consult with her attorney with respect to possible claims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that she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she may have as of the date hereof. Executive further understands that by signing this General Release of Claims she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280" w:right="259" w:bottom="1440" w:gutter="0" w:footer="0" w:header="0"/>
        </w:sectPr>
      </w:pPr>
    </w:p>
    <w:bookmarkStart w:id="209" w:name="page210"/>
    <w:bookmarkEnd w:id="209"/>
    <w:p>
      <w:pPr>
        <w:ind w:left="-20" w:firstLine="464"/>
        <w:spacing w:after="0" w:line="294" w:lineRule="auto"/>
        <w:tabs>
          <w:tab w:leader="none" w:pos="612" w:val="left"/>
        </w:tabs>
        <w:numPr>
          <w:ilvl w:val="0"/>
          <w:numId w:val="4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represents that she has not filed against the Released Parties any complaints, charges, or lawsuits arising out of her employment, or any other matter arising on or prior to the date of this General Release of Claims, and covenants and agrees that she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her right to commence a Proceeding to challenge whether Executive knowingly and voluntarily waived her rights under ADEA.</w:t>
      </w:r>
    </w:p>
    <w:p>
      <w:pPr>
        <w:spacing w:after="0" w:line="115" w:lineRule="exact"/>
        <w:rPr>
          <w:rFonts w:ascii="Arial" w:cs="Arial" w:eastAsia="Arial" w:hAnsi="Arial"/>
          <w:sz w:val="16"/>
          <w:szCs w:val="16"/>
          <w:color w:val="auto"/>
        </w:rPr>
      </w:pPr>
    </w:p>
    <w:p>
      <w:pPr>
        <w:jc w:val="both"/>
        <w:ind w:left="-20" w:right="120" w:firstLine="464"/>
        <w:spacing w:after="0" w:line="256" w:lineRule="auto"/>
        <w:tabs>
          <w:tab w:leader="none" w:pos="612" w:val="left"/>
        </w:tabs>
        <w:numPr>
          <w:ilvl w:val="0"/>
          <w:numId w:val="405"/>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her that she has up to twenty-one (21) days to sign this General Release of Claims and she may knowingly and voluntarily waive that twenty-one (21) day period by signing this General Release of Claims earlier. Executive also understands that she shall have seven (7) days following the date on which she signs this General Release of Claims within which to revoke it by providing a written notice of her revocation to the Company.</w:t>
      </w:r>
    </w:p>
    <w:p>
      <w:pPr>
        <w:spacing w:after="0" w:line="143"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405"/>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31" w:lineRule="exact"/>
        <w:rPr>
          <w:rFonts w:ascii="Arial" w:cs="Arial" w:eastAsia="Arial" w:hAnsi="Arial"/>
          <w:sz w:val="18"/>
          <w:szCs w:val="18"/>
          <w:color w:val="auto"/>
        </w:rPr>
      </w:pPr>
    </w:p>
    <w:p>
      <w:pPr>
        <w:ind w:left="-20" w:right="140" w:firstLine="464"/>
        <w:spacing w:after="0" w:line="259" w:lineRule="auto"/>
        <w:tabs>
          <w:tab w:leader="none" w:pos="612" w:val="left"/>
        </w:tabs>
        <w:numPr>
          <w:ilvl w:val="0"/>
          <w:numId w:val="405"/>
        </w:numPr>
        <w:rPr>
          <w:rFonts w:ascii="Arial" w:cs="Arial" w:eastAsia="Arial" w:hAnsi="Arial"/>
          <w:sz w:val="18"/>
          <w:szCs w:val="18"/>
          <w:color w:val="auto"/>
        </w:rPr>
      </w:pPr>
      <w:r>
        <w:rPr>
          <w:rFonts w:ascii="Arial" w:cs="Arial" w:eastAsia="Arial" w:hAnsi="Arial"/>
          <w:sz w:val="18"/>
          <w:szCs w:val="18"/>
          <w:color w:val="auto"/>
        </w:rPr>
        <w:t>Executive acknowledges that she has read this General Release of Claims, that she has been advised that she should consult with an attorney before she executes this general release of claims, and that she understands all of its terms and executes it voluntarily and with full knowledge of its significance and the consequences thereof.</w:t>
      </w:r>
    </w:p>
    <w:p>
      <w:pPr>
        <w:spacing w:after="0" w:line="140"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406400</wp:posOffset>
            </wp:positionV>
            <wp:extent cx="289877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Vickie Smith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80"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10.40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Employment Agreement (“Agreement”) is made as of January 7, 2010 between CASUAL MALE RETAIL GROUP, INC., a Delaware corporation with an office at 555 Turnpike Street, Canton, Massachusetts, 02021 (the “Company” which term includes any affiliates and subsidiaries), and Walter E. Sprague (the “Executive”) having an address at 2 Olde Tower Lane, North Attleborough, MA 02760.</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Human Resources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13" w:lineRule="exact"/>
        <w:rPr>
          <w:sz w:val="20"/>
          <w:szCs w:val="20"/>
          <w:color w:val="auto"/>
        </w:rPr>
      </w:pPr>
    </w:p>
    <w:p>
      <w:pPr>
        <w:ind w:left="1100" w:hanging="179"/>
        <w:spacing w:after="0"/>
        <w:tabs>
          <w:tab w:leader="none" w:pos="1100"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Senior Vice President, Human Resources.</w:t>
      </w:r>
    </w:p>
    <w:p>
      <w:pPr>
        <w:spacing w:after="0" w:line="246" w:lineRule="exact"/>
        <w:rPr>
          <w:sz w:val="20"/>
          <w:szCs w:val="20"/>
          <w:color w:val="auto"/>
        </w:rPr>
      </w:pPr>
    </w:p>
    <w:p>
      <w:pPr>
        <w:ind w:left="1100" w:hanging="179"/>
        <w:spacing w:after="0"/>
        <w:tabs>
          <w:tab w:leader="none" w:pos="1100"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term of employment under this Agreement (the “Term of Employment”) shall begin on the date set forth above (the “Effective Date”) and shall continue until terminated by either party as hereinafter set forth.</w:t>
      </w:r>
    </w:p>
    <w:p>
      <w:pPr>
        <w:spacing w:after="0" w:line="213" w:lineRule="exact"/>
        <w:rPr>
          <w:sz w:val="20"/>
          <w:szCs w:val="20"/>
          <w:color w:val="auto"/>
        </w:rPr>
      </w:pPr>
    </w:p>
    <w:p>
      <w:pPr>
        <w:ind w:left="1100" w:hanging="179"/>
        <w:spacing w:after="0"/>
        <w:tabs>
          <w:tab w:leader="none" w:pos="1100"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sz w:val="20"/>
          <w:szCs w:val="20"/>
          <w:color w:val="auto"/>
        </w:rPr>
      </w:pPr>
    </w:p>
    <w:p>
      <w:pPr>
        <w:ind w:right="200" w:firstLine="921"/>
        <w:spacing w:after="0" w:line="255" w:lineRule="auto"/>
        <w:tabs>
          <w:tab w:leader="none" w:pos="1152" w:val="left"/>
        </w:tabs>
        <w:numPr>
          <w:ilvl w:val="0"/>
          <w:numId w:val="409"/>
        </w:numPr>
        <w:rPr>
          <w:rFonts w:ascii="Arial" w:cs="Arial" w:eastAsia="Arial" w:hAnsi="Arial"/>
          <w:sz w:val="18"/>
          <w:szCs w:val="18"/>
          <w:color w:val="auto"/>
        </w:rPr>
      </w:pPr>
      <w:r>
        <w:rPr>
          <w:rFonts w:ascii="Arial" w:cs="Arial" w:eastAsia="Arial" w:hAnsi="Arial"/>
          <w:sz w:val="18"/>
          <w:szCs w:val="18"/>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Forty-Two Thousand Dollars and 00/100 Cents ($242,000.00)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142" w:lineRule="exact"/>
        <w:rPr>
          <w:rFonts w:ascii="Arial" w:cs="Arial" w:eastAsia="Arial" w:hAnsi="Arial"/>
          <w:sz w:val="18"/>
          <w:szCs w:val="18"/>
          <w:color w:val="auto"/>
        </w:rPr>
      </w:pPr>
    </w:p>
    <w:p>
      <w:pPr>
        <w:ind w:firstLine="921"/>
        <w:spacing w:after="0" w:line="306" w:lineRule="auto"/>
        <w:tabs>
          <w:tab w:leader="none" w:pos="1162" w:val="left"/>
        </w:tabs>
        <w:numPr>
          <w:ilvl w:val="0"/>
          <w:numId w:val="409"/>
        </w:numPr>
        <w:rPr>
          <w:rFonts w:ascii="Arial" w:cs="Arial" w:eastAsia="Arial" w:hAnsi="Arial"/>
          <w:sz w:val="16"/>
          <w:szCs w:val="16"/>
          <w:color w:val="auto"/>
        </w:rPr>
      </w:pPr>
      <w:r>
        <w:rPr>
          <w:rFonts w:ascii="Arial" w:cs="Arial" w:eastAsia="Arial" w:hAnsi="Arial"/>
          <w:sz w:val="16"/>
          <w:szCs w:val="16"/>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w:t>
      </w:r>
    </w:p>
    <w:p>
      <w:pPr>
        <w:sectPr>
          <w:pgSz w:w="11900" w:h="16838" w:orient="portrait"/>
          <w:cols w:equalWidth="0" w:num="1">
            <w:col w:w="11420"/>
          </w:cols>
          <w:pgMar w:left="240" w:top="125" w:right="239" w:bottom="1440" w:gutter="0" w:footer="0" w:header="0"/>
        </w:sectPr>
      </w:pPr>
    </w:p>
    <w:bookmarkStart w:id="211" w:name="page212"/>
    <w:bookmarkEnd w:id="21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individual and Company performance conditions are met) shall be 35%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43" w:lineRule="exact"/>
        <w:rPr>
          <w:sz w:val="20"/>
          <w:szCs w:val="20"/>
          <w:color w:val="auto"/>
        </w:rPr>
      </w:pPr>
    </w:p>
    <w:p>
      <w:pPr>
        <w:ind w:right="20" w:firstLine="921"/>
        <w:spacing w:after="0" w:line="255" w:lineRule="auto"/>
        <w:tabs>
          <w:tab w:leader="none" w:pos="1152"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24" w:lineRule="exact"/>
        <w:rPr>
          <w:sz w:val="20"/>
          <w:szCs w:val="20"/>
          <w:color w:val="auto"/>
        </w:rPr>
      </w:pPr>
    </w:p>
    <w:p>
      <w:pPr>
        <w:ind w:left="1100" w:hanging="179"/>
        <w:spacing w:after="0"/>
        <w:tabs>
          <w:tab w:leader="none" w:pos="110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240" w:firstLine="913"/>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94" w:lineRule="exact"/>
        <w:rPr>
          <w:sz w:val="20"/>
          <w:szCs w:val="20"/>
          <w:color w:val="auto"/>
        </w:rPr>
      </w:pPr>
    </w:p>
    <w:p>
      <w:pPr>
        <w:ind w:left="1100" w:hanging="179"/>
        <w:spacing w:after="0"/>
        <w:tabs>
          <w:tab w:leader="none" w:pos="1100"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sz w:val="20"/>
          <w:szCs w:val="20"/>
          <w:color w:val="auto"/>
        </w:rPr>
      </w:pPr>
    </w:p>
    <w:p>
      <w:pPr>
        <w:ind w:right="280" w:firstLine="921"/>
        <w:spacing w:after="0" w:line="298" w:lineRule="auto"/>
        <w:tabs>
          <w:tab w:leader="none" w:pos="1152" w:val="left"/>
        </w:tabs>
        <w:numPr>
          <w:ilvl w:val="0"/>
          <w:numId w:val="413"/>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right="40" w:firstLine="921"/>
        <w:spacing w:after="0" w:line="298" w:lineRule="auto"/>
        <w:tabs>
          <w:tab w:leader="none" w:pos="1162" w:val="left"/>
        </w:tabs>
        <w:numPr>
          <w:ilvl w:val="0"/>
          <w:numId w:val="413"/>
        </w:numPr>
        <w:rPr>
          <w:rFonts w:ascii="Arial" w:cs="Arial" w:eastAsia="Arial" w:hAnsi="Arial"/>
          <w:sz w:val="16"/>
          <w:szCs w:val="16"/>
          <w:color w:val="auto"/>
        </w:rPr>
      </w:pPr>
      <w:r>
        <w:rPr>
          <w:rFonts w:ascii="Arial" w:cs="Arial" w:eastAsia="Arial" w:hAnsi="Arial"/>
          <w:sz w:val="16"/>
          <w:szCs w:val="16"/>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3" w:lineRule="exact"/>
        <w:rPr>
          <w:sz w:val="20"/>
          <w:szCs w:val="20"/>
          <w:color w:val="auto"/>
        </w:rPr>
      </w:pPr>
    </w:p>
    <w:p>
      <w:pPr>
        <w:ind w:left="5680" w:right="3460" w:hanging="4759"/>
        <w:spacing w:after="0" w:line="440" w:lineRule="auto"/>
        <w:tabs>
          <w:tab w:leader="none" w:pos="1179" w:val="left"/>
        </w:tabs>
        <w:numPr>
          <w:ilvl w:val="0"/>
          <w:numId w:val="414"/>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 2</w:t>
      </w:r>
    </w:p>
    <w:p>
      <w:pPr>
        <w:sectPr>
          <w:pgSz w:w="11900" w:h="16838" w:orient="portrait"/>
          <w:cols w:equalWidth="0" w:num="1">
            <w:col w:w="11420"/>
          </w:cols>
          <w:pgMar w:left="240" w:top="280" w:right="239" w:bottom="1440" w:gutter="0" w:footer="0" w:header="0"/>
        </w:sectPr>
      </w:pPr>
    </w:p>
    <w:bookmarkStart w:id="212" w:name="page213"/>
    <w:bookmarkEnd w:id="212"/>
    <w:p>
      <w:pPr>
        <w:ind w:left="1060" w:hanging="179"/>
        <w:spacing w:after="0"/>
        <w:tabs>
          <w:tab w:leader="none" w:pos="1060"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DUTIES</w:t>
      </w:r>
    </w:p>
    <w:p>
      <w:pPr>
        <w:spacing w:after="0" w:line="90" w:lineRule="exact"/>
        <w:rPr>
          <w:sz w:val="20"/>
          <w:szCs w:val="20"/>
          <w:color w:val="auto"/>
        </w:rPr>
      </w:pPr>
    </w:p>
    <w:p>
      <w:pPr>
        <w:ind w:left="-40" w:firstLine="921"/>
        <w:spacing w:after="0" w:line="259" w:lineRule="auto"/>
        <w:tabs>
          <w:tab w:leader="none" w:pos="1112" w:val="left"/>
        </w:tabs>
        <w:numPr>
          <w:ilvl w:val="0"/>
          <w:numId w:val="416"/>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Human Resources and/or as the Company shall from time to time determine and Executive shall comply in the performance of his duties with the policies of, and be subject to the direction of the Company.</w:t>
      </w:r>
    </w:p>
    <w:p>
      <w:pPr>
        <w:spacing w:after="0" w:line="140" w:lineRule="exact"/>
        <w:rPr>
          <w:rFonts w:ascii="Arial" w:cs="Arial" w:eastAsia="Arial" w:hAnsi="Arial"/>
          <w:sz w:val="18"/>
          <w:szCs w:val="18"/>
          <w:color w:val="auto"/>
        </w:rPr>
      </w:pPr>
    </w:p>
    <w:p>
      <w:pPr>
        <w:ind w:left="-40" w:right="140" w:firstLine="921"/>
        <w:spacing w:after="0" w:line="298" w:lineRule="auto"/>
        <w:tabs>
          <w:tab w:leader="none" w:pos="1122" w:val="left"/>
        </w:tabs>
        <w:numPr>
          <w:ilvl w:val="0"/>
          <w:numId w:val="416"/>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12" w:lineRule="exact"/>
        <w:rPr>
          <w:rFonts w:ascii="Arial" w:cs="Arial" w:eastAsia="Arial" w:hAnsi="Arial"/>
          <w:sz w:val="16"/>
          <w:szCs w:val="16"/>
          <w:color w:val="auto"/>
        </w:rPr>
      </w:pPr>
    </w:p>
    <w:p>
      <w:pPr>
        <w:jc w:val="both"/>
        <w:ind w:left="-40" w:right="20" w:firstLine="921"/>
        <w:spacing w:after="0" w:line="335" w:lineRule="auto"/>
        <w:tabs>
          <w:tab w:leader="none" w:pos="1112" w:val="left"/>
        </w:tabs>
        <w:numPr>
          <w:ilvl w:val="0"/>
          <w:numId w:val="416"/>
        </w:numPr>
        <w:rPr>
          <w:rFonts w:ascii="Arial" w:cs="Arial" w:eastAsia="Arial" w:hAnsi="Arial"/>
          <w:sz w:val="15"/>
          <w:szCs w:val="15"/>
          <w:color w:val="auto"/>
        </w:rPr>
      </w:pPr>
      <w:r>
        <w:rPr>
          <w:rFonts w:ascii="Arial" w:cs="Arial" w:eastAsia="Arial" w:hAnsi="Arial"/>
          <w:sz w:val="15"/>
          <w:szCs w:val="15"/>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88" w:lineRule="exact"/>
        <w:rPr>
          <w:sz w:val="20"/>
          <w:szCs w:val="20"/>
          <w:color w:val="auto"/>
        </w:rPr>
      </w:pPr>
    </w:p>
    <w:p>
      <w:pPr>
        <w:ind w:left="1060" w:hanging="179"/>
        <w:spacing w:after="0"/>
        <w:tabs>
          <w:tab w:leader="none" w:pos="1060"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sz w:val="20"/>
          <w:szCs w:val="20"/>
          <w:color w:val="auto"/>
        </w:rPr>
      </w:pPr>
    </w:p>
    <w:p>
      <w:pPr>
        <w:ind w:left="1120" w:hanging="239"/>
        <w:spacing w:after="0"/>
        <w:tabs>
          <w:tab w:leader="none" w:pos="11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171" w:lineRule="exact"/>
        <w:rPr>
          <w:rFonts w:ascii="Arial" w:cs="Arial" w:eastAsia="Arial" w:hAnsi="Arial"/>
          <w:sz w:val="18"/>
          <w:szCs w:val="18"/>
          <w:color w:val="auto"/>
        </w:rPr>
      </w:pPr>
    </w:p>
    <w:p>
      <w:pPr>
        <w:jc w:val="both"/>
        <w:ind w:left="-40" w:right="140" w:firstLine="1492"/>
        <w:spacing w:after="0" w:line="259" w:lineRule="auto"/>
        <w:tabs>
          <w:tab w:leader="none" w:pos="1653" w:val="left"/>
        </w:tabs>
        <w:numPr>
          <w:ilvl w:val="1"/>
          <w:numId w:val="418"/>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1720" w:hanging="268"/>
        <w:spacing w:after="0"/>
        <w:tabs>
          <w:tab w:leader="none" w:pos="172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171" w:lineRule="exact"/>
        <w:rPr>
          <w:rFonts w:ascii="Arial" w:cs="Arial" w:eastAsia="Arial" w:hAnsi="Arial"/>
          <w:sz w:val="18"/>
          <w:szCs w:val="18"/>
          <w:color w:val="auto"/>
        </w:rPr>
      </w:pPr>
    </w:p>
    <w:p>
      <w:pPr>
        <w:ind w:left="1120" w:hanging="239"/>
        <w:spacing w:after="0"/>
        <w:tabs>
          <w:tab w:leader="none" w:pos="11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90" w:lineRule="exact"/>
        <w:rPr>
          <w:rFonts w:ascii="Arial" w:cs="Arial" w:eastAsia="Arial" w:hAnsi="Arial"/>
          <w:sz w:val="18"/>
          <w:szCs w:val="18"/>
          <w:color w:val="auto"/>
        </w:rPr>
      </w:pPr>
    </w:p>
    <w:p>
      <w:pPr>
        <w:ind w:left="1660" w:hanging="208"/>
        <w:spacing w:after="0"/>
        <w:tabs>
          <w:tab w:leader="none" w:pos="166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rFonts w:ascii="Arial" w:cs="Arial" w:eastAsia="Arial" w:hAnsi="Arial"/>
          <w:sz w:val="18"/>
          <w:szCs w:val="18"/>
          <w:color w:val="auto"/>
        </w:rPr>
      </w:pPr>
    </w:p>
    <w:p>
      <w:pPr>
        <w:ind w:left="-40" w:right="260" w:firstLine="1492"/>
        <w:spacing w:after="0" w:line="268" w:lineRule="auto"/>
        <w:tabs>
          <w:tab w:leader="none" w:pos="1702" w:val="left"/>
        </w:tabs>
        <w:numPr>
          <w:ilvl w:val="1"/>
          <w:numId w:val="418"/>
        </w:numPr>
        <w:rPr>
          <w:rFonts w:ascii="Arial" w:cs="Arial" w:eastAsia="Arial" w:hAnsi="Arial"/>
          <w:sz w:val="18"/>
          <w:szCs w:val="18"/>
          <w:color w:val="auto"/>
        </w:rPr>
      </w:pPr>
      <w:r>
        <w:rPr>
          <w:rFonts w:ascii="Arial" w:cs="Arial" w:eastAsia="Arial" w:hAnsi="Arial"/>
          <w:sz w:val="18"/>
          <w:szCs w:val="18"/>
          <w:color w:val="auto"/>
        </w:rPr>
        <w:t>the date on which the Company elects to terminate the Term of Employment by reason of the “disability” of Executive (as hereinafter defined in subsection (c) herein) pursuant to subsection (g) hereof; or</w:t>
      </w:r>
    </w:p>
    <w:p>
      <w:pPr>
        <w:spacing w:after="0" w:line="131" w:lineRule="exact"/>
        <w:rPr>
          <w:rFonts w:ascii="Arial" w:cs="Arial" w:eastAsia="Arial" w:hAnsi="Arial"/>
          <w:sz w:val="18"/>
          <w:szCs w:val="18"/>
          <w:color w:val="auto"/>
        </w:rPr>
      </w:pPr>
    </w:p>
    <w:p>
      <w:pPr>
        <w:ind w:left="1760" w:hanging="308"/>
        <w:spacing w:after="0"/>
        <w:tabs>
          <w:tab w:leader="none" w:pos="176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213" w:name="page214"/>
    <w:bookmarkEnd w:id="213"/>
    <w:p>
      <w:pPr>
        <w:ind w:left="-80" w:right="20" w:firstLine="921"/>
        <w:spacing w:after="0" w:line="259" w:lineRule="auto"/>
        <w:tabs>
          <w:tab w:leader="none" w:pos="1072" w:val="left"/>
        </w:tabs>
        <w:numPr>
          <w:ilvl w:val="0"/>
          <w:numId w:val="4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80" w:right="20" w:firstLine="921"/>
        <w:spacing w:after="0" w:line="287" w:lineRule="auto"/>
        <w:tabs>
          <w:tab w:leader="none" w:pos="1082" w:val="left"/>
        </w:tabs>
        <w:numPr>
          <w:ilvl w:val="0"/>
          <w:numId w:val="419"/>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22" w:lineRule="exact"/>
        <w:rPr>
          <w:rFonts w:ascii="Arial" w:cs="Arial" w:eastAsia="Arial" w:hAnsi="Arial"/>
          <w:sz w:val="16"/>
          <w:szCs w:val="16"/>
          <w:color w:val="auto"/>
        </w:rPr>
      </w:pPr>
    </w:p>
    <w:p>
      <w:pPr>
        <w:ind w:left="-80" w:firstLine="921"/>
        <w:spacing w:after="0" w:line="289" w:lineRule="auto"/>
        <w:tabs>
          <w:tab w:leader="none" w:pos="1072" w:val="left"/>
        </w:tabs>
        <w:numPr>
          <w:ilvl w:val="0"/>
          <w:numId w:val="419"/>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18" w:lineRule="exact"/>
        <w:rPr>
          <w:rFonts w:ascii="Arial" w:cs="Arial" w:eastAsia="Arial" w:hAnsi="Arial"/>
          <w:sz w:val="16"/>
          <w:szCs w:val="16"/>
          <w:color w:val="auto"/>
        </w:rPr>
      </w:pPr>
    </w:p>
    <w:p>
      <w:pPr>
        <w:ind w:left="-80" w:right="180" w:firstLine="921"/>
        <w:spacing w:after="0" w:line="259" w:lineRule="auto"/>
        <w:tabs>
          <w:tab w:leader="none" w:pos="1052" w:val="left"/>
        </w:tabs>
        <w:numPr>
          <w:ilvl w:val="0"/>
          <w:numId w:val="419"/>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40" w:lineRule="exact"/>
        <w:rPr>
          <w:rFonts w:ascii="Arial" w:cs="Arial" w:eastAsia="Arial" w:hAnsi="Arial"/>
          <w:sz w:val="18"/>
          <w:szCs w:val="18"/>
          <w:color w:val="auto"/>
        </w:rPr>
      </w:pPr>
    </w:p>
    <w:p>
      <w:pPr>
        <w:ind w:left="-80" w:right="160" w:firstLine="921"/>
        <w:spacing w:after="0" w:line="335" w:lineRule="auto"/>
        <w:tabs>
          <w:tab w:leader="none" w:pos="1082" w:val="left"/>
        </w:tabs>
        <w:numPr>
          <w:ilvl w:val="0"/>
          <w:numId w:val="419"/>
        </w:numPr>
        <w:rPr>
          <w:rFonts w:ascii="Arial" w:cs="Arial" w:eastAsia="Arial" w:hAnsi="Arial"/>
          <w:sz w:val="15"/>
          <w:szCs w:val="15"/>
          <w:color w:val="auto"/>
        </w:rPr>
      </w:pPr>
      <w:r>
        <w:rPr>
          <w:rFonts w:ascii="Arial" w:cs="Arial" w:eastAsia="Arial" w:hAnsi="Arial"/>
          <w:sz w:val="15"/>
          <w:szCs w:val="15"/>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320" w:top="280" w:right="299" w:bottom="1440" w:gutter="0" w:footer="0" w:header="0"/>
        </w:sectPr>
      </w:pPr>
    </w:p>
    <w:bookmarkStart w:id="214" w:name="page215"/>
    <w:bookmarkEnd w:id="214"/>
    <w:p>
      <w:pPr>
        <w:ind w:left="-8" w:right="100" w:firstLine="921"/>
        <w:spacing w:after="0" w:line="335" w:lineRule="auto"/>
        <w:tabs>
          <w:tab w:leader="none" w:pos="1154" w:val="left"/>
        </w:tabs>
        <w:numPr>
          <w:ilvl w:val="1"/>
          <w:numId w:val="42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88" w:lineRule="exact"/>
        <w:rPr>
          <w:rFonts w:ascii="Arial" w:cs="Arial" w:eastAsia="Arial" w:hAnsi="Arial"/>
          <w:sz w:val="15"/>
          <w:szCs w:val="15"/>
          <w:color w:val="auto"/>
        </w:rPr>
      </w:pPr>
    </w:p>
    <w:p>
      <w:pPr>
        <w:ind w:left="-8" w:right="20" w:firstLine="921"/>
        <w:spacing w:after="0" w:line="301" w:lineRule="auto"/>
        <w:tabs>
          <w:tab w:leader="none" w:pos="1115" w:val="left"/>
        </w:tabs>
        <w:numPr>
          <w:ilvl w:val="1"/>
          <w:numId w:val="420"/>
        </w:numPr>
        <w:rPr>
          <w:rFonts w:ascii="Arial" w:cs="Arial" w:eastAsia="Arial" w:hAnsi="Arial"/>
          <w:sz w:val="15"/>
          <w:szCs w:val="15"/>
          <w:color w:val="auto"/>
        </w:rPr>
      </w:pPr>
      <w:r>
        <w:rPr>
          <w:rFonts w:ascii="Arial" w:cs="Arial" w:eastAsia="Arial" w:hAnsi="Arial"/>
          <w:sz w:val="15"/>
          <w:szCs w:val="15"/>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Good Reason”</w:t>
      </w:r>
      <w:r>
        <w:rPr>
          <w:rFonts w:ascii="Arial" w:cs="Arial" w:eastAsia="Arial" w:hAnsi="Arial"/>
          <w:sz w:val="15"/>
          <w:szCs w:val="15"/>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w:t>
      </w:r>
    </w:p>
    <w:p>
      <w:pPr>
        <w:spacing w:after="0" w:line="4" w:lineRule="exact"/>
        <w:rPr>
          <w:rFonts w:ascii="Arial" w:cs="Arial" w:eastAsia="Arial" w:hAnsi="Arial"/>
          <w:sz w:val="15"/>
          <w:szCs w:val="15"/>
          <w:color w:val="auto"/>
        </w:rPr>
      </w:pPr>
    </w:p>
    <w:p>
      <w:pPr>
        <w:ind w:left="-8" w:firstLine="8"/>
        <w:spacing w:after="0" w:line="288" w:lineRule="auto"/>
        <w:tabs>
          <w:tab w:leader="none" w:pos="289" w:val="left"/>
        </w:tabs>
        <w:numPr>
          <w:ilvl w:val="0"/>
          <w:numId w:val="421"/>
        </w:numPr>
        <w:rPr>
          <w:rFonts w:ascii="Arial" w:cs="Arial" w:eastAsia="Arial" w:hAnsi="Arial"/>
          <w:sz w:val="16"/>
          <w:szCs w:val="16"/>
          <w:color w:val="auto"/>
        </w:rPr>
      </w:pPr>
      <w:r>
        <w:rPr>
          <w:rFonts w:ascii="Arial" w:cs="Arial" w:eastAsia="Arial" w:hAnsi="Arial"/>
          <w:sz w:val="16"/>
          <w:szCs w:val="16"/>
          <w:color w:val="auto"/>
        </w:rPr>
        <w:t>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22" w:lineRule="exact"/>
        <w:rPr>
          <w:rFonts w:ascii="Arial" w:cs="Arial" w:eastAsia="Arial" w:hAnsi="Arial"/>
          <w:sz w:val="16"/>
          <w:szCs w:val="16"/>
          <w:color w:val="auto"/>
        </w:rPr>
      </w:pPr>
    </w:p>
    <w:p>
      <w:pPr>
        <w:ind w:left="-8" w:right="100" w:firstLine="921"/>
        <w:spacing w:after="0" w:line="268" w:lineRule="auto"/>
        <w:tabs>
          <w:tab w:leader="none" w:pos="1115" w:val="left"/>
        </w:tabs>
        <w:numPr>
          <w:ilvl w:val="1"/>
          <w:numId w:val="421"/>
        </w:numPr>
        <w:rPr>
          <w:rFonts w:ascii="Arial" w:cs="Arial" w:eastAsia="Arial" w:hAnsi="Arial"/>
          <w:sz w:val="18"/>
          <w:szCs w:val="18"/>
          <w:color w:val="auto"/>
        </w:rPr>
      </w:pPr>
      <w:r>
        <w:rPr>
          <w:rFonts w:ascii="Arial" w:cs="Arial" w:eastAsia="Arial" w:hAnsi="Arial"/>
          <w:sz w:val="18"/>
          <w:szCs w:val="18"/>
          <w:color w:val="auto"/>
        </w:rPr>
        <w:t>Clawback of Certain Compensation and Benefits. If, after the termination of the Term of Employment for any reason other than by the Company for “justifiable cause”:</w:t>
      </w:r>
    </w:p>
    <w:p>
      <w:pPr>
        <w:spacing w:after="0" w:line="131" w:lineRule="exact"/>
        <w:rPr>
          <w:rFonts w:ascii="Arial" w:cs="Arial" w:eastAsia="Arial" w:hAnsi="Arial"/>
          <w:sz w:val="18"/>
          <w:szCs w:val="18"/>
          <w:color w:val="auto"/>
        </w:rPr>
      </w:pPr>
    </w:p>
    <w:p>
      <w:pPr>
        <w:ind w:left="-8" w:right="160" w:firstLine="1492"/>
        <w:spacing w:after="0" w:line="256" w:lineRule="auto"/>
        <w:tabs>
          <w:tab w:leader="none" w:pos="1685" w:val="left"/>
        </w:tabs>
        <w:numPr>
          <w:ilvl w:val="2"/>
          <w:numId w:val="421"/>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80" w:right="259" w:bottom="1440" w:gutter="0" w:footer="0" w:header="0"/>
        </w:sectPr>
      </w:pPr>
    </w:p>
    <w:bookmarkStart w:id="215" w:name="page216"/>
    <w:bookmarkEnd w:id="215"/>
    <w:p>
      <w:pPr>
        <w:ind w:right="220" w:firstLine="1492"/>
        <w:spacing w:after="0" w:line="306" w:lineRule="auto"/>
        <w:tabs>
          <w:tab w:leader="none" w:pos="1742" w:val="left"/>
        </w:tabs>
        <w:numPr>
          <w:ilvl w:val="1"/>
          <w:numId w:val="4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06" w:lineRule="exact"/>
        <w:rPr>
          <w:rFonts w:ascii="Arial" w:cs="Arial" w:eastAsia="Arial" w:hAnsi="Arial"/>
          <w:sz w:val="16"/>
          <w:szCs w:val="16"/>
          <w:color w:val="auto"/>
        </w:rPr>
      </w:pPr>
    </w:p>
    <w:p>
      <w:pPr>
        <w:ind w:right="40" w:firstLine="1948"/>
        <w:spacing w:after="0" w:line="318" w:lineRule="auto"/>
        <w:tabs>
          <w:tab w:leader="none" w:pos="2228" w:val="left"/>
        </w:tabs>
        <w:numPr>
          <w:ilvl w:val="2"/>
          <w:numId w:val="422"/>
        </w:numPr>
        <w:rPr>
          <w:rFonts w:ascii="Arial" w:cs="Arial" w:eastAsia="Arial" w:hAnsi="Arial"/>
          <w:sz w:val="15"/>
          <w:szCs w:val="15"/>
          <w:color w:val="auto"/>
        </w:rPr>
      </w:pPr>
      <w:r>
        <w:rPr>
          <w:rFonts w:ascii="Arial" w:cs="Arial" w:eastAsia="Arial" w:hAnsi="Arial"/>
          <w:sz w:val="15"/>
          <w:szCs w:val="15"/>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99" w:lineRule="exact"/>
        <w:rPr>
          <w:rFonts w:ascii="Arial" w:cs="Arial" w:eastAsia="Arial" w:hAnsi="Arial"/>
          <w:sz w:val="15"/>
          <w:szCs w:val="15"/>
          <w:color w:val="auto"/>
        </w:rPr>
      </w:pPr>
    </w:p>
    <w:p>
      <w:pPr>
        <w:ind w:left="2220" w:hanging="272"/>
        <w:spacing w:after="0"/>
        <w:tabs>
          <w:tab w:leader="none" w:pos="2220" w:val="left"/>
        </w:tabs>
        <w:numPr>
          <w:ilvl w:val="2"/>
          <w:numId w:val="422"/>
        </w:numPr>
        <w:rPr>
          <w:rFonts w:ascii="Arial" w:cs="Arial" w:eastAsia="Arial" w:hAnsi="Arial"/>
          <w:sz w:val="15"/>
          <w:szCs w:val="15"/>
          <w:color w:val="auto"/>
        </w:rPr>
      </w:pPr>
      <w:r>
        <w:rPr>
          <w:rFonts w:ascii="Arial" w:cs="Arial" w:eastAsia="Arial" w:hAnsi="Arial"/>
          <w:sz w:val="15"/>
          <w:szCs w:val="15"/>
          <w:color w:val="auto"/>
        </w:rPr>
        <w:t>all vested and unvested Awards (as that term is defined in the 2006 Incentive Compensation Plan) then held by the Executive shall</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immediately expire; and</w:t>
      </w:r>
    </w:p>
    <w:p>
      <w:pPr>
        <w:spacing w:after="0" w:line="164" w:lineRule="exact"/>
        <w:rPr>
          <w:rFonts w:ascii="Arial" w:cs="Arial" w:eastAsia="Arial" w:hAnsi="Arial"/>
          <w:sz w:val="15"/>
          <w:szCs w:val="15"/>
          <w:color w:val="auto"/>
        </w:rPr>
      </w:pPr>
    </w:p>
    <w:p>
      <w:pPr>
        <w:ind w:firstLine="1948"/>
        <w:spacing w:after="0" w:line="289" w:lineRule="auto"/>
        <w:tabs>
          <w:tab w:leader="none" w:pos="2218" w:val="left"/>
        </w:tabs>
        <w:numPr>
          <w:ilvl w:val="2"/>
          <w:numId w:val="422"/>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18" w:lineRule="exact"/>
        <w:rPr>
          <w:rFonts w:ascii="Arial" w:cs="Arial" w:eastAsia="Arial" w:hAnsi="Arial"/>
          <w:sz w:val="16"/>
          <w:szCs w:val="16"/>
          <w:color w:val="auto"/>
        </w:rPr>
      </w:pPr>
    </w:p>
    <w:p>
      <w:pPr>
        <w:ind w:right="460" w:firstLine="921"/>
        <w:spacing w:after="0" w:line="268" w:lineRule="auto"/>
        <w:tabs>
          <w:tab w:leader="none" w:pos="1162"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213" w:lineRule="exact"/>
        <w:rPr>
          <w:sz w:val="20"/>
          <w:szCs w:val="20"/>
          <w:color w:val="auto"/>
        </w:rPr>
      </w:pPr>
    </w:p>
    <w:p>
      <w:pPr>
        <w:ind w:left="1100" w:hanging="179"/>
        <w:spacing w:after="0"/>
        <w:tabs>
          <w:tab w:leader="none" w:pos="1100"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sz w:val="20"/>
          <w:szCs w:val="20"/>
          <w:color w:val="auto"/>
        </w:rPr>
      </w:pPr>
    </w:p>
    <w:p>
      <w:pPr>
        <w:ind w:right="140" w:firstLine="921"/>
        <w:spacing w:after="0" w:line="268" w:lineRule="auto"/>
        <w:tabs>
          <w:tab w:leader="none" w:pos="1152" w:val="left"/>
        </w:tabs>
        <w:numPr>
          <w:ilvl w:val="0"/>
          <w:numId w:val="425"/>
        </w:numPr>
        <w:rPr>
          <w:rFonts w:ascii="Arial" w:cs="Arial" w:eastAsia="Arial" w:hAnsi="Arial"/>
          <w:sz w:val="18"/>
          <w:szCs w:val="18"/>
          <w:color w:val="auto"/>
        </w:rPr>
      </w:pPr>
      <w:r>
        <w:rPr>
          <w:rFonts w:ascii="Arial" w:cs="Arial" w:eastAsia="Arial" w:hAnsi="Arial"/>
          <w:sz w:val="18"/>
          <w:szCs w:val="18"/>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16" w:name="page217"/>
    <w:bookmarkEnd w:id="216"/>
    <w:p>
      <w:pPr>
        <w:ind w:right="3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13" w:lineRule="exact"/>
        <w:rPr>
          <w:sz w:val="20"/>
          <w:szCs w:val="20"/>
          <w:color w:val="auto"/>
        </w:rPr>
      </w:pPr>
    </w:p>
    <w:p>
      <w:pPr>
        <w:jc w:val="both"/>
        <w:ind w:right="40" w:firstLine="921"/>
        <w:spacing w:after="0" w:line="259" w:lineRule="auto"/>
        <w:tabs>
          <w:tab w:leader="none" w:pos="1162" w:val="left"/>
        </w:tabs>
        <w:numPr>
          <w:ilvl w:val="0"/>
          <w:numId w:val="426"/>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171" w:lineRule="exact"/>
        <w:rPr>
          <w:rFonts w:ascii="Arial" w:cs="Arial" w:eastAsia="Arial" w:hAnsi="Arial"/>
          <w:sz w:val="18"/>
          <w:szCs w:val="18"/>
          <w:color w:val="auto"/>
        </w:rPr>
      </w:pPr>
    </w:p>
    <w:p>
      <w:pPr>
        <w:ind w:firstLine="1948"/>
        <w:spacing w:after="0" w:line="289" w:lineRule="auto"/>
        <w:tabs>
          <w:tab w:leader="none" w:pos="2150" w:val="left"/>
        </w:tabs>
        <w:numPr>
          <w:ilvl w:val="1"/>
          <w:numId w:val="426"/>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18" w:lineRule="exact"/>
        <w:rPr>
          <w:rFonts w:ascii="Arial" w:cs="Arial" w:eastAsia="Arial" w:hAnsi="Arial"/>
          <w:sz w:val="16"/>
          <w:szCs w:val="16"/>
          <w:color w:val="auto"/>
        </w:rPr>
      </w:pPr>
    </w:p>
    <w:p>
      <w:pPr>
        <w:ind w:right="400" w:firstLine="1948"/>
        <w:spacing w:after="0" w:line="256" w:lineRule="auto"/>
        <w:tabs>
          <w:tab w:leader="none" w:pos="2198" w:val="left"/>
        </w:tabs>
        <w:numPr>
          <w:ilvl w:val="1"/>
          <w:numId w:val="426"/>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ind w:right="220" w:firstLine="921"/>
        <w:spacing w:after="0" w:line="259" w:lineRule="auto"/>
        <w:tabs>
          <w:tab w:leader="none" w:pos="1162" w:val="left"/>
        </w:tabs>
        <w:numPr>
          <w:ilvl w:val="0"/>
          <w:numId w:val="426"/>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ind w:right="60" w:firstLine="921"/>
        <w:spacing w:after="0" w:line="306" w:lineRule="auto"/>
        <w:tabs>
          <w:tab w:leader="none" w:pos="1152" w:val="left"/>
        </w:tabs>
        <w:numPr>
          <w:ilvl w:val="0"/>
          <w:numId w:val="426"/>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217" w:name="page218"/>
    <w:bookmarkEnd w:id="217"/>
    <w:p>
      <w:pPr>
        <w:ind w:left="1140" w:hanging="219"/>
        <w:spacing w:after="0"/>
        <w:tabs>
          <w:tab w:leader="none" w:pos="1140" w:val="left"/>
        </w:tabs>
        <w:numPr>
          <w:ilvl w:val="0"/>
          <w:numId w:val="4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Taxable Reimbursements.</w:t>
      </w:r>
    </w:p>
    <w:p>
      <w:pPr>
        <w:spacing w:after="0" w:line="171" w:lineRule="exact"/>
        <w:rPr>
          <w:rFonts w:ascii="Arial" w:cs="Arial" w:eastAsia="Arial" w:hAnsi="Arial"/>
          <w:sz w:val="18"/>
          <w:szCs w:val="18"/>
          <w:color w:val="auto"/>
        </w:rPr>
      </w:pPr>
    </w:p>
    <w:p>
      <w:pPr>
        <w:ind w:right="60" w:firstLine="1948"/>
        <w:spacing w:after="0" w:line="335" w:lineRule="auto"/>
        <w:tabs>
          <w:tab w:leader="none" w:pos="2150" w:val="left"/>
        </w:tabs>
        <w:numPr>
          <w:ilvl w:val="1"/>
          <w:numId w:val="427"/>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88" w:lineRule="exact"/>
        <w:rPr>
          <w:rFonts w:ascii="Arial" w:cs="Arial" w:eastAsia="Arial" w:hAnsi="Arial"/>
          <w:sz w:val="15"/>
          <w:szCs w:val="15"/>
          <w:color w:val="auto"/>
        </w:rPr>
      </w:pPr>
    </w:p>
    <w:p>
      <w:pPr>
        <w:ind w:right="260" w:firstLine="1948"/>
        <w:spacing w:after="0" w:line="268" w:lineRule="auto"/>
        <w:tabs>
          <w:tab w:leader="none" w:pos="2198" w:val="left"/>
        </w:tabs>
        <w:numPr>
          <w:ilvl w:val="1"/>
          <w:numId w:val="427"/>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31" w:lineRule="exact"/>
        <w:rPr>
          <w:rFonts w:ascii="Arial" w:cs="Arial" w:eastAsia="Arial" w:hAnsi="Arial"/>
          <w:sz w:val="18"/>
          <w:szCs w:val="18"/>
          <w:color w:val="auto"/>
        </w:rPr>
      </w:pPr>
    </w:p>
    <w:p>
      <w:pPr>
        <w:ind w:left="2260" w:hanging="312"/>
        <w:spacing w:after="0"/>
        <w:tabs>
          <w:tab w:leader="none" w:pos="226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252" w:lineRule="exact"/>
        <w:rPr>
          <w:sz w:val="20"/>
          <w:szCs w:val="20"/>
          <w:color w:val="auto"/>
        </w:rPr>
      </w:pPr>
    </w:p>
    <w:p>
      <w:pPr>
        <w:ind w:left="1100" w:hanging="179"/>
        <w:spacing w:after="0"/>
        <w:tabs>
          <w:tab w:leader="none" w:pos="1100" w:val="left"/>
        </w:tabs>
        <w:numPr>
          <w:ilvl w:val="0"/>
          <w:numId w:val="428"/>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sz w:val="20"/>
          <w:szCs w:val="20"/>
          <w:color w:val="auto"/>
        </w:rPr>
      </w:pPr>
    </w:p>
    <w:p>
      <w:pPr>
        <w:jc w:val="both"/>
        <w:ind w:right="140" w:firstLine="921"/>
        <w:spacing w:after="0" w:line="370" w:lineRule="auto"/>
        <w:tabs>
          <w:tab w:leader="none" w:pos="1152" w:val="left"/>
        </w:tabs>
        <w:numPr>
          <w:ilvl w:val="0"/>
          <w:numId w:val="429"/>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jc w:val="both"/>
        <w:ind w:right="160" w:firstLine="921"/>
        <w:spacing w:after="0" w:line="259" w:lineRule="auto"/>
        <w:tabs>
          <w:tab w:leader="none" w:pos="1162" w:val="left"/>
        </w:tabs>
        <w:numPr>
          <w:ilvl w:val="0"/>
          <w:numId w:val="429"/>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100" w:firstLine="921"/>
        <w:spacing w:after="0" w:line="370" w:lineRule="auto"/>
        <w:tabs>
          <w:tab w:leader="none" w:pos="1152" w:val="left"/>
        </w:tabs>
        <w:numPr>
          <w:ilvl w:val="0"/>
          <w:numId w:val="429"/>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62" w:lineRule="exact"/>
        <w:rPr>
          <w:rFonts w:ascii="Arial" w:cs="Arial" w:eastAsia="Arial" w:hAnsi="Arial"/>
          <w:sz w:val="15"/>
          <w:szCs w:val="15"/>
          <w:color w:val="auto"/>
        </w:rPr>
      </w:pPr>
    </w:p>
    <w:p>
      <w:pPr>
        <w:ind w:firstLine="921"/>
        <w:spacing w:after="0" w:line="259" w:lineRule="auto"/>
        <w:tabs>
          <w:tab w:leader="none" w:pos="1162" w:val="left"/>
        </w:tabs>
        <w:numPr>
          <w:ilvl w:val="0"/>
          <w:numId w:val="429"/>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paragraph 7(d)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18" w:name="page219"/>
    <w:bookmarkEnd w:id="218"/>
    <w:p>
      <w:pPr>
        <w:ind w:left="1160" w:hanging="259"/>
        <w:spacing w:after="0"/>
        <w:tabs>
          <w:tab w:leader="none" w:pos="1160"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NON-COMPETITION</w:t>
      </w:r>
    </w:p>
    <w:p>
      <w:pPr>
        <w:spacing w:after="0" w:line="90" w:lineRule="exact"/>
        <w:rPr>
          <w:sz w:val="20"/>
          <w:szCs w:val="20"/>
          <w:color w:val="auto"/>
        </w:rPr>
      </w:pPr>
    </w:p>
    <w:p>
      <w:pPr>
        <w:ind w:left="-20" w:firstLine="921"/>
        <w:spacing w:after="0" w:line="286" w:lineRule="auto"/>
        <w:tabs>
          <w:tab w:leader="none" w:pos="1132" w:val="left"/>
        </w:tabs>
        <w:numPr>
          <w:ilvl w:val="0"/>
          <w:numId w:val="431"/>
        </w:numPr>
        <w:rPr>
          <w:rFonts w:ascii="Arial" w:cs="Arial" w:eastAsia="Arial" w:hAnsi="Arial"/>
          <w:sz w:val="16"/>
          <w:szCs w:val="16"/>
          <w:color w:val="auto"/>
        </w:rPr>
      </w:pPr>
      <w:r>
        <w:rPr>
          <w:rFonts w:ascii="Arial" w:cs="Arial" w:eastAsia="Arial" w:hAnsi="Arial"/>
          <w:sz w:val="16"/>
          <w:szCs w:val="16"/>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24" w:lineRule="exact"/>
        <w:rPr>
          <w:rFonts w:ascii="Arial" w:cs="Arial" w:eastAsia="Arial" w:hAnsi="Arial"/>
          <w:sz w:val="16"/>
          <w:szCs w:val="16"/>
          <w:color w:val="auto"/>
        </w:rPr>
      </w:pPr>
    </w:p>
    <w:p>
      <w:pPr>
        <w:ind w:left="-20" w:right="160" w:firstLine="921"/>
        <w:spacing w:after="0" w:line="255" w:lineRule="auto"/>
        <w:tabs>
          <w:tab w:leader="none" w:pos="1142" w:val="left"/>
        </w:tabs>
        <w:numPr>
          <w:ilvl w:val="0"/>
          <w:numId w:val="431"/>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left="-20" w:right="20" w:firstLine="921"/>
        <w:spacing w:after="0" w:line="294" w:lineRule="auto"/>
        <w:tabs>
          <w:tab w:leader="none" w:pos="1132" w:val="left"/>
        </w:tabs>
        <w:numPr>
          <w:ilvl w:val="0"/>
          <w:numId w:val="431"/>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left="-20" w:right="220" w:firstLine="921"/>
        <w:spacing w:after="0" w:line="268" w:lineRule="auto"/>
        <w:tabs>
          <w:tab w:leader="none" w:pos="1142"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219" w:name="page220"/>
    <w:bookmarkEnd w:id="219"/>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13" w:lineRule="exact"/>
        <w:rPr>
          <w:sz w:val="20"/>
          <w:szCs w:val="20"/>
          <w:color w:val="auto"/>
        </w:rPr>
      </w:pPr>
    </w:p>
    <w:p>
      <w:pPr>
        <w:ind w:left="1180" w:hanging="259"/>
        <w:spacing w:after="0"/>
        <w:tabs>
          <w:tab w:leader="none" w:pos="1180"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sz w:val="20"/>
          <w:szCs w:val="20"/>
          <w:color w:val="auto"/>
        </w:rPr>
      </w:pPr>
    </w:p>
    <w:p>
      <w:pPr>
        <w:ind w:firstLine="921"/>
        <w:spacing w:after="0" w:line="291" w:lineRule="auto"/>
        <w:tabs>
          <w:tab w:leader="none" w:pos="1152" w:val="left"/>
        </w:tabs>
        <w:numPr>
          <w:ilvl w:val="0"/>
          <w:numId w:val="433"/>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80" w:firstLine="921"/>
        <w:spacing w:after="0" w:line="289" w:lineRule="auto"/>
        <w:tabs>
          <w:tab w:leader="none" w:pos="1162" w:val="left"/>
        </w:tabs>
        <w:numPr>
          <w:ilvl w:val="0"/>
          <w:numId w:val="433"/>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99" w:lineRule="exact"/>
        <w:rPr>
          <w:sz w:val="20"/>
          <w:szCs w:val="20"/>
          <w:color w:val="auto"/>
        </w:rPr>
      </w:pPr>
    </w:p>
    <w:p>
      <w:pPr>
        <w:ind w:left="1180" w:hanging="259"/>
        <w:spacing w:after="0"/>
        <w:tabs>
          <w:tab w:leader="none" w:pos="1180"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right="40" w:firstLine="921"/>
        <w:spacing w:after="0" w:line="291" w:lineRule="auto"/>
        <w:tabs>
          <w:tab w:leader="none" w:pos="1152" w:val="left"/>
        </w:tabs>
        <w:numPr>
          <w:ilvl w:val="0"/>
          <w:numId w:val="435"/>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20" w:name="page221"/>
    <w:bookmarkEnd w:id="220"/>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20" w:lineRule="exact"/>
        <w:rPr>
          <w:sz w:val="20"/>
          <w:szCs w:val="20"/>
          <w:color w:val="auto"/>
        </w:rPr>
      </w:pPr>
    </w:p>
    <w:p>
      <w:pPr>
        <w:ind w:firstLine="921"/>
        <w:spacing w:after="0" w:line="298" w:lineRule="auto"/>
        <w:tabs>
          <w:tab w:leader="none" w:pos="1162" w:val="left"/>
        </w:tabs>
        <w:numPr>
          <w:ilvl w:val="0"/>
          <w:numId w:val="436"/>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94" w:lineRule="exact"/>
        <w:rPr>
          <w:sz w:val="20"/>
          <w:szCs w:val="20"/>
          <w:color w:val="auto"/>
        </w:rPr>
      </w:pPr>
    </w:p>
    <w:p>
      <w:pPr>
        <w:ind w:left="1180" w:hanging="259"/>
        <w:spacing w:after="0"/>
        <w:tabs>
          <w:tab w:leader="none" w:pos="1180" w:val="left"/>
        </w:tabs>
        <w:numPr>
          <w:ilvl w:val="0"/>
          <w:numId w:val="437"/>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201" w:lineRule="exact"/>
        <w:rPr>
          <w:sz w:val="20"/>
          <w:szCs w:val="20"/>
          <w:color w:val="auto"/>
        </w:rPr>
      </w:pPr>
    </w:p>
    <w:p>
      <w:pPr>
        <w:ind w:left="1180" w:hanging="259"/>
        <w:spacing w:after="0"/>
        <w:tabs>
          <w:tab w:leader="none" w:pos="1180"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jc w:val="center"/>
        <w:ind w:left="340" w:right="820"/>
        <w:spacing w:after="0" w:line="440" w:lineRule="auto"/>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 11</w:t>
      </w:r>
    </w:p>
    <w:p>
      <w:pPr>
        <w:sectPr>
          <w:pgSz w:w="11900" w:h="16838" w:orient="portrait"/>
          <w:cols w:equalWidth="0" w:num="1">
            <w:col w:w="11400"/>
          </w:cols>
          <w:pgMar w:left="240" w:top="280" w:right="259" w:bottom="1440" w:gutter="0" w:footer="0" w:header="0"/>
        </w:sectPr>
      </w:pPr>
    </w:p>
    <w:bookmarkStart w:id="221" w:name="page222"/>
    <w:bookmarkEnd w:id="221"/>
    <w:p>
      <w:pPr>
        <w:ind w:left="1180" w:hanging="259"/>
        <w:spacing w:after="0"/>
        <w:tabs>
          <w:tab w:leader="none" w:pos="1180" w:val="left"/>
        </w:tabs>
        <w:numPr>
          <w:ilvl w:val="0"/>
          <w:numId w:val="4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p>
    <w:p>
      <w:pPr>
        <w:spacing w:after="0" w:line="9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13" w:lineRule="exact"/>
        <w:rPr>
          <w:sz w:val="20"/>
          <w:szCs w:val="20"/>
          <w:color w:val="auto"/>
        </w:rPr>
      </w:pPr>
    </w:p>
    <w:p>
      <w:pPr>
        <w:ind w:left="1180" w:hanging="259"/>
        <w:spacing w:after="0"/>
        <w:tabs>
          <w:tab w:leader="none" w:pos="1180" w:val="left"/>
        </w:tabs>
        <w:numPr>
          <w:ilvl w:val="0"/>
          <w:numId w:val="440"/>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13" w:lineRule="exact"/>
        <w:rPr>
          <w:sz w:val="20"/>
          <w:szCs w:val="20"/>
          <w:color w:val="auto"/>
        </w:rPr>
      </w:pPr>
    </w:p>
    <w:p>
      <w:pPr>
        <w:ind w:left="1180" w:hanging="259"/>
        <w:spacing w:after="0"/>
        <w:tabs>
          <w:tab w:leader="none" w:pos="1180" w:val="left"/>
        </w:tabs>
        <w:numPr>
          <w:ilvl w:val="0"/>
          <w:numId w:val="441"/>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21" w:lineRule="exact"/>
        <w:rPr>
          <w:sz w:val="20"/>
          <w:szCs w:val="20"/>
          <w:color w:val="auto"/>
        </w:rPr>
      </w:pPr>
    </w:p>
    <w:p>
      <w:pPr>
        <w:ind w:left="1180" w:hanging="259"/>
        <w:spacing w:after="0"/>
        <w:tabs>
          <w:tab w:leader="none" w:pos="1180"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213" w:lineRule="exact"/>
        <w:rPr>
          <w:sz w:val="20"/>
          <w:szCs w:val="20"/>
          <w:color w:val="auto"/>
        </w:rPr>
      </w:pPr>
    </w:p>
    <w:p>
      <w:pPr>
        <w:ind w:left="1180" w:hanging="259"/>
        <w:spacing w:after="0"/>
        <w:tabs>
          <w:tab w:leader="none" w:pos="1180" w:val="left"/>
        </w:tabs>
        <w:numPr>
          <w:ilvl w:val="0"/>
          <w:numId w:val="443"/>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99" w:lineRule="exact"/>
        <w:rPr>
          <w:sz w:val="20"/>
          <w:szCs w:val="20"/>
          <w:color w:val="auto"/>
        </w:rPr>
      </w:pPr>
    </w:p>
    <w:p>
      <w:pPr>
        <w:ind w:left="1180" w:hanging="259"/>
        <w:spacing w:after="0"/>
        <w:tabs>
          <w:tab w:leader="none" w:pos="1180"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222" w:name="page223"/>
    <w:bookmarkEnd w:id="222"/>
    <w:p>
      <w:pPr>
        <w:ind w:left="1180" w:hanging="259"/>
        <w:spacing w:after="0"/>
        <w:tabs>
          <w:tab w:leader="none" w:pos="1180"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RESOLUTION OF DISPUTES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194"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94" w:lineRule="exact"/>
        <w:rPr>
          <w:sz w:val="20"/>
          <w:szCs w:val="20"/>
          <w:color w:val="auto"/>
        </w:rPr>
      </w:pPr>
    </w:p>
    <w:p>
      <w:pPr>
        <w:ind w:left="1180" w:hanging="259"/>
        <w:spacing w:after="0"/>
        <w:tabs>
          <w:tab w:leader="none" w:pos="1180"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90"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21" w:lineRule="exact"/>
        <w:rPr>
          <w:sz w:val="20"/>
          <w:szCs w:val="20"/>
          <w:color w:val="auto"/>
        </w:rPr>
      </w:pPr>
    </w:p>
    <w:p>
      <w:pPr>
        <w:ind w:left="1180" w:hanging="259"/>
        <w:spacing w:after="0"/>
        <w:tabs>
          <w:tab w:leader="none" w:pos="1180"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13" w:lineRule="exact"/>
        <w:rPr>
          <w:sz w:val="20"/>
          <w:szCs w:val="20"/>
          <w:color w:val="auto"/>
        </w:rPr>
      </w:pPr>
    </w:p>
    <w:p>
      <w:pPr>
        <w:ind w:left="920" w:right="7580" w:firstLine="1"/>
        <w:spacing w:after="0" w:line="437" w:lineRule="auto"/>
        <w:tabs>
          <w:tab w:leader="none" w:pos="1183" w:val="left"/>
        </w:tabs>
        <w:numPr>
          <w:ilvl w:val="0"/>
          <w:numId w:val="448"/>
        </w:numPr>
        <w:rPr>
          <w:rFonts w:ascii="Arial" w:cs="Arial" w:eastAsia="Arial" w:hAnsi="Arial"/>
          <w:sz w:val="16"/>
          <w:szCs w:val="16"/>
          <w:color w:val="auto"/>
        </w:rPr>
      </w:pPr>
      <w:r>
        <w:rPr>
          <w:rFonts w:ascii="Arial" w:cs="Arial" w:eastAsia="Arial" w:hAnsi="Arial"/>
          <w:sz w:val="16"/>
          <w:szCs w:val="16"/>
          <w:u w:val="single" w:color="auto"/>
          <w:color w:val="auto"/>
        </w:rPr>
        <w:t xml:space="preserve">SUBSIDIARIES AND AFFILIATES </w:t>
      </w:r>
      <w:r>
        <w:rPr>
          <w:rFonts w:ascii="Arial" w:cs="Arial" w:eastAsia="Arial" w:hAnsi="Arial"/>
          <w:sz w:val="16"/>
          <w:szCs w:val="16"/>
          <w:color w:val="auto"/>
        </w:rPr>
        <w:t>For purposes of this Agreement:</w:t>
      </w:r>
    </w:p>
    <w:p>
      <w:pPr>
        <w:spacing w:after="0" w:line="5" w:lineRule="exact"/>
        <w:rPr>
          <w:rFonts w:ascii="Arial" w:cs="Arial" w:eastAsia="Arial" w:hAnsi="Arial"/>
          <w:sz w:val="16"/>
          <w:szCs w:val="16"/>
          <w:color w:val="auto"/>
        </w:rPr>
      </w:pPr>
    </w:p>
    <w:p>
      <w:pPr>
        <w:ind w:right="360" w:firstLine="1492"/>
        <w:spacing w:after="0" w:line="259" w:lineRule="auto"/>
        <w:tabs>
          <w:tab w:leader="none" w:pos="1722" w:val="left"/>
        </w:tabs>
        <w:numPr>
          <w:ilvl w:val="1"/>
          <w:numId w:val="448"/>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40" w:lineRule="exact"/>
        <w:rPr>
          <w:rFonts w:ascii="Arial" w:cs="Arial" w:eastAsia="Arial" w:hAnsi="Arial"/>
          <w:sz w:val="18"/>
          <w:szCs w:val="18"/>
          <w:color w:val="auto"/>
        </w:rPr>
      </w:pPr>
    </w:p>
    <w:p>
      <w:pPr>
        <w:ind w:firstLine="1492"/>
        <w:spacing w:after="0" w:line="256" w:lineRule="auto"/>
        <w:tabs>
          <w:tab w:leader="none" w:pos="1732" w:val="left"/>
        </w:tabs>
        <w:numPr>
          <w:ilvl w:val="1"/>
          <w:numId w:val="448"/>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223" w:name="page224"/>
    <w:bookmarkEnd w:id="223"/>
    <w:p>
      <w:pPr>
        <w:ind w:left="1180" w:hanging="259"/>
        <w:spacing w:after="0"/>
        <w:tabs>
          <w:tab w:leader="none" w:pos="1180" w:val="left"/>
        </w:tabs>
        <w:numPr>
          <w:ilvl w:val="0"/>
          <w:numId w:val="4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HEADINGS</w:t>
      </w:r>
    </w:p>
    <w:p>
      <w:pPr>
        <w:spacing w:after="0" w:line="9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213" w:lineRule="exact"/>
        <w:rPr>
          <w:sz w:val="20"/>
          <w:szCs w:val="20"/>
          <w:color w:val="auto"/>
        </w:rPr>
      </w:pPr>
    </w:p>
    <w:p>
      <w:pPr>
        <w:ind w:left="1180" w:hanging="259"/>
        <w:spacing w:after="0"/>
        <w:tabs>
          <w:tab w:leader="none" w:pos="1180" w:val="left"/>
        </w:tabs>
        <w:numPr>
          <w:ilvl w:val="0"/>
          <w:numId w:val="450"/>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ectPr>
          <w:pgSz w:w="11900" w:h="16838" w:orient="portrait"/>
          <w:cols w:equalWidth="0" w:num="1">
            <w:col w:w="11380"/>
          </w:cols>
          <w:pgMar w:left="240" w:top="280" w:right="27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David A. Levin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960" w:type="dxa"/>
            <w:vAlign w:val="bottom"/>
          </w:tcPr>
          <w:p>
            <w:pPr>
              <w:spacing w:after="0"/>
              <w:rPr>
                <w:sz w:val="20"/>
                <w:szCs w:val="20"/>
                <w:color w:val="auto"/>
              </w:rPr>
            </w:pPr>
            <w:r>
              <w:rPr>
                <w:rFonts w:ascii="Arial" w:cs="Arial" w:eastAsia="Arial" w:hAnsi="Arial"/>
                <w:sz w:val="18"/>
                <w:szCs w:val="18"/>
                <w:color w:val="auto"/>
              </w:rPr>
              <w:t>President, Chief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960" w:type="dxa"/>
            <w:vAlign w:val="bottom"/>
          </w:tcPr>
          <w:p>
            <w:pPr>
              <w:spacing w:after="0"/>
              <w:rPr>
                <w:sz w:val="20"/>
                <w:szCs w:val="20"/>
                <w:color w:val="auto"/>
              </w:rPr>
            </w:pPr>
            <w:r>
              <w:rPr>
                <w:rFonts w:ascii="Arial" w:cs="Arial" w:eastAsia="Arial" w:hAnsi="Arial"/>
                <w:sz w:val="18"/>
                <w:szCs w:val="18"/>
                <w:color w:val="auto"/>
              </w:rPr>
              <w:t>Executive VP, COO, CFO</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Walter E. Sprague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1599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Walter E. Sprague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3180"/>
        <w:spacing w:after="0"/>
        <w:rPr>
          <w:sz w:val="20"/>
          <w:szCs w:val="20"/>
          <w:color w:val="auto"/>
        </w:rPr>
      </w:pPr>
      <w:r>
        <w:rPr>
          <w:rFonts w:ascii="Arial" w:cs="Arial" w:eastAsia="Arial" w:hAnsi="Arial"/>
          <w:sz w:val="18"/>
          <w:szCs w:val="18"/>
          <w:color w:val="auto"/>
        </w:rPr>
        <w:t>Date: January 8, 2010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180"/>
        <w:spacing w:after="0"/>
        <w:rPr>
          <w:sz w:val="20"/>
          <w:szCs w:val="20"/>
          <w:color w:val="auto"/>
        </w:rPr>
      </w:pPr>
      <w:r>
        <w:rPr>
          <w:rFonts w:ascii="Arial" w:cs="Arial" w:eastAsia="Arial" w:hAnsi="Arial"/>
          <w:sz w:val="18"/>
          <w:szCs w:val="18"/>
          <w:color w:val="auto"/>
        </w:rPr>
        <w:t>Date: January 8, 2010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180"/>
        <w:spacing w:after="0"/>
        <w:rPr>
          <w:sz w:val="20"/>
          <w:szCs w:val="20"/>
          <w:color w:val="auto"/>
        </w:rPr>
      </w:pPr>
      <w:r>
        <w:rPr>
          <w:rFonts w:ascii="Arial" w:cs="Arial" w:eastAsia="Arial" w:hAnsi="Arial"/>
          <w:sz w:val="18"/>
          <w:szCs w:val="18"/>
          <w:color w:val="auto"/>
        </w:rPr>
        <w:t>Date: January 7, 2010</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5540" w:space="80"/>
            <w:col w:w="5760"/>
          </w:cols>
          <w:pgMar w:left="240" w:top="280" w:right="279" w:bottom="1440" w:gutter="0" w:footer="0" w:header="0"/>
          <w:type w:val="continuous"/>
        </w:sectPr>
      </w:pPr>
    </w:p>
    <w:bookmarkStart w:id="224" w:name="page225"/>
    <w:bookmarkEnd w:id="224"/>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171" w:lineRule="exact"/>
        <w:rPr>
          <w:sz w:val="20"/>
          <w:szCs w:val="20"/>
          <w:color w:val="auto"/>
        </w:rPr>
      </w:pPr>
    </w:p>
    <w:p>
      <w:pPr>
        <w:ind w:left="-40" w:firstLine="464"/>
        <w:spacing w:after="0" w:line="284" w:lineRule="auto"/>
        <w:tabs>
          <w:tab w:leader="none" w:pos="592" w:val="left"/>
        </w:tabs>
        <w:numPr>
          <w:ilvl w:val="0"/>
          <w:numId w:val="451"/>
        </w:numPr>
        <w:rPr>
          <w:rFonts w:ascii="Arial" w:cs="Arial" w:eastAsia="Arial" w:hAnsi="Arial"/>
          <w:sz w:val="16"/>
          <w:szCs w:val="16"/>
          <w:color w:val="auto"/>
        </w:rPr>
      </w:pPr>
      <w:r>
        <w:rPr>
          <w:rFonts w:ascii="Arial" w:cs="Arial" w:eastAsia="Arial" w:hAnsi="Arial"/>
          <w:sz w:val="16"/>
          <w:szCs w:val="16"/>
          <w:color w:val="auto"/>
        </w:rPr>
        <w:t>Walter E. Sprague (“</w:t>
      </w:r>
      <w:r>
        <w:rPr>
          <w:rFonts w:ascii="Arial" w:cs="Arial" w:eastAsia="Arial" w:hAnsi="Arial"/>
          <w:sz w:val="16"/>
          <w:szCs w:val="16"/>
          <w:u w:val="single" w:color="auto"/>
          <w:color w:val="auto"/>
        </w:rPr>
        <w:t>Executive</w:t>
      </w:r>
      <w:r>
        <w:rPr>
          <w:rFonts w:ascii="Arial" w:cs="Arial" w:eastAsia="Arial" w:hAnsi="Arial"/>
          <w:sz w:val="16"/>
          <w:szCs w:val="16"/>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does hereby release and forever discharge Casual Male Retail Group, Inc. (the “</w:t>
      </w:r>
      <w:r>
        <w:rPr>
          <w:rFonts w:ascii="Arial" w:cs="Arial" w:eastAsia="Arial" w:hAnsi="Arial"/>
          <w:sz w:val="16"/>
          <w:szCs w:val="16"/>
          <w:u w:val="single" w:color="auto"/>
          <w:color w:val="auto"/>
        </w:rPr>
        <w:t>Company</w:t>
      </w:r>
      <w:r>
        <w:rPr>
          <w:rFonts w:ascii="Arial" w:cs="Arial" w:eastAsia="Arial" w:hAnsi="Arial"/>
          <w:sz w:val="16"/>
          <w:szCs w:val="16"/>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280" w:right="259" w:bottom="1440" w:gutter="0" w:footer="0" w:header="0"/>
        </w:sectPr>
      </w:pPr>
    </w:p>
    <w:bookmarkStart w:id="225" w:name="page226"/>
    <w:bookmarkEnd w:id="225"/>
    <w:p>
      <w:pPr>
        <w:ind w:left="-20" w:firstLine="464"/>
        <w:spacing w:after="0" w:line="294" w:lineRule="auto"/>
        <w:tabs>
          <w:tab w:leader="none" w:pos="612" w:val="left"/>
        </w:tabs>
        <w:numPr>
          <w:ilvl w:val="0"/>
          <w:numId w:val="4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his right to commence a Proceeding to challenge whether Executive knowingly and voluntarily waived his rights under ADEA.</w:t>
      </w:r>
    </w:p>
    <w:p>
      <w:pPr>
        <w:spacing w:after="0" w:line="115" w:lineRule="exact"/>
        <w:rPr>
          <w:rFonts w:ascii="Arial" w:cs="Arial" w:eastAsia="Arial" w:hAnsi="Arial"/>
          <w:sz w:val="16"/>
          <w:szCs w:val="16"/>
          <w:color w:val="auto"/>
        </w:rPr>
      </w:pPr>
    </w:p>
    <w:p>
      <w:pPr>
        <w:ind w:left="-20" w:right="180" w:firstLine="464"/>
        <w:spacing w:after="0" w:line="256" w:lineRule="auto"/>
        <w:tabs>
          <w:tab w:leader="none" w:pos="612" w:val="left"/>
        </w:tabs>
        <w:numPr>
          <w:ilvl w:val="0"/>
          <w:numId w:val="452"/>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43"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452"/>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31" w:lineRule="exact"/>
        <w:rPr>
          <w:rFonts w:ascii="Arial" w:cs="Arial" w:eastAsia="Arial" w:hAnsi="Arial"/>
          <w:sz w:val="18"/>
          <w:szCs w:val="18"/>
          <w:color w:val="auto"/>
        </w:rPr>
      </w:pPr>
    </w:p>
    <w:p>
      <w:pPr>
        <w:jc w:val="both"/>
        <w:ind w:left="-20" w:right="420" w:firstLine="464"/>
        <w:spacing w:after="0" w:line="259" w:lineRule="auto"/>
        <w:tabs>
          <w:tab w:leader="none" w:pos="612" w:val="left"/>
        </w:tabs>
        <w:numPr>
          <w:ilvl w:val="0"/>
          <w:numId w:val="452"/>
        </w:numPr>
        <w:rPr>
          <w:rFonts w:ascii="Arial" w:cs="Arial" w:eastAsia="Arial" w:hAnsi="Arial"/>
          <w:sz w:val="18"/>
          <w:szCs w:val="18"/>
          <w:color w:val="auto"/>
        </w:rPr>
      </w:pPr>
      <w:r>
        <w:rPr>
          <w:rFonts w:ascii="Arial" w:cs="Arial" w:eastAsia="Arial" w:hAnsi="Arial"/>
          <w:sz w:val="18"/>
          <w:szCs w:val="18"/>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40"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406400</wp:posOffset>
            </wp:positionV>
            <wp:extent cx="289877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Walter E. Sprague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80"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10.41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This Employment Agreement (“Agreement”) is made as of January 7, 2010 between CASUAL MALE RETAIL GROUP, INC., a Delaware corporation with an office at 555 Turnpike Street, Canton, Massachusetts, 02021 (the “Company” which term includes any affiliates and subsidiaries), and Peter H. Stratton, Jr. (the “Executive”) having an address at 59 Marshall Avenue, Mansfield, MA 02048.</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Finance, Corporate Controller and Chief Accounting Officer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13" w:lineRule="exact"/>
        <w:rPr>
          <w:sz w:val="20"/>
          <w:szCs w:val="20"/>
          <w:color w:val="auto"/>
        </w:rPr>
      </w:pPr>
    </w:p>
    <w:p>
      <w:pPr>
        <w:ind w:left="1100" w:hanging="179"/>
        <w:spacing w:after="0"/>
        <w:tabs>
          <w:tab w:leader="none" w:pos="1100" w:val="left"/>
        </w:tabs>
        <w:numPr>
          <w:ilvl w:val="0"/>
          <w:numId w:val="453"/>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Senior Vice President Finance, Corporate Controller and Chief Accounting Officer.</w:t>
      </w:r>
    </w:p>
    <w:p>
      <w:pPr>
        <w:spacing w:after="0" w:line="246" w:lineRule="exact"/>
        <w:rPr>
          <w:sz w:val="20"/>
          <w:szCs w:val="20"/>
          <w:color w:val="auto"/>
        </w:rPr>
      </w:pPr>
    </w:p>
    <w:p>
      <w:pPr>
        <w:ind w:left="1100" w:hanging="179"/>
        <w:spacing w:after="0"/>
        <w:tabs>
          <w:tab w:leader="none" w:pos="1100"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term of employment under this Agreement (the “Term of Employment”) shall begin on the date set forth above (the “Effective Date”) and shall continue until terminated by either party as hereinafter set forth.</w:t>
      </w:r>
    </w:p>
    <w:p>
      <w:pPr>
        <w:spacing w:after="0" w:line="213" w:lineRule="exact"/>
        <w:rPr>
          <w:sz w:val="20"/>
          <w:szCs w:val="20"/>
          <w:color w:val="auto"/>
        </w:rPr>
      </w:pPr>
    </w:p>
    <w:p>
      <w:pPr>
        <w:ind w:left="1100" w:hanging="179"/>
        <w:spacing w:after="0"/>
        <w:tabs>
          <w:tab w:leader="none" w:pos="1100"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sz w:val="20"/>
          <w:szCs w:val="20"/>
          <w:color w:val="auto"/>
        </w:rPr>
      </w:pPr>
    </w:p>
    <w:p>
      <w:pPr>
        <w:ind w:right="160" w:firstLine="921"/>
        <w:spacing w:after="0" w:line="323" w:lineRule="auto"/>
        <w:tabs>
          <w:tab w:leader="none" w:pos="1152" w:val="left"/>
        </w:tabs>
        <w:numPr>
          <w:ilvl w:val="0"/>
          <w:numId w:val="456"/>
        </w:numPr>
        <w:rPr>
          <w:rFonts w:ascii="Arial" w:cs="Arial" w:eastAsia="Arial" w:hAnsi="Arial"/>
          <w:sz w:val="15"/>
          <w:szCs w:val="15"/>
          <w:color w:val="auto"/>
        </w:rPr>
      </w:pPr>
      <w:r>
        <w:rPr>
          <w:rFonts w:ascii="Arial" w:cs="Arial" w:eastAsia="Arial" w:hAnsi="Arial"/>
          <w:sz w:val="15"/>
          <w:szCs w:val="15"/>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Thousand Dollars and 00/100 Cents ($200,000.00)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97" w:lineRule="exact"/>
        <w:rPr>
          <w:rFonts w:ascii="Arial" w:cs="Arial" w:eastAsia="Arial" w:hAnsi="Arial"/>
          <w:sz w:val="15"/>
          <w:szCs w:val="15"/>
          <w:color w:val="auto"/>
        </w:rPr>
      </w:pPr>
    </w:p>
    <w:p>
      <w:pPr>
        <w:ind w:firstLine="921"/>
        <w:spacing w:after="0" w:line="259" w:lineRule="auto"/>
        <w:tabs>
          <w:tab w:leader="none" w:pos="1162" w:val="left"/>
        </w:tabs>
        <w:numPr>
          <w:ilvl w:val="0"/>
          <w:numId w:val="456"/>
        </w:numPr>
        <w:rPr>
          <w:rFonts w:ascii="Arial" w:cs="Arial" w:eastAsia="Arial" w:hAnsi="Arial"/>
          <w:sz w:val="18"/>
          <w:szCs w:val="18"/>
          <w:color w:val="auto"/>
        </w:rPr>
      </w:pPr>
      <w:r>
        <w:rPr>
          <w:rFonts w:ascii="Arial" w:cs="Arial" w:eastAsia="Arial" w:hAnsi="Arial"/>
          <w:sz w:val="18"/>
          <w:szCs w:val="18"/>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w:t>
      </w:r>
    </w:p>
    <w:p>
      <w:pPr>
        <w:sectPr>
          <w:pgSz w:w="11900" w:h="16838" w:orient="portrait"/>
          <w:cols w:equalWidth="0" w:num="1">
            <w:col w:w="11420"/>
          </w:cols>
          <w:pgMar w:left="240" w:top="125" w:right="239" w:bottom="1440" w:gutter="0" w:footer="0" w:header="0"/>
        </w:sectPr>
      </w:pPr>
    </w:p>
    <w:bookmarkStart w:id="227" w:name="page228"/>
    <w:bookmarkEnd w:id="227"/>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participate in the Company’s incentive program and Executive’s target bonus under such plan (if all individual and Company performance conditions are met) shall be 35%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13" w:lineRule="exact"/>
        <w:rPr>
          <w:sz w:val="20"/>
          <w:szCs w:val="20"/>
          <w:color w:val="auto"/>
        </w:rPr>
      </w:pPr>
    </w:p>
    <w:p>
      <w:pPr>
        <w:ind w:firstLine="921"/>
        <w:spacing w:after="0" w:line="255" w:lineRule="auto"/>
        <w:tabs>
          <w:tab w:leader="none" w:pos="1152"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24" w:lineRule="exact"/>
        <w:rPr>
          <w:sz w:val="20"/>
          <w:szCs w:val="20"/>
          <w:color w:val="auto"/>
        </w:rPr>
      </w:pPr>
    </w:p>
    <w:p>
      <w:pPr>
        <w:ind w:left="1100" w:hanging="179"/>
        <w:spacing w:after="0"/>
        <w:tabs>
          <w:tab w:leader="none" w:pos="1100" w:val="left"/>
        </w:tabs>
        <w:numPr>
          <w:ilvl w:val="0"/>
          <w:numId w:val="458"/>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220" w:firstLine="913"/>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94" w:lineRule="exact"/>
        <w:rPr>
          <w:sz w:val="20"/>
          <w:szCs w:val="20"/>
          <w:color w:val="auto"/>
        </w:rPr>
      </w:pPr>
    </w:p>
    <w:p>
      <w:pPr>
        <w:ind w:left="1100" w:hanging="179"/>
        <w:spacing w:after="0"/>
        <w:tabs>
          <w:tab w:leader="none" w:pos="1100" w:val="left"/>
        </w:tabs>
        <w:numPr>
          <w:ilvl w:val="0"/>
          <w:numId w:val="459"/>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sz w:val="20"/>
          <w:szCs w:val="20"/>
          <w:color w:val="auto"/>
        </w:rPr>
      </w:pPr>
    </w:p>
    <w:p>
      <w:pPr>
        <w:ind w:right="260" w:firstLine="921"/>
        <w:spacing w:after="0" w:line="298" w:lineRule="auto"/>
        <w:tabs>
          <w:tab w:leader="none" w:pos="1152" w:val="left"/>
        </w:tabs>
        <w:numPr>
          <w:ilvl w:val="0"/>
          <w:numId w:val="460"/>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right="20" w:firstLine="921"/>
        <w:spacing w:after="0" w:line="298" w:lineRule="auto"/>
        <w:tabs>
          <w:tab w:leader="none" w:pos="1162" w:val="left"/>
        </w:tabs>
        <w:numPr>
          <w:ilvl w:val="0"/>
          <w:numId w:val="460"/>
        </w:numPr>
        <w:rPr>
          <w:rFonts w:ascii="Arial" w:cs="Arial" w:eastAsia="Arial" w:hAnsi="Arial"/>
          <w:sz w:val="16"/>
          <w:szCs w:val="16"/>
          <w:color w:val="auto"/>
        </w:rPr>
      </w:pPr>
      <w:r>
        <w:rPr>
          <w:rFonts w:ascii="Arial" w:cs="Arial" w:eastAsia="Arial" w:hAnsi="Arial"/>
          <w:sz w:val="16"/>
          <w:szCs w:val="16"/>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28" w:name="page229"/>
    <w:bookmarkEnd w:id="228"/>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Executive will be eligible to participate in the Company’s annual performance appraisal process.</w:t>
      </w:r>
    </w:p>
    <w:p>
      <w:pPr>
        <w:spacing w:after="0" w:line="252" w:lineRule="exact"/>
        <w:rPr>
          <w:sz w:val="20"/>
          <w:szCs w:val="20"/>
          <w:color w:val="auto"/>
        </w:rPr>
      </w:pPr>
    </w:p>
    <w:p>
      <w:pPr>
        <w:ind w:left="1060" w:hanging="179"/>
        <w:spacing w:after="0"/>
        <w:tabs>
          <w:tab w:leader="none" w:pos="1060"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sz w:val="20"/>
          <w:szCs w:val="20"/>
          <w:color w:val="auto"/>
        </w:rPr>
      </w:pPr>
    </w:p>
    <w:p>
      <w:pPr>
        <w:ind w:left="-40" w:right="100" w:firstLine="921"/>
        <w:spacing w:after="0" w:line="259" w:lineRule="auto"/>
        <w:tabs>
          <w:tab w:leader="none" w:pos="1112" w:val="left"/>
        </w:tabs>
        <w:numPr>
          <w:ilvl w:val="0"/>
          <w:numId w:val="462"/>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Finance, Corporate Controller and Chief Accounting Officer and/or as the Company shall from time to time determine and Executive shall comply in the performance of his duties with the policies of, and be subject to the direction of the Company.</w:t>
      </w:r>
    </w:p>
    <w:p>
      <w:pPr>
        <w:spacing w:after="0" w:line="140" w:lineRule="exact"/>
        <w:rPr>
          <w:rFonts w:ascii="Arial" w:cs="Arial" w:eastAsia="Arial" w:hAnsi="Arial"/>
          <w:sz w:val="18"/>
          <w:szCs w:val="18"/>
          <w:color w:val="auto"/>
        </w:rPr>
      </w:pPr>
    </w:p>
    <w:p>
      <w:pPr>
        <w:ind w:left="-40" w:right="120" w:firstLine="921"/>
        <w:spacing w:after="0" w:line="298" w:lineRule="auto"/>
        <w:tabs>
          <w:tab w:leader="none" w:pos="1122" w:val="left"/>
        </w:tabs>
        <w:numPr>
          <w:ilvl w:val="0"/>
          <w:numId w:val="462"/>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12" w:lineRule="exact"/>
        <w:rPr>
          <w:rFonts w:ascii="Arial" w:cs="Arial" w:eastAsia="Arial" w:hAnsi="Arial"/>
          <w:sz w:val="16"/>
          <w:szCs w:val="16"/>
          <w:color w:val="auto"/>
        </w:rPr>
      </w:pPr>
    </w:p>
    <w:p>
      <w:pPr>
        <w:jc w:val="both"/>
        <w:ind w:left="-40" w:firstLine="921"/>
        <w:spacing w:after="0" w:line="335" w:lineRule="auto"/>
        <w:tabs>
          <w:tab w:leader="none" w:pos="1112" w:val="left"/>
        </w:tabs>
        <w:numPr>
          <w:ilvl w:val="0"/>
          <w:numId w:val="462"/>
        </w:numPr>
        <w:rPr>
          <w:rFonts w:ascii="Arial" w:cs="Arial" w:eastAsia="Arial" w:hAnsi="Arial"/>
          <w:sz w:val="15"/>
          <w:szCs w:val="15"/>
          <w:color w:val="auto"/>
        </w:rPr>
      </w:pPr>
      <w:r>
        <w:rPr>
          <w:rFonts w:ascii="Arial" w:cs="Arial" w:eastAsia="Arial" w:hAnsi="Arial"/>
          <w:sz w:val="15"/>
          <w:szCs w:val="15"/>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169" w:lineRule="exact"/>
        <w:rPr>
          <w:sz w:val="20"/>
          <w:szCs w:val="20"/>
          <w:color w:val="auto"/>
        </w:rPr>
      </w:pPr>
    </w:p>
    <w:p>
      <w:pPr>
        <w:ind w:left="1060" w:hanging="179"/>
        <w:spacing w:after="0"/>
        <w:tabs>
          <w:tab w:leader="none" w:pos="1060"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sz w:val="20"/>
          <w:szCs w:val="20"/>
          <w:color w:val="auto"/>
        </w:rPr>
      </w:pPr>
    </w:p>
    <w:p>
      <w:pPr>
        <w:ind w:left="1120" w:hanging="239"/>
        <w:spacing w:after="0"/>
        <w:tabs>
          <w:tab w:leader="none" w:pos="11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171" w:lineRule="exact"/>
        <w:rPr>
          <w:rFonts w:ascii="Arial" w:cs="Arial" w:eastAsia="Arial" w:hAnsi="Arial"/>
          <w:sz w:val="18"/>
          <w:szCs w:val="18"/>
          <w:color w:val="auto"/>
        </w:rPr>
      </w:pPr>
    </w:p>
    <w:p>
      <w:pPr>
        <w:jc w:val="both"/>
        <w:ind w:left="-40" w:right="120" w:firstLine="1492"/>
        <w:spacing w:after="0" w:line="259" w:lineRule="auto"/>
        <w:tabs>
          <w:tab w:leader="none" w:pos="1653" w:val="left"/>
        </w:tabs>
        <w:numPr>
          <w:ilvl w:val="1"/>
          <w:numId w:val="464"/>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1720" w:hanging="268"/>
        <w:spacing w:after="0"/>
        <w:tabs>
          <w:tab w:leader="none" w:pos="172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171" w:lineRule="exact"/>
        <w:rPr>
          <w:rFonts w:ascii="Arial" w:cs="Arial" w:eastAsia="Arial" w:hAnsi="Arial"/>
          <w:sz w:val="18"/>
          <w:szCs w:val="18"/>
          <w:color w:val="auto"/>
        </w:rPr>
      </w:pPr>
    </w:p>
    <w:p>
      <w:pPr>
        <w:ind w:left="1120" w:hanging="239"/>
        <w:spacing w:after="0"/>
        <w:tabs>
          <w:tab w:leader="none" w:pos="11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171" w:lineRule="exact"/>
        <w:rPr>
          <w:rFonts w:ascii="Arial" w:cs="Arial" w:eastAsia="Arial" w:hAnsi="Arial"/>
          <w:sz w:val="18"/>
          <w:szCs w:val="18"/>
          <w:color w:val="auto"/>
        </w:rPr>
      </w:pPr>
    </w:p>
    <w:p>
      <w:pPr>
        <w:ind w:left="1660" w:hanging="208"/>
        <w:spacing w:after="0"/>
        <w:tabs>
          <w:tab w:leader="none" w:pos="166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rFonts w:ascii="Arial" w:cs="Arial" w:eastAsia="Arial" w:hAnsi="Arial"/>
          <w:sz w:val="18"/>
          <w:szCs w:val="18"/>
          <w:color w:val="auto"/>
        </w:rPr>
      </w:pPr>
    </w:p>
    <w:p>
      <w:pPr>
        <w:ind w:left="-40" w:right="240" w:firstLine="1492"/>
        <w:spacing w:after="0" w:line="268" w:lineRule="auto"/>
        <w:tabs>
          <w:tab w:leader="none" w:pos="1702" w:val="left"/>
        </w:tabs>
        <w:numPr>
          <w:ilvl w:val="1"/>
          <w:numId w:val="464"/>
        </w:numPr>
        <w:rPr>
          <w:rFonts w:ascii="Arial" w:cs="Arial" w:eastAsia="Arial" w:hAnsi="Arial"/>
          <w:sz w:val="18"/>
          <w:szCs w:val="18"/>
          <w:color w:val="auto"/>
        </w:rPr>
      </w:pPr>
      <w:r>
        <w:rPr>
          <w:rFonts w:ascii="Arial" w:cs="Arial" w:eastAsia="Arial" w:hAnsi="Arial"/>
          <w:sz w:val="18"/>
          <w:szCs w:val="18"/>
          <w:color w:val="auto"/>
        </w:rPr>
        <w:t>the date on which the Company elects to terminate the Term of Employment by reason of the “disability” of Executive (as hereinafter defined in subsection (c) herein) pursuant to subsection (g) hereof;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80" w:right="279" w:bottom="1440" w:gutter="0" w:footer="0" w:header="0"/>
        </w:sectPr>
      </w:pPr>
    </w:p>
    <w:bookmarkStart w:id="229" w:name="page230"/>
    <w:bookmarkEnd w:id="229"/>
    <w:p>
      <w:pPr>
        <w:ind w:left="1720" w:hanging="308"/>
        <w:spacing w:after="0"/>
        <w:tabs>
          <w:tab w:leader="none" w:pos="1720" w:val="left"/>
        </w:tabs>
        <w:numPr>
          <w:ilvl w:val="1"/>
          <w:numId w:val="4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Executive’s resignation of employment.</w:t>
      </w:r>
    </w:p>
    <w:p>
      <w:pPr>
        <w:spacing w:after="0" w:line="171" w:lineRule="exact"/>
        <w:rPr>
          <w:rFonts w:ascii="Arial" w:cs="Arial" w:eastAsia="Arial" w:hAnsi="Arial"/>
          <w:sz w:val="18"/>
          <w:szCs w:val="18"/>
          <w:color w:val="auto"/>
        </w:rPr>
      </w:pPr>
    </w:p>
    <w:p>
      <w:pPr>
        <w:ind w:left="-80" w:right="20" w:firstLine="921"/>
        <w:spacing w:after="0" w:line="259" w:lineRule="auto"/>
        <w:tabs>
          <w:tab w:leader="none" w:pos="1072" w:val="left"/>
        </w:tabs>
        <w:numPr>
          <w:ilvl w:val="0"/>
          <w:numId w:val="466"/>
        </w:numPr>
        <w:rPr>
          <w:rFonts w:ascii="Arial" w:cs="Arial" w:eastAsia="Arial" w:hAnsi="Arial"/>
          <w:sz w:val="18"/>
          <w:szCs w:val="18"/>
          <w:color w:val="auto"/>
        </w:rPr>
      </w:pPr>
      <w:r>
        <w:rPr>
          <w:rFonts w:ascii="Arial" w:cs="Arial" w:eastAsia="Arial" w:hAnsi="Arial"/>
          <w:sz w:val="18"/>
          <w:szCs w:val="18"/>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80" w:right="20" w:firstLine="921"/>
        <w:spacing w:after="0" w:line="287" w:lineRule="auto"/>
        <w:tabs>
          <w:tab w:leader="none" w:pos="1082" w:val="left"/>
        </w:tabs>
        <w:numPr>
          <w:ilvl w:val="0"/>
          <w:numId w:val="466"/>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22" w:lineRule="exact"/>
        <w:rPr>
          <w:rFonts w:ascii="Arial" w:cs="Arial" w:eastAsia="Arial" w:hAnsi="Arial"/>
          <w:sz w:val="16"/>
          <w:szCs w:val="16"/>
          <w:color w:val="auto"/>
        </w:rPr>
      </w:pPr>
    </w:p>
    <w:p>
      <w:pPr>
        <w:ind w:left="-80" w:firstLine="921"/>
        <w:spacing w:after="0" w:line="289" w:lineRule="auto"/>
        <w:tabs>
          <w:tab w:leader="none" w:pos="1072" w:val="left"/>
        </w:tabs>
        <w:numPr>
          <w:ilvl w:val="0"/>
          <w:numId w:val="466"/>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18" w:lineRule="exact"/>
        <w:rPr>
          <w:rFonts w:ascii="Arial" w:cs="Arial" w:eastAsia="Arial" w:hAnsi="Arial"/>
          <w:sz w:val="16"/>
          <w:szCs w:val="16"/>
          <w:color w:val="auto"/>
        </w:rPr>
      </w:pPr>
    </w:p>
    <w:p>
      <w:pPr>
        <w:ind w:left="-80" w:right="180" w:firstLine="921"/>
        <w:spacing w:after="0" w:line="259" w:lineRule="auto"/>
        <w:tabs>
          <w:tab w:leader="none" w:pos="1052"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40" w:lineRule="exact"/>
        <w:rPr>
          <w:rFonts w:ascii="Arial" w:cs="Arial" w:eastAsia="Arial" w:hAnsi="Arial"/>
          <w:sz w:val="18"/>
          <w:szCs w:val="18"/>
          <w:color w:val="auto"/>
        </w:rPr>
      </w:pPr>
    </w:p>
    <w:p>
      <w:pPr>
        <w:ind w:left="-80" w:right="620" w:firstLine="921"/>
        <w:spacing w:after="0" w:line="268" w:lineRule="auto"/>
        <w:tabs>
          <w:tab w:leader="none" w:pos="1082" w:val="left"/>
        </w:tabs>
        <w:numPr>
          <w:ilvl w:val="0"/>
          <w:numId w:val="466"/>
        </w:numPr>
        <w:rPr>
          <w:rFonts w:ascii="Arial" w:cs="Arial" w:eastAsia="Arial" w:hAnsi="Arial"/>
          <w:sz w:val="18"/>
          <w:szCs w:val="18"/>
          <w:color w:val="auto"/>
        </w:rPr>
      </w:pPr>
      <w:r>
        <w:rPr>
          <w:rFonts w:ascii="Arial" w:cs="Arial" w:eastAsia="Arial" w:hAnsi="Arial"/>
          <w:sz w:val="18"/>
          <w:szCs w:val="18"/>
          <w:color w:val="auto"/>
        </w:rPr>
        <w:t>Upon Executive’s “disability”, the Company shall have the right to terminate Executive’s employment. Any termination pursuant to this subsection (g) shall be effective 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320" w:top="280" w:right="299" w:bottom="1440" w:gutter="0" w:footer="0" w:header="0"/>
        </w:sectPr>
      </w:pPr>
    </w:p>
    <w:bookmarkStart w:id="230" w:name="page231"/>
    <w:bookmarkEnd w:id="230"/>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85" w:lineRule="exact"/>
        <w:rPr>
          <w:sz w:val="20"/>
          <w:szCs w:val="20"/>
          <w:color w:val="auto"/>
        </w:rPr>
      </w:pPr>
    </w:p>
    <w:p>
      <w:pPr>
        <w:ind w:right="100" w:firstLine="921"/>
        <w:spacing w:after="0" w:line="335" w:lineRule="auto"/>
        <w:tabs>
          <w:tab w:leader="none" w:pos="1162" w:val="left"/>
        </w:tabs>
        <w:numPr>
          <w:ilvl w:val="1"/>
          <w:numId w:val="467"/>
        </w:numPr>
        <w:rPr>
          <w:rFonts w:ascii="Arial" w:cs="Arial" w:eastAsia="Arial" w:hAnsi="Arial"/>
          <w:sz w:val="15"/>
          <w:szCs w:val="15"/>
          <w:color w:val="auto"/>
        </w:rPr>
      </w:pPr>
      <w:r>
        <w:rPr>
          <w:rFonts w:ascii="Arial" w:cs="Arial" w:eastAsia="Arial" w:hAnsi="Arial"/>
          <w:sz w:val="15"/>
          <w:szCs w:val="15"/>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88" w:lineRule="exact"/>
        <w:rPr>
          <w:rFonts w:ascii="Arial" w:cs="Arial" w:eastAsia="Arial" w:hAnsi="Arial"/>
          <w:sz w:val="15"/>
          <w:szCs w:val="15"/>
          <w:color w:val="auto"/>
        </w:rPr>
      </w:pPr>
    </w:p>
    <w:p>
      <w:pPr>
        <w:ind w:right="20" w:firstLine="921"/>
        <w:spacing w:after="0" w:line="301" w:lineRule="auto"/>
        <w:tabs>
          <w:tab w:leader="none" w:pos="1123" w:val="left"/>
        </w:tabs>
        <w:numPr>
          <w:ilvl w:val="1"/>
          <w:numId w:val="467"/>
        </w:numPr>
        <w:rPr>
          <w:rFonts w:ascii="Arial" w:cs="Arial" w:eastAsia="Arial" w:hAnsi="Arial"/>
          <w:sz w:val="15"/>
          <w:szCs w:val="15"/>
          <w:color w:val="auto"/>
        </w:rPr>
      </w:pPr>
      <w:r>
        <w:rPr>
          <w:rFonts w:ascii="Arial" w:cs="Arial" w:eastAsia="Arial" w:hAnsi="Arial"/>
          <w:sz w:val="15"/>
          <w:szCs w:val="15"/>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Good Reason”</w:t>
      </w:r>
      <w:r>
        <w:rPr>
          <w:rFonts w:ascii="Arial" w:cs="Arial" w:eastAsia="Arial" w:hAnsi="Arial"/>
          <w:sz w:val="15"/>
          <w:szCs w:val="15"/>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w:t>
      </w:r>
    </w:p>
    <w:p>
      <w:pPr>
        <w:spacing w:after="0" w:line="4" w:lineRule="exact"/>
        <w:rPr>
          <w:rFonts w:ascii="Arial" w:cs="Arial" w:eastAsia="Arial" w:hAnsi="Arial"/>
          <w:sz w:val="15"/>
          <w:szCs w:val="15"/>
          <w:color w:val="auto"/>
        </w:rPr>
      </w:pPr>
    </w:p>
    <w:p>
      <w:pPr>
        <w:ind w:firstLine="8"/>
        <w:spacing w:after="0" w:line="288" w:lineRule="auto"/>
        <w:tabs>
          <w:tab w:leader="none" w:pos="297" w:val="left"/>
        </w:tabs>
        <w:numPr>
          <w:ilvl w:val="0"/>
          <w:numId w:val="468"/>
        </w:numPr>
        <w:rPr>
          <w:rFonts w:ascii="Arial" w:cs="Arial" w:eastAsia="Arial" w:hAnsi="Arial"/>
          <w:sz w:val="16"/>
          <w:szCs w:val="16"/>
          <w:color w:val="auto"/>
        </w:rPr>
      </w:pPr>
      <w:r>
        <w:rPr>
          <w:rFonts w:ascii="Arial" w:cs="Arial" w:eastAsia="Arial" w:hAnsi="Arial"/>
          <w:sz w:val="16"/>
          <w:szCs w:val="16"/>
          <w:color w:val="auto"/>
        </w:rPr>
        <w:t>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22" w:lineRule="exact"/>
        <w:rPr>
          <w:rFonts w:ascii="Arial" w:cs="Arial" w:eastAsia="Arial" w:hAnsi="Arial"/>
          <w:sz w:val="16"/>
          <w:szCs w:val="16"/>
          <w:color w:val="auto"/>
        </w:rPr>
      </w:pPr>
    </w:p>
    <w:p>
      <w:pPr>
        <w:ind w:right="100" w:firstLine="921"/>
        <w:spacing w:after="0" w:line="268" w:lineRule="auto"/>
        <w:tabs>
          <w:tab w:leader="none" w:pos="1123" w:val="left"/>
        </w:tabs>
        <w:numPr>
          <w:ilvl w:val="1"/>
          <w:numId w:val="468"/>
        </w:numPr>
        <w:rPr>
          <w:rFonts w:ascii="Arial" w:cs="Arial" w:eastAsia="Arial" w:hAnsi="Arial"/>
          <w:sz w:val="18"/>
          <w:szCs w:val="18"/>
          <w:color w:val="auto"/>
        </w:rPr>
      </w:pPr>
      <w:r>
        <w:rPr>
          <w:rFonts w:ascii="Arial" w:cs="Arial" w:eastAsia="Arial" w:hAnsi="Arial"/>
          <w:sz w:val="18"/>
          <w:szCs w:val="18"/>
          <w:color w:val="auto"/>
        </w:rPr>
        <w:t>Clawback of Certain Compensation and Benefits. If, after the termination of the Term of Employment for any reason other than by the Company for “justifiable cause”:</w:t>
      </w:r>
    </w:p>
    <w:p>
      <w:pPr>
        <w:spacing w:after="0" w:line="131" w:lineRule="exact"/>
        <w:rPr>
          <w:rFonts w:ascii="Arial" w:cs="Arial" w:eastAsia="Arial" w:hAnsi="Arial"/>
          <w:sz w:val="18"/>
          <w:szCs w:val="18"/>
          <w:color w:val="auto"/>
        </w:rPr>
      </w:pPr>
    </w:p>
    <w:p>
      <w:pPr>
        <w:ind w:right="160" w:firstLine="1492"/>
        <w:spacing w:after="0" w:line="256" w:lineRule="auto"/>
        <w:tabs>
          <w:tab w:leader="none" w:pos="1693" w:val="left"/>
        </w:tabs>
        <w:numPr>
          <w:ilvl w:val="2"/>
          <w:numId w:val="468"/>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31" w:name="page232"/>
    <w:bookmarkEnd w:id="231"/>
    <w:p>
      <w:pPr>
        <w:ind w:right="220" w:firstLine="1492"/>
        <w:spacing w:after="0" w:line="306" w:lineRule="auto"/>
        <w:tabs>
          <w:tab w:leader="none" w:pos="1742" w:val="left"/>
        </w:tabs>
        <w:numPr>
          <w:ilvl w:val="1"/>
          <w:numId w:val="4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06" w:lineRule="exact"/>
        <w:rPr>
          <w:rFonts w:ascii="Arial" w:cs="Arial" w:eastAsia="Arial" w:hAnsi="Arial"/>
          <w:sz w:val="16"/>
          <w:szCs w:val="16"/>
          <w:color w:val="auto"/>
        </w:rPr>
      </w:pPr>
    </w:p>
    <w:p>
      <w:pPr>
        <w:ind w:right="40" w:firstLine="1948"/>
        <w:spacing w:after="0" w:line="318" w:lineRule="auto"/>
        <w:tabs>
          <w:tab w:leader="none" w:pos="2228" w:val="left"/>
        </w:tabs>
        <w:numPr>
          <w:ilvl w:val="2"/>
          <w:numId w:val="469"/>
        </w:numPr>
        <w:rPr>
          <w:rFonts w:ascii="Arial" w:cs="Arial" w:eastAsia="Arial" w:hAnsi="Arial"/>
          <w:sz w:val="15"/>
          <w:szCs w:val="15"/>
          <w:color w:val="auto"/>
        </w:rPr>
      </w:pPr>
      <w:r>
        <w:rPr>
          <w:rFonts w:ascii="Arial" w:cs="Arial" w:eastAsia="Arial" w:hAnsi="Arial"/>
          <w:sz w:val="15"/>
          <w:szCs w:val="15"/>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99" w:lineRule="exact"/>
        <w:rPr>
          <w:rFonts w:ascii="Arial" w:cs="Arial" w:eastAsia="Arial" w:hAnsi="Arial"/>
          <w:sz w:val="15"/>
          <w:szCs w:val="15"/>
          <w:color w:val="auto"/>
        </w:rPr>
      </w:pPr>
    </w:p>
    <w:p>
      <w:pPr>
        <w:ind w:left="2220" w:hanging="272"/>
        <w:spacing w:after="0"/>
        <w:tabs>
          <w:tab w:leader="none" w:pos="2220" w:val="left"/>
        </w:tabs>
        <w:numPr>
          <w:ilvl w:val="2"/>
          <w:numId w:val="469"/>
        </w:numPr>
        <w:rPr>
          <w:rFonts w:ascii="Arial" w:cs="Arial" w:eastAsia="Arial" w:hAnsi="Arial"/>
          <w:sz w:val="15"/>
          <w:szCs w:val="15"/>
          <w:color w:val="auto"/>
        </w:rPr>
      </w:pPr>
      <w:r>
        <w:rPr>
          <w:rFonts w:ascii="Arial" w:cs="Arial" w:eastAsia="Arial" w:hAnsi="Arial"/>
          <w:sz w:val="15"/>
          <w:szCs w:val="15"/>
          <w:color w:val="auto"/>
        </w:rPr>
        <w:t>all vested and unvested Awards (as that term is defined in the 2006 Incentive Compensation Plan) then held by the Executive shall</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immediately expire; and</w:t>
      </w:r>
    </w:p>
    <w:p>
      <w:pPr>
        <w:spacing w:after="0" w:line="164" w:lineRule="exact"/>
        <w:rPr>
          <w:rFonts w:ascii="Arial" w:cs="Arial" w:eastAsia="Arial" w:hAnsi="Arial"/>
          <w:sz w:val="15"/>
          <w:szCs w:val="15"/>
          <w:color w:val="auto"/>
        </w:rPr>
      </w:pPr>
    </w:p>
    <w:p>
      <w:pPr>
        <w:ind w:firstLine="1948"/>
        <w:spacing w:after="0" w:line="289" w:lineRule="auto"/>
        <w:tabs>
          <w:tab w:leader="none" w:pos="2218" w:val="left"/>
        </w:tabs>
        <w:numPr>
          <w:ilvl w:val="2"/>
          <w:numId w:val="469"/>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18" w:lineRule="exact"/>
        <w:rPr>
          <w:rFonts w:ascii="Arial" w:cs="Arial" w:eastAsia="Arial" w:hAnsi="Arial"/>
          <w:sz w:val="16"/>
          <w:szCs w:val="16"/>
          <w:color w:val="auto"/>
        </w:rPr>
      </w:pPr>
    </w:p>
    <w:p>
      <w:pPr>
        <w:ind w:right="460" w:firstLine="921"/>
        <w:spacing w:after="0" w:line="268" w:lineRule="auto"/>
        <w:tabs>
          <w:tab w:leader="none" w:pos="1162" w:val="left"/>
        </w:tabs>
        <w:numPr>
          <w:ilvl w:val="0"/>
          <w:numId w:val="470"/>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213" w:lineRule="exact"/>
        <w:rPr>
          <w:sz w:val="20"/>
          <w:szCs w:val="20"/>
          <w:color w:val="auto"/>
        </w:rPr>
      </w:pPr>
    </w:p>
    <w:p>
      <w:pPr>
        <w:ind w:left="1100" w:hanging="179"/>
        <w:spacing w:after="0"/>
        <w:tabs>
          <w:tab w:leader="none" w:pos="1100" w:val="left"/>
        </w:tabs>
        <w:numPr>
          <w:ilvl w:val="0"/>
          <w:numId w:val="471"/>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sz w:val="20"/>
          <w:szCs w:val="20"/>
          <w:color w:val="auto"/>
        </w:rPr>
      </w:pPr>
    </w:p>
    <w:p>
      <w:pPr>
        <w:ind w:right="140" w:firstLine="921"/>
        <w:spacing w:after="0" w:line="268" w:lineRule="auto"/>
        <w:tabs>
          <w:tab w:leader="none" w:pos="115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32" w:name="page233"/>
    <w:bookmarkEnd w:id="232"/>
    <w:p>
      <w:pPr>
        <w:ind w:right="3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13" w:lineRule="exact"/>
        <w:rPr>
          <w:sz w:val="20"/>
          <w:szCs w:val="20"/>
          <w:color w:val="auto"/>
        </w:rPr>
      </w:pPr>
    </w:p>
    <w:p>
      <w:pPr>
        <w:jc w:val="both"/>
        <w:ind w:right="60" w:firstLine="921"/>
        <w:spacing w:after="0" w:line="259" w:lineRule="auto"/>
        <w:tabs>
          <w:tab w:leader="none" w:pos="1162" w:val="left"/>
        </w:tabs>
        <w:numPr>
          <w:ilvl w:val="0"/>
          <w:numId w:val="473"/>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171" w:lineRule="exact"/>
        <w:rPr>
          <w:rFonts w:ascii="Arial" w:cs="Arial" w:eastAsia="Arial" w:hAnsi="Arial"/>
          <w:sz w:val="18"/>
          <w:szCs w:val="18"/>
          <w:color w:val="auto"/>
        </w:rPr>
      </w:pPr>
    </w:p>
    <w:p>
      <w:pPr>
        <w:ind w:right="20" w:firstLine="1492"/>
        <w:spacing w:after="0" w:line="289" w:lineRule="auto"/>
        <w:tabs>
          <w:tab w:leader="none" w:pos="1693" w:val="left"/>
        </w:tabs>
        <w:numPr>
          <w:ilvl w:val="1"/>
          <w:numId w:val="473"/>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18" w:lineRule="exact"/>
        <w:rPr>
          <w:rFonts w:ascii="Arial" w:cs="Arial" w:eastAsia="Arial" w:hAnsi="Arial"/>
          <w:sz w:val="16"/>
          <w:szCs w:val="16"/>
          <w:color w:val="auto"/>
        </w:rPr>
      </w:pPr>
    </w:p>
    <w:p>
      <w:pPr>
        <w:ind w:firstLine="1492"/>
        <w:spacing w:after="0" w:line="256" w:lineRule="auto"/>
        <w:tabs>
          <w:tab w:leader="none" w:pos="1742" w:val="left"/>
        </w:tabs>
        <w:numPr>
          <w:ilvl w:val="1"/>
          <w:numId w:val="473"/>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ind w:right="240" w:firstLine="921"/>
        <w:spacing w:after="0" w:line="259" w:lineRule="auto"/>
        <w:tabs>
          <w:tab w:leader="none" w:pos="1162" w:val="left"/>
        </w:tabs>
        <w:numPr>
          <w:ilvl w:val="0"/>
          <w:numId w:val="473"/>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ind w:right="80" w:firstLine="921"/>
        <w:spacing w:after="0" w:line="306" w:lineRule="auto"/>
        <w:tabs>
          <w:tab w:leader="none" w:pos="1152" w:val="left"/>
        </w:tabs>
        <w:numPr>
          <w:ilvl w:val="0"/>
          <w:numId w:val="473"/>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33" w:name="page234"/>
    <w:bookmarkEnd w:id="233"/>
    <w:p>
      <w:pPr>
        <w:ind w:left="1140" w:hanging="219"/>
        <w:spacing w:after="0"/>
        <w:tabs>
          <w:tab w:leader="none" w:pos="1140" w:val="left"/>
        </w:tabs>
        <w:numPr>
          <w:ilvl w:val="0"/>
          <w:numId w:val="4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Taxable Reimbursements.</w:t>
      </w:r>
    </w:p>
    <w:p>
      <w:pPr>
        <w:spacing w:after="0" w:line="171" w:lineRule="exact"/>
        <w:rPr>
          <w:rFonts w:ascii="Arial" w:cs="Arial" w:eastAsia="Arial" w:hAnsi="Arial"/>
          <w:sz w:val="18"/>
          <w:szCs w:val="18"/>
          <w:color w:val="auto"/>
        </w:rPr>
      </w:pPr>
    </w:p>
    <w:p>
      <w:pPr>
        <w:ind w:right="140" w:firstLine="1492"/>
        <w:spacing w:after="0" w:line="306" w:lineRule="auto"/>
        <w:tabs>
          <w:tab w:leader="none" w:pos="1693" w:val="left"/>
        </w:tabs>
        <w:numPr>
          <w:ilvl w:val="1"/>
          <w:numId w:val="474"/>
        </w:numPr>
        <w:rPr>
          <w:rFonts w:ascii="Arial" w:cs="Arial" w:eastAsia="Arial" w:hAnsi="Arial"/>
          <w:sz w:val="16"/>
          <w:szCs w:val="16"/>
          <w:color w:val="auto"/>
        </w:rPr>
      </w:pPr>
      <w:r>
        <w:rPr>
          <w:rFonts w:ascii="Arial" w:cs="Arial" w:eastAsia="Arial" w:hAnsi="Arial"/>
          <w:sz w:val="16"/>
          <w:szCs w:val="16"/>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06" w:lineRule="exact"/>
        <w:rPr>
          <w:rFonts w:ascii="Arial" w:cs="Arial" w:eastAsia="Arial" w:hAnsi="Arial"/>
          <w:sz w:val="16"/>
          <w:szCs w:val="16"/>
          <w:color w:val="auto"/>
        </w:rPr>
      </w:pPr>
    </w:p>
    <w:p>
      <w:pPr>
        <w:ind w:right="20" w:firstLine="1492"/>
        <w:spacing w:after="0" w:line="268" w:lineRule="auto"/>
        <w:tabs>
          <w:tab w:leader="none" w:pos="1742" w:val="left"/>
        </w:tabs>
        <w:numPr>
          <w:ilvl w:val="1"/>
          <w:numId w:val="474"/>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31" w:lineRule="exact"/>
        <w:rPr>
          <w:rFonts w:ascii="Arial" w:cs="Arial" w:eastAsia="Arial" w:hAnsi="Arial"/>
          <w:sz w:val="18"/>
          <w:szCs w:val="18"/>
          <w:color w:val="auto"/>
        </w:rPr>
      </w:pPr>
    </w:p>
    <w:p>
      <w:pPr>
        <w:ind w:left="1800" w:hanging="308"/>
        <w:spacing w:after="0"/>
        <w:tabs>
          <w:tab w:leader="none" w:pos="180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252" w:lineRule="exact"/>
        <w:rPr>
          <w:sz w:val="20"/>
          <w:szCs w:val="20"/>
          <w:color w:val="auto"/>
        </w:rPr>
      </w:pPr>
    </w:p>
    <w:p>
      <w:pPr>
        <w:ind w:left="1100" w:hanging="179"/>
        <w:spacing w:after="0"/>
        <w:tabs>
          <w:tab w:leader="none" w:pos="1100"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sz w:val="20"/>
          <w:szCs w:val="20"/>
          <w:color w:val="auto"/>
        </w:rPr>
      </w:pPr>
    </w:p>
    <w:p>
      <w:pPr>
        <w:jc w:val="both"/>
        <w:ind w:right="140" w:firstLine="921"/>
        <w:spacing w:after="0" w:line="370" w:lineRule="auto"/>
        <w:tabs>
          <w:tab w:leader="none" w:pos="1152" w:val="left"/>
        </w:tabs>
        <w:numPr>
          <w:ilvl w:val="0"/>
          <w:numId w:val="476"/>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jc w:val="both"/>
        <w:ind w:right="160" w:firstLine="921"/>
        <w:spacing w:after="0" w:line="259" w:lineRule="auto"/>
        <w:tabs>
          <w:tab w:leader="none" w:pos="1162" w:val="left"/>
        </w:tabs>
        <w:numPr>
          <w:ilvl w:val="0"/>
          <w:numId w:val="476"/>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100" w:firstLine="921"/>
        <w:spacing w:after="0" w:line="370" w:lineRule="auto"/>
        <w:tabs>
          <w:tab w:leader="none" w:pos="1152" w:val="left"/>
        </w:tabs>
        <w:numPr>
          <w:ilvl w:val="0"/>
          <w:numId w:val="476"/>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62" w:lineRule="exact"/>
        <w:rPr>
          <w:rFonts w:ascii="Arial" w:cs="Arial" w:eastAsia="Arial" w:hAnsi="Arial"/>
          <w:sz w:val="15"/>
          <w:szCs w:val="15"/>
          <w:color w:val="auto"/>
        </w:rPr>
      </w:pPr>
    </w:p>
    <w:p>
      <w:pPr>
        <w:ind w:firstLine="921"/>
        <w:spacing w:after="0" w:line="259" w:lineRule="auto"/>
        <w:tabs>
          <w:tab w:leader="none" w:pos="1162" w:val="left"/>
        </w:tabs>
        <w:numPr>
          <w:ilvl w:val="0"/>
          <w:numId w:val="476"/>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paragraph 7(d)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34" w:name="page235"/>
    <w:bookmarkEnd w:id="234"/>
    <w:p>
      <w:pPr>
        <w:ind w:left="1160" w:hanging="259"/>
        <w:spacing w:after="0"/>
        <w:tabs>
          <w:tab w:leader="none" w:pos="1160" w:val="left"/>
        </w:tabs>
        <w:numPr>
          <w:ilvl w:val="0"/>
          <w:numId w:val="4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NON-COMPETITION</w:t>
      </w:r>
    </w:p>
    <w:p>
      <w:pPr>
        <w:spacing w:after="0" w:line="90" w:lineRule="exact"/>
        <w:rPr>
          <w:sz w:val="20"/>
          <w:szCs w:val="20"/>
          <w:color w:val="auto"/>
        </w:rPr>
      </w:pPr>
    </w:p>
    <w:p>
      <w:pPr>
        <w:ind w:left="-20" w:firstLine="921"/>
        <w:spacing w:after="0" w:line="286" w:lineRule="auto"/>
        <w:tabs>
          <w:tab w:leader="none" w:pos="1132" w:val="left"/>
        </w:tabs>
        <w:numPr>
          <w:ilvl w:val="0"/>
          <w:numId w:val="478"/>
        </w:numPr>
        <w:rPr>
          <w:rFonts w:ascii="Arial" w:cs="Arial" w:eastAsia="Arial" w:hAnsi="Arial"/>
          <w:sz w:val="16"/>
          <w:szCs w:val="16"/>
          <w:color w:val="auto"/>
        </w:rPr>
      </w:pPr>
      <w:r>
        <w:rPr>
          <w:rFonts w:ascii="Arial" w:cs="Arial" w:eastAsia="Arial" w:hAnsi="Arial"/>
          <w:sz w:val="16"/>
          <w:szCs w:val="16"/>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24" w:lineRule="exact"/>
        <w:rPr>
          <w:rFonts w:ascii="Arial" w:cs="Arial" w:eastAsia="Arial" w:hAnsi="Arial"/>
          <w:sz w:val="16"/>
          <w:szCs w:val="16"/>
          <w:color w:val="auto"/>
        </w:rPr>
      </w:pPr>
    </w:p>
    <w:p>
      <w:pPr>
        <w:ind w:left="-20" w:right="160" w:firstLine="921"/>
        <w:spacing w:after="0" w:line="255" w:lineRule="auto"/>
        <w:tabs>
          <w:tab w:leader="none" w:pos="1142" w:val="left"/>
        </w:tabs>
        <w:numPr>
          <w:ilvl w:val="0"/>
          <w:numId w:val="478"/>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left="-20" w:right="20" w:firstLine="921"/>
        <w:spacing w:after="0" w:line="294" w:lineRule="auto"/>
        <w:tabs>
          <w:tab w:leader="none" w:pos="1132" w:val="left"/>
        </w:tabs>
        <w:numPr>
          <w:ilvl w:val="0"/>
          <w:numId w:val="478"/>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left="-20" w:right="40" w:firstLine="921"/>
        <w:spacing w:after="0" w:line="256" w:lineRule="auto"/>
        <w:tabs>
          <w:tab w:leader="none" w:pos="1142"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235" w:name="page236"/>
    <w:bookmarkEnd w:id="235"/>
    <w:p>
      <w:pPr>
        <w:ind w:left="1180" w:hanging="259"/>
        <w:spacing w:after="0"/>
        <w:tabs>
          <w:tab w:leader="none" w:pos="1180" w:val="left"/>
        </w:tabs>
        <w:numPr>
          <w:ilvl w:val="0"/>
          <w:numId w:val="4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INVENTIONS AND DISCOVERIES</w:t>
      </w:r>
    </w:p>
    <w:p>
      <w:pPr>
        <w:spacing w:after="0" w:line="90" w:lineRule="exact"/>
        <w:rPr>
          <w:sz w:val="20"/>
          <w:szCs w:val="20"/>
          <w:color w:val="auto"/>
        </w:rPr>
      </w:pPr>
    </w:p>
    <w:p>
      <w:pPr>
        <w:ind w:firstLine="921"/>
        <w:spacing w:after="0" w:line="291" w:lineRule="auto"/>
        <w:tabs>
          <w:tab w:leader="none" w:pos="1152" w:val="left"/>
        </w:tabs>
        <w:numPr>
          <w:ilvl w:val="0"/>
          <w:numId w:val="480"/>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80" w:firstLine="921"/>
        <w:spacing w:after="0" w:line="289" w:lineRule="auto"/>
        <w:tabs>
          <w:tab w:leader="none" w:pos="1162" w:val="left"/>
        </w:tabs>
        <w:numPr>
          <w:ilvl w:val="0"/>
          <w:numId w:val="480"/>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99" w:lineRule="exact"/>
        <w:rPr>
          <w:sz w:val="20"/>
          <w:szCs w:val="20"/>
          <w:color w:val="auto"/>
        </w:rPr>
      </w:pPr>
    </w:p>
    <w:p>
      <w:pPr>
        <w:ind w:left="1180" w:hanging="259"/>
        <w:spacing w:after="0"/>
        <w:tabs>
          <w:tab w:leader="none" w:pos="1180" w:val="left"/>
        </w:tabs>
        <w:numPr>
          <w:ilvl w:val="0"/>
          <w:numId w:val="481"/>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firstLine="921"/>
        <w:spacing w:after="0" w:line="289" w:lineRule="auto"/>
        <w:tabs>
          <w:tab w:leader="none" w:pos="1152" w:val="left"/>
        </w:tabs>
        <w:numPr>
          <w:ilvl w:val="0"/>
          <w:numId w:val="482"/>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36" w:name="page237"/>
    <w:bookmarkEnd w:id="23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18" w:lineRule="exact"/>
        <w:rPr>
          <w:sz w:val="20"/>
          <w:szCs w:val="20"/>
          <w:color w:val="auto"/>
        </w:rPr>
      </w:pPr>
    </w:p>
    <w:p>
      <w:pPr>
        <w:ind w:firstLine="921"/>
        <w:spacing w:after="0" w:line="298" w:lineRule="auto"/>
        <w:tabs>
          <w:tab w:leader="none" w:pos="1152" w:val="left"/>
        </w:tabs>
        <w:numPr>
          <w:ilvl w:val="0"/>
          <w:numId w:val="483"/>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94" w:lineRule="exact"/>
        <w:rPr>
          <w:sz w:val="20"/>
          <w:szCs w:val="20"/>
          <w:color w:val="auto"/>
        </w:rPr>
      </w:pPr>
    </w:p>
    <w:p>
      <w:pPr>
        <w:ind w:left="1180" w:hanging="259"/>
        <w:spacing w:after="0"/>
        <w:tabs>
          <w:tab w:leader="none" w:pos="1180" w:val="left"/>
        </w:tabs>
        <w:numPr>
          <w:ilvl w:val="0"/>
          <w:numId w:val="484"/>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201" w:lineRule="exact"/>
        <w:rPr>
          <w:sz w:val="20"/>
          <w:szCs w:val="20"/>
          <w:color w:val="auto"/>
        </w:rPr>
      </w:pPr>
    </w:p>
    <w:p>
      <w:pPr>
        <w:ind w:left="1180" w:hanging="259"/>
        <w:spacing w:after="0"/>
        <w:tabs>
          <w:tab w:leader="none" w:pos="1180" w:val="left"/>
        </w:tabs>
        <w:numPr>
          <w:ilvl w:val="0"/>
          <w:numId w:val="485"/>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252" w:lineRule="exact"/>
        <w:rPr>
          <w:sz w:val="20"/>
          <w:szCs w:val="20"/>
          <w:color w:val="auto"/>
        </w:rPr>
      </w:pPr>
    </w:p>
    <w:p>
      <w:pPr>
        <w:ind w:left="1180" w:hanging="259"/>
        <w:spacing w:after="0"/>
        <w:tabs>
          <w:tab w:leader="none" w:pos="1180" w:val="left"/>
        </w:tabs>
        <w:numPr>
          <w:ilvl w:val="0"/>
          <w:numId w:val="486"/>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37" w:name="page238"/>
    <w:bookmarkEnd w:id="237"/>
    <w:p>
      <w:pPr>
        <w:ind w:left="1180" w:hanging="259"/>
        <w:spacing w:after="0"/>
        <w:tabs>
          <w:tab w:leader="none" w:pos="1180" w:val="left"/>
        </w:tabs>
        <w:numPr>
          <w:ilvl w:val="0"/>
          <w:numId w:val="4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SEVERABILITY</w:t>
      </w:r>
    </w:p>
    <w:p>
      <w:pPr>
        <w:spacing w:after="0" w:line="90"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13" w:lineRule="exact"/>
        <w:rPr>
          <w:sz w:val="20"/>
          <w:szCs w:val="20"/>
          <w:color w:val="auto"/>
        </w:rPr>
      </w:pPr>
    </w:p>
    <w:p>
      <w:pPr>
        <w:ind w:left="1180" w:hanging="259"/>
        <w:spacing w:after="0"/>
        <w:tabs>
          <w:tab w:leader="none" w:pos="1180" w:val="left"/>
        </w:tabs>
        <w:numPr>
          <w:ilvl w:val="0"/>
          <w:numId w:val="488"/>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21" w:lineRule="exact"/>
        <w:rPr>
          <w:sz w:val="20"/>
          <w:szCs w:val="20"/>
          <w:color w:val="auto"/>
        </w:rPr>
      </w:pPr>
    </w:p>
    <w:p>
      <w:pPr>
        <w:ind w:left="1180" w:hanging="259"/>
        <w:spacing w:after="0"/>
        <w:tabs>
          <w:tab w:leader="none" w:pos="1180"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213" w:lineRule="exact"/>
        <w:rPr>
          <w:sz w:val="20"/>
          <w:szCs w:val="20"/>
          <w:color w:val="auto"/>
        </w:rPr>
      </w:pPr>
    </w:p>
    <w:p>
      <w:pPr>
        <w:ind w:left="1180" w:hanging="259"/>
        <w:spacing w:after="0"/>
        <w:tabs>
          <w:tab w:leader="none" w:pos="1180" w:val="left"/>
        </w:tabs>
        <w:numPr>
          <w:ilvl w:val="0"/>
          <w:numId w:val="490"/>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99" w:lineRule="exact"/>
        <w:rPr>
          <w:sz w:val="20"/>
          <w:szCs w:val="20"/>
          <w:color w:val="auto"/>
        </w:rPr>
      </w:pPr>
    </w:p>
    <w:p>
      <w:pPr>
        <w:ind w:left="1180" w:hanging="259"/>
        <w:spacing w:after="0"/>
        <w:tabs>
          <w:tab w:leader="none" w:pos="1180" w:val="left"/>
        </w:tabs>
        <w:numPr>
          <w:ilvl w:val="0"/>
          <w:numId w:val="491"/>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238" w:name="page239"/>
    <w:bookmarkEnd w:id="238"/>
    <w:p>
      <w:pPr>
        <w:ind w:left="1180" w:hanging="259"/>
        <w:spacing w:after="0"/>
        <w:tabs>
          <w:tab w:leader="none" w:pos="1180" w:val="left"/>
        </w:tabs>
        <w:numPr>
          <w:ilvl w:val="0"/>
          <w:numId w:val="49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RESOLUTION OF DISPUTES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194"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94" w:lineRule="exact"/>
        <w:rPr>
          <w:sz w:val="20"/>
          <w:szCs w:val="20"/>
          <w:color w:val="auto"/>
        </w:rPr>
      </w:pPr>
    </w:p>
    <w:p>
      <w:pPr>
        <w:ind w:left="1180" w:hanging="259"/>
        <w:spacing w:after="0"/>
        <w:tabs>
          <w:tab w:leader="none" w:pos="1180" w:val="left"/>
        </w:tabs>
        <w:numPr>
          <w:ilvl w:val="0"/>
          <w:numId w:val="493"/>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21" w:lineRule="exact"/>
        <w:rPr>
          <w:sz w:val="20"/>
          <w:szCs w:val="20"/>
          <w:color w:val="auto"/>
        </w:rPr>
      </w:pPr>
    </w:p>
    <w:p>
      <w:pPr>
        <w:ind w:left="1180" w:hanging="259"/>
        <w:spacing w:after="0"/>
        <w:tabs>
          <w:tab w:leader="none" w:pos="1180" w:val="left"/>
        </w:tabs>
        <w:numPr>
          <w:ilvl w:val="0"/>
          <w:numId w:val="494"/>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13" w:lineRule="exact"/>
        <w:rPr>
          <w:sz w:val="20"/>
          <w:szCs w:val="20"/>
          <w:color w:val="auto"/>
        </w:rPr>
      </w:pPr>
    </w:p>
    <w:p>
      <w:pPr>
        <w:ind w:right="7520" w:firstLine="921"/>
        <w:spacing w:after="0" w:line="362" w:lineRule="auto"/>
        <w:tabs>
          <w:tab w:leader="none" w:pos="1176"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 xml:space="preserve">SUBSIDIARIES AND AFFILIATES </w:t>
      </w:r>
      <w:r>
        <w:rPr>
          <w:rFonts w:ascii="Arial" w:cs="Arial" w:eastAsia="Arial" w:hAnsi="Arial"/>
          <w:sz w:val="18"/>
          <w:szCs w:val="18"/>
          <w:color w:val="auto"/>
        </w:rPr>
        <w:t>For purposes of this Agreement:</w:t>
      </w:r>
    </w:p>
    <w:p>
      <w:pPr>
        <w:spacing w:after="0" w:line="51" w:lineRule="exact"/>
        <w:rPr>
          <w:sz w:val="20"/>
          <w:szCs w:val="20"/>
          <w:color w:val="auto"/>
        </w:rPr>
      </w:pPr>
    </w:p>
    <w:p>
      <w:pPr>
        <w:ind w:right="180" w:firstLine="921"/>
        <w:spacing w:after="0" w:line="332" w:lineRule="auto"/>
        <w:tabs>
          <w:tab w:leader="none" w:pos="1152" w:val="left"/>
        </w:tabs>
        <w:numPr>
          <w:ilvl w:val="0"/>
          <w:numId w:val="496"/>
        </w:numPr>
        <w:rPr>
          <w:rFonts w:ascii="Arial" w:cs="Arial" w:eastAsia="Arial" w:hAnsi="Arial"/>
          <w:sz w:val="16"/>
          <w:szCs w:val="16"/>
          <w:color w:val="auto"/>
        </w:rPr>
      </w:pPr>
      <w:r>
        <w:rPr>
          <w:rFonts w:ascii="Arial" w:cs="Arial" w:eastAsia="Arial" w:hAnsi="Arial"/>
          <w:sz w:val="16"/>
          <w:szCs w:val="16"/>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85" w:lineRule="exact"/>
        <w:rPr>
          <w:rFonts w:ascii="Arial" w:cs="Arial" w:eastAsia="Arial" w:hAnsi="Arial"/>
          <w:sz w:val="16"/>
          <w:szCs w:val="16"/>
          <w:color w:val="auto"/>
        </w:rPr>
      </w:pPr>
    </w:p>
    <w:p>
      <w:pPr>
        <w:jc w:val="both"/>
        <w:ind w:right="40" w:firstLine="921"/>
        <w:spacing w:after="0" w:line="256" w:lineRule="auto"/>
        <w:tabs>
          <w:tab w:leader="none" w:pos="1162" w:val="left"/>
        </w:tabs>
        <w:numPr>
          <w:ilvl w:val="0"/>
          <w:numId w:val="496"/>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80" w:right="339" w:bottom="1440" w:gutter="0" w:footer="0" w:header="0"/>
        </w:sectPr>
      </w:pPr>
    </w:p>
    <w:bookmarkStart w:id="239" w:name="page240"/>
    <w:bookmarkEnd w:id="239"/>
    <w:p>
      <w:pPr>
        <w:ind w:left="1180" w:hanging="259"/>
        <w:spacing w:after="0"/>
        <w:tabs>
          <w:tab w:leader="none" w:pos="1180" w:val="left"/>
        </w:tabs>
        <w:numPr>
          <w:ilvl w:val="0"/>
          <w:numId w:val="49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HEADINGS</w:t>
      </w:r>
    </w:p>
    <w:p>
      <w:pPr>
        <w:spacing w:after="0" w:line="9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213" w:lineRule="exact"/>
        <w:rPr>
          <w:sz w:val="20"/>
          <w:szCs w:val="20"/>
          <w:color w:val="auto"/>
        </w:rPr>
      </w:pPr>
    </w:p>
    <w:p>
      <w:pPr>
        <w:ind w:left="1180" w:hanging="259"/>
        <w:spacing w:after="0"/>
        <w:tabs>
          <w:tab w:leader="none" w:pos="1180" w:val="left"/>
        </w:tabs>
        <w:numPr>
          <w:ilvl w:val="0"/>
          <w:numId w:val="498"/>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ectPr>
          <w:pgSz w:w="11900" w:h="16838" w:orient="portrait"/>
          <w:cols w:equalWidth="0" w:num="1">
            <w:col w:w="11380"/>
          </w:cols>
          <w:pgMar w:left="240" w:top="280" w:right="27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David A. Levin</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900" w:type="dxa"/>
            <w:vAlign w:val="bottom"/>
          </w:tcPr>
          <w:p>
            <w:pPr>
              <w:spacing w:after="0"/>
              <w:rPr>
                <w:sz w:val="20"/>
                <w:szCs w:val="20"/>
                <w:color w:val="auto"/>
              </w:rPr>
            </w:pPr>
            <w:r>
              <w:rPr>
                <w:rFonts w:ascii="Arial" w:cs="Arial" w:eastAsia="Arial" w:hAnsi="Arial"/>
                <w:sz w:val="18"/>
                <w:szCs w:val="18"/>
                <w:color w:val="auto"/>
              </w:rPr>
              <w:t>President, Chief Executive Officer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900" w:type="dxa"/>
            <w:vAlign w:val="bottom"/>
          </w:tcPr>
          <w:p>
            <w:pPr>
              <w:spacing w:after="0"/>
              <w:rPr>
                <w:sz w:val="20"/>
                <w:szCs w:val="20"/>
                <w:color w:val="auto"/>
              </w:rPr>
            </w:pPr>
            <w:r>
              <w:rPr>
                <w:rFonts w:ascii="Arial" w:cs="Arial" w:eastAsia="Arial" w:hAnsi="Arial"/>
                <w:sz w:val="18"/>
                <w:szCs w:val="18"/>
                <w:color w:val="auto"/>
              </w:rPr>
              <w:t>Executive VP, COO, CFO</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9885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H. Stratton,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Date: January 8, 2010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Date: January 8, 2010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Date: January 8, 2010</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5520" w:space="100"/>
            <w:col w:w="5760"/>
          </w:cols>
          <w:pgMar w:left="240" w:top="280" w:right="279" w:bottom="1440" w:gutter="0" w:footer="0" w:header="0"/>
          <w:type w:val="continuous"/>
        </w:sectPr>
      </w:pPr>
    </w:p>
    <w:bookmarkStart w:id="240" w:name="page241"/>
    <w:bookmarkEnd w:id="240"/>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171" w:lineRule="exact"/>
        <w:rPr>
          <w:sz w:val="20"/>
          <w:szCs w:val="20"/>
          <w:color w:val="auto"/>
        </w:rPr>
      </w:pPr>
    </w:p>
    <w:p>
      <w:pPr>
        <w:ind w:left="-40" w:firstLine="464"/>
        <w:spacing w:after="0" w:line="284" w:lineRule="auto"/>
        <w:tabs>
          <w:tab w:leader="none" w:pos="592" w:val="left"/>
        </w:tabs>
        <w:numPr>
          <w:ilvl w:val="0"/>
          <w:numId w:val="499"/>
        </w:numPr>
        <w:rPr>
          <w:rFonts w:ascii="Arial" w:cs="Arial" w:eastAsia="Arial" w:hAnsi="Arial"/>
          <w:sz w:val="16"/>
          <w:szCs w:val="16"/>
          <w:color w:val="auto"/>
        </w:rPr>
      </w:pPr>
      <w:r>
        <w:rPr>
          <w:rFonts w:ascii="Arial" w:cs="Arial" w:eastAsia="Arial" w:hAnsi="Arial"/>
          <w:sz w:val="16"/>
          <w:szCs w:val="16"/>
          <w:color w:val="auto"/>
        </w:rPr>
        <w:t>Peter H. Stratton, Jr. (“</w:t>
      </w:r>
      <w:r>
        <w:rPr>
          <w:rFonts w:ascii="Arial" w:cs="Arial" w:eastAsia="Arial" w:hAnsi="Arial"/>
          <w:sz w:val="16"/>
          <w:szCs w:val="16"/>
          <w:u w:val="single" w:color="auto"/>
          <w:color w:val="auto"/>
        </w:rPr>
        <w:t>Executive</w:t>
      </w:r>
      <w:r>
        <w:rPr>
          <w:rFonts w:ascii="Arial" w:cs="Arial" w:eastAsia="Arial" w:hAnsi="Arial"/>
          <w:sz w:val="16"/>
          <w:szCs w:val="16"/>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does hereby release and forever discharge Casual Male Retail Group, Inc. (the “</w:t>
      </w:r>
      <w:r>
        <w:rPr>
          <w:rFonts w:ascii="Arial" w:cs="Arial" w:eastAsia="Arial" w:hAnsi="Arial"/>
          <w:sz w:val="16"/>
          <w:szCs w:val="16"/>
          <w:u w:val="single" w:color="auto"/>
          <w:color w:val="auto"/>
        </w:rPr>
        <w:t>Company</w:t>
      </w:r>
      <w:r>
        <w:rPr>
          <w:rFonts w:ascii="Arial" w:cs="Arial" w:eastAsia="Arial" w:hAnsi="Arial"/>
          <w:sz w:val="16"/>
          <w:szCs w:val="16"/>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280" w:right="259" w:bottom="1440" w:gutter="0" w:footer="0" w:header="0"/>
        </w:sectPr>
      </w:pPr>
    </w:p>
    <w:bookmarkStart w:id="241" w:name="page242"/>
    <w:bookmarkEnd w:id="241"/>
    <w:p>
      <w:pPr>
        <w:ind w:left="-20" w:firstLine="464"/>
        <w:spacing w:after="0" w:line="294" w:lineRule="auto"/>
        <w:tabs>
          <w:tab w:leader="none" w:pos="612" w:val="left"/>
        </w:tabs>
        <w:numPr>
          <w:ilvl w:val="0"/>
          <w:numId w:val="5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his right to commence a Proceeding to challenge whether Executive knowingly and voluntarily waived his rights under ADEA.</w:t>
      </w:r>
    </w:p>
    <w:p>
      <w:pPr>
        <w:spacing w:after="0" w:line="115" w:lineRule="exact"/>
        <w:rPr>
          <w:rFonts w:ascii="Arial" w:cs="Arial" w:eastAsia="Arial" w:hAnsi="Arial"/>
          <w:sz w:val="16"/>
          <w:szCs w:val="16"/>
          <w:color w:val="auto"/>
        </w:rPr>
      </w:pPr>
    </w:p>
    <w:p>
      <w:pPr>
        <w:ind w:left="-20" w:right="180" w:firstLine="464"/>
        <w:spacing w:after="0" w:line="256" w:lineRule="auto"/>
        <w:tabs>
          <w:tab w:leader="none" w:pos="612" w:val="left"/>
        </w:tabs>
        <w:numPr>
          <w:ilvl w:val="0"/>
          <w:numId w:val="500"/>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43"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500"/>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31" w:lineRule="exact"/>
        <w:rPr>
          <w:rFonts w:ascii="Arial" w:cs="Arial" w:eastAsia="Arial" w:hAnsi="Arial"/>
          <w:sz w:val="18"/>
          <w:szCs w:val="18"/>
          <w:color w:val="auto"/>
        </w:rPr>
      </w:pPr>
    </w:p>
    <w:p>
      <w:pPr>
        <w:jc w:val="both"/>
        <w:ind w:left="-20" w:right="420" w:firstLine="464"/>
        <w:spacing w:after="0" w:line="259" w:lineRule="auto"/>
        <w:tabs>
          <w:tab w:leader="none" w:pos="612" w:val="left"/>
        </w:tabs>
        <w:numPr>
          <w:ilvl w:val="0"/>
          <w:numId w:val="500"/>
        </w:numPr>
        <w:rPr>
          <w:rFonts w:ascii="Arial" w:cs="Arial" w:eastAsia="Arial" w:hAnsi="Arial"/>
          <w:sz w:val="18"/>
          <w:szCs w:val="18"/>
          <w:color w:val="auto"/>
        </w:rPr>
      </w:pPr>
      <w:r>
        <w:rPr>
          <w:rFonts w:ascii="Arial" w:cs="Arial" w:eastAsia="Arial" w:hAnsi="Arial"/>
          <w:sz w:val="18"/>
          <w:szCs w:val="18"/>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40"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406400</wp:posOffset>
            </wp:positionV>
            <wp:extent cx="289877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Peter H. Stratton, Jr.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80" w:right="239"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b w:val="1"/>
                <w:bCs w:val="1"/>
                <w:color w:val="auto"/>
                <w:w w:val="89"/>
              </w:rPr>
              <w:t>Exhibit 21.1</w:t>
            </w:r>
          </w:p>
        </w:tc>
      </w:tr>
      <w:tr>
        <w:trPr>
          <w:trHeight w:val="372"/>
        </w:trPr>
        <w:tc>
          <w:tcPr>
            <w:tcW w:w="720" w:type="dxa"/>
            <w:vAlign w:val="bottom"/>
          </w:tcPr>
          <w:p>
            <w:pPr>
              <w:spacing w:after="0"/>
              <w:rPr>
                <w:sz w:val="24"/>
                <w:szCs w:val="24"/>
                <w:color w:val="auto"/>
              </w:rPr>
            </w:pPr>
          </w:p>
        </w:tc>
        <w:tc>
          <w:tcPr>
            <w:tcW w:w="8160" w:type="dxa"/>
            <w:vAlign w:val="bottom"/>
          </w:tcPr>
          <w:p>
            <w:pPr>
              <w:jc w:val="center"/>
              <w:ind w:left="1732"/>
              <w:spacing w:after="0"/>
              <w:rPr>
                <w:sz w:val="20"/>
                <w:szCs w:val="20"/>
                <w:color w:val="auto"/>
              </w:rPr>
            </w:pPr>
            <w:r>
              <w:rPr>
                <w:rFonts w:ascii="Arial" w:cs="Arial" w:eastAsia="Arial" w:hAnsi="Arial"/>
                <w:sz w:val="18"/>
                <w:szCs w:val="18"/>
                <w:color w:val="auto"/>
                <w:w w:val="94"/>
              </w:rPr>
              <w:t>SUBSIDIARIES OF CASUAL MALE RETAIL GROUP, INC.</w:t>
            </w: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720" w:type="dxa"/>
            <w:vAlign w:val="bottom"/>
          </w:tcPr>
          <w:p>
            <w:pPr>
              <w:spacing w:after="0"/>
              <w:rPr>
                <w:sz w:val="19"/>
                <w:szCs w:val="19"/>
                <w:color w:val="auto"/>
              </w:rPr>
            </w:pPr>
          </w:p>
        </w:tc>
        <w:tc>
          <w:tcPr>
            <w:tcW w:w="8160" w:type="dxa"/>
            <w:vAlign w:val="bottom"/>
          </w:tcPr>
          <w:p>
            <w:pPr>
              <w:jc w:val="center"/>
              <w:ind w:left="1732"/>
              <w:spacing w:after="0"/>
              <w:rPr>
                <w:sz w:val="20"/>
                <w:szCs w:val="20"/>
                <w:color w:val="auto"/>
              </w:rPr>
            </w:pPr>
            <w:r>
              <w:rPr>
                <w:rFonts w:ascii="Arial" w:cs="Arial" w:eastAsia="Arial" w:hAnsi="Arial"/>
                <w:sz w:val="18"/>
                <w:szCs w:val="18"/>
                <w:color w:val="auto"/>
                <w:w w:val="89"/>
              </w:rPr>
              <w:t>Wholly-owned unless otherwise indicated</w:t>
            </w:r>
          </w:p>
        </w:tc>
        <w:tc>
          <w:tcPr>
            <w:tcW w:w="9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Subsidiary:</w:t>
            </w:r>
          </w:p>
        </w:tc>
        <w:tc>
          <w:tcPr>
            <w:tcW w:w="8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5"/>
              </w:rPr>
              <w:t>State of Incorporation:</w:t>
            </w:r>
          </w:p>
        </w:tc>
        <w:tc>
          <w:tcPr>
            <w:tcW w:w="20" w:type="dxa"/>
            <w:vAlign w:val="bottom"/>
          </w:tcPr>
          <w:p>
            <w:pPr>
              <w:spacing w:after="0"/>
              <w:rPr>
                <w:sz w:val="24"/>
                <w:szCs w:val="24"/>
                <w:color w:val="auto"/>
              </w:rPr>
            </w:pPr>
          </w:p>
        </w:tc>
      </w:tr>
      <w:tr>
        <w:trPr>
          <w:trHeight w:val="201"/>
        </w:trPr>
        <w:tc>
          <w:tcPr>
            <w:tcW w:w="8880" w:type="dxa"/>
            <w:vAlign w:val="bottom"/>
            <w:gridSpan w:val="2"/>
          </w:tcPr>
          <w:p>
            <w:pPr>
              <w:spacing w:after="0" w:line="201" w:lineRule="exact"/>
              <w:rPr>
                <w:sz w:val="20"/>
                <w:szCs w:val="20"/>
                <w:color w:val="auto"/>
              </w:rPr>
            </w:pPr>
            <w:r>
              <w:rPr>
                <w:rFonts w:ascii="Arial" w:cs="Arial" w:eastAsia="Arial" w:hAnsi="Arial"/>
                <w:sz w:val="18"/>
                <w:szCs w:val="18"/>
                <w:color w:val="auto"/>
              </w:rPr>
              <w:t>Casual Male Retail Store, LLC (f/k/a Designs CMAL Retail Store Inc.)</w:t>
            </w:r>
          </w:p>
        </w:tc>
        <w:tc>
          <w:tcPr>
            <w:tcW w:w="940" w:type="dxa"/>
            <w:vAlign w:val="bottom"/>
          </w:tcPr>
          <w:p>
            <w:pPr>
              <w:spacing w:after="0"/>
              <w:rPr>
                <w:sz w:val="17"/>
                <w:szCs w:val="17"/>
                <w:color w:val="auto"/>
              </w:rPr>
            </w:pPr>
          </w:p>
        </w:tc>
        <w:tc>
          <w:tcPr>
            <w:tcW w:w="1600" w:type="dxa"/>
            <w:vAlign w:val="bottom"/>
          </w:tcPr>
          <w:p>
            <w:pPr>
              <w:spacing w:after="0" w:line="201"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7"/>
                <w:szCs w:val="17"/>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Casual Male Direct, LLC (f/k/a Designs CMAL TBD Inc.)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CMRG Apparel Management, Inc.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CMRG Holdco, LLC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CMXL Apparel, LP (a)</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CMRG Apparel, LLC (f/k/a Designs Apparel, Inc.) (b)</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Casual Male Store, LLC (f/k/a Designs CMAL Store Inc.)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Capture, LLC (c)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Virginia</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Casual Male RBT, LLC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Casual Male Jaredm LLC (d)</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Casual Male RBT (U.K.) LLC (d)</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CMXL, LLC (f/k/a CMRG Apparel, LLC) (e)</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Casual Male Canada Inc.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Ontario, Canada</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Casual Male (EUROPE) LLC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Think Big Products LLC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Canton PL Liquidating Corp. (f/k/a LP Innovations, Inc.)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Nevada</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CMRG Global Holdings, Ltd.</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Cayman Islands</w:t>
            </w:r>
          </w:p>
        </w:tc>
      </w:tr>
      <w:tr>
        <w:trPr>
          <w:trHeight w:val="222"/>
        </w:trPr>
        <w:tc>
          <w:tcPr>
            <w:tcW w:w="8880" w:type="dxa"/>
            <w:vAlign w:val="bottom"/>
            <w:gridSpan w:val="2"/>
          </w:tcPr>
          <w:p>
            <w:pPr>
              <w:spacing w:after="0"/>
              <w:rPr>
                <w:sz w:val="20"/>
                <w:szCs w:val="20"/>
                <w:color w:val="auto"/>
              </w:rPr>
            </w:pPr>
            <w:r>
              <w:rPr>
                <w:rFonts w:ascii="Arial" w:cs="Arial" w:eastAsia="Arial" w:hAnsi="Arial"/>
                <w:sz w:val="18"/>
                <w:szCs w:val="18"/>
                <w:color w:val="auto"/>
              </w:rPr>
              <w:t>CMRG Europe B.V. (f)</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Netherlands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0" w:hanging="452"/>
        <w:spacing w:after="0" w:line="268" w:lineRule="auto"/>
        <w:tabs>
          <w:tab w:leader="none" w:pos="4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 limited partnership in which CMRG Apparel Management, Inc. is a General Partner owning 1% and CMRG Holdco, LLC is a Limited Partner owning 99%. (Both partners are wholly-owned subsidiaries of Casual Male Retail Group, Inc.)</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100% owned by CMXL Apparel, LP (a wholly-owned subsidiary of Casual Male Retail Group, Inc.)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100% owned by Casual Male Store, LLC (a wholly-owned subsidiary of Casual Male Retail Group, Inc.)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100% owned by Casual Male RBT, LLC (a wholly-owned subsidiary of Casual Male Retail Group, Inc.)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Subsidiary is currently inactive.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100% owned by CMRG Global Holding, Ltd.</w:t>
      </w:r>
    </w:p>
    <w:p>
      <w:pPr>
        <w:sectPr>
          <w:pgSz w:w="11900" w:h="16838" w:orient="portrait"/>
          <w:cols w:equalWidth="0" w:num="1">
            <w:col w:w="11420"/>
          </w:cols>
          <w:pgMar w:left="240" w:top="125" w:right="2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Statements (Form S-3 Nos. 333-118966, 333-112598, 333-90742, and 33-53358 and Form S-8 Nos. 333-112561, 333-112218, 333-136890, 33-52892, 333-164618, and 333-163245) of Casual Male Retail Group, Inc. of our reports dated March 19, 2010, with respect to the consolidated financial statements of Casual Male Retail Group, Inc. and the effectiveness of internal control over financial reporting of Casual Male Retail Group, Inc., included in this Annual Report (Form 10-K) for the year ended January 30, 2010.</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19, 2010</w:t>
      </w:r>
    </w:p>
    <w:p>
      <w:pPr>
        <w:sectPr>
          <w:pgSz w:w="11900" w:h="16838" w:orient="portrait"/>
          <w:cols w:equalWidth="0" w:num="1">
            <w:col w:w="11420"/>
          </w:cols>
          <w:pgMar w:left="240" w:top="125"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Casual Male Retail Group,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50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19, 2010</w:t>
      </w:r>
    </w:p>
    <w:p>
      <w:pPr>
        <w:spacing w:after="0" w:line="212" w:lineRule="exact"/>
        <w:rPr>
          <w:sz w:val="20"/>
          <w:szCs w:val="20"/>
          <w:color w:val="auto"/>
        </w:rPr>
      </w:pPr>
    </w:p>
    <w:p>
      <w:pPr>
        <w:ind w:left="8220"/>
        <w:spacing w:after="0"/>
        <w:tabs>
          <w:tab w:leader="none" w:pos="854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David A. Levin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Casual Male Retail Group,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50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19, 2010</w:t>
      </w:r>
    </w:p>
    <w:p>
      <w:pPr>
        <w:spacing w:after="0" w:line="212" w:lineRule="exact"/>
        <w:rPr>
          <w:sz w:val="20"/>
          <w:szCs w:val="20"/>
          <w:color w:val="auto"/>
        </w:rPr>
      </w:pPr>
    </w:p>
    <w:p>
      <w:pPr>
        <w:ind w:left="7980"/>
        <w:spacing w:after="0"/>
        <w:tabs>
          <w:tab w:leader="none" w:pos="8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Dennis R. Hernreich</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Annual Report on Form 10-K of Casual Male Retail Group, Inc. (the “Company”) for the period ended January 30, 2010,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0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69" w:lineRule="exact"/>
        <w:rPr>
          <w:sz w:val="20"/>
          <w:szCs w:val="20"/>
          <w:color w:val="auto"/>
        </w:rPr>
      </w:pPr>
    </w:p>
    <w:p>
      <w:pPr>
        <w:spacing w:after="0"/>
        <w:tabs>
          <w:tab w:leader="none" w:pos="8500" w:val="left"/>
          <w:tab w:leader="none" w:pos="8840" w:val="left"/>
        </w:tabs>
        <w:rPr>
          <w:sz w:val="20"/>
          <w:szCs w:val="20"/>
          <w:color w:val="auto"/>
        </w:rPr>
      </w:pPr>
      <w:r>
        <w:rPr>
          <w:rFonts w:ascii="Arial" w:cs="Arial" w:eastAsia="Arial" w:hAnsi="Arial"/>
          <w:sz w:val="18"/>
          <w:szCs w:val="18"/>
          <w:color w:val="auto"/>
        </w:rPr>
        <w:t>Dated: March 19, 2010</w:t>
      </w:r>
      <w:r>
        <w:rPr>
          <w:sz w:val="20"/>
          <w:szCs w:val="20"/>
          <w:color w:val="auto"/>
        </w:rPr>
        <w:tab/>
      </w: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10795</wp:posOffset>
            </wp:positionV>
            <wp:extent cx="25984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jc w:val="center"/>
        <w:ind w:left="7440"/>
        <w:spacing w:after="0"/>
        <w:rPr>
          <w:sz w:val="20"/>
          <w:szCs w:val="20"/>
          <w:color w:val="auto"/>
        </w:rPr>
      </w:pPr>
      <w:r>
        <w:rPr>
          <w:rFonts w:ascii="Arial" w:cs="Arial" w:eastAsia="Arial" w:hAnsi="Arial"/>
          <w:sz w:val="14"/>
          <w:szCs w:val="14"/>
          <w:b w:val="1"/>
          <w:bCs w:val="1"/>
          <w:color w:val="auto"/>
        </w:rPr>
        <w:t>David A. Levin</w:t>
      </w:r>
    </w:p>
    <w:p>
      <w:pPr>
        <w:spacing w:after="0" w:line="1"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Chief Executive Officer</w:t>
      </w:r>
    </w:p>
    <w:p>
      <w:pPr>
        <w:spacing w:after="0" w:line="14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Annual Report on Form 10-K of Casual Male Retail Group, Inc. (the “Company”) for the period ended January 30, 2010,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1140" w:right="240" w:hanging="565"/>
        <w:spacing w:after="0" w:line="268" w:lineRule="auto"/>
        <w:tabs>
          <w:tab w:leader="none" w:pos="114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50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69" w:lineRule="exact"/>
        <w:rPr>
          <w:sz w:val="20"/>
          <w:szCs w:val="20"/>
          <w:color w:val="auto"/>
        </w:rPr>
      </w:pPr>
    </w:p>
    <w:p>
      <w:pPr>
        <w:spacing w:after="0"/>
        <w:tabs>
          <w:tab w:leader="none" w:pos="8260" w:val="left"/>
          <w:tab w:leader="none" w:pos="8600" w:val="left"/>
        </w:tabs>
        <w:rPr>
          <w:sz w:val="20"/>
          <w:szCs w:val="20"/>
          <w:color w:val="auto"/>
        </w:rPr>
      </w:pPr>
      <w:r>
        <w:rPr>
          <w:rFonts w:ascii="Arial" w:cs="Arial" w:eastAsia="Arial" w:hAnsi="Arial"/>
          <w:sz w:val="18"/>
          <w:szCs w:val="18"/>
          <w:color w:val="auto"/>
        </w:rPr>
        <w:t>Dated: March 19,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10795</wp:posOffset>
            </wp:positionV>
            <wp:extent cx="25984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jc w:val="center"/>
        <w:ind w:left="7440"/>
        <w:spacing w:after="0"/>
        <w:rPr>
          <w:sz w:val="20"/>
          <w:szCs w:val="20"/>
          <w:color w:val="auto"/>
        </w:rPr>
      </w:pPr>
      <w:r>
        <w:rPr>
          <w:rFonts w:ascii="Arial" w:cs="Arial" w:eastAsia="Arial" w:hAnsi="Arial"/>
          <w:sz w:val="14"/>
          <w:szCs w:val="14"/>
          <w:b w:val="1"/>
          <w:bCs w:val="1"/>
          <w:color w:val="auto"/>
        </w:rPr>
        <w:t>Dennis R. Hernreich</w:t>
      </w:r>
    </w:p>
    <w:p>
      <w:pPr>
        <w:spacing w:after="0" w:line="1"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A606509"/>
    <w:multiLevelType w:val="hybridMultilevel"/>
    <w:lvl w:ilvl="0">
      <w:lvlJc w:val="left"/>
      <w:lvlText w:val="•"/>
      <w:numFmt w:val="bullet"/>
      <w:start w:val="1"/>
    </w:lvl>
  </w:abstractNum>
  <w:abstractNum w:abstractNumId="1">
    <w:nsid w:val="6F38E6D1"/>
    <w:multiLevelType w:val="hybridMultilevel"/>
    <w:lvl w:ilvl="0">
      <w:lvlJc w:val="left"/>
      <w:lvlText w:val="•"/>
      <w:numFmt w:val="bullet"/>
      <w:start w:val="1"/>
    </w:lvl>
  </w:abstractNum>
  <w:abstractNum w:abstractNumId="2">
    <w:nsid w:val="46111BA5"/>
    <w:multiLevelType w:val="hybridMultilevel"/>
    <w:lvl w:ilvl="0">
      <w:lvlJc w:val="left"/>
      <w:lvlText w:val="•"/>
      <w:numFmt w:val="bullet"/>
      <w:start w:val="1"/>
    </w:lvl>
  </w:abstractNum>
  <w:abstractNum w:abstractNumId="3">
    <w:nsid w:val="5E963896"/>
    <w:multiLevelType w:val="hybridMultilevel"/>
    <w:lvl w:ilvl="0">
      <w:lvlJc w:val="left"/>
      <w:lvlText w:val="•"/>
      <w:numFmt w:val="bullet"/>
      <w:start w:val="1"/>
    </w:lvl>
  </w:abstractNum>
  <w:abstractNum w:abstractNumId="4">
    <w:nsid w:val="775BA7C1"/>
    <w:multiLevelType w:val="hybridMultilevel"/>
    <w:lvl w:ilvl="0">
      <w:lvlJc w:val="left"/>
      <w:lvlText w:val="•"/>
      <w:numFmt w:val="bullet"/>
      <w:start w:val="1"/>
    </w:lvl>
  </w:abstractNum>
  <w:abstractNum w:abstractNumId="5">
    <w:nsid w:val="1DD6D6F4"/>
    <w:multiLevelType w:val="hybridMultilevel"/>
    <w:lvl w:ilvl="0">
      <w:lvlJc w:val="left"/>
      <w:lvlText w:val="%1."/>
      <w:numFmt w:val="upperLetter"/>
      <w:start w:val="5"/>
    </w:lvl>
  </w:abstractNum>
  <w:abstractNum w:abstractNumId="6">
    <w:nsid w:val="769A091F"/>
    <w:multiLevelType w:val="hybridMultilevel"/>
    <w:lvl w:ilvl="0">
      <w:lvlJc w:val="left"/>
      <w:lvlText w:val="%1."/>
      <w:numFmt w:val="upperLetter"/>
      <w:start w:val="5"/>
    </w:lvl>
  </w:abstractNum>
  <w:abstractNum w:abstractNumId="7">
    <w:nsid w:val="4695AE95"/>
    <w:multiLevelType w:val="hybridMultilevel"/>
    <w:lvl w:ilvl="0">
      <w:lvlJc w:val="left"/>
      <w:lvlText w:val="(%1)"/>
      <w:numFmt w:val="decimal"/>
      <w:start w:val="1"/>
    </w:lvl>
  </w:abstractNum>
  <w:abstractNum w:abstractNumId="8">
    <w:nsid w:val="777A4EAA"/>
    <w:multiLevelType w:val="hybridMultilevel"/>
    <w:lvl w:ilvl="0">
      <w:lvlJc w:val="left"/>
      <w:lvlText w:val="(%1)"/>
      <w:numFmt w:val="decimal"/>
      <w:start w:val="1"/>
    </w:lvl>
  </w:abstractNum>
  <w:abstractNum w:abstractNumId="9">
    <w:nsid w:val="3F48B982"/>
    <w:multiLevelType w:val="hybridMultilevel"/>
    <w:lvl w:ilvl="0">
      <w:lvlJc w:val="left"/>
      <w:lvlText w:val="(%1)"/>
      <w:numFmt w:val="decimal"/>
      <w:start w:val="1"/>
    </w:lvl>
  </w:abstractNum>
  <w:abstractNum w:abstractNumId="10">
    <w:nsid w:val="46BA8FCA"/>
    <w:multiLevelType w:val="hybridMultilevel"/>
    <w:lvl w:ilvl="0">
      <w:lvlJc w:val="left"/>
      <w:lvlText w:val="(%1)"/>
      <w:numFmt w:val="decimal"/>
      <w:start w:val="1"/>
    </w:lvl>
  </w:abstractNum>
  <w:abstractNum w:abstractNumId="11">
    <w:nsid w:val="7835626C"/>
    <w:multiLevelType w:val="hybridMultilevel"/>
    <w:lvl w:ilvl="0">
      <w:lvlJc w:val="left"/>
      <w:lvlText w:val="(%1)"/>
      <w:numFmt w:val="decimal"/>
      <w:start w:val="2"/>
    </w:lvl>
  </w:abstractNum>
  <w:abstractNum w:abstractNumId="12">
    <w:nsid w:val="665ACA49"/>
    <w:multiLevelType w:val="hybridMultilevel"/>
    <w:lvl w:ilvl="0">
      <w:lvlJc w:val="left"/>
      <w:lvlText w:val="(%1)"/>
      <w:numFmt w:val="decimal"/>
      <w:start w:val="1"/>
    </w:lvl>
  </w:abstractNum>
  <w:abstractNum w:abstractNumId="13">
    <w:nsid w:val="6835B2AE"/>
    <w:multiLevelType w:val="hybridMultilevel"/>
    <w:lvl w:ilvl="0">
      <w:lvlJc w:val="left"/>
      <w:lvlText w:val="(%1)"/>
      <w:numFmt w:val="decimal"/>
      <w:start w:val="1"/>
    </w:lvl>
  </w:abstractNum>
  <w:abstractNum w:abstractNumId="14">
    <w:nsid w:val="4C187C90"/>
    <w:multiLevelType w:val="hybridMultilevel"/>
    <w:lvl w:ilvl="0">
      <w:lvlJc w:val="left"/>
      <w:lvlText w:val="(%1)"/>
      <w:numFmt w:val="decimal"/>
      <w:start w:val="1"/>
    </w:lvl>
  </w:abstractNum>
  <w:abstractNum w:abstractNumId="15">
    <w:nsid w:val="541F28CD"/>
    <w:multiLevelType w:val="hybridMultilevel"/>
    <w:lvl w:ilvl="0">
      <w:lvlJc w:val="left"/>
      <w:lvlText w:val="(%1)"/>
      <w:numFmt w:val="decimal"/>
      <w:start w:val="1"/>
    </w:lvl>
  </w:abstractNum>
  <w:abstractNum w:abstractNumId="16">
    <w:nsid w:val="7F65FD16"/>
    <w:multiLevelType w:val="hybridMultilevel"/>
    <w:lvl w:ilvl="0">
      <w:lvlJc w:val="left"/>
      <w:lvlText w:val="(%1)"/>
      <w:numFmt w:val="decimal"/>
      <w:start w:val="1"/>
    </w:lvl>
  </w:abstractNum>
  <w:abstractNum w:abstractNumId="17">
    <w:nsid w:val="77C9FD68"/>
    <w:multiLevelType w:val="hybridMultilevel"/>
    <w:lvl w:ilvl="0">
      <w:lvlJc w:val="left"/>
      <w:lvlText w:val="(%1)"/>
      <w:numFmt w:val="decimal"/>
      <w:start w:val="1"/>
    </w:lvl>
  </w:abstractNum>
  <w:abstractNum w:abstractNumId="18">
    <w:nsid w:val="298A92BA"/>
    <w:multiLevelType w:val="hybridMultilevel"/>
    <w:lvl w:ilvl="0">
      <w:lvlJc w:val="left"/>
      <w:lvlText w:val="(%1)"/>
      <w:numFmt w:val="decimal"/>
      <w:start w:val="1"/>
    </w:lvl>
  </w:abstractNum>
  <w:abstractNum w:abstractNumId="19">
    <w:nsid w:val="6FE95EAC"/>
    <w:multiLevelType w:val="hybridMultilevel"/>
    <w:lvl w:ilvl="0">
      <w:lvlJc w:val="left"/>
      <w:lvlText w:val="(%1)"/>
      <w:numFmt w:val="decimal"/>
      <w:start w:val="2"/>
    </w:lvl>
  </w:abstractNum>
  <w:abstractNum w:abstractNumId="20">
    <w:nsid w:val="4B697C7A"/>
    <w:multiLevelType w:val="hybridMultilevel"/>
    <w:lvl w:ilvl="0">
      <w:lvlJc w:val="left"/>
      <w:lvlText w:val="(%1)"/>
      <w:numFmt w:val="lowerRoman"/>
      <w:start w:val="1"/>
    </w:lvl>
  </w:abstractNum>
  <w:abstractNum w:abstractNumId="21">
    <w:nsid w:val="51A27AA6"/>
    <w:multiLevelType w:val="hybridMultilevel"/>
    <w:lvl w:ilvl="0">
      <w:lvlJc w:val="left"/>
      <w:lvlText w:val="*"/>
      <w:numFmt w:val="bullet"/>
      <w:start w:val="1"/>
    </w:lvl>
  </w:abstractNum>
  <w:abstractNum w:abstractNumId="22">
    <w:nsid w:val="613183F2"/>
    <w:multiLevelType w:val="hybridMultilevel"/>
    <w:lvl w:ilvl="0">
      <w:lvlJc w:val="left"/>
      <w:lvlText w:val="%1."/>
      <w:numFmt w:val="decimal"/>
      <w:start w:val="1"/>
    </w:lvl>
  </w:abstractNum>
  <w:abstractNum w:abstractNumId="23">
    <w:nsid w:val="634102B4"/>
    <w:multiLevelType w:val="hybridMultilevel"/>
    <w:lvl w:ilvl="0">
      <w:lvlJc w:val="left"/>
      <w:lvlText w:val="%1."/>
      <w:numFmt w:val="decimal"/>
      <w:start w:val="2"/>
    </w:lvl>
  </w:abstractNum>
  <w:abstractNum w:abstractNumId="24">
    <w:nsid w:val="65BF9DA8"/>
    <w:multiLevelType w:val="hybridMultilevel"/>
    <w:lvl w:ilvl="0">
      <w:lvlJc w:val="left"/>
      <w:lvlText w:val="%1."/>
      <w:numFmt w:val="decimal"/>
      <w:start w:val="3"/>
    </w:lvl>
  </w:abstractNum>
  <w:abstractNum w:abstractNumId="25">
    <w:nsid w:val="21A2ECCA"/>
    <w:multiLevelType w:val="hybridMultilevel"/>
    <w:lvl w:ilvl="0">
      <w:lvlJc w:val="left"/>
      <w:lvlText w:val="(%1)"/>
      <w:numFmt w:val="lowerLetter"/>
      <w:start w:val="1"/>
    </w:lvl>
  </w:abstractNum>
  <w:abstractNum w:abstractNumId="26">
    <w:nsid w:val="4D5C4899"/>
    <w:multiLevelType w:val="hybridMultilevel"/>
    <w:lvl w:ilvl="0">
      <w:lvlJc w:val="left"/>
      <w:lvlText w:val="(%1)"/>
      <w:numFmt w:val="lowerLetter"/>
      <w:start w:val="3"/>
    </w:lvl>
  </w:abstractNum>
  <w:abstractNum w:abstractNumId="27">
    <w:nsid w:val="3C3B72B2"/>
    <w:multiLevelType w:val="hybridMultilevel"/>
    <w:lvl w:ilvl="0">
      <w:lvlJc w:val="left"/>
      <w:lvlText w:val="%1."/>
      <w:numFmt w:val="decimal"/>
      <w:start w:val="4"/>
    </w:lvl>
  </w:abstractNum>
  <w:abstractNum w:abstractNumId="28">
    <w:nsid w:val="155EC4C2"/>
    <w:multiLevelType w:val="hybridMultilevel"/>
    <w:lvl w:ilvl="0">
      <w:lvlJc w:val="left"/>
      <w:lvlText w:val="%1."/>
      <w:numFmt w:val="decimal"/>
      <w:start w:val="5"/>
    </w:lvl>
  </w:abstractNum>
  <w:abstractNum w:abstractNumId="29">
    <w:nsid w:val="65D2A137"/>
    <w:multiLevelType w:val="hybridMultilevel"/>
    <w:lvl w:ilvl="0">
      <w:lvlJc w:val="left"/>
      <w:lvlText w:val="(%1)"/>
      <w:numFmt w:val="lowerLetter"/>
      <w:start w:val="1"/>
    </w:lvl>
  </w:abstractNum>
  <w:abstractNum w:abstractNumId="30">
    <w:nsid w:val="6EBB1F2A"/>
    <w:multiLevelType w:val="hybridMultilevel"/>
    <w:lvl w:ilvl="0">
      <w:lvlJc w:val="left"/>
      <w:lvlText w:val="%1."/>
      <w:numFmt w:val="decimal"/>
      <w:start w:val="6"/>
    </w:lvl>
  </w:abstractNum>
  <w:abstractNum w:abstractNumId="31">
    <w:nsid w:val="6FBF29CB"/>
    <w:multiLevelType w:val="hybridMultilevel"/>
    <w:lvl w:ilvl="0">
      <w:lvlJc w:val="left"/>
      <w:lvlText w:val="(%1)"/>
      <w:numFmt w:val="lowerLetter"/>
      <w:start w:val="1"/>
    </w:lvl>
  </w:abstractNum>
  <w:abstractNum w:abstractNumId="32">
    <w:nsid w:val="550B8808"/>
    <w:multiLevelType w:val="hybridMultilevel"/>
    <w:lvl w:ilvl="0">
      <w:lvlJc w:val="left"/>
      <w:lvlText w:val="%1."/>
      <w:numFmt w:val="decimal"/>
      <w:start w:val="7"/>
    </w:lvl>
  </w:abstractNum>
  <w:abstractNum w:abstractNumId="33">
    <w:nsid w:val="34CC3ACF"/>
    <w:multiLevelType w:val="hybridMultilevel"/>
    <w:lvl w:ilvl="0">
      <w:lvlJc w:val="left"/>
      <w:lvlText w:val="(%1)"/>
      <w:numFmt w:val="lowerLetter"/>
      <w:start w:val="1"/>
    </w:lvl>
    <w:lvl w:ilvl="1">
      <w:lvlJc w:val="left"/>
      <w:lvlText w:val="(%2)"/>
      <w:numFmt w:val="lowerRoman"/>
      <w:start w:val="1"/>
    </w:lvl>
  </w:abstractNum>
  <w:abstractNum w:abstractNumId="34">
    <w:nsid w:val="4E556261"/>
    <w:multiLevelType w:val="hybridMultilevel"/>
    <w:lvl w:ilvl="0">
      <w:lvlJc w:val="left"/>
      <w:lvlText w:val="%1"/>
      <w:numFmt w:val="lowerLetter"/>
      <w:start w:val="1"/>
    </w:lvl>
    <w:lvl w:ilvl="1">
      <w:lvlJc w:val="left"/>
      <w:lvlText w:val="(%2)"/>
      <w:numFmt w:val="lowerLetter"/>
      <w:start w:val="61"/>
    </w:lvl>
  </w:abstractNum>
  <w:abstractNum w:abstractNumId="35">
    <w:nsid w:val="4C672FC9"/>
    <w:multiLevelType w:val="hybridMultilevel"/>
    <w:lvl w:ilvl="0">
      <w:lvlJc w:val="left"/>
      <w:lvlText w:val="(%1)"/>
      <w:numFmt w:val="lowerLetter"/>
      <w:start w:val="3"/>
    </w:lvl>
    <w:lvl w:ilvl="1">
      <w:lvlJc w:val="left"/>
      <w:lvlText w:val="%2"/>
      <w:numFmt w:val="lowerLetter"/>
      <w:start w:val="1"/>
    </w:lvl>
  </w:abstractNum>
  <w:abstractNum w:abstractNumId="36">
    <w:nsid w:val="52A311C3"/>
    <w:multiLevelType w:val="hybridMultilevel"/>
    <w:lvl w:ilvl="0">
      <w:lvlJc w:val="left"/>
      <w:lvlText w:val="%1"/>
      <w:numFmt w:val="lowerRoman"/>
      <w:start w:val="1"/>
    </w:lvl>
    <w:lvl w:ilvl="1">
      <w:lvlJc w:val="left"/>
      <w:lvlText w:val="(%2)"/>
      <w:numFmt w:val="lowerLetter"/>
      <w:start w:val="8"/>
    </w:lvl>
  </w:abstractNum>
  <w:abstractNum w:abstractNumId="37">
    <w:nsid w:val="44EF6B80"/>
    <w:multiLevelType w:val="hybridMultilevel"/>
    <w:lvl w:ilvl="0">
      <w:lvlJc w:val="left"/>
      <w:lvlText w:val="(%1)"/>
      <w:numFmt w:val="lowerRoman"/>
      <w:start w:val="4"/>
    </w:lvl>
    <w:lvl w:ilvl="1">
      <w:lvlJc w:val="left"/>
      <w:lvlText w:val="(%2)"/>
      <w:numFmt w:val="lowerLetter"/>
      <w:start w:val="10"/>
    </w:lvl>
  </w:abstractNum>
  <w:abstractNum w:abstractNumId="38">
    <w:nsid w:val="12FCDE5E"/>
    <w:multiLevelType w:val="hybridMultilevel"/>
    <w:lvl w:ilvl="0">
      <w:lvlJc w:val="left"/>
      <w:lvlText w:val="(%1)"/>
      <w:numFmt w:val="lowerRoman"/>
      <w:start w:val="1"/>
    </w:lvl>
  </w:abstractNum>
  <w:abstractNum w:abstractNumId="39">
    <w:nsid w:val="4A1D606E"/>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0">
    <w:nsid w:val="4382503"/>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41">
    <w:nsid w:val="59B76E28"/>
    <w:multiLevelType w:val="hybridMultilevel"/>
    <w:lvl w:ilvl="0">
      <w:lvlJc w:val="left"/>
      <w:lvlText w:val="%1."/>
      <w:numFmt w:val="decimal"/>
      <w:start w:val="8"/>
    </w:lvl>
  </w:abstractNum>
  <w:abstractNum w:abstractNumId="42">
    <w:nsid w:val="4252C2DA"/>
    <w:multiLevelType w:val="hybridMultilevel"/>
    <w:lvl w:ilvl="0">
      <w:lvlJc w:val="left"/>
      <w:lvlText w:val="(%1)"/>
      <w:numFmt w:val="lowerLetter"/>
      <w:start w:val="1"/>
    </w:lvl>
  </w:abstractNum>
  <w:abstractNum w:abstractNumId="43">
    <w:nsid w:val="6A92EF4C"/>
    <w:multiLevelType w:val="hybridMultilevel"/>
    <w:lvl w:ilvl="0">
      <w:lvlJc w:val="left"/>
      <w:lvlText w:val="(%1)"/>
      <w:numFmt w:val="lowerLetter"/>
      <w:start w:val="2"/>
    </w:lvl>
    <w:lvl w:ilvl="1">
      <w:lvlJc w:val="left"/>
      <w:lvlText w:val="(%2)"/>
      <w:numFmt w:val="lowerRoman"/>
      <w:start w:val="1"/>
    </w:lvl>
  </w:abstractNum>
  <w:abstractNum w:abstractNumId="44">
    <w:nsid w:val="41ED20D7"/>
    <w:multiLevelType w:val="hybridMultilevel"/>
    <w:lvl w:ilvl="0">
      <w:lvlJc w:val="left"/>
      <w:lvlText w:val="(%1)"/>
      <w:numFmt w:val="lowerLetter"/>
      <w:start w:val="6"/>
    </w:lvl>
    <w:lvl w:ilvl="1">
      <w:lvlJc w:val="left"/>
      <w:lvlText w:val="(%2)"/>
      <w:numFmt w:val="lowerRoman"/>
      <w:start w:val="1"/>
    </w:lvl>
  </w:abstractNum>
  <w:abstractNum w:abstractNumId="45">
    <w:nsid w:val="E6B3F6A"/>
    <w:multiLevelType w:val="hybridMultilevel"/>
    <w:lvl w:ilvl="0">
      <w:lvlJc w:val="left"/>
      <w:lvlText w:val="%1."/>
      <w:numFmt w:val="decimal"/>
      <w:start w:val="9"/>
    </w:lvl>
  </w:abstractNum>
  <w:abstractNum w:abstractNumId="46">
    <w:nsid w:val="3EB21819"/>
    <w:multiLevelType w:val="hybridMultilevel"/>
    <w:lvl w:ilvl="0">
      <w:lvlJc w:val="left"/>
      <w:lvlText w:val="(%1)"/>
      <w:numFmt w:val="lowerLetter"/>
      <w:start w:val="1"/>
    </w:lvl>
  </w:abstractNum>
  <w:abstractNum w:abstractNumId="47">
    <w:nsid w:val="41531DED"/>
    <w:multiLevelType w:val="hybridMultilevel"/>
    <w:lvl w:ilvl="0">
      <w:lvlJc w:val="left"/>
      <w:lvlText w:val="%1."/>
      <w:numFmt w:val="decimal"/>
      <w:start w:val="10"/>
    </w:lvl>
  </w:abstractNum>
  <w:abstractNum w:abstractNumId="48">
    <w:nsid w:val="6353CD2"/>
    <w:multiLevelType w:val="hybridMultilevel"/>
    <w:lvl w:ilvl="0">
      <w:lvlJc w:val="left"/>
      <w:lvlText w:val="(%1)"/>
      <w:numFmt w:val="lowerLetter"/>
      <w:start w:val="1"/>
    </w:lvl>
  </w:abstractNum>
  <w:abstractNum w:abstractNumId="49">
    <w:nsid w:val="683CAAD3"/>
    <w:multiLevelType w:val="hybridMultilevel"/>
    <w:lvl w:ilvl="0">
      <w:lvlJc w:val="left"/>
      <w:lvlText w:val="%1."/>
      <w:numFmt w:val="decimal"/>
      <w:start w:val="11"/>
    </w:lvl>
  </w:abstractNum>
  <w:abstractNum w:abstractNumId="50">
    <w:nsid w:val="313C7C99"/>
    <w:multiLevelType w:val="hybridMultilevel"/>
    <w:lvl w:ilvl="0">
      <w:lvlJc w:val="left"/>
      <w:lvlText w:val="(%1)"/>
      <w:numFmt w:val="lowerLetter"/>
      <w:start w:val="1"/>
    </w:lvl>
  </w:abstractNum>
  <w:abstractNum w:abstractNumId="51">
    <w:nsid w:val="519EB94C"/>
    <w:multiLevelType w:val="hybridMultilevel"/>
    <w:lvl w:ilvl="0">
      <w:lvlJc w:val="left"/>
      <w:lvlText w:val="%1."/>
      <w:numFmt w:val="decimal"/>
      <w:start w:val="12"/>
    </w:lvl>
  </w:abstractNum>
  <w:abstractNum w:abstractNumId="52">
    <w:nsid w:val="39DF2579"/>
    <w:multiLevelType w:val="hybridMultilevel"/>
    <w:lvl w:ilvl="0">
      <w:lvlJc w:val="left"/>
      <w:lvlText w:val="(%1)"/>
      <w:numFmt w:val="lowerLetter"/>
      <w:start w:val="1"/>
    </w:lvl>
  </w:abstractNum>
  <w:abstractNum w:abstractNumId="53">
    <w:nsid w:val="126E008B"/>
    <w:multiLevelType w:val="hybridMultilevel"/>
    <w:lvl w:ilvl="0">
      <w:lvlJc w:val="left"/>
      <w:lvlText w:val="(%1)"/>
      <w:numFmt w:val="lowerLetter"/>
      <w:start w:val="2"/>
    </w:lvl>
  </w:abstractNum>
  <w:abstractNum w:abstractNumId="54">
    <w:nsid w:val="34DFBC00"/>
    <w:multiLevelType w:val="hybridMultilevel"/>
    <w:lvl w:ilvl="0">
      <w:lvlJc w:val="left"/>
      <w:lvlText w:val="%1."/>
      <w:numFmt w:val="decimal"/>
      <w:start w:val="13"/>
    </w:lvl>
  </w:abstractNum>
  <w:abstractNum w:abstractNumId="55">
    <w:nsid w:val="1F9EC322"/>
    <w:multiLevelType w:val="hybridMultilevel"/>
    <w:lvl w:ilvl="0">
      <w:lvlJc w:val="left"/>
      <w:lvlText w:val="%1."/>
      <w:numFmt w:val="decimal"/>
      <w:start w:val="14"/>
    </w:lvl>
  </w:abstractNum>
  <w:abstractNum w:abstractNumId="56">
    <w:nsid w:val="3410ED56"/>
    <w:multiLevelType w:val="hybridMultilevel"/>
    <w:lvl w:ilvl="0">
      <w:lvlJc w:val="left"/>
      <w:lvlText w:val="%1."/>
      <w:numFmt w:val="decimal"/>
      <w:start w:val="15"/>
    </w:lvl>
  </w:abstractNum>
  <w:abstractNum w:abstractNumId="57">
    <w:nsid w:val="23C049A"/>
    <w:multiLevelType w:val="hybridMultilevel"/>
    <w:lvl w:ilvl="0">
      <w:lvlJc w:val="left"/>
      <w:lvlText w:val="%1."/>
      <w:numFmt w:val="decimal"/>
      <w:start w:val="16"/>
    </w:lvl>
  </w:abstractNum>
  <w:abstractNum w:abstractNumId="58">
    <w:nsid w:val="5BDA35D4"/>
    <w:multiLevelType w:val="hybridMultilevel"/>
    <w:lvl w:ilvl="0">
      <w:lvlJc w:val="left"/>
      <w:lvlText w:val="%1."/>
      <w:numFmt w:val="decimal"/>
      <w:start w:val="17"/>
    </w:lvl>
  </w:abstractNum>
  <w:abstractNum w:abstractNumId="59">
    <w:nsid w:val="496FB218"/>
    <w:multiLevelType w:val="hybridMultilevel"/>
    <w:lvl w:ilvl="0">
      <w:lvlJc w:val="left"/>
      <w:lvlText w:val="%1."/>
      <w:numFmt w:val="decimal"/>
      <w:start w:val="18"/>
    </w:lvl>
  </w:abstractNum>
  <w:abstractNum w:abstractNumId="60">
    <w:nsid w:val="680EA5D1"/>
    <w:multiLevelType w:val="hybridMultilevel"/>
    <w:lvl w:ilvl="0">
      <w:lvlJc w:val="left"/>
      <w:lvlText w:val="%1."/>
      <w:numFmt w:val="decimal"/>
      <w:start w:val="19"/>
    </w:lvl>
  </w:abstractNum>
  <w:abstractNum w:abstractNumId="61">
    <w:nsid w:val="4A9554FE"/>
    <w:multiLevelType w:val="hybridMultilevel"/>
    <w:lvl w:ilvl="0">
      <w:lvlJc w:val="left"/>
      <w:lvlText w:val="%1."/>
      <w:numFmt w:val="decimal"/>
      <w:start w:val="20"/>
    </w:lvl>
  </w:abstractNum>
  <w:abstractNum w:abstractNumId="62">
    <w:nsid w:val="392EDBE4"/>
    <w:multiLevelType w:val="hybridMultilevel"/>
    <w:lvl w:ilvl="0">
      <w:lvlJc w:val="left"/>
      <w:lvlText w:val="%1."/>
      <w:numFmt w:val="decimal"/>
      <w:start w:val="21"/>
    </w:lvl>
  </w:abstractNum>
  <w:abstractNum w:abstractNumId="63">
    <w:nsid w:val="3D1A2DD9"/>
    <w:multiLevelType w:val="hybridMultilevel"/>
    <w:lvl w:ilvl="0">
      <w:lvlJc w:val="left"/>
      <w:lvlText w:val="%1."/>
      <w:numFmt w:val="decimal"/>
      <w:start w:val="22"/>
    </w:lvl>
  </w:abstractNum>
  <w:abstractNum w:abstractNumId="64">
    <w:nsid w:val="7F618FCD"/>
    <w:multiLevelType w:val="hybridMultilevel"/>
    <w:lvl w:ilvl="0">
      <w:lvlJc w:val="left"/>
      <w:lvlText w:val="%1."/>
      <w:numFmt w:val="decimal"/>
      <w:start w:val="23"/>
    </w:lvl>
  </w:abstractNum>
  <w:abstractNum w:abstractNumId="65">
    <w:nsid w:val="7843E45"/>
    <w:multiLevelType w:val="hybridMultilevel"/>
    <w:lvl w:ilvl="0">
      <w:lvlJc w:val="left"/>
      <w:lvlText w:val="%1."/>
      <w:numFmt w:val="decimal"/>
      <w:start w:val="24"/>
    </w:lvl>
    <w:lvl w:ilvl="1">
      <w:lvlJc w:val="left"/>
      <w:lvlText w:val="(%2)"/>
      <w:numFmt w:val="lowerLetter"/>
      <w:start w:val="1"/>
    </w:lvl>
  </w:abstractNum>
  <w:abstractNum w:abstractNumId="66">
    <w:nsid w:val="9815DA3"/>
    <w:multiLevelType w:val="hybridMultilevel"/>
    <w:lvl w:ilvl="0">
      <w:lvlJc w:val="left"/>
      <w:lvlText w:val="%1"/>
      <w:numFmt w:val="decimal"/>
      <w:start w:val="1"/>
    </w:lvl>
    <w:lvl w:ilvl="1">
      <w:lvlJc w:val="left"/>
      <w:lvlText w:val="(%2)"/>
      <w:numFmt w:val="lowerLetter"/>
      <w:start w:val="2"/>
    </w:lvl>
  </w:abstractNum>
  <w:abstractNum w:abstractNumId="67">
    <w:nsid w:val="5204A191"/>
    <w:multiLevelType w:val="hybridMultilevel"/>
    <w:lvl w:ilvl="0">
      <w:lvlJc w:val="left"/>
      <w:lvlText w:val="%1."/>
      <w:numFmt w:val="decimal"/>
      <w:start w:val="25"/>
    </w:lvl>
    <w:lvl w:ilvl="1">
      <w:lvlJc w:val="left"/>
      <w:lvlText w:val="%2"/>
      <w:numFmt w:val="lowerLetter"/>
      <w:start w:val="1"/>
    </w:lvl>
  </w:abstractNum>
  <w:abstractNum w:abstractNumId="68">
    <w:nsid w:val="4C73A9C6"/>
    <w:multiLevelType w:val="hybridMultilevel"/>
    <w:lvl w:ilvl="0">
      <w:lvlJc w:val="left"/>
      <w:lvlText w:val="%1."/>
      <w:numFmt w:val="decimal"/>
      <w:start w:val="26"/>
    </w:lvl>
  </w:abstractNum>
  <w:abstractNum w:abstractNumId="69">
    <w:nsid w:val="1C7E3C01"/>
    <w:multiLevelType w:val="hybridMultilevel"/>
    <w:lvl w:ilvl="0">
      <w:lvlJc w:val="left"/>
      <w:lvlText w:val="%1."/>
      <w:numFmt w:val="decimal"/>
      <w:start w:val="1"/>
    </w:lvl>
  </w:abstractNum>
  <w:abstractNum w:abstractNumId="70">
    <w:nsid w:val="1C2201FF"/>
    <w:multiLevelType w:val="hybridMultilevel"/>
    <w:lvl w:ilvl="0">
      <w:lvlJc w:val="left"/>
      <w:lvlText w:val="%1."/>
      <w:numFmt w:val="decimal"/>
      <w:start w:val="2"/>
    </w:lvl>
  </w:abstractNum>
  <w:abstractNum w:abstractNumId="71">
    <w:nsid w:val="50ABCEC9"/>
    <w:multiLevelType w:val="hybridMultilevel"/>
    <w:lvl w:ilvl="0">
      <w:lvlJc w:val="left"/>
      <w:lvlText w:val="%1."/>
      <w:numFmt w:val="decimal"/>
      <w:start w:val="1"/>
    </w:lvl>
  </w:abstractNum>
  <w:abstractNum w:abstractNumId="72">
    <w:nsid w:val="7635AA2A"/>
    <w:multiLevelType w:val="hybridMultilevel"/>
    <w:lvl w:ilvl="0">
      <w:lvlJc w:val="left"/>
      <w:lvlText w:val="%1."/>
      <w:numFmt w:val="decimal"/>
      <w:start w:val="2"/>
    </w:lvl>
  </w:abstractNum>
  <w:abstractNum w:abstractNumId="73">
    <w:nsid w:val="5E74C4D9"/>
    <w:multiLevelType w:val="hybridMultilevel"/>
    <w:lvl w:ilvl="0">
      <w:lvlJc w:val="left"/>
      <w:lvlText w:val="%1."/>
      <w:numFmt w:val="decimal"/>
      <w:start w:val="3"/>
    </w:lvl>
  </w:abstractNum>
  <w:abstractNum w:abstractNumId="74">
    <w:nsid w:val="3B3EBE15"/>
    <w:multiLevelType w:val="hybridMultilevel"/>
    <w:lvl w:ilvl="0">
      <w:lvlJc w:val="left"/>
      <w:lvlText w:val="(%1)"/>
      <w:numFmt w:val="lowerLetter"/>
      <w:start w:val="1"/>
    </w:lvl>
  </w:abstractNum>
  <w:abstractNum w:abstractNumId="75">
    <w:nsid w:val="3822CB01"/>
    <w:multiLevelType w:val="hybridMultilevel"/>
    <w:lvl w:ilvl="0">
      <w:lvlJc w:val="left"/>
      <w:lvlText w:val="(%1)"/>
      <w:numFmt w:val="lowerLetter"/>
      <w:start w:val="3"/>
    </w:lvl>
  </w:abstractNum>
  <w:abstractNum w:abstractNumId="76">
    <w:nsid w:val="6CE00443"/>
    <w:multiLevelType w:val="hybridMultilevel"/>
    <w:lvl w:ilvl="0">
      <w:lvlJc w:val="left"/>
      <w:lvlText w:val="%1."/>
      <w:numFmt w:val="decimal"/>
      <w:start w:val="4"/>
    </w:lvl>
  </w:abstractNum>
  <w:abstractNum w:abstractNumId="77">
    <w:nsid w:val="79F0D62F"/>
    <w:multiLevelType w:val="hybridMultilevel"/>
    <w:lvl w:ilvl="0">
      <w:lvlJc w:val="left"/>
      <w:lvlText w:val="%1."/>
      <w:numFmt w:val="decimal"/>
      <w:start w:val="5"/>
    </w:lvl>
  </w:abstractNum>
  <w:abstractNum w:abstractNumId="78">
    <w:nsid w:val="7975E8EE"/>
    <w:multiLevelType w:val="hybridMultilevel"/>
    <w:lvl w:ilvl="0">
      <w:lvlJc w:val="left"/>
      <w:lvlText w:val="(%1)"/>
      <w:numFmt w:val="lowerLetter"/>
      <w:start w:val="1"/>
    </w:lvl>
  </w:abstractNum>
  <w:abstractNum w:abstractNumId="79">
    <w:nsid w:val="73154115"/>
    <w:multiLevelType w:val="hybridMultilevel"/>
    <w:lvl w:ilvl="0">
      <w:lvlJc w:val="left"/>
      <w:lvlText w:val="%1."/>
      <w:numFmt w:val="decimal"/>
      <w:start w:val="6"/>
    </w:lvl>
  </w:abstractNum>
  <w:abstractNum w:abstractNumId="80">
    <w:nsid w:val="622D8102"/>
    <w:multiLevelType w:val="hybridMultilevel"/>
    <w:lvl w:ilvl="0">
      <w:lvlJc w:val="left"/>
      <w:lvlText w:val="(%1)"/>
      <w:numFmt w:val="lowerLetter"/>
      <w:start w:val="1"/>
    </w:lvl>
  </w:abstractNum>
  <w:abstractNum w:abstractNumId="81">
    <w:nsid w:val="2AB26587"/>
    <w:multiLevelType w:val="hybridMultilevel"/>
    <w:lvl w:ilvl="0">
      <w:lvlJc w:val="left"/>
      <w:lvlText w:val="%1."/>
      <w:numFmt w:val="decimal"/>
      <w:start w:val="7"/>
    </w:lvl>
  </w:abstractNum>
  <w:abstractNum w:abstractNumId="82">
    <w:nsid w:val="44B3FA61"/>
    <w:multiLevelType w:val="hybridMultilevel"/>
    <w:lvl w:ilvl="0">
      <w:lvlJc w:val="left"/>
      <w:lvlText w:val="(%1)"/>
      <w:numFmt w:val="lowerLetter"/>
      <w:start w:val="1"/>
    </w:lvl>
    <w:lvl w:ilvl="1">
      <w:lvlJc w:val="left"/>
      <w:lvlText w:val="(%2)"/>
      <w:numFmt w:val="lowerRoman"/>
      <w:start w:val="1"/>
    </w:lvl>
  </w:abstractNum>
  <w:abstractNum w:abstractNumId="83">
    <w:nsid w:val="1C0CA67C"/>
    <w:multiLevelType w:val="hybridMultilevel"/>
    <w:lvl w:ilvl="0">
      <w:lvlJc w:val="left"/>
      <w:lvlText w:val="%1"/>
      <w:numFmt w:val="lowerLetter"/>
      <w:start w:val="1"/>
    </w:lvl>
    <w:lvl w:ilvl="1">
      <w:lvlJc w:val="left"/>
      <w:lvlText w:val="(%2)"/>
      <w:numFmt w:val="lowerLetter"/>
      <w:start w:val="61"/>
    </w:lvl>
  </w:abstractNum>
  <w:abstractNum w:abstractNumId="84">
    <w:nsid w:val="3D206613"/>
    <w:multiLevelType w:val="hybridMultilevel"/>
    <w:lvl w:ilvl="0">
      <w:lvlJc w:val="left"/>
      <w:lvlText w:val="(%1)"/>
      <w:numFmt w:val="lowerLetter"/>
      <w:start w:val="3"/>
    </w:lvl>
    <w:lvl w:ilvl="1">
      <w:lvlJc w:val="left"/>
      <w:lvlText w:val="%2"/>
      <w:numFmt w:val="lowerLetter"/>
      <w:start w:val="1"/>
    </w:lvl>
  </w:abstractNum>
  <w:abstractNum w:abstractNumId="85">
    <w:nsid w:val="7993B662"/>
    <w:multiLevelType w:val="hybridMultilevel"/>
    <w:lvl w:ilvl="0">
      <w:lvlJc w:val="left"/>
      <w:lvlText w:val="%1"/>
      <w:numFmt w:val="lowerRoman"/>
      <w:start w:val="1"/>
    </w:lvl>
    <w:lvl w:ilvl="1">
      <w:lvlJc w:val="left"/>
      <w:lvlText w:val="(%2)"/>
      <w:numFmt w:val="lowerLetter"/>
      <w:start w:val="8"/>
    </w:lvl>
    <w:lvl w:ilvl="2">
      <w:lvlJc w:val="left"/>
      <w:lvlText w:val="%3"/>
      <w:numFmt w:val="lowerLetter"/>
      <w:start w:val="1"/>
    </w:lvl>
  </w:abstractNum>
  <w:abstractNum w:abstractNumId="86">
    <w:nsid w:val="3BAB699E"/>
    <w:multiLevelType w:val="hybridMultilevel"/>
    <w:lvl w:ilvl="0">
      <w:lvlJc w:val="left"/>
      <w:lvlText w:val="(%1)"/>
      <w:numFmt w:val="lowerRoman"/>
      <w:start w:val="4"/>
    </w:lvl>
    <w:lvl w:ilvl="1">
      <w:lvlJc w:val="left"/>
      <w:lvlText w:val="(%2)"/>
      <w:numFmt w:val="lowerLetter"/>
      <w:start w:val="10"/>
    </w:lvl>
    <w:lvl w:ilvl="2">
      <w:lvlJc w:val="left"/>
      <w:lvlText w:val="(%3)"/>
      <w:numFmt w:val="lowerLetter"/>
      <w:start w:val="9"/>
    </w:lvl>
  </w:abstractNum>
  <w:abstractNum w:abstractNumId="87">
    <w:nsid w:val="71315369"/>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88">
    <w:nsid w:val="7BCFBAFC"/>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89">
    <w:nsid w:val="17859F72"/>
    <w:multiLevelType w:val="hybridMultilevel"/>
    <w:lvl w:ilvl="0">
      <w:lvlJc w:val="left"/>
      <w:lvlText w:val="%1."/>
      <w:numFmt w:val="decimal"/>
      <w:start w:val="8"/>
    </w:lvl>
  </w:abstractNum>
  <w:abstractNum w:abstractNumId="90">
    <w:nsid w:val="3AA10581"/>
    <w:multiLevelType w:val="hybridMultilevel"/>
    <w:lvl w:ilvl="0">
      <w:lvlJc w:val="left"/>
      <w:lvlText w:val="(%1)"/>
      <w:numFmt w:val="lowerLetter"/>
      <w:start w:val="1"/>
    </w:lvl>
  </w:abstractNum>
  <w:abstractNum w:abstractNumId="91">
    <w:nsid w:val="63DE60CD"/>
    <w:multiLevelType w:val="hybridMultilevel"/>
    <w:lvl w:ilvl="0">
      <w:lvlJc w:val="left"/>
      <w:lvlText w:val="(%1)"/>
      <w:numFmt w:val="lowerLetter"/>
      <w:start w:val="2"/>
    </w:lvl>
    <w:lvl w:ilvl="1">
      <w:lvlJc w:val="left"/>
      <w:lvlText w:val="(%2)"/>
      <w:numFmt w:val="lowerRoman"/>
      <w:start w:val="1"/>
    </w:lvl>
  </w:abstractNum>
  <w:abstractNum w:abstractNumId="92">
    <w:nsid w:val="621AF471"/>
    <w:multiLevelType w:val="hybridMultilevel"/>
    <w:lvl w:ilvl="0">
      <w:lvlJc w:val="left"/>
      <w:lvlText w:val="(%1)"/>
      <w:numFmt w:val="lowerLetter"/>
      <w:start w:val="6"/>
    </w:lvl>
    <w:lvl w:ilvl="1">
      <w:lvlJc w:val="left"/>
      <w:lvlText w:val="(%2)"/>
      <w:numFmt w:val="lowerRoman"/>
      <w:start w:val="1"/>
    </w:lvl>
  </w:abstractNum>
  <w:abstractNum w:abstractNumId="93">
    <w:nsid w:val="73CFE165"/>
    <w:multiLevelType w:val="hybridMultilevel"/>
    <w:lvl w:ilvl="0">
      <w:lvlJc w:val="left"/>
      <w:lvlText w:val="%1."/>
      <w:numFmt w:val="decimal"/>
      <w:start w:val="9"/>
    </w:lvl>
  </w:abstractNum>
  <w:abstractNum w:abstractNumId="94">
    <w:nsid w:val="20F88EA6"/>
    <w:multiLevelType w:val="hybridMultilevel"/>
    <w:lvl w:ilvl="0">
      <w:lvlJc w:val="left"/>
      <w:lvlText w:val="(%1)"/>
      <w:numFmt w:val="lowerLetter"/>
      <w:start w:val="1"/>
    </w:lvl>
  </w:abstractNum>
  <w:abstractNum w:abstractNumId="95">
    <w:nsid w:val="617C843E"/>
    <w:multiLevelType w:val="hybridMultilevel"/>
    <w:lvl w:ilvl="0">
      <w:lvlJc w:val="left"/>
      <w:lvlText w:val="%1."/>
      <w:numFmt w:val="decimal"/>
      <w:start w:val="10"/>
    </w:lvl>
  </w:abstractNum>
  <w:abstractNum w:abstractNumId="96">
    <w:nsid w:val="7B541FAB"/>
    <w:multiLevelType w:val="hybridMultilevel"/>
    <w:lvl w:ilvl="0">
      <w:lvlJc w:val="left"/>
      <w:lvlText w:val="(%1)"/>
      <w:numFmt w:val="lowerLetter"/>
      <w:start w:val="1"/>
    </w:lvl>
  </w:abstractNum>
  <w:abstractNum w:abstractNumId="97">
    <w:nsid w:val="2A79EC49"/>
    <w:multiLevelType w:val="hybridMultilevel"/>
    <w:lvl w:ilvl="0">
      <w:lvlJc w:val="left"/>
      <w:lvlText w:val="%1."/>
      <w:numFmt w:val="decimal"/>
      <w:start w:val="11"/>
    </w:lvl>
  </w:abstractNum>
  <w:abstractNum w:abstractNumId="98">
    <w:nsid w:val="338125CF"/>
    <w:multiLevelType w:val="hybridMultilevel"/>
    <w:lvl w:ilvl="0">
      <w:lvlJc w:val="left"/>
      <w:lvlText w:val="(%1)"/>
      <w:numFmt w:val="lowerLetter"/>
      <w:start w:val="1"/>
    </w:lvl>
  </w:abstractNum>
  <w:abstractNum w:abstractNumId="99">
    <w:nsid w:val="47C7C971"/>
    <w:multiLevelType w:val="hybridMultilevel"/>
    <w:lvl w:ilvl="0">
      <w:lvlJc w:val="left"/>
      <w:lvlText w:val="%1."/>
      <w:numFmt w:val="decimal"/>
      <w:start w:val="12"/>
    </w:lvl>
  </w:abstractNum>
  <w:abstractNum w:abstractNumId="100">
    <w:nsid w:val="46F8284B"/>
    <w:multiLevelType w:val="hybridMultilevel"/>
    <w:lvl w:ilvl="0">
      <w:lvlJc w:val="left"/>
      <w:lvlText w:val="(%1)"/>
      <w:numFmt w:val="lowerLetter"/>
      <w:start w:val="1"/>
    </w:lvl>
  </w:abstractNum>
  <w:abstractNum w:abstractNumId="101">
    <w:nsid w:val="4FA327CE"/>
    <w:multiLevelType w:val="hybridMultilevel"/>
    <w:lvl w:ilvl="0">
      <w:lvlJc w:val="left"/>
      <w:lvlText w:val="(%1)"/>
      <w:numFmt w:val="lowerLetter"/>
      <w:start w:val="2"/>
    </w:lvl>
  </w:abstractNum>
  <w:abstractNum w:abstractNumId="102">
    <w:nsid w:val="1873983A"/>
    <w:multiLevelType w:val="hybridMultilevel"/>
    <w:lvl w:ilvl="0">
      <w:lvlJc w:val="left"/>
      <w:lvlText w:val="%1."/>
      <w:numFmt w:val="decimal"/>
      <w:start w:val="13"/>
    </w:lvl>
  </w:abstractNum>
  <w:abstractNum w:abstractNumId="103">
    <w:nsid w:val="3D2DD275"/>
    <w:multiLevelType w:val="hybridMultilevel"/>
    <w:lvl w:ilvl="0">
      <w:lvlJc w:val="left"/>
      <w:lvlText w:val="%1."/>
      <w:numFmt w:val="decimal"/>
      <w:start w:val="14"/>
    </w:lvl>
  </w:abstractNum>
  <w:abstractNum w:abstractNumId="104">
    <w:nsid w:val="2E17ECA7"/>
    <w:multiLevelType w:val="hybridMultilevel"/>
    <w:lvl w:ilvl="0">
      <w:lvlJc w:val="left"/>
      <w:lvlText w:val="%1."/>
      <w:numFmt w:val="decimal"/>
      <w:start w:val="15"/>
    </w:lvl>
  </w:abstractNum>
  <w:abstractNum w:abstractNumId="105">
    <w:nsid w:val="53B2564F"/>
    <w:multiLevelType w:val="hybridMultilevel"/>
    <w:lvl w:ilvl="0">
      <w:lvlJc w:val="left"/>
      <w:lvlText w:val="%1."/>
      <w:numFmt w:val="decimal"/>
      <w:start w:val="16"/>
    </w:lvl>
  </w:abstractNum>
  <w:abstractNum w:abstractNumId="106">
    <w:nsid w:val="75509D76"/>
    <w:multiLevelType w:val="hybridMultilevel"/>
    <w:lvl w:ilvl="0">
      <w:lvlJc w:val="left"/>
      <w:lvlText w:val="%1."/>
      <w:numFmt w:val="decimal"/>
      <w:start w:val="17"/>
    </w:lvl>
  </w:abstractNum>
  <w:abstractNum w:abstractNumId="107">
    <w:nsid w:val="1AF7F0EA"/>
    <w:multiLevelType w:val="hybridMultilevel"/>
    <w:lvl w:ilvl="0">
      <w:lvlJc w:val="left"/>
      <w:lvlText w:val="%1."/>
      <w:numFmt w:val="decimal"/>
      <w:start w:val="18"/>
    </w:lvl>
  </w:abstractNum>
  <w:abstractNum w:abstractNumId="108">
    <w:nsid w:val="4DA32C7E"/>
    <w:multiLevelType w:val="hybridMultilevel"/>
    <w:lvl w:ilvl="0">
      <w:lvlJc w:val="left"/>
      <w:lvlText w:val="%1."/>
      <w:numFmt w:val="decimal"/>
      <w:start w:val="19"/>
    </w:lvl>
  </w:abstractNum>
  <w:abstractNum w:abstractNumId="109">
    <w:nsid w:val="6EC68664"/>
    <w:multiLevelType w:val="hybridMultilevel"/>
    <w:lvl w:ilvl="0">
      <w:lvlJc w:val="left"/>
      <w:lvlText w:val="%1."/>
      <w:numFmt w:val="decimal"/>
      <w:start w:val="20"/>
    </w:lvl>
  </w:abstractNum>
  <w:abstractNum w:abstractNumId="110">
    <w:nsid w:val="E0D31FF"/>
    <w:multiLevelType w:val="hybridMultilevel"/>
    <w:lvl w:ilvl="0">
      <w:lvlJc w:val="left"/>
      <w:lvlText w:val="%1."/>
      <w:numFmt w:val="decimal"/>
      <w:start w:val="21"/>
    </w:lvl>
  </w:abstractNum>
  <w:abstractNum w:abstractNumId="111">
    <w:nsid w:val="2FD0AD81"/>
    <w:multiLevelType w:val="hybridMultilevel"/>
    <w:lvl w:ilvl="0">
      <w:lvlJc w:val="left"/>
      <w:lvlText w:val="%1."/>
      <w:numFmt w:val="decimal"/>
      <w:start w:val="22"/>
    </w:lvl>
  </w:abstractNum>
  <w:abstractNum w:abstractNumId="112">
    <w:nsid w:val="1978EBEB"/>
    <w:multiLevelType w:val="hybridMultilevel"/>
    <w:lvl w:ilvl="0">
      <w:lvlJc w:val="left"/>
      <w:lvlText w:val="%1."/>
      <w:numFmt w:val="decimal"/>
      <w:start w:val="23"/>
    </w:lvl>
  </w:abstractNum>
  <w:abstractNum w:abstractNumId="113">
    <w:nsid w:val="52C12C61"/>
    <w:multiLevelType w:val="hybridMultilevel"/>
    <w:lvl w:ilvl="0">
      <w:lvlJc w:val="left"/>
      <w:lvlText w:val="%1."/>
      <w:numFmt w:val="decimal"/>
      <w:start w:val="24"/>
    </w:lvl>
    <w:lvl w:ilvl="1">
      <w:lvlJc w:val="left"/>
      <w:lvlText w:val="(%2)"/>
      <w:numFmt w:val="lowerLetter"/>
      <w:start w:val="1"/>
    </w:lvl>
  </w:abstractNum>
  <w:abstractNum w:abstractNumId="114">
    <w:nsid w:val="4BDD53FD"/>
    <w:multiLevelType w:val="hybridMultilevel"/>
    <w:lvl w:ilvl="0">
      <w:lvlJc w:val="left"/>
      <w:lvlText w:val="%1."/>
      <w:numFmt w:val="decimal"/>
      <w:start w:val="25"/>
    </w:lvl>
  </w:abstractNum>
  <w:abstractNum w:abstractNumId="115">
    <w:nsid w:val="569951FE"/>
    <w:multiLevelType w:val="hybridMultilevel"/>
    <w:lvl w:ilvl="0">
      <w:lvlJc w:val="left"/>
      <w:lvlText w:val="%1."/>
      <w:numFmt w:val="decimal"/>
      <w:start w:val="26"/>
    </w:lvl>
  </w:abstractNum>
  <w:abstractNum w:abstractNumId="116">
    <w:nsid w:val="4C54E2C3"/>
    <w:multiLevelType w:val="hybridMultilevel"/>
    <w:lvl w:ilvl="0">
      <w:lvlJc w:val="left"/>
      <w:lvlText w:val="%1."/>
      <w:numFmt w:val="decimal"/>
      <w:start w:val="1"/>
    </w:lvl>
  </w:abstractNum>
  <w:abstractNum w:abstractNumId="117">
    <w:nsid w:val="788BD9B"/>
    <w:multiLevelType w:val="hybridMultilevel"/>
    <w:lvl w:ilvl="0">
      <w:lvlJc w:val="left"/>
      <w:lvlText w:val="%1."/>
      <w:numFmt w:val="decimal"/>
      <w:start w:val="2"/>
    </w:lvl>
  </w:abstractNum>
  <w:abstractNum w:abstractNumId="118">
    <w:nsid w:val="47CAA567"/>
    <w:multiLevelType w:val="hybridMultilevel"/>
    <w:lvl w:ilvl="0">
      <w:lvlJc w:val="left"/>
      <w:lvlText w:val="%1."/>
      <w:numFmt w:val="decimal"/>
      <w:start w:val="1"/>
    </w:lvl>
  </w:abstractNum>
  <w:abstractNum w:abstractNumId="119">
    <w:nsid w:val="48249DBF"/>
    <w:multiLevelType w:val="hybridMultilevel"/>
    <w:lvl w:ilvl="0">
      <w:lvlJc w:val="left"/>
      <w:lvlText w:val="%1."/>
      <w:numFmt w:val="decimal"/>
      <w:start w:val="2"/>
    </w:lvl>
  </w:abstractNum>
  <w:abstractNum w:abstractNumId="120">
    <w:nsid w:val="1F0E5D0D"/>
    <w:multiLevelType w:val="hybridMultilevel"/>
    <w:lvl w:ilvl="0">
      <w:lvlJc w:val="left"/>
      <w:lvlText w:val="%1."/>
      <w:numFmt w:val="decimal"/>
      <w:start w:val="3"/>
    </w:lvl>
  </w:abstractNum>
  <w:abstractNum w:abstractNumId="121">
    <w:nsid w:val="26BAAE9"/>
    <w:multiLevelType w:val="hybridMultilevel"/>
    <w:lvl w:ilvl="0">
      <w:lvlJc w:val="left"/>
      <w:lvlText w:val="(%1)"/>
      <w:numFmt w:val="lowerLetter"/>
      <w:start w:val="1"/>
    </w:lvl>
  </w:abstractNum>
  <w:abstractNum w:abstractNumId="122">
    <w:nsid w:val="2C02FE8C"/>
    <w:multiLevelType w:val="hybridMultilevel"/>
    <w:lvl w:ilvl="0">
      <w:lvlJc w:val="left"/>
      <w:lvlText w:val="(%1)"/>
      <w:numFmt w:val="lowerLetter"/>
      <w:start w:val="3"/>
    </w:lvl>
  </w:abstractNum>
  <w:abstractNum w:abstractNumId="123">
    <w:nsid w:val="129517E"/>
    <w:multiLevelType w:val="hybridMultilevel"/>
    <w:lvl w:ilvl="0">
      <w:lvlJc w:val="left"/>
      <w:lvlText w:val="%1."/>
      <w:numFmt w:val="decimal"/>
      <w:start w:val="4"/>
    </w:lvl>
  </w:abstractNum>
  <w:abstractNum w:abstractNumId="124">
    <w:nsid w:val="763B8C4E"/>
    <w:multiLevelType w:val="hybridMultilevel"/>
    <w:lvl w:ilvl="0">
      <w:lvlJc w:val="left"/>
      <w:lvlText w:val="%1."/>
      <w:numFmt w:val="decimal"/>
      <w:start w:val="5"/>
    </w:lvl>
  </w:abstractNum>
  <w:abstractNum w:abstractNumId="125">
    <w:nsid w:val="4CFB8D32"/>
    <w:multiLevelType w:val="hybridMultilevel"/>
    <w:lvl w:ilvl="0">
      <w:lvlJc w:val="left"/>
      <w:lvlText w:val="(%1)"/>
      <w:numFmt w:val="lowerLetter"/>
      <w:start w:val="1"/>
    </w:lvl>
  </w:abstractNum>
  <w:abstractNum w:abstractNumId="126">
    <w:nsid w:val="62A5D5BD"/>
    <w:multiLevelType w:val="hybridMultilevel"/>
    <w:lvl w:ilvl="0">
      <w:lvlJc w:val="left"/>
      <w:lvlText w:val="(%1)"/>
      <w:numFmt w:val="lowerLetter"/>
      <w:start w:val="2"/>
    </w:lvl>
  </w:abstractNum>
  <w:abstractNum w:abstractNumId="127">
    <w:nsid w:val="718FABF9"/>
    <w:multiLevelType w:val="hybridMultilevel"/>
    <w:lvl w:ilvl="0">
      <w:lvlJc w:val="left"/>
      <w:lvlText w:val="%1."/>
      <w:numFmt w:val="decimal"/>
      <w:start w:val="6"/>
    </w:lvl>
  </w:abstractNum>
  <w:abstractNum w:abstractNumId="128">
    <w:nsid w:val="7775797C"/>
    <w:multiLevelType w:val="hybridMultilevel"/>
    <w:lvl w:ilvl="0">
      <w:lvlJc w:val="left"/>
      <w:lvlText w:val="(%1)"/>
      <w:numFmt w:val="lowerLetter"/>
      <w:start w:val="1"/>
    </w:lvl>
  </w:abstractNum>
  <w:abstractNum w:abstractNumId="129">
    <w:nsid w:val="1626FB8C"/>
    <w:multiLevelType w:val="hybridMultilevel"/>
    <w:lvl w:ilvl="0">
      <w:lvlJc w:val="left"/>
      <w:lvlText w:val="%1."/>
      <w:numFmt w:val="decimal"/>
      <w:start w:val="7"/>
    </w:lvl>
  </w:abstractNum>
  <w:abstractNum w:abstractNumId="130">
    <w:nsid w:val="3957756A"/>
    <w:multiLevelType w:val="hybridMultilevel"/>
    <w:lvl w:ilvl="0">
      <w:lvlJc w:val="left"/>
      <w:lvlText w:val="(%1)"/>
      <w:numFmt w:val="lowerLetter"/>
      <w:start w:val="1"/>
    </w:lvl>
    <w:lvl w:ilvl="1">
      <w:lvlJc w:val="left"/>
      <w:lvlText w:val="(%2)"/>
      <w:numFmt w:val="lowerRoman"/>
      <w:start w:val="1"/>
    </w:lvl>
  </w:abstractNum>
  <w:abstractNum w:abstractNumId="131">
    <w:nsid w:val="3E6DA1C7"/>
    <w:multiLevelType w:val="hybridMultilevel"/>
    <w:lvl w:ilvl="0">
      <w:lvlJc w:val="left"/>
      <w:lvlText w:val="(%1)"/>
      <w:numFmt w:val="lowerLetter"/>
      <w:start w:val="3"/>
    </w:lvl>
  </w:abstractNum>
  <w:abstractNum w:abstractNumId="132">
    <w:nsid w:val="65CA235B"/>
    <w:multiLevelType w:val="hybridMultilevel"/>
    <w:lvl w:ilvl="0">
      <w:lvlJc w:val="left"/>
      <w:lvlText w:val="%1"/>
      <w:numFmt w:val="lowerRoman"/>
      <w:start w:val="1"/>
    </w:lvl>
    <w:lvl w:ilvl="1">
      <w:lvlJc w:val="left"/>
      <w:lvlText w:val="(%2)"/>
      <w:numFmt w:val="lowerLetter"/>
      <w:start w:val="8"/>
    </w:lvl>
    <w:lvl w:ilvl="2">
      <w:lvlJc w:val="left"/>
      <w:lvlText w:val="%3"/>
      <w:numFmt w:val="lowerLetter"/>
      <w:start w:val="1"/>
    </w:lvl>
  </w:abstractNum>
  <w:abstractNum w:abstractNumId="133">
    <w:nsid w:val="51CB0DA4"/>
    <w:multiLevelType w:val="hybridMultilevel"/>
    <w:lvl w:ilvl="0">
      <w:lvlJc w:val="left"/>
      <w:lvlText w:val="(%1)"/>
      <w:numFmt w:val="lowerRoman"/>
      <w:start w:val="4"/>
    </w:lvl>
    <w:lvl w:ilvl="1">
      <w:lvlJc w:val="left"/>
      <w:lvlText w:val="(%2)"/>
      <w:numFmt w:val="lowerLetter"/>
      <w:start w:val="10"/>
    </w:lvl>
    <w:lvl w:ilvl="2">
      <w:lvlJc w:val="left"/>
      <w:lvlText w:val="(%3)"/>
      <w:numFmt w:val="lowerLetter"/>
      <w:start w:val="9"/>
    </w:lvl>
  </w:abstractNum>
  <w:abstractNum w:abstractNumId="134">
    <w:nsid w:val="7B9B743C"/>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35">
    <w:nsid w:val="13E21002"/>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136">
    <w:nsid w:val="257D63F4"/>
    <w:multiLevelType w:val="hybridMultilevel"/>
    <w:lvl w:ilvl="0">
      <w:lvlJc w:val="left"/>
      <w:lvlText w:val="%1."/>
      <w:numFmt w:val="decimal"/>
      <w:start w:val="8"/>
    </w:lvl>
  </w:abstractNum>
  <w:abstractNum w:abstractNumId="137">
    <w:nsid w:val="70EC11B2"/>
    <w:multiLevelType w:val="hybridMultilevel"/>
    <w:lvl w:ilvl="0">
      <w:lvlJc w:val="left"/>
      <w:lvlText w:val="(%1)"/>
      <w:numFmt w:val="lowerLetter"/>
      <w:start w:val="1"/>
    </w:lvl>
  </w:abstractNum>
  <w:abstractNum w:abstractNumId="138">
    <w:nsid w:val="2EDA00ED"/>
    <w:multiLevelType w:val="hybridMultilevel"/>
    <w:lvl w:ilvl="0">
      <w:lvlJc w:val="left"/>
      <w:lvlText w:val="(%1)"/>
      <w:numFmt w:val="lowerLetter"/>
      <w:start w:val="2"/>
    </w:lvl>
    <w:lvl w:ilvl="1">
      <w:lvlJc w:val="left"/>
      <w:lvlText w:val="(%2)"/>
      <w:numFmt w:val="lowerRoman"/>
      <w:start w:val="1"/>
    </w:lvl>
  </w:abstractNum>
  <w:abstractNum w:abstractNumId="139">
    <w:nsid w:val="73209072"/>
    <w:multiLevelType w:val="hybridMultilevel"/>
    <w:lvl w:ilvl="0">
      <w:lvlJc w:val="left"/>
      <w:lvlText w:val="(%1)"/>
      <w:numFmt w:val="lowerLetter"/>
      <w:start w:val="6"/>
    </w:lvl>
    <w:lvl w:ilvl="1">
      <w:lvlJc w:val="left"/>
      <w:lvlText w:val="(%2)"/>
      <w:numFmt w:val="lowerRoman"/>
      <w:start w:val="1"/>
    </w:lvl>
  </w:abstractNum>
  <w:abstractNum w:abstractNumId="140">
    <w:nsid w:val="5FB29816"/>
    <w:multiLevelType w:val="hybridMultilevel"/>
    <w:lvl w:ilvl="0">
      <w:lvlJc w:val="left"/>
      <w:lvlText w:val="%1."/>
      <w:numFmt w:val="decimal"/>
      <w:start w:val="9"/>
    </w:lvl>
  </w:abstractNum>
  <w:abstractNum w:abstractNumId="141">
    <w:nsid w:val="3CE732EC"/>
    <w:multiLevelType w:val="hybridMultilevel"/>
    <w:lvl w:ilvl="0">
      <w:lvlJc w:val="left"/>
      <w:lvlText w:val="(%1)"/>
      <w:numFmt w:val="lowerLetter"/>
      <w:start w:val="1"/>
    </w:lvl>
  </w:abstractNum>
  <w:abstractNum w:abstractNumId="142">
    <w:nsid w:val="22F13DF3"/>
    <w:multiLevelType w:val="hybridMultilevel"/>
    <w:lvl w:ilvl="0">
      <w:lvlJc w:val="left"/>
      <w:lvlText w:val="%1."/>
      <w:numFmt w:val="decimal"/>
      <w:start w:val="10"/>
    </w:lvl>
  </w:abstractNum>
  <w:abstractNum w:abstractNumId="143">
    <w:nsid w:val="792B8401"/>
    <w:multiLevelType w:val="hybridMultilevel"/>
    <w:lvl w:ilvl="0">
      <w:lvlJc w:val="left"/>
      <w:lvlText w:val="(%1)"/>
      <w:numFmt w:val="lowerLetter"/>
      <w:start w:val="1"/>
    </w:lvl>
  </w:abstractNum>
  <w:abstractNum w:abstractNumId="144">
    <w:nsid w:val="FA85F4D"/>
    <w:multiLevelType w:val="hybridMultilevel"/>
    <w:lvl w:ilvl="0">
      <w:lvlJc w:val="left"/>
      <w:lvlText w:val="%1."/>
      <w:numFmt w:val="decimal"/>
      <w:start w:val="11"/>
    </w:lvl>
  </w:abstractNum>
  <w:abstractNum w:abstractNumId="145">
    <w:nsid w:val="6ECE91F0"/>
    <w:multiLevelType w:val="hybridMultilevel"/>
    <w:lvl w:ilvl="0">
      <w:lvlJc w:val="left"/>
      <w:lvlText w:val="(%1)"/>
      <w:numFmt w:val="lowerLetter"/>
      <w:start w:val="1"/>
    </w:lvl>
  </w:abstractNum>
  <w:abstractNum w:abstractNumId="146">
    <w:nsid w:val="4FC4D600"/>
    <w:multiLevelType w:val="hybridMultilevel"/>
    <w:lvl w:ilvl="0">
      <w:lvlJc w:val="left"/>
      <w:lvlText w:val="%1."/>
      <w:numFmt w:val="decimal"/>
      <w:start w:val="12"/>
    </w:lvl>
  </w:abstractNum>
  <w:abstractNum w:abstractNumId="147">
    <w:nsid w:val="5BFD4210"/>
    <w:multiLevelType w:val="hybridMultilevel"/>
    <w:lvl w:ilvl="0">
      <w:lvlJc w:val="left"/>
      <w:lvlText w:val="(%1)"/>
      <w:numFmt w:val="lowerLetter"/>
      <w:start w:val="1"/>
    </w:lvl>
  </w:abstractNum>
  <w:abstractNum w:abstractNumId="148">
    <w:nsid w:val="76574F8B"/>
    <w:multiLevelType w:val="hybridMultilevel"/>
    <w:lvl w:ilvl="0">
      <w:lvlJc w:val="left"/>
      <w:lvlText w:val="(%1)"/>
      <w:numFmt w:val="lowerLetter"/>
      <w:start w:val="2"/>
    </w:lvl>
  </w:abstractNum>
  <w:abstractNum w:abstractNumId="149">
    <w:nsid w:val="178F7B67"/>
    <w:multiLevelType w:val="hybridMultilevel"/>
    <w:lvl w:ilvl="0">
      <w:lvlJc w:val="left"/>
      <w:lvlText w:val="%1."/>
      <w:numFmt w:val="decimal"/>
      <w:start w:val="13"/>
    </w:lvl>
  </w:abstractNum>
  <w:abstractNum w:abstractNumId="150">
    <w:nsid w:val="2421DFCF"/>
    <w:multiLevelType w:val="hybridMultilevel"/>
    <w:lvl w:ilvl="0">
      <w:lvlJc w:val="left"/>
      <w:lvlText w:val="%1."/>
      <w:numFmt w:val="decimal"/>
      <w:start w:val="14"/>
    </w:lvl>
  </w:abstractNum>
  <w:abstractNum w:abstractNumId="151">
    <w:nsid w:val="1565AC99"/>
    <w:multiLevelType w:val="hybridMultilevel"/>
    <w:lvl w:ilvl="0">
      <w:lvlJc w:val="left"/>
      <w:lvlText w:val="%1."/>
      <w:numFmt w:val="decimal"/>
      <w:start w:val="15"/>
    </w:lvl>
  </w:abstractNum>
  <w:abstractNum w:abstractNumId="152">
    <w:nsid w:val="19FB2650"/>
    <w:multiLevelType w:val="hybridMultilevel"/>
    <w:lvl w:ilvl="0">
      <w:lvlJc w:val="left"/>
      <w:lvlText w:val="%1."/>
      <w:numFmt w:val="decimal"/>
      <w:start w:val="16"/>
    </w:lvl>
  </w:abstractNum>
  <w:abstractNum w:abstractNumId="153">
    <w:nsid w:val="5024DE5B"/>
    <w:multiLevelType w:val="hybridMultilevel"/>
    <w:lvl w:ilvl="0">
      <w:lvlJc w:val="left"/>
      <w:lvlText w:val="%1."/>
      <w:numFmt w:val="decimal"/>
      <w:start w:val="17"/>
    </w:lvl>
  </w:abstractNum>
  <w:abstractNum w:abstractNumId="154">
    <w:nsid w:val="168EFE17"/>
    <w:multiLevelType w:val="hybridMultilevel"/>
    <w:lvl w:ilvl="0">
      <w:lvlJc w:val="left"/>
      <w:lvlText w:val="%1."/>
      <w:numFmt w:val="decimal"/>
      <w:start w:val="18"/>
    </w:lvl>
  </w:abstractNum>
  <w:abstractNum w:abstractNumId="155">
    <w:nsid w:val="1036B29F"/>
    <w:multiLevelType w:val="hybridMultilevel"/>
    <w:lvl w:ilvl="0">
      <w:lvlJc w:val="left"/>
      <w:lvlText w:val="%1."/>
      <w:numFmt w:val="decimal"/>
      <w:start w:val="19"/>
    </w:lvl>
  </w:abstractNum>
  <w:abstractNum w:abstractNumId="156">
    <w:nsid w:val="1D206B8E"/>
    <w:multiLevelType w:val="hybridMultilevel"/>
    <w:lvl w:ilvl="0">
      <w:lvlJc w:val="left"/>
      <w:lvlText w:val="%1."/>
      <w:numFmt w:val="decimal"/>
      <w:start w:val="20"/>
    </w:lvl>
  </w:abstractNum>
  <w:abstractNum w:abstractNumId="157">
    <w:nsid w:val="7934D3D4"/>
    <w:multiLevelType w:val="hybridMultilevel"/>
    <w:lvl w:ilvl="0">
      <w:lvlJc w:val="left"/>
      <w:lvlText w:val="%1."/>
      <w:numFmt w:val="decimal"/>
      <w:start w:val="21"/>
    </w:lvl>
  </w:abstractNum>
  <w:abstractNum w:abstractNumId="158">
    <w:nsid w:val="1C65E98"/>
    <w:multiLevelType w:val="hybridMultilevel"/>
    <w:lvl w:ilvl="0">
      <w:lvlJc w:val="left"/>
      <w:lvlText w:val="%1."/>
      <w:numFmt w:val="decimal"/>
      <w:start w:val="22"/>
    </w:lvl>
  </w:abstractNum>
  <w:abstractNum w:abstractNumId="159">
    <w:nsid w:val="1495E50A"/>
    <w:multiLevelType w:val="hybridMultilevel"/>
    <w:lvl w:ilvl="0">
      <w:lvlJc w:val="left"/>
      <w:lvlText w:val="%1."/>
      <w:numFmt w:val="decimal"/>
      <w:start w:val="23"/>
    </w:lvl>
  </w:abstractNum>
  <w:abstractNum w:abstractNumId="160">
    <w:nsid w:val="F5BCF61"/>
    <w:multiLevelType w:val="hybridMultilevel"/>
    <w:lvl w:ilvl="0">
      <w:lvlJc w:val="left"/>
      <w:lvlText w:val="%1."/>
      <w:numFmt w:val="decimal"/>
      <w:start w:val="24"/>
    </w:lvl>
    <w:lvl w:ilvl="1">
      <w:lvlJc w:val="left"/>
      <w:lvlText w:val="(%2)"/>
      <w:numFmt w:val="lowerLetter"/>
      <w:start w:val="1"/>
    </w:lvl>
  </w:abstractNum>
  <w:abstractNum w:abstractNumId="161">
    <w:nsid w:val="3B1DD403"/>
    <w:multiLevelType w:val="hybridMultilevel"/>
    <w:lvl w:ilvl="0">
      <w:lvlJc w:val="left"/>
      <w:lvlText w:val="%1."/>
      <w:numFmt w:val="decimal"/>
      <w:start w:val="25"/>
    </w:lvl>
  </w:abstractNum>
  <w:abstractNum w:abstractNumId="162">
    <w:nsid w:val="530386D1"/>
    <w:multiLevelType w:val="hybridMultilevel"/>
    <w:lvl w:ilvl="0">
      <w:lvlJc w:val="left"/>
      <w:lvlText w:val="%1."/>
      <w:numFmt w:val="decimal"/>
      <w:start w:val="26"/>
    </w:lvl>
  </w:abstractNum>
  <w:abstractNum w:abstractNumId="163">
    <w:nsid w:val="7525F2BC"/>
    <w:multiLevelType w:val="hybridMultilevel"/>
    <w:lvl w:ilvl="0">
      <w:lvlJc w:val="left"/>
      <w:lvlText w:val="%1."/>
      <w:numFmt w:val="decimal"/>
      <w:start w:val="1"/>
    </w:lvl>
  </w:abstractNum>
  <w:abstractNum w:abstractNumId="164">
    <w:nsid w:val="CE8E1A7"/>
    <w:multiLevelType w:val="hybridMultilevel"/>
    <w:lvl w:ilvl="0">
      <w:lvlJc w:val="left"/>
      <w:lvlText w:val="%1."/>
      <w:numFmt w:val="decimal"/>
      <w:start w:val="2"/>
    </w:lvl>
  </w:abstractNum>
  <w:abstractNum w:abstractNumId="165">
    <w:nsid w:val="4E9EFB0D"/>
    <w:multiLevelType w:val="hybridMultilevel"/>
    <w:lvl w:ilvl="0">
      <w:lvlJc w:val="left"/>
      <w:lvlText w:val="%1."/>
      <w:numFmt w:val="decimal"/>
      <w:start w:val="1"/>
    </w:lvl>
  </w:abstractNum>
  <w:abstractNum w:abstractNumId="166">
    <w:nsid w:val="90802BE"/>
    <w:multiLevelType w:val="hybridMultilevel"/>
    <w:lvl w:ilvl="0">
      <w:lvlJc w:val="left"/>
      <w:lvlText w:val="%1."/>
      <w:numFmt w:val="decimal"/>
      <w:start w:val="2"/>
    </w:lvl>
  </w:abstractNum>
  <w:abstractNum w:abstractNumId="167">
    <w:nsid w:val="3266459B"/>
    <w:multiLevelType w:val="hybridMultilevel"/>
    <w:lvl w:ilvl="0">
      <w:lvlJc w:val="left"/>
      <w:lvlText w:val="%1."/>
      <w:numFmt w:val="decimal"/>
      <w:start w:val="3"/>
    </w:lvl>
  </w:abstractNum>
  <w:abstractNum w:abstractNumId="168">
    <w:nsid w:val="3F8B0CBF"/>
    <w:multiLevelType w:val="hybridMultilevel"/>
    <w:lvl w:ilvl="0">
      <w:lvlJc w:val="left"/>
      <w:lvlText w:val="(%1)"/>
      <w:numFmt w:val="lowerLetter"/>
      <w:start w:val="1"/>
    </w:lvl>
  </w:abstractNum>
  <w:abstractNum w:abstractNumId="169">
    <w:nsid w:val="37E203AB"/>
    <w:multiLevelType w:val="hybridMultilevel"/>
    <w:lvl w:ilvl="0">
      <w:lvlJc w:val="left"/>
      <w:lvlText w:val="(%1)"/>
      <w:numFmt w:val="lowerLetter"/>
      <w:start w:val="3"/>
    </w:lvl>
  </w:abstractNum>
  <w:abstractNum w:abstractNumId="170">
    <w:nsid w:val="2586D60E"/>
    <w:multiLevelType w:val="hybridMultilevel"/>
    <w:lvl w:ilvl="0">
      <w:lvlJc w:val="left"/>
      <w:lvlText w:val="%1."/>
      <w:numFmt w:val="decimal"/>
      <w:start w:val="4"/>
    </w:lvl>
  </w:abstractNum>
  <w:abstractNum w:abstractNumId="171">
    <w:nsid w:val="1F3DA4D5"/>
    <w:multiLevelType w:val="hybridMultilevel"/>
    <w:lvl w:ilvl="0">
      <w:lvlJc w:val="left"/>
      <w:lvlText w:val="%1."/>
      <w:numFmt w:val="decimal"/>
      <w:start w:val="5"/>
    </w:lvl>
  </w:abstractNum>
  <w:abstractNum w:abstractNumId="172">
    <w:nsid w:val="74C93698"/>
    <w:multiLevelType w:val="hybridMultilevel"/>
    <w:lvl w:ilvl="0">
      <w:lvlJc w:val="left"/>
      <w:lvlText w:val="(%1)"/>
      <w:numFmt w:val="lowerLetter"/>
      <w:start w:val="1"/>
    </w:lvl>
  </w:abstractNum>
  <w:abstractNum w:abstractNumId="173">
    <w:nsid w:val="48781401"/>
    <w:multiLevelType w:val="hybridMultilevel"/>
    <w:lvl w:ilvl="0">
      <w:lvlJc w:val="left"/>
      <w:lvlText w:val="(%1)"/>
      <w:numFmt w:val="lowerLetter"/>
      <w:start w:val="2"/>
    </w:lvl>
  </w:abstractNum>
  <w:abstractNum w:abstractNumId="174">
    <w:nsid w:val="186928D6"/>
    <w:multiLevelType w:val="hybridMultilevel"/>
    <w:lvl w:ilvl="0">
      <w:lvlJc w:val="left"/>
      <w:lvlText w:val="%1."/>
      <w:numFmt w:val="decimal"/>
      <w:start w:val="6"/>
    </w:lvl>
  </w:abstractNum>
  <w:abstractNum w:abstractNumId="175">
    <w:nsid w:val="47195E5"/>
    <w:multiLevelType w:val="hybridMultilevel"/>
    <w:lvl w:ilvl="0">
      <w:lvlJc w:val="left"/>
      <w:lvlText w:val="(%1)"/>
      <w:numFmt w:val="lowerLetter"/>
      <w:start w:val="1"/>
    </w:lvl>
  </w:abstractNum>
  <w:abstractNum w:abstractNumId="176">
    <w:nsid w:val="3746A5F2"/>
    <w:multiLevelType w:val="hybridMultilevel"/>
    <w:lvl w:ilvl="0">
      <w:lvlJc w:val="left"/>
      <w:lvlText w:val="%1."/>
      <w:numFmt w:val="decimal"/>
      <w:start w:val="7"/>
    </w:lvl>
  </w:abstractNum>
  <w:abstractNum w:abstractNumId="177">
    <w:nsid w:val="682DFED6"/>
    <w:multiLevelType w:val="hybridMultilevel"/>
    <w:lvl w:ilvl="0">
      <w:lvlJc w:val="left"/>
      <w:lvlText w:val="(%1)"/>
      <w:numFmt w:val="lowerLetter"/>
      <w:start w:val="1"/>
    </w:lvl>
    <w:lvl w:ilvl="1">
      <w:lvlJc w:val="left"/>
      <w:lvlText w:val="(%2)"/>
      <w:numFmt w:val="lowerRoman"/>
      <w:start w:val="1"/>
    </w:lvl>
  </w:abstractNum>
  <w:abstractNum w:abstractNumId="178">
    <w:nsid w:val="606ED7F6"/>
    <w:multiLevelType w:val="hybridMultilevel"/>
    <w:lvl w:ilvl="0">
      <w:lvlJc w:val="left"/>
      <w:lvlText w:val="(%1)"/>
      <w:numFmt w:val="lowerLetter"/>
      <w:start w:val="3"/>
    </w:lvl>
  </w:abstractNum>
  <w:abstractNum w:abstractNumId="179">
    <w:nsid w:val="2D9DF57D"/>
    <w:multiLevelType w:val="hybridMultilevel"/>
    <w:lvl w:ilvl="0">
      <w:lvlJc w:val="left"/>
      <w:lvlText w:val="%1"/>
      <w:numFmt w:val="lowerRoman"/>
      <w:start w:val="1"/>
    </w:lvl>
    <w:lvl w:ilvl="1">
      <w:lvlJc w:val="left"/>
      <w:lvlText w:val="(%2)"/>
      <w:numFmt w:val="lowerLetter"/>
      <w:start w:val="8"/>
    </w:lvl>
  </w:abstractNum>
  <w:abstractNum w:abstractNumId="180">
    <w:nsid w:val="7FBD7A3E"/>
    <w:multiLevelType w:val="hybridMultilevel"/>
    <w:lvl w:ilvl="0">
      <w:lvlJc w:val="left"/>
      <w:lvlText w:val="(%1)"/>
      <w:numFmt w:val="lowerRoman"/>
      <w:start w:val="4"/>
    </w:lvl>
    <w:lvl w:ilvl="1">
      <w:lvlJc w:val="left"/>
      <w:lvlText w:val="(%2)"/>
      <w:numFmt w:val="lowerLetter"/>
      <w:start w:val="10"/>
    </w:lvl>
  </w:abstractNum>
  <w:abstractNum w:abstractNumId="181">
    <w:nsid w:val="490B7C5"/>
    <w:multiLevelType w:val="hybridMultilevel"/>
    <w:lvl w:ilvl="0">
      <w:lvlJc w:val="left"/>
      <w:lvlText w:val="(%1)"/>
      <w:numFmt w:val="lowerRoman"/>
      <w:start w:val="1"/>
    </w:lvl>
  </w:abstractNum>
  <w:abstractNum w:abstractNumId="182">
    <w:nsid w:val="4303A216"/>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83">
    <w:nsid w:val="19B8A08E"/>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184">
    <w:nsid w:val="54B59621"/>
    <w:multiLevelType w:val="hybridMultilevel"/>
    <w:lvl w:ilvl="0">
      <w:lvlJc w:val="left"/>
      <w:lvlText w:val="%1."/>
      <w:numFmt w:val="decimal"/>
      <w:start w:val="8"/>
    </w:lvl>
  </w:abstractNum>
  <w:abstractNum w:abstractNumId="185">
    <w:nsid w:val="5992A02E"/>
    <w:multiLevelType w:val="hybridMultilevel"/>
    <w:lvl w:ilvl="0">
      <w:lvlJc w:val="left"/>
      <w:lvlText w:val="(%1)"/>
      <w:numFmt w:val="lowerLetter"/>
      <w:start w:val="1"/>
    </w:lvl>
  </w:abstractNum>
  <w:abstractNum w:abstractNumId="186">
    <w:nsid w:val="29EF532D"/>
    <w:multiLevelType w:val="hybridMultilevel"/>
    <w:lvl w:ilvl="0">
      <w:lvlJc w:val="left"/>
      <w:lvlText w:val="(%1)"/>
      <w:numFmt w:val="lowerLetter"/>
      <w:start w:val="2"/>
    </w:lvl>
    <w:lvl w:ilvl="1">
      <w:lvlJc w:val="left"/>
      <w:lvlText w:val="(%2)"/>
      <w:numFmt w:val="lowerRoman"/>
      <w:start w:val="1"/>
    </w:lvl>
  </w:abstractNum>
  <w:abstractNum w:abstractNumId="187">
    <w:nsid w:val="71D601AF"/>
    <w:multiLevelType w:val="hybridMultilevel"/>
    <w:lvl w:ilvl="0">
      <w:lvlJc w:val="left"/>
      <w:lvlText w:val="(%1)"/>
      <w:numFmt w:val="lowerLetter"/>
      <w:start w:val="6"/>
    </w:lvl>
    <w:lvl w:ilvl="1">
      <w:lvlJc w:val="left"/>
      <w:lvlText w:val="(%2)"/>
      <w:numFmt w:val="lowerRoman"/>
      <w:start w:val="1"/>
    </w:lvl>
  </w:abstractNum>
  <w:abstractNum w:abstractNumId="188">
    <w:nsid w:val="52C77402"/>
    <w:multiLevelType w:val="hybridMultilevel"/>
    <w:lvl w:ilvl="0">
      <w:lvlJc w:val="left"/>
      <w:lvlText w:val="%1."/>
      <w:numFmt w:val="decimal"/>
      <w:start w:val="9"/>
    </w:lvl>
  </w:abstractNum>
  <w:abstractNum w:abstractNumId="189">
    <w:nsid w:val="2BB5B1C6"/>
    <w:multiLevelType w:val="hybridMultilevel"/>
    <w:lvl w:ilvl="0">
      <w:lvlJc w:val="left"/>
      <w:lvlText w:val="(%1)"/>
      <w:numFmt w:val="lowerLetter"/>
      <w:start w:val="1"/>
    </w:lvl>
  </w:abstractNum>
  <w:abstractNum w:abstractNumId="190">
    <w:nsid w:val="66BE6B9"/>
    <w:multiLevelType w:val="hybridMultilevel"/>
    <w:lvl w:ilvl="0">
      <w:lvlJc w:val="left"/>
      <w:lvlText w:val="%1."/>
      <w:numFmt w:val="decimal"/>
      <w:start w:val="10"/>
    </w:lvl>
  </w:abstractNum>
  <w:abstractNum w:abstractNumId="191">
    <w:nsid w:val="62234363"/>
    <w:multiLevelType w:val="hybridMultilevel"/>
    <w:lvl w:ilvl="0">
      <w:lvlJc w:val="left"/>
      <w:lvlText w:val="(%1)"/>
      <w:numFmt w:val="lowerLetter"/>
      <w:start w:val="1"/>
    </w:lvl>
  </w:abstractNum>
  <w:abstractNum w:abstractNumId="192">
    <w:nsid w:val="66D385C9"/>
    <w:multiLevelType w:val="hybridMultilevel"/>
    <w:lvl w:ilvl="0">
      <w:lvlJc w:val="left"/>
      <w:lvlText w:val="%1."/>
      <w:numFmt w:val="decimal"/>
      <w:start w:val="11"/>
    </w:lvl>
  </w:abstractNum>
  <w:abstractNum w:abstractNumId="193">
    <w:nsid w:val="596F6D8A"/>
    <w:multiLevelType w:val="hybridMultilevel"/>
    <w:lvl w:ilvl="0">
      <w:lvlJc w:val="left"/>
      <w:lvlText w:val="(%1)"/>
      <w:numFmt w:val="lowerLetter"/>
      <w:start w:val="1"/>
    </w:lvl>
  </w:abstractNum>
  <w:abstractNum w:abstractNumId="194">
    <w:nsid w:val="5749361F"/>
    <w:multiLevelType w:val="hybridMultilevel"/>
    <w:lvl w:ilvl="0">
      <w:lvlJc w:val="left"/>
      <w:lvlText w:val="%1."/>
      <w:numFmt w:val="decimal"/>
      <w:start w:val="12"/>
    </w:lvl>
  </w:abstractNum>
  <w:abstractNum w:abstractNumId="195">
    <w:nsid w:val="73BC6770"/>
    <w:multiLevelType w:val="hybridMultilevel"/>
    <w:lvl w:ilvl="0">
      <w:lvlJc w:val="left"/>
      <w:lvlText w:val="(%1)"/>
      <w:numFmt w:val="lowerLetter"/>
      <w:start w:val="1"/>
    </w:lvl>
  </w:abstractNum>
  <w:abstractNum w:abstractNumId="196">
    <w:nsid w:val="280E6897"/>
    <w:multiLevelType w:val="hybridMultilevel"/>
    <w:lvl w:ilvl="0">
      <w:lvlJc w:val="left"/>
      <w:lvlText w:val="(%1)"/>
      <w:numFmt w:val="lowerLetter"/>
      <w:start w:val="2"/>
    </w:lvl>
  </w:abstractNum>
  <w:abstractNum w:abstractNumId="197">
    <w:nsid w:val="605138DE"/>
    <w:multiLevelType w:val="hybridMultilevel"/>
    <w:lvl w:ilvl="0">
      <w:lvlJc w:val="left"/>
      <w:lvlText w:val="%1."/>
      <w:numFmt w:val="decimal"/>
      <w:start w:val="13"/>
    </w:lvl>
  </w:abstractNum>
  <w:abstractNum w:abstractNumId="198">
    <w:nsid w:val="2622AD0C"/>
    <w:multiLevelType w:val="hybridMultilevel"/>
    <w:lvl w:ilvl="0">
      <w:lvlJc w:val="left"/>
      <w:lvlText w:val="%1."/>
      <w:numFmt w:val="decimal"/>
      <w:start w:val="14"/>
    </w:lvl>
  </w:abstractNum>
  <w:abstractNum w:abstractNumId="199">
    <w:nsid w:val="67997556"/>
    <w:multiLevelType w:val="hybridMultilevel"/>
    <w:lvl w:ilvl="0">
      <w:lvlJc w:val="left"/>
      <w:lvlText w:val="%1."/>
      <w:numFmt w:val="decimal"/>
      <w:start w:val="15"/>
    </w:lvl>
  </w:abstractNum>
  <w:abstractNum w:abstractNumId="200">
    <w:nsid w:val="18333C89"/>
    <w:multiLevelType w:val="hybridMultilevel"/>
    <w:lvl w:ilvl="0">
      <w:lvlJc w:val="left"/>
      <w:lvlText w:val="%1."/>
      <w:numFmt w:val="decimal"/>
      <w:start w:val="16"/>
    </w:lvl>
  </w:abstractNum>
  <w:abstractNum w:abstractNumId="201">
    <w:nsid w:val="4BA9831A"/>
    <w:multiLevelType w:val="hybridMultilevel"/>
    <w:lvl w:ilvl="0">
      <w:lvlJc w:val="left"/>
      <w:lvlText w:val="%1."/>
      <w:numFmt w:val="decimal"/>
      <w:start w:val="17"/>
    </w:lvl>
  </w:abstractNum>
  <w:abstractNum w:abstractNumId="202">
    <w:nsid w:val="6D71A2B"/>
    <w:multiLevelType w:val="hybridMultilevel"/>
    <w:lvl w:ilvl="0">
      <w:lvlJc w:val="left"/>
      <w:lvlText w:val="%1."/>
      <w:numFmt w:val="decimal"/>
      <w:start w:val="18"/>
    </w:lvl>
  </w:abstractNum>
  <w:abstractNum w:abstractNumId="203">
    <w:nsid w:val="CFC7321"/>
    <w:multiLevelType w:val="hybridMultilevel"/>
    <w:lvl w:ilvl="0">
      <w:lvlJc w:val="left"/>
      <w:lvlText w:val="%1."/>
      <w:numFmt w:val="decimal"/>
      <w:start w:val="19"/>
    </w:lvl>
  </w:abstractNum>
  <w:abstractNum w:abstractNumId="204">
    <w:nsid w:val="1421971B"/>
    <w:multiLevelType w:val="hybridMultilevel"/>
    <w:lvl w:ilvl="0">
      <w:lvlJc w:val="left"/>
      <w:lvlText w:val="%1."/>
      <w:numFmt w:val="decimal"/>
      <w:start w:val="20"/>
    </w:lvl>
  </w:abstractNum>
  <w:abstractNum w:abstractNumId="205">
    <w:nsid w:val="1F404301"/>
    <w:multiLevelType w:val="hybridMultilevel"/>
    <w:lvl w:ilvl="0">
      <w:lvlJc w:val="left"/>
      <w:lvlText w:val="%1."/>
      <w:numFmt w:val="decimal"/>
      <w:start w:val="21"/>
    </w:lvl>
  </w:abstractNum>
  <w:abstractNum w:abstractNumId="206">
    <w:nsid w:val="116E0907"/>
    <w:multiLevelType w:val="hybridMultilevel"/>
    <w:lvl w:ilvl="0">
      <w:lvlJc w:val="left"/>
      <w:lvlText w:val="%1."/>
      <w:numFmt w:val="decimal"/>
      <w:start w:val="22"/>
    </w:lvl>
  </w:abstractNum>
  <w:abstractNum w:abstractNumId="207">
    <w:nsid w:val="4B683D0D"/>
    <w:multiLevelType w:val="hybridMultilevel"/>
    <w:lvl w:ilvl="0">
      <w:lvlJc w:val="left"/>
      <w:lvlText w:val="%1."/>
      <w:numFmt w:val="decimal"/>
      <w:start w:val="23"/>
    </w:lvl>
  </w:abstractNum>
  <w:abstractNum w:abstractNumId="208">
    <w:nsid w:val="76E41D8"/>
    <w:multiLevelType w:val="hybridMultilevel"/>
    <w:lvl w:ilvl="0">
      <w:lvlJc w:val="left"/>
      <w:lvlText w:val="%1."/>
      <w:numFmt w:val="decimal"/>
      <w:start w:val="24"/>
    </w:lvl>
    <w:lvl w:ilvl="1">
      <w:lvlJc w:val="left"/>
      <w:lvlText w:val="(%2)"/>
      <w:numFmt w:val="lowerLetter"/>
      <w:start w:val="1"/>
    </w:lvl>
  </w:abstractNum>
  <w:abstractNum w:abstractNumId="209">
    <w:nsid w:val="71DCE0FD"/>
    <w:multiLevelType w:val="hybridMultilevel"/>
    <w:lvl w:ilvl="0">
      <w:lvlJc w:val="left"/>
      <w:lvlText w:val="%1."/>
      <w:numFmt w:val="decimal"/>
      <w:start w:val="25"/>
    </w:lvl>
  </w:abstractNum>
  <w:abstractNum w:abstractNumId="210">
    <w:nsid w:val="7906328B"/>
    <w:multiLevelType w:val="hybridMultilevel"/>
    <w:lvl w:ilvl="0">
      <w:lvlJc w:val="left"/>
      <w:lvlText w:val="%1."/>
      <w:numFmt w:val="decimal"/>
      <w:start w:val="26"/>
    </w:lvl>
  </w:abstractNum>
  <w:abstractNum w:abstractNumId="211">
    <w:nsid w:val="72BBC16"/>
    <w:multiLevelType w:val="hybridMultilevel"/>
    <w:lvl w:ilvl="0">
      <w:lvlJc w:val="left"/>
      <w:lvlText w:val="%1."/>
      <w:numFmt w:val="decimal"/>
      <w:start w:val="1"/>
    </w:lvl>
  </w:abstractNum>
  <w:abstractNum w:abstractNumId="212">
    <w:nsid w:val="766D98C2"/>
    <w:multiLevelType w:val="hybridMultilevel"/>
    <w:lvl w:ilvl="0">
      <w:lvlJc w:val="left"/>
      <w:lvlText w:val="%1."/>
      <w:numFmt w:val="decimal"/>
      <w:start w:val="2"/>
    </w:lvl>
  </w:abstractNum>
  <w:abstractNum w:abstractNumId="213">
    <w:nsid w:val="3C09D4A1"/>
    <w:multiLevelType w:val="hybridMultilevel"/>
    <w:lvl w:ilvl="0">
      <w:lvlJc w:val="left"/>
      <w:lvlText w:val="%1."/>
      <w:numFmt w:val="decimal"/>
      <w:start w:val="1"/>
    </w:lvl>
  </w:abstractNum>
  <w:abstractNum w:abstractNumId="214">
    <w:nsid w:val="20E45CA4"/>
    <w:multiLevelType w:val="hybridMultilevel"/>
    <w:lvl w:ilvl="0">
      <w:lvlJc w:val="left"/>
      <w:lvlText w:val="%1."/>
      <w:numFmt w:val="decimal"/>
      <w:start w:val="2"/>
    </w:lvl>
  </w:abstractNum>
  <w:abstractNum w:abstractNumId="215">
    <w:nsid w:val="4B232EE3"/>
    <w:multiLevelType w:val="hybridMultilevel"/>
    <w:lvl w:ilvl="0">
      <w:lvlJc w:val="left"/>
      <w:lvlText w:val="%1."/>
      <w:numFmt w:val="decimal"/>
      <w:start w:val="3"/>
    </w:lvl>
  </w:abstractNum>
  <w:abstractNum w:abstractNumId="216">
    <w:nsid w:val="159C74CF"/>
    <w:multiLevelType w:val="hybridMultilevel"/>
    <w:lvl w:ilvl="0">
      <w:lvlJc w:val="left"/>
      <w:lvlText w:val="(%1)"/>
      <w:numFmt w:val="lowerLetter"/>
      <w:start w:val="1"/>
    </w:lvl>
  </w:abstractNum>
  <w:abstractNum w:abstractNumId="217">
    <w:nsid w:val="4AD3AFD2"/>
    <w:multiLevelType w:val="hybridMultilevel"/>
    <w:lvl w:ilvl="0">
      <w:lvlJc w:val="left"/>
      <w:lvlText w:val="(%1)"/>
      <w:numFmt w:val="lowerLetter"/>
      <w:start w:val="3"/>
    </w:lvl>
  </w:abstractNum>
  <w:abstractNum w:abstractNumId="218">
    <w:nsid w:val="3CF93092"/>
    <w:multiLevelType w:val="hybridMultilevel"/>
    <w:lvl w:ilvl="0">
      <w:lvlJc w:val="left"/>
      <w:lvlText w:val="%1."/>
      <w:numFmt w:val="decimal"/>
      <w:start w:val="4"/>
    </w:lvl>
  </w:abstractNum>
  <w:abstractNum w:abstractNumId="219">
    <w:nsid w:val="6863E8D2"/>
    <w:multiLevelType w:val="hybridMultilevel"/>
    <w:lvl w:ilvl="0">
      <w:lvlJc w:val="left"/>
      <w:lvlText w:val="%1."/>
      <w:numFmt w:val="decimal"/>
      <w:start w:val="5"/>
    </w:lvl>
  </w:abstractNum>
  <w:abstractNum w:abstractNumId="220">
    <w:nsid w:val="76896198"/>
    <w:multiLevelType w:val="hybridMultilevel"/>
    <w:lvl w:ilvl="0">
      <w:lvlJc w:val="left"/>
      <w:lvlText w:val="(%1)"/>
      <w:numFmt w:val="lowerLetter"/>
      <w:start w:val="1"/>
    </w:lvl>
  </w:abstractNum>
  <w:abstractNum w:abstractNumId="221">
    <w:nsid w:val="4365174B"/>
    <w:multiLevelType w:val="hybridMultilevel"/>
    <w:lvl w:ilvl="0">
      <w:lvlJc w:val="left"/>
      <w:lvlText w:val="%1."/>
      <w:numFmt w:val="decimal"/>
      <w:start w:val="6"/>
    </w:lvl>
  </w:abstractNum>
  <w:abstractNum w:abstractNumId="222">
    <w:nsid w:val="4A872C35"/>
    <w:multiLevelType w:val="hybridMultilevel"/>
    <w:lvl w:ilvl="0">
      <w:lvlJc w:val="left"/>
      <w:lvlText w:val="(%1)"/>
      <w:numFmt w:val="lowerLetter"/>
      <w:start w:val="1"/>
    </w:lvl>
  </w:abstractNum>
  <w:abstractNum w:abstractNumId="223">
    <w:nsid w:val="5D5CE761"/>
    <w:multiLevelType w:val="hybridMultilevel"/>
    <w:lvl w:ilvl="0">
      <w:lvlJc w:val="left"/>
      <w:lvlText w:val="%1."/>
      <w:numFmt w:val="decimal"/>
      <w:start w:val="7"/>
    </w:lvl>
  </w:abstractNum>
  <w:abstractNum w:abstractNumId="224">
    <w:nsid w:val="1CD484D5"/>
    <w:multiLevelType w:val="hybridMultilevel"/>
    <w:lvl w:ilvl="0">
      <w:lvlJc w:val="left"/>
      <w:lvlText w:val="(%1)"/>
      <w:numFmt w:val="lowerLetter"/>
      <w:start w:val="1"/>
    </w:lvl>
    <w:lvl w:ilvl="1">
      <w:lvlJc w:val="left"/>
      <w:lvlText w:val="(%2)"/>
      <w:numFmt w:val="lowerRoman"/>
      <w:start w:val="1"/>
    </w:lvl>
  </w:abstractNum>
  <w:abstractNum w:abstractNumId="225">
    <w:nsid w:val="21D06255"/>
    <w:multiLevelType w:val="hybridMultilevel"/>
    <w:lvl w:ilvl="0">
      <w:lvlJc w:val="left"/>
      <w:lvlText w:val="%1"/>
      <w:numFmt w:val="lowerLetter"/>
      <w:start w:val="1"/>
    </w:lvl>
    <w:lvl w:ilvl="1">
      <w:lvlJc w:val="left"/>
      <w:lvlText w:val="(%2)"/>
      <w:numFmt w:val="lowerLetter"/>
      <w:start w:val="61"/>
    </w:lvl>
  </w:abstractNum>
  <w:abstractNum w:abstractNumId="226">
    <w:nsid w:val="51194ED1"/>
    <w:multiLevelType w:val="hybridMultilevel"/>
    <w:lvl w:ilvl="0">
      <w:lvlJc w:val="left"/>
      <w:lvlText w:val="(%1)"/>
      <w:numFmt w:val="lowerLetter"/>
      <w:start w:val="3"/>
    </w:lvl>
    <w:lvl w:ilvl="1">
      <w:lvlJc w:val="left"/>
      <w:lvlText w:val="%2"/>
      <w:numFmt w:val="lowerLetter"/>
      <w:start w:val="1"/>
    </w:lvl>
  </w:abstractNum>
  <w:abstractNum w:abstractNumId="227">
    <w:nsid w:val="44E2ED6C"/>
    <w:multiLevelType w:val="hybridMultilevel"/>
    <w:lvl w:ilvl="0">
      <w:lvlJc w:val="left"/>
      <w:lvlText w:val="%1"/>
      <w:numFmt w:val="lowerRoman"/>
      <w:start w:val="1"/>
    </w:lvl>
    <w:lvl w:ilvl="1">
      <w:lvlJc w:val="left"/>
      <w:lvlText w:val="(%2)"/>
      <w:numFmt w:val="lowerLetter"/>
      <w:start w:val="8"/>
    </w:lvl>
    <w:lvl w:ilvl="2">
      <w:lvlJc w:val="left"/>
      <w:lvlText w:val="%3"/>
      <w:numFmt w:val="lowerLetter"/>
      <w:start w:val="1"/>
    </w:lvl>
  </w:abstractNum>
  <w:abstractNum w:abstractNumId="228">
    <w:nsid w:val="2219B33"/>
    <w:multiLevelType w:val="hybridMultilevel"/>
    <w:lvl w:ilvl="0">
      <w:lvlJc w:val="left"/>
      <w:lvlText w:val="(%1)"/>
      <w:numFmt w:val="lowerRoman"/>
      <w:start w:val="4"/>
    </w:lvl>
    <w:lvl w:ilvl="1">
      <w:lvlJc w:val="left"/>
      <w:lvlText w:val="(%2)"/>
      <w:numFmt w:val="lowerLetter"/>
      <w:start w:val="10"/>
    </w:lvl>
    <w:lvl w:ilvl="2">
      <w:lvlJc w:val="left"/>
      <w:lvlText w:val="(%3)"/>
      <w:numFmt w:val="lowerLetter"/>
      <w:start w:val="9"/>
    </w:lvl>
  </w:abstractNum>
  <w:abstractNum w:abstractNumId="229">
    <w:nsid w:val="773BFBDD"/>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30">
    <w:nsid w:val="2C7C62C2"/>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231">
    <w:nsid w:val="1A54D7BC"/>
    <w:multiLevelType w:val="hybridMultilevel"/>
    <w:lvl w:ilvl="0">
      <w:lvlJc w:val="left"/>
      <w:lvlText w:val="%1."/>
      <w:numFmt w:val="decimal"/>
      <w:start w:val="8"/>
    </w:lvl>
  </w:abstractNum>
  <w:abstractNum w:abstractNumId="232">
    <w:nsid w:val="42E57EF7"/>
    <w:multiLevelType w:val="hybridMultilevel"/>
    <w:lvl w:ilvl="0">
      <w:lvlJc w:val="left"/>
      <w:lvlText w:val="(%1)"/>
      <w:numFmt w:val="lowerLetter"/>
      <w:start w:val="1"/>
    </w:lvl>
  </w:abstractNum>
  <w:abstractNum w:abstractNumId="233">
    <w:nsid w:val="33537CED"/>
    <w:multiLevelType w:val="hybridMultilevel"/>
    <w:lvl w:ilvl="0">
      <w:lvlJc w:val="left"/>
      <w:lvlText w:val="(%1)"/>
      <w:numFmt w:val="lowerLetter"/>
      <w:start w:val="2"/>
    </w:lvl>
    <w:lvl w:ilvl="1">
      <w:lvlJc w:val="left"/>
      <w:lvlText w:val="(%2)"/>
      <w:numFmt w:val="lowerRoman"/>
      <w:start w:val="1"/>
    </w:lvl>
  </w:abstractNum>
  <w:abstractNum w:abstractNumId="234">
    <w:nsid w:val="27514ADE"/>
    <w:multiLevelType w:val="hybridMultilevel"/>
    <w:lvl w:ilvl="0">
      <w:lvlJc w:val="left"/>
      <w:lvlText w:val="(%1)"/>
      <w:numFmt w:val="lowerLetter"/>
      <w:start w:val="6"/>
    </w:lvl>
    <w:lvl w:ilvl="1">
      <w:lvlJc w:val="left"/>
      <w:lvlText w:val="(%2)"/>
      <w:numFmt w:val="lowerRoman"/>
      <w:start w:val="1"/>
    </w:lvl>
  </w:abstractNum>
  <w:abstractNum w:abstractNumId="235">
    <w:nsid w:val="57071613"/>
    <w:multiLevelType w:val="hybridMultilevel"/>
    <w:lvl w:ilvl="0">
      <w:lvlJc w:val="left"/>
      <w:lvlText w:val="%1."/>
      <w:numFmt w:val="decimal"/>
      <w:start w:val="9"/>
    </w:lvl>
  </w:abstractNum>
  <w:abstractNum w:abstractNumId="236">
    <w:nsid w:val="5293BFEF"/>
    <w:multiLevelType w:val="hybridMultilevel"/>
    <w:lvl w:ilvl="0">
      <w:lvlJc w:val="left"/>
      <w:lvlText w:val="(%1)"/>
      <w:numFmt w:val="lowerLetter"/>
      <w:start w:val="1"/>
    </w:lvl>
  </w:abstractNum>
  <w:abstractNum w:abstractNumId="237">
    <w:nsid w:val="38BF53E5"/>
    <w:multiLevelType w:val="hybridMultilevel"/>
    <w:lvl w:ilvl="0">
      <w:lvlJc w:val="left"/>
      <w:lvlText w:val="%1."/>
      <w:numFmt w:val="decimal"/>
      <w:start w:val="10"/>
    </w:lvl>
  </w:abstractNum>
  <w:abstractNum w:abstractNumId="238">
    <w:nsid w:val="226F5320"/>
    <w:multiLevelType w:val="hybridMultilevel"/>
    <w:lvl w:ilvl="0">
      <w:lvlJc w:val="left"/>
      <w:lvlText w:val="(%1)"/>
      <w:numFmt w:val="lowerLetter"/>
      <w:start w:val="1"/>
    </w:lvl>
  </w:abstractNum>
  <w:abstractNum w:abstractNumId="239">
    <w:nsid w:val="5A0201C7"/>
    <w:multiLevelType w:val="hybridMultilevel"/>
    <w:lvl w:ilvl="0">
      <w:lvlJc w:val="left"/>
      <w:lvlText w:val="%1."/>
      <w:numFmt w:val="decimal"/>
      <w:start w:val="11"/>
    </w:lvl>
  </w:abstractNum>
  <w:abstractNum w:abstractNumId="240">
    <w:nsid w:val="2A9C34E2"/>
    <w:multiLevelType w:val="hybridMultilevel"/>
    <w:lvl w:ilvl="0">
      <w:lvlJc w:val="left"/>
      <w:lvlText w:val="(%1)"/>
      <w:numFmt w:val="lowerLetter"/>
      <w:start w:val="1"/>
    </w:lvl>
  </w:abstractNum>
  <w:abstractNum w:abstractNumId="241">
    <w:nsid w:val="1B7585AB"/>
    <w:multiLevelType w:val="hybridMultilevel"/>
    <w:lvl w:ilvl="0">
      <w:lvlJc w:val="left"/>
      <w:lvlText w:val="%1."/>
      <w:numFmt w:val="decimal"/>
      <w:start w:val="12"/>
    </w:lvl>
  </w:abstractNum>
  <w:abstractNum w:abstractNumId="242">
    <w:nsid w:val="612DBDDD"/>
    <w:multiLevelType w:val="hybridMultilevel"/>
    <w:lvl w:ilvl="0">
      <w:lvlJc w:val="left"/>
      <w:lvlText w:val="(%1)"/>
      <w:numFmt w:val="lowerLetter"/>
      <w:start w:val="1"/>
    </w:lvl>
  </w:abstractNum>
  <w:abstractNum w:abstractNumId="243">
    <w:nsid w:val="2109CDA4"/>
    <w:multiLevelType w:val="hybridMultilevel"/>
    <w:lvl w:ilvl="0">
      <w:lvlJc w:val="left"/>
      <w:lvlText w:val="(%1)"/>
      <w:numFmt w:val="lowerLetter"/>
      <w:start w:val="2"/>
    </w:lvl>
  </w:abstractNum>
  <w:abstractNum w:abstractNumId="244">
    <w:nsid w:val="577F5A4D"/>
    <w:multiLevelType w:val="hybridMultilevel"/>
    <w:lvl w:ilvl="0">
      <w:lvlJc w:val="left"/>
      <w:lvlText w:val="%1."/>
      <w:numFmt w:val="decimal"/>
      <w:start w:val="13"/>
    </w:lvl>
  </w:abstractNum>
  <w:abstractNum w:abstractNumId="245">
    <w:nsid w:val="2121A81"/>
    <w:multiLevelType w:val="hybridMultilevel"/>
    <w:lvl w:ilvl="0">
      <w:lvlJc w:val="left"/>
      <w:lvlText w:val="%1."/>
      <w:numFmt w:val="decimal"/>
      <w:start w:val="14"/>
    </w:lvl>
  </w:abstractNum>
  <w:abstractNum w:abstractNumId="246">
    <w:nsid w:val="6C2CFC88"/>
    <w:multiLevelType w:val="hybridMultilevel"/>
    <w:lvl w:ilvl="0">
      <w:lvlJc w:val="left"/>
      <w:lvlText w:val="%1."/>
      <w:numFmt w:val="decimal"/>
      <w:start w:val="15"/>
    </w:lvl>
  </w:abstractNum>
  <w:abstractNum w:abstractNumId="247">
    <w:nsid w:val="6D1BCF1C"/>
    <w:multiLevelType w:val="hybridMultilevel"/>
    <w:lvl w:ilvl="0">
      <w:lvlJc w:val="left"/>
      <w:lvlText w:val="%1."/>
      <w:numFmt w:val="decimal"/>
      <w:start w:val="16"/>
    </w:lvl>
  </w:abstractNum>
  <w:abstractNum w:abstractNumId="248">
    <w:nsid w:val="4CE5CA53"/>
    <w:multiLevelType w:val="hybridMultilevel"/>
    <w:lvl w:ilvl="0">
      <w:lvlJc w:val="left"/>
      <w:lvlText w:val="%1."/>
      <w:numFmt w:val="decimal"/>
      <w:start w:val="17"/>
    </w:lvl>
  </w:abstractNum>
  <w:abstractNum w:abstractNumId="249">
    <w:nsid w:val="29262D1A"/>
    <w:multiLevelType w:val="hybridMultilevel"/>
    <w:lvl w:ilvl="0">
      <w:lvlJc w:val="left"/>
      <w:lvlText w:val="%1."/>
      <w:numFmt w:val="decimal"/>
      <w:start w:val="18"/>
    </w:lvl>
  </w:abstractNum>
  <w:abstractNum w:abstractNumId="250">
    <w:nsid w:val="557FB7EE"/>
    <w:multiLevelType w:val="hybridMultilevel"/>
    <w:lvl w:ilvl="0">
      <w:lvlJc w:val="left"/>
      <w:lvlText w:val="%1."/>
      <w:numFmt w:val="decimal"/>
      <w:start w:val="19"/>
    </w:lvl>
  </w:abstractNum>
  <w:abstractNum w:abstractNumId="251">
    <w:nsid w:val="436F2BEB"/>
    <w:multiLevelType w:val="hybridMultilevel"/>
    <w:lvl w:ilvl="0">
      <w:lvlJc w:val="left"/>
      <w:lvlText w:val="%1."/>
      <w:numFmt w:val="decimal"/>
      <w:start w:val="20"/>
    </w:lvl>
  </w:abstractNum>
  <w:abstractNum w:abstractNumId="252">
    <w:nsid w:val="6C8B4466"/>
    <w:multiLevelType w:val="hybridMultilevel"/>
    <w:lvl w:ilvl="0">
      <w:lvlJc w:val="left"/>
      <w:lvlText w:val="%1."/>
      <w:numFmt w:val="decimal"/>
      <w:start w:val="21"/>
    </w:lvl>
  </w:abstractNum>
  <w:abstractNum w:abstractNumId="253">
    <w:nsid w:val="2006E424"/>
    <w:multiLevelType w:val="hybridMultilevel"/>
    <w:lvl w:ilvl="0">
      <w:lvlJc w:val="left"/>
      <w:lvlText w:val="%1."/>
      <w:numFmt w:val="decimal"/>
      <w:start w:val="22"/>
    </w:lvl>
  </w:abstractNum>
  <w:abstractNum w:abstractNumId="254">
    <w:nsid w:val="20CC134C"/>
    <w:multiLevelType w:val="hybridMultilevel"/>
    <w:lvl w:ilvl="0">
      <w:lvlJc w:val="left"/>
      <w:lvlText w:val="%1."/>
      <w:numFmt w:val="decimal"/>
      <w:start w:val="23"/>
    </w:lvl>
  </w:abstractNum>
  <w:abstractNum w:abstractNumId="255">
    <w:nsid w:val="95FC93B"/>
    <w:multiLevelType w:val="hybridMultilevel"/>
    <w:lvl w:ilvl="0">
      <w:lvlJc w:val="left"/>
      <w:lvlText w:val="%1."/>
      <w:numFmt w:val="decimal"/>
      <w:start w:val="24"/>
    </w:lvl>
    <w:lvl w:ilvl="1">
      <w:lvlJc w:val="left"/>
      <w:lvlText w:val="(%2)"/>
      <w:numFmt w:val="lowerLetter"/>
      <w:start w:val="1"/>
    </w:lvl>
  </w:abstractNum>
  <w:abstractNum w:abstractNumId="256">
    <w:nsid w:val="41D74679"/>
    <w:multiLevelType w:val="hybridMultilevel"/>
    <w:lvl w:ilvl="0">
      <w:lvlJc w:val="left"/>
      <w:lvlText w:val="%1."/>
      <w:numFmt w:val="decimal"/>
      <w:start w:val="25"/>
    </w:lvl>
  </w:abstractNum>
  <w:abstractNum w:abstractNumId="257">
    <w:nsid w:val="71E5621E"/>
    <w:multiLevelType w:val="hybridMultilevel"/>
    <w:lvl w:ilvl="0">
      <w:lvlJc w:val="left"/>
      <w:lvlText w:val="%1."/>
      <w:numFmt w:val="decimal"/>
      <w:start w:val="26"/>
    </w:lvl>
  </w:abstractNum>
  <w:abstractNum w:abstractNumId="258">
    <w:nsid w:val="4E42B6A8"/>
    <w:multiLevelType w:val="hybridMultilevel"/>
    <w:lvl w:ilvl="0">
      <w:lvlJc w:val="left"/>
      <w:lvlText w:val="%1."/>
      <w:numFmt w:val="decimal"/>
      <w:start w:val="1"/>
    </w:lvl>
  </w:abstractNum>
  <w:abstractNum w:abstractNumId="259">
    <w:nsid w:val="43F8E1AC"/>
    <w:multiLevelType w:val="hybridMultilevel"/>
    <w:lvl w:ilvl="0">
      <w:lvlJc w:val="left"/>
      <w:lvlText w:val="%1."/>
      <w:numFmt w:val="decimal"/>
      <w:start w:val="2"/>
    </w:lvl>
  </w:abstractNum>
  <w:abstractNum w:abstractNumId="260">
    <w:nsid w:val="69215DFB"/>
    <w:multiLevelType w:val="hybridMultilevel"/>
    <w:lvl w:ilvl="0">
      <w:lvlJc w:val="left"/>
      <w:lvlText w:val="%1."/>
      <w:numFmt w:val="decimal"/>
      <w:start w:val="1"/>
    </w:lvl>
  </w:abstractNum>
  <w:abstractNum w:abstractNumId="261">
    <w:nsid w:val="7ABF196A"/>
    <w:multiLevelType w:val="hybridMultilevel"/>
    <w:lvl w:ilvl="0">
      <w:lvlJc w:val="left"/>
      <w:lvlText w:val="%1."/>
      <w:numFmt w:val="decimal"/>
      <w:start w:val="2"/>
    </w:lvl>
  </w:abstractNum>
  <w:abstractNum w:abstractNumId="262">
    <w:nsid w:val="5E4DB968"/>
    <w:multiLevelType w:val="hybridMultilevel"/>
    <w:lvl w:ilvl="0">
      <w:lvlJc w:val="left"/>
      <w:lvlText w:val="%1."/>
      <w:numFmt w:val="decimal"/>
      <w:start w:val="3"/>
    </w:lvl>
  </w:abstractNum>
  <w:abstractNum w:abstractNumId="263">
    <w:nsid w:val="2C06DCF3"/>
    <w:multiLevelType w:val="hybridMultilevel"/>
    <w:lvl w:ilvl="0">
      <w:lvlJc w:val="left"/>
      <w:lvlText w:val="(%1)"/>
      <w:numFmt w:val="lowerLetter"/>
      <w:start w:val="1"/>
    </w:lvl>
  </w:abstractNum>
  <w:abstractNum w:abstractNumId="264">
    <w:nsid w:val="2E129658"/>
    <w:multiLevelType w:val="hybridMultilevel"/>
    <w:lvl w:ilvl="0">
      <w:lvlJc w:val="left"/>
      <w:lvlText w:val="(%1)"/>
      <w:numFmt w:val="lowerLetter"/>
      <w:start w:val="3"/>
    </w:lvl>
  </w:abstractNum>
  <w:abstractNum w:abstractNumId="265">
    <w:nsid w:val="59F0446"/>
    <w:multiLevelType w:val="hybridMultilevel"/>
    <w:lvl w:ilvl="0">
      <w:lvlJc w:val="left"/>
      <w:lvlText w:val="%1."/>
      <w:numFmt w:val="decimal"/>
      <w:start w:val="4"/>
    </w:lvl>
  </w:abstractNum>
  <w:abstractNum w:abstractNumId="266">
    <w:nsid w:val="30DF306"/>
    <w:multiLevelType w:val="hybridMultilevel"/>
    <w:lvl w:ilvl="0">
      <w:lvlJc w:val="left"/>
      <w:lvlText w:val="%1."/>
      <w:numFmt w:val="decimal"/>
      <w:start w:val="5"/>
    </w:lvl>
  </w:abstractNum>
  <w:abstractNum w:abstractNumId="267">
    <w:nsid w:val="A65647"/>
    <w:multiLevelType w:val="hybridMultilevel"/>
    <w:lvl w:ilvl="0">
      <w:lvlJc w:val="left"/>
      <w:lvlText w:val="(%1)"/>
      <w:numFmt w:val="lowerLetter"/>
      <w:start w:val="1"/>
    </w:lvl>
  </w:abstractNum>
  <w:abstractNum w:abstractNumId="268">
    <w:nsid w:val="3E5E582B"/>
    <w:multiLevelType w:val="hybridMultilevel"/>
    <w:lvl w:ilvl="0">
      <w:lvlJc w:val="left"/>
      <w:lvlText w:val="(%1)"/>
      <w:numFmt w:val="lowerLetter"/>
      <w:start w:val="2"/>
    </w:lvl>
  </w:abstractNum>
  <w:abstractNum w:abstractNumId="269">
    <w:nsid w:val="257D4626"/>
    <w:multiLevelType w:val="hybridMultilevel"/>
    <w:lvl w:ilvl="0">
      <w:lvlJc w:val="left"/>
      <w:lvlText w:val="%1."/>
      <w:numFmt w:val="decimal"/>
      <w:start w:val="6"/>
    </w:lvl>
  </w:abstractNum>
  <w:abstractNum w:abstractNumId="270">
    <w:nsid w:val="5AA8580E"/>
    <w:multiLevelType w:val="hybridMultilevel"/>
    <w:lvl w:ilvl="0">
      <w:lvlJc w:val="left"/>
      <w:lvlText w:val="(%1)"/>
      <w:numFmt w:val="lowerLetter"/>
      <w:start w:val="1"/>
    </w:lvl>
  </w:abstractNum>
  <w:abstractNum w:abstractNumId="271">
    <w:nsid w:val="68FA8D0D"/>
    <w:multiLevelType w:val="hybridMultilevel"/>
    <w:lvl w:ilvl="0">
      <w:lvlJc w:val="left"/>
      <w:lvlText w:val="%1."/>
      <w:numFmt w:val="decimal"/>
      <w:start w:val="7"/>
    </w:lvl>
  </w:abstractNum>
  <w:abstractNum w:abstractNumId="272">
    <w:nsid w:val="40F2CBD2"/>
    <w:multiLevelType w:val="hybridMultilevel"/>
    <w:lvl w:ilvl="0">
      <w:lvlJc w:val="left"/>
      <w:lvlText w:val="(%1)"/>
      <w:numFmt w:val="lowerLetter"/>
      <w:start w:val="1"/>
    </w:lvl>
    <w:lvl w:ilvl="1">
      <w:lvlJc w:val="left"/>
      <w:lvlText w:val="(%2)"/>
      <w:numFmt w:val="lowerRoman"/>
      <w:start w:val="1"/>
    </w:lvl>
  </w:abstractNum>
  <w:abstractNum w:abstractNumId="273">
    <w:nsid w:val="3BD615EB"/>
    <w:multiLevelType w:val="hybridMultilevel"/>
    <w:lvl w:ilvl="0">
      <w:lvlJc w:val="left"/>
      <w:lvlText w:val="(%1)"/>
      <w:numFmt w:val="lowerLetter"/>
      <w:start w:val="3"/>
    </w:lvl>
  </w:abstractNum>
  <w:abstractNum w:abstractNumId="274">
    <w:nsid w:val="A045AB2"/>
    <w:multiLevelType w:val="hybridMultilevel"/>
    <w:lvl w:ilvl="0">
      <w:lvlJc w:val="left"/>
      <w:lvlText w:val="%1"/>
      <w:numFmt w:val="lowerRoman"/>
      <w:start w:val="1"/>
    </w:lvl>
    <w:lvl w:ilvl="1">
      <w:lvlJc w:val="left"/>
      <w:lvlText w:val="(%2)"/>
      <w:numFmt w:val="lowerLetter"/>
      <w:start w:val="8"/>
    </w:lvl>
    <w:lvl w:ilvl="2">
      <w:lvlJc w:val="left"/>
      <w:lvlText w:val="%3"/>
      <w:numFmt w:val="lowerLetter"/>
      <w:start w:val="1"/>
    </w:lvl>
  </w:abstractNum>
  <w:abstractNum w:abstractNumId="275">
    <w:nsid w:val="1872261F"/>
    <w:multiLevelType w:val="hybridMultilevel"/>
    <w:lvl w:ilvl="0">
      <w:lvlJc w:val="left"/>
      <w:lvlText w:val="(%1)"/>
      <w:numFmt w:val="lowerRoman"/>
      <w:start w:val="4"/>
    </w:lvl>
    <w:lvl w:ilvl="1">
      <w:lvlJc w:val="left"/>
      <w:lvlText w:val="(%2)"/>
      <w:numFmt w:val="lowerLetter"/>
      <w:start w:val="10"/>
    </w:lvl>
    <w:lvl w:ilvl="2">
      <w:lvlJc w:val="left"/>
      <w:lvlText w:val="(%3)"/>
      <w:numFmt w:val="lowerLetter"/>
      <w:start w:val="9"/>
    </w:lvl>
  </w:abstractNum>
  <w:abstractNum w:abstractNumId="276">
    <w:nsid w:val="3DE8306C"/>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77">
    <w:nsid w:val="7631573A"/>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278">
    <w:nsid w:val="58DF53B"/>
    <w:multiLevelType w:val="hybridMultilevel"/>
    <w:lvl w:ilvl="0">
      <w:lvlJc w:val="left"/>
      <w:lvlText w:val="%1."/>
      <w:numFmt w:val="decimal"/>
      <w:start w:val="8"/>
    </w:lvl>
  </w:abstractNum>
  <w:abstractNum w:abstractNumId="279">
    <w:nsid w:val="ACDFAC0"/>
    <w:multiLevelType w:val="hybridMultilevel"/>
    <w:lvl w:ilvl="0">
      <w:lvlJc w:val="left"/>
      <w:lvlText w:val="(%1)"/>
      <w:numFmt w:val="lowerLetter"/>
      <w:start w:val="1"/>
    </w:lvl>
  </w:abstractNum>
  <w:abstractNum w:abstractNumId="280">
    <w:nsid w:val="1F578454"/>
    <w:multiLevelType w:val="hybridMultilevel"/>
    <w:lvl w:ilvl="0">
      <w:lvlJc w:val="left"/>
      <w:lvlText w:val="(%1)"/>
      <w:numFmt w:val="lowerLetter"/>
      <w:start w:val="2"/>
    </w:lvl>
    <w:lvl w:ilvl="1">
      <w:lvlJc w:val="left"/>
      <w:lvlText w:val="(%2)"/>
      <w:numFmt w:val="lowerRoman"/>
      <w:start w:val="1"/>
    </w:lvl>
  </w:abstractNum>
  <w:abstractNum w:abstractNumId="281">
    <w:nsid w:val="5B0DAD2A"/>
    <w:multiLevelType w:val="hybridMultilevel"/>
    <w:lvl w:ilvl="0">
      <w:lvlJc w:val="left"/>
      <w:lvlText w:val="(%1)"/>
      <w:numFmt w:val="lowerLetter"/>
      <w:start w:val="6"/>
    </w:lvl>
    <w:lvl w:ilvl="1">
      <w:lvlJc w:val="left"/>
      <w:lvlText w:val="(%2)"/>
      <w:numFmt w:val="lowerRoman"/>
      <w:start w:val="1"/>
    </w:lvl>
  </w:abstractNum>
  <w:abstractNum w:abstractNumId="282">
    <w:nsid w:val="4E3D26AB"/>
    <w:multiLevelType w:val="hybridMultilevel"/>
    <w:lvl w:ilvl="0">
      <w:lvlJc w:val="left"/>
      <w:lvlText w:val="%1."/>
      <w:numFmt w:val="decimal"/>
      <w:start w:val="9"/>
    </w:lvl>
  </w:abstractNum>
  <w:abstractNum w:abstractNumId="283">
    <w:nsid w:val="BE2C8BA"/>
    <w:multiLevelType w:val="hybridMultilevel"/>
    <w:lvl w:ilvl="0">
      <w:lvlJc w:val="left"/>
      <w:lvlText w:val="(%1)"/>
      <w:numFmt w:val="lowerLetter"/>
      <w:start w:val="1"/>
    </w:lvl>
  </w:abstractNum>
  <w:abstractNum w:abstractNumId="284">
    <w:nsid w:val="7B14914E"/>
    <w:multiLevelType w:val="hybridMultilevel"/>
    <w:lvl w:ilvl="0">
      <w:lvlJc w:val="left"/>
      <w:lvlText w:val="%1."/>
      <w:numFmt w:val="decimal"/>
      <w:start w:val="10"/>
    </w:lvl>
  </w:abstractNum>
  <w:abstractNum w:abstractNumId="285">
    <w:nsid w:val="6F0939F8"/>
    <w:multiLevelType w:val="hybridMultilevel"/>
    <w:lvl w:ilvl="0">
      <w:lvlJc w:val="left"/>
      <w:lvlText w:val="(%1)"/>
      <w:numFmt w:val="lowerLetter"/>
      <w:start w:val="1"/>
    </w:lvl>
  </w:abstractNum>
  <w:abstractNum w:abstractNumId="286">
    <w:nsid w:val="154291F6"/>
    <w:multiLevelType w:val="hybridMultilevel"/>
    <w:lvl w:ilvl="0">
      <w:lvlJc w:val="left"/>
      <w:lvlText w:val="%1."/>
      <w:numFmt w:val="decimal"/>
      <w:start w:val="11"/>
    </w:lvl>
  </w:abstractNum>
  <w:abstractNum w:abstractNumId="287">
    <w:nsid w:val="3CEBD7C7"/>
    <w:multiLevelType w:val="hybridMultilevel"/>
    <w:lvl w:ilvl="0">
      <w:lvlJc w:val="left"/>
      <w:lvlText w:val="(%1)"/>
      <w:numFmt w:val="lowerLetter"/>
      <w:start w:val="1"/>
    </w:lvl>
  </w:abstractNum>
  <w:abstractNum w:abstractNumId="288">
    <w:nsid w:val="60EE9C16"/>
    <w:multiLevelType w:val="hybridMultilevel"/>
    <w:lvl w:ilvl="0">
      <w:lvlJc w:val="left"/>
      <w:lvlText w:val="%1."/>
      <w:numFmt w:val="decimal"/>
      <w:start w:val="12"/>
    </w:lvl>
  </w:abstractNum>
  <w:abstractNum w:abstractNumId="289">
    <w:nsid w:val="6385489E"/>
    <w:multiLevelType w:val="hybridMultilevel"/>
    <w:lvl w:ilvl="0">
      <w:lvlJc w:val="left"/>
      <w:lvlText w:val="(%1)"/>
      <w:numFmt w:val="lowerLetter"/>
      <w:start w:val="1"/>
    </w:lvl>
  </w:abstractNum>
  <w:abstractNum w:abstractNumId="290">
    <w:nsid w:val="E4B973"/>
    <w:multiLevelType w:val="hybridMultilevel"/>
    <w:lvl w:ilvl="0">
      <w:lvlJc w:val="left"/>
      <w:lvlText w:val="(%1)"/>
      <w:numFmt w:val="lowerLetter"/>
      <w:start w:val="2"/>
    </w:lvl>
  </w:abstractNum>
  <w:abstractNum w:abstractNumId="291">
    <w:nsid w:val="4A0FFA11"/>
    <w:multiLevelType w:val="hybridMultilevel"/>
    <w:lvl w:ilvl="0">
      <w:lvlJc w:val="left"/>
      <w:lvlText w:val="%1."/>
      <w:numFmt w:val="decimal"/>
      <w:start w:val="13"/>
    </w:lvl>
  </w:abstractNum>
  <w:abstractNum w:abstractNumId="292">
    <w:nsid w:val="5E446208"/>
    <w:multiLevelType w:val="hybridMultilevel"/>
    <w:lvl w:ilvl="0">
      <w:lvlJc w:val="left"/>
      <w:lvlText w:val="%1."/>
      <w:numFmt w:val="decimal"/>
      <w:start w:val="14"/>
    </w:lvl>
  </w:abstractNum>
  <w:abstractNum w:abstractNumId="293">
    <w:nsid w:val="5F3272DB"/>
    <w:multiLevelType w:val="hybridMultilevel"/>
    <w:lvl w:ilvl="0">
      <w:lvlJc w:val="left"/>
      <w:lvlText w:val="%1."/>
      <w:numFmt w:val="decimal"/>
      <w:start w:val="15"/>
    </w:lvl>
  </w:abstractNum>
  <w:abstractNum w:abstractNumId="294">
    <w:nsid w:val="7616D704"/>
    <w:multiLevelType w:val="hybridMultilevel"/>
    <w:lvl w:ilvl="0">
      <w:lvlJc w:val="left"/>
      <w:lvlText w:val="%1."/>
      <w:numFmt w:val="decimal"/>
      <w:start w:val="16"/>
    </w:lvl>
  </w:abstractNum>
  <w:abstractNum w:abstractNumId="295">
    <w:nsid w:val="C56F860"/>
    <w:multiLevelType w:val="hybridMultilevel"/>
    <w:lvl w:ilvl="0">
      <w:lvlJc w:val="left"/>
      <w:lvlText w:val="%1."/>
      <w:numFmt w:val="decimal"/>
      <w:start w:val="17"/>
    </w:lvl>
  </w:abstractNum>
  <w:abstractNum w:abstractNumId="296">
    <w:nsid w:val="64D17722"/>
    <w:multiLevelType w:val="hybridMultilevel"/>
    <w:lvl w:ilvl="0">
      <w:lvlJc w:val="left"/>
      <w:lvlText w:val="%1."/>
      <w:numFmt w:val="decimal"/>
      <w:start w:val="18"/>
    </w:lvl>
  </w:abstractNum>
  <w:abstractNum w:abstractNumId="297">
    <w:nsid w:val="7924CA0A"/>
    <w:multiLevelType w:val="hybridMultilevel"/>
    <w:lvl w:ilvl="0">
      <w:lvlJc w:val="left"/>
      <w:lvlText w:val="%1."/>
      <w:numFmt w:val="decimal"/>
      <w:start w:val="19"/>
    </w:lvl>
  </w:abstractNum>
  <w:abstractNum w:abstractNumId="298">
    <w:nsid w:val="CFD4EA7"/>
    <w:multiLevelType w:val="hybridMultilevel"/>
    <w:lvl w:ilvl="0">
      <w:lvlJc w:val="left"/>
      <w:lvlText w:val="%1."/>
      <w:numFmt w:val="decimal"/>
      <w:start w:val="20"/>
    </w:lvl>
  </w:abstractNum>
  <w:abstractNum w:abstractNumId="299">
    <w:nsid w:val="232FCF4D"/>
    <w:multiLevelType w:val="hybridMultilevel"/>
    <w:lvl w:ilvl="0">
      <w:lvlJc w:val="left"/>
      <w:lvlText w:val="%1."/>
      <w:numFmt w:val="decimal"/>
      <w:start w:val="21"/>
    </w:lvl>
  </w:abstractNum>
  <w:abstractNum w:abstractNumId="300">
    <w:nsid w:val="1EA21031"/>
    <w:multiLevelType w:val="hybridMultilevel"/>
    <w:lvl w:ilvl="0">
      <w:lvlJc w:val="left"/>
      <w:lvlText w:val="%1."/>
      <w:numFmt w:val="decimal"/>
      <w:start w:val="22"/>
    </w:lvl>
  </w:abstractNum>
  <w:abstractNum w:abstractNumId="301">
    <w:nsid w:val="67A5A6B5"/>
    <w:multiLevelType w:val="hybridMultilevel"/>
    <w:lvl w:ilvl="0">
      <w:lvlJc w:val="left"/>
      <w:lvlText w:val="%1."/>
      <w:numFmt w:val="decimal"/>
      <w:start w:val="23"/>
    </w:lvl>
  </w:abstractNum>
  <w:abstractNum w:abstractNumId="302">
    <w:nsid w:val="C2A5C5B"/>
    <w:multiLevelType w:val="hybridMultilevel"/>
    <w:lvl w:ilvl="0">
      <w:lvlJc w:val="left"/>
      <w:lvlText w:val="%1."/>
      <w:numFmt w:val="decimal"/>
      <w:start w:val="24"/>
    </w:lvl>
    <w:lvl w:ilvl="1">
      <w:lvlJc w:val="left"/>
      <w:lvlText w:val="(%2)"/>
      <w:numFmt w:val="lowerLetter"/>
      <w:start w:val="1"/>
    </w:lvl>
  </w:abstractNum>
  <w:abstractNum w:abstractNumId="303">
    <w:nsid w:val="5F94DC03"/>
    <w:multiLevelType w:val="hybridMultilevel"/>
    <w:lvl w:ilvl="0">
      <w:lvlJc w:val="left"/>
      <w:lvlText w:val="%1."/>
      <w:numFmt w:val="decimal"/>
      <w:start w:val="25"/>
    </w:lvl>
  </w:abstractNum>
  <w:abstractNum w:abstractNumId="304">
    <w:nsid w:val="237BBCA0"/>
    <w:multiLevelType w:val="hybridMultilevel"/>
    <w:lvl w:ilvl="0">
      <w:lvlJc w:val="left"/>
      <w:lvlText w:val="%1."/>
      <w:numFmt w:val="decimal"/>
      <w:start w:val="26"/>
    </w:lvl>
  </w:abstractNum>
  <w:abstractNum w:abstractNumId="305">
    <w:nsid w:val="162EB70D"/>
    <w:multiLevelType w:val="hybridMultilevel"/>
    <w:lvl w:ilvl="0">
      <w:lvlJc w:val="left"/>
      <w:lvlText w:val="%1."/>
      <w:numFmt w:val="decimal"/>
      <w:start w:val="1"/>
    </w:lvl>
  </w:abstractNum>
  <w:abstractNum w:abstractNumId="306">
    <w:nsid w:val="78070222"/>
    <w:multiLevelType w:val="hybridMultilevel"/>
    <w:lvl w:ilvl="0">
      <w:lvlJc w:val="left"/>
      <w:lvlText w:val="%1."/>
      <w:numFmt w:val="decimal"/>
      <w:start w:val="2"/>
    </w:lvl>
  </w:abstractNum>
  <w:abstractNum w:abstractNumId="307">
    <w:nsid w:val="6163ED0D"/>
    <w:multiLevelType w:val="hybridMultilevel"/>
    <w:lvl w:ilvl="0">
      <w:lvlJc w:val="left"/>
      <w:lvlText w:val="%1."/>
      <w:numFmt w:val="decimal"/>
      <w:start w:val="1"/>
    </w:lvl>
  </w:abstractNum>
  <w:abstractNum w:abstractNumId="308">
    <w:nsid w:val="C600E47"/>
    <w:multiLevelType w:val="hybridMultilevel"/>
    <w:lvl w:ilvl="0">
      <w:lvlJc w:val="left"/>
      <w:lvlText w:val="%1."/>
      <w:numFmt w:val="decimal"/>
      <w:start w:val="2"/>
    </w:lvl>
  </w:abstractNum>
  <w:abstractNum w:abstractNumId="309">
    <w:nsid w:val="7D94F75D"/>
    <w:multiLevelType w:val="hybridMultilevel"/>
    <w:lvl w:ilvl="0">
      <w:lvlJc w:val="left"/>
      <w:lvlText w:val="%1."/>
      <w:numFmt w:val="decimal"/>
      <w:start w:val="3"/>
    </w:lvl>
  </w:abstractNum>
  <w:abstractNum w:abstractNumId="310">
    <w:nsid w:val="6C31E7CD"/>
    <w:multiLevelType w:val="hybridMultilevel"/>
    <w:lvl w:ilvl="0">
      <w:lvlJc w:val="left"/>
      <w:lvlText w:val="(%1)"/>
      <w:numFmt w:val="lowerLetter"/>
      <w:start w:val="1"/>
    </w:lvl>
  </w:abstractNum>
  <w:abstractNum w:abstractNumId="311">
    <w:nsid w:val="2BB7929B"/>
    <w:multiLevelType w:val="hybridMultilevel"/>
    <w:lvl w:ilvl="0">
      <w:lvlJc w:val="left"/>
      <w:lvlText w:val="(%1)"/>
      <w:numFmt w:val="lowerLetter"/>
      <w:start w:val="3"/>
    </w:lvl>
  </w:abstractNum>
  <w:abstractNum w:abstractNumId="312">
    <w:nsid w:val="58A2A487"/>
    <w:multiLevelType w:val="hybridMultilevel"/>
    <w:lvl w:ilvl="0">
      <w:lvlJc w:val="left"/>
      <w:lvlText w:val="%1."/>
      <w:numFmt w:val="decimal"/>
      <w:start w:val="4"/>
    </w:lvl>
  </w:abstractNum>
  <w:abstractNum w:abstractNumId="313">
    <w:nsid w:val="3A6F0E78"/>
    <w:multiLevelType w:val="hybridMultilevel"/>
    <w:lvl w:ilvl="0">
      <w:lvlJc w:val="left"/>
      <w:lvlText w:val="%1."/>
      <w:numFmt w:val="decimal"/>
      <w:start w:val="5"/>
    </w:lvl>
  </w:abstractNum>
  <w:abstractNum w:abstractNumId="314">
    <w:nsid w:val="379A5B56"/>
    <w:multiLevelType w:val="hybridMultilevel"/>
    <w:lvl w:ilvl="0">
      <w:lvlJc w:val="left"/>
      <w:lvlText w:val="(%1)"/>
      <w:numFmt w:val="lowerLetter"/>
      <w:start w:val="1"/>
    </w:lvl>
  </w:abstractNum>
  <w:abstractNum w:abstractNumId="315">
    <w:nsid w:val="53B735D5"/>
    <w:multiLevelType w:val="hybridMultilevel"/>
    <w:lvl w:ilvl="0">
      <w:lvlJc w:val="left"/>
      <w:lvlText w:val="(%1)"/>
      <w:numFmt w:val="lowerLetter"/>
      <w:start w:val="2"/>
    </w:lvl>
  </w:abstractNum>
  <w:abstractNum w:abstractNumId="316">
    <w:nsid w:val="29784870"/>
    <w:multiLevelType w:val="hybridMultilevel"/>
    <w:lvl w:ilvl="0">
      <w:lvlJc w:val="left"/>
      <w:lvlText w:val="%1."/>
      <w:numFmt w:val="decimal"/>
      <w:start w:val="6"/>
    </w:lvl>
  </w:abstractNum>
  <w:abstractNum w:abstractNumId="317">
    <w:nsid w:val="4CDCED4C"/>
    <w:multiLevelType w:val="hybridMultilevel"/>
    <w:lvl w:ilvl="0">
      <w:lvlJc w:val="left"/>
      <w:lvlText w:val="(%1)"/>
      <w:numFmt w:val="lowerLetter"/>
      <w:start w:val="1"/>
    </w:lvl>
  </w:abstractNum>
  <w:abstractNum w:abstractNumId="318">
    <w:nsid w:val="10A30D9C"/>
    <w:multiLevelType w:val="hybridMultilevel"/>
    <w:lvl w:ilvl="0">
      <w:lvlJc w:val="left"/>
      <w:lvlText w:val="%1."/>
      <w:numFmt w:val="decimal"/>
      <w:start w:val="7"/>
    </w:lvl>
  </w:abstractNum>
  <w:abstractNum w:abstractNumId="319">
    <w:nsid w:val="A66E486"/>
    <w:multiLevelType w:val="hybridMultilevel"/>
    <w:lvl w:ilvl="0">
      <w:lvlJc w:val="left"/>
      <w:lvlText w:val="(%1)"/>
      <w:numFmt w:val="lowerLetter"/>
      <w:start w:val="1"/>
    </w:lvl>
    <w:lvl w:ilvl="1">
      <w:lvlJc w:val="left"/>
      <w:lvlText w:val="(%2)"/>
      <w:numFmt w:val="lowerRoman"/>
      <w:start w:val="1"/>
    </w:lvl>
  </w:abstractNum>
  <w:abstractNum w:abstractNumId="320">
    <w:nsid w:val="306235EA"/>
    <w:multiLevelType w:val="hybridMultilevel"/>
    <w:lvl w:ilvl="0">
      <w:lvlJc w:val="left"/>
      <w:lvlText w:val="(%1)"/>
      <w:numFmt w:val="lowerLetter"/>
      <w:start w:val="3"/>
    </w:lvl>
  </w:abstractNum>
  <w:abstractNum w:abstractNumId="321">
    <w:nsid w:val="1187C70F"/>
    <w:multiLevelType w:val="hybridMultilevel"/>
    <w:lvl w:ilvl="0">
      <w:lvlJc w:val="left"/>
      <w:lvlText w:val="%1"/>
      <w:numFmt w:val="lowerRoman"/>
      <w:start w:val="1"/>
    </w:lvl>
    <w:lvl w:ilvl="1">
      <w:lvlJc w:val="left"/>
      <w:lvlText w:val="(%2)"/>
      <w:numFmt w:val="lowerLetter"/>
      <w:start w:val="8"/>
    </w:lvl>
  </w:abstractNum>
  <w:abstractNum w:abstractNumId="322">
    <w:nsid w:val="5476DE98"/>
    <w:multiLevelType w:val="hybridMultilevel"/>
    <w:lvl w:ilvl="0">
      <w:lvlJc w:val="left"/>
      <w:lvlText w:val="(%1)"/>
      <w:numFmt w:val="lowerRoman"/>
      <w:start w:val="4"/>
    </w:lvl>
    <w:lvl w:ilvl="1">
      <w:lvlJc w:val="left"/>
      <w:lvlText w:val="(%2)"/>
      <w:numFmt w:val="lowerLetter"/>
      <w:start w:val="10"/>
    </w:lvl>
  </w:abstractNum>
  <w:abstractNum w:abstractNumId="323">
    <w:nsid w:val="EA697F2"/>
    <w:multiLevelType w:val="hybridMultilevel"/>
    <w:lvl w:ilvl="0">
      <w:lvlJc w:val="left"/>
      <w:lvlText w:val="(%1)"/>
      <w:numFmt w:val="lowerRoman"/>
      <w:start w:val="1"/>
    </w:lvl>
  </w:abstractNum>
  <w:abstractNum w:abstractNumId="324">
    <w:nsid w:val="70BA39EB"/>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25">
    <w:nsid w:val="4A8DB59C"/>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326">
    <w:nsid w:val="1AFD9053"/>
    <w:multiLevelType w:val="hybridMultilevel"/>
    <w:lvl w:ilvl="0">
      <w:lvlJc w:val="left"/>
      <w:lvlText w:val="%1."/>
      <w:numFmt w:val="decimal"/>
      <w:start w:val="8"/>
    </w:lvl>
  </w:abstractNum>
  <w:abstractNum w:abstractNumId="327">
    <w:nsid w:val="558BB10D"/>
    <w:multiLevelType w:val="hybridMultilevel"/>
    <w:lvl w:ilvl="0">
      <w:lvlJc w:val="left"/>
      <w:lvlText w:val="(%1)"/>
      <w:numFmt w:val="lowerLetter"/>
      <w:start w:val="1"/>
    </w:lvl>
  </w:abstractNum>
  <w:abstractNum w:abstractNumId="328">
    <w:nsid w:val="43B27FA7"/>
    <w:multiLevelType w:val="hybridMultilevel"/>
    <w:lvl w:ilvl="0">
      <w:lvlJc w:val="left"/>
      <w:lvlText w:val="(%1)"/>
      <w:numFmt w:val="lowerLetter"/>
      <w:start w:val="2"/>
    </w:lvl>
    <w:lvl w:ilvl="1">
      <w:lvlJc w:val="left"/>
      <w:lvlText w:val="(%2)"/>
      <w:numFmt w:val="lowerRoman"/>
      <w:start w:val="1"/>
    </w:lvl>
  </w:abstractNum>
  <w:abstractNum w:abstractNumId="329">
    <w:nsid w:val="27FADEFA"/>
    <w:multiLevelType w:val="hybridMultilevel"/>
    <w:lvl w:ilvl="0">
      <w:lvlJc w:val="left"/>
      <w:lvlText w:val="(%1)"/>
      <w:numFmt w:val="lowerLetter"/>
      <w:start w:val="6"/>
    </w:lvl>
    <w:lvl w:ilvl="1">
      <w:lvlJc w:val="left"/>
      <w:lvlText w:val="(%2)"/>
      <w:numFmt w:val="lowerRoman"/>
      <w:start w:val="1"/>
    </w:lvl>
  </w:abstractNum>
  <w:abstractNum w:abstractNumId="330">
    <w:nsid w:val="78BB805A"/>
    <w:multiLevelType w:val="hybridMultilevel"/>
    <w:lvl w:ilvl="0">
      <w:lvlJc w:val="left"/>
      <w:lvlText w:val="%1."/>
      <w:numFmt w:val="decimal"/>
      <w:start w:val="9"/>
    </w:lvl>
  </w:abstractNum>
  <w:abstractNum w:abstractNumId="331">
    <w:nsid w:val="62548FD8"/>
    <w:multiLevelType w:val="hybridMultilevel"/>
    <w:lvl w:ilvl="0">
      <w:lvlJc w:val="left"/>
      <w:lvlText w:val="(%1)"/>
      <w:numFmt w:val="lowerLetter"/>
      <w:start w:val="1"/>
    </w:lvl>
  </w:abstractNum>
  <w:abstractNum w:abstractNumId="332">
    <w:nsid w:val="FA085B0"/>
    <w:multiLevelType w:val="hybridMultilevel"/>
    <w:lvl w:ilvl="0">
      <w:lvlJc w:val="left"/>
      <w:lvlText w:val="%1."/>
      <w:numFmt w:val="decimal"/>
      <w:start w:val="10"/>
    </w:lvl>
  </w:abstractNum>
  <w:abstractNum w:abstractNumId="333">
    <w:nsid w:val="4E5DCB5"/>
    <w:multiLevelType w:val="hybridMultilevel"/>
    <w:lvl w:ilvl="0">
      <w:lvlJc w:val="left"/>
      <w:lvlText w:val="(%1)"/>
      <w:numFmt w:val="lowerLetter"/>
      <w:start w:val="1"/>
    </w:lvl>
  </w:abstractNum>
  <w:abstractNum w:abstractNumId="334">
    <w:nsid w:val="41E96BDB"/>
    <w:multiLevelType w:val="hybridMultilevel"/>
    <w:lvl w:ilvl="0">
      <w:lvlJc w:val="left"/>
      <w:lvlText w:val="%1."/>
      <w:numFmt w:val="decimal"/>
      <w:start w:val="11"/>
    </w:lvl>
  </w:abstractNum>
  <w:abstractNum w:abstractNumId="335">
    <w:nsid w:val="331C4250"/>
    <w:multiLevelType w:val="hybridMultilevel"/>
    <w:lvl w:ilvl="0">
      <w:lvlJc w:val="left"/>
      <w:lvlText w:val="(%1)"/>
      <w:numFmt w:val="lowerLetter"/>
      <w:start w:val="1"/>
    </w:lvl>
  </w:abstractNum>
  <w:abstractNum w:abstractNumId="336">
    <w:nsid w:val="1B1493C2"/>
    <w:multiLevelType w:val="hybridMultilevel"/>
    <w:lvl w:ilvl="0">
      <w:lvlJc w:val="left"/>
      <w:lvlText w:val="%1."/>
      <w:numFmt w:val="decimal"/>
      <w:start w:val="12"/>
    </w:lvl>
  </w:abstractNum>
  <w:abstractNum w:abstractNumId="337">
    <w:nsid w:val="39F06DFD"/>
    <w:multiLevelType w:val="hybridMultilevel"/>
    <w:lvl w:ilvl="0">
      <w:lvlJc w:val="left"/>
      <w:lvlText w:val="(%1)"/>
      <w:numFmt w:val="lowerLetter"/>
      <w:start w:val="1"/>
    </w:lvl>
  </w:abstractNum>
  <w:abstractNum w:abstractNumId="338">
    <w:nsid w:val="14802F5D"/>
    <w:multiLevelType w:val="hybridMultilevel"/>
    <w:lvl w:ilvl="0">
      <w:lvlJc w:val="left"/>
      <w:lvlText w:val="(%1)"/>
      <w:numFmt w:val="lowerLetter"/>
      <w:start w:val="2"/>
    </w:lvl>
  </w:abstractNum>
  <w:abstractNum w:abstractNumId="339">
    <w:nsid w:val="2774A209"/>
    <w:multiLevelType w:val="hybridMultilevel"/>
    <w:lvl w:ilvl="0">
      <w:lvlJc w:val="left"/>
      <w:lvlText w:val="%1."/>
      <w:numFmt w:val="decimal"/>
      <w:start w:val="13"/>
    </w:lvl>
  </w:abstractNum>
  <w:abstractNum w:abstractNumId="340">
    <w:nsid w:val="3785655A"/>
    <w:multiLevelType w:val="hybridMultilevel"/>
    <w:lvl w:ilvl="0">
      <w:lvlJc w:val="left"/>
      <w:lvlText w:val="%1."/>
      <w:numFmt w:val="decimal"/>
      <w:start w:val="14"/>
    </w:lvl>
  </w:abstractNum>
  <w:abstractNum w:abstractNumId="341">
    <w:nsid w:val="B2172A"/>
    <w:multiLevelType w:val="hybridMultilevel"/>
    <w:lvl w:ilvl="0">
      <w:lvlJc w:val="left"/>
      <w:lvlText w:val="%1."/>
      <w:numFmt w:val="decimal"/>
      <w:start w:val="15"/>
    </w:lvl>
  </w:abstractNum>
  <w:abstractNum w:abstractNumId="342">
    <w:nsid w:val="532C34A5"/>
    <w:multiLevelType w:val="hybridMultilevel"/>
    <w:lvl w:ilvl="0">
      <w:lvlJc w:val="left"/>
      <w:lvlText w:val="%1."/>
      <w:numFmt w:val="decimal"/>
      <w:start w:val="16"/>
    </w:lvl>
  </w:abstractNum>
  <w:abstractNum w:abstractNumId="343">
    <w:nsid w:val="102809E2"/>
    <w:multiLevelType w:val="hybridMultilevel"/>
    <w:lvl w:ilvl="0">
      <w:lvlJc w:val="left"/>
      <w:lvlText w:val="%1."/>
      <w:numFmt w:val="decimal"/>
      <w:start w:val="17"/>
    </w:lvl>
  </w:abstractNum>
  <w:abstractNum w:abstractNumId="344">
    <w:nsid w:val="3B2125A3"/>
    <w:multiLevelType w:val="hybridMultilevel"/>
    <w:lvl w:ilvl="0">
      <w:lvlJc w:val="left"/>
      <w:lvlText w:val="%1."/>
      <w:numFmt w:val="decimal"/>
      <w:start w:val="18"/>
    </w:lvl>
  </w:abstractNum>
  <w:abstractNum w:abstractNumId="345">
    <w:nsid w:val="AC68FFB"/>
    <w:multiLevelType w:val="hybridMultilevel"/>
    <w:lvl w:ilvl="0">
      <w:lvlJc w:val="left"/>
      <w:lvlText w:val="%1."/>
      <w:numFmt w:val="decimal"/>
      <w:start w:val="19"/>
    </w:lvl>
  </w:abstractNum>
  <w:abstractNum w:abstractNumId="346">
    <w:nsid w:val="63DF3FB7"/>
    <w:multiLevelType w:val="hybridMultilevel"/>
    <w:lvl w:ilvl="0">
      <w:lvlJc w:val="left"/>
      <w:lvlText w:val="%1."/>
      <w:numFmt w:val="decimal"/>
      <w:start w:val="20"/>
    </w:lvl>
  </w:abstractNum>
  <w:abstractNum w:abstractNumId="347">
    <w:nsid w:val="64996E13"/>
    <w:multiLevelType w:val="hybridMultilevel"/>
    <w:lvl w:ilvl="0">
      <w:lvlJc w:val="left"/>
      <w:lvlText w:val="%1."/>
      <w:numFmt w:val="decimal"/>
      <w:start w:val="21"/>
    </w:lvl>
  </w:abstractNum>
  <w:abstractNum w:abstractNumId="348">
    <w:nsid w:val="57A37D47"/>
    <w:multiLevelType w:val="hybridMultilevel"/>
    <w:lvl w:ilvl="0">
      <w:lvlJc w:val="left"/>
      <w:lvlText w:val="%1."/>
      <w:numFmt w:val="decimal"/>
      <w:start w:val="22"/>
    </w:lvl>
  </w:abstractNum>
  <w:abstractNum w:abstractNumId="349">
    <w:nsid w:val="74824D54"/>
    <w:multiLevelType w:val="hybridMultilevel"/>
    <w:lvl w:ilvl="0">
      <w:lvlJc w:val="left"/>
      <w:lvlText w:val="%1."/>
      <w:numFmt w:val="decimal"/>
      <w:start w:val="23"/>
    </w:lvl>
  </w:abstractNum>
  <w:abstractNum w:abstractNumId="350">
    <w:nsid w:val="6F00529A"/>
    <w:multiLevelType w:val="hybridMultilevel"/>
    <w:lvl w:ilvl="0">
      <w:lvlJc w:val="left"/>
      <w:lvlText w:val="%1."/>
      <w:numFmt w:val="decimal"/>
      <w:start w:val="24"/>
    </w:lvl>
    <w:lvl w:ilvl="1">
      <w:lvlJc w:val="left"/>
      <w:lvlText w:val="(%2)"/>
      <w:numFmt w:val="lowerLetter"/>
      <w:start w:val="1"/>
    </w:lvl>
  </w:abstractNum>
  <w:abstractNum w:abstractNumId="351">
    <w:nsid w:val="805B331"/>
    <w:multiLevelType w:val="hybridMultilevel"/>
    <w:lvl w:ilvl="0">
      <w:lvlJc w:val="left"/>
      <w:lvlText w:val="%1."/>
      <w:numFmt w:val="decimal"/>
      <w:start w:val="25"/>
    </w:lvl>
  </w:abstractNum>
  <w:abstractNum w:abstractNumId="352">
    <w:nsid w:val="60A1463"/>
    <w:multiLevelType w:val="hybridMultilevel"/>
    <w:lvl w:ilvl="0">
      <w:lvlJc w:val="left"/>
      <w:lvlText w:val="%1."/>
      <w:numFmt w:val="decimal"/>
      <w:start w:val="26"/>
    </w:lvl>
  </w:abstractNum>
  <w:abstractNum w:abstractNumId="353">
    <w:nsid w:val="43773132"/>
    <w:multiLevelType w:val="hybridMultilevel"/>
    <w:lvl w:ilvl="0">
      <w:lvlJc w:val="left"/>
      <w:lvlText w:val="%1."/>
      <w:numFmt w:val="decimal"/>
      <w:start w:val="1"/>
    </w:lvl>
  </w:abstractNum>
  <w:abstractNum w:abstractNumId="354">
    <w:nsid w:val="16AC4B23"/>
    <w:multiLevelType w:val="hybridMultilevel"/>
    <w:lvl w:ilvl="0">
      <w:lvlJc w:val="left"/>
      <w:lvlText w:val="%1."/>
      <w:numFmt w:val="decimal"/>
      <w:start w:val="2"/>
    </w:lvl>
  </w:abstractNum>
  <w:abstractNum w:abstractNumId="355">
    <w:nsid w:val="76C44E4E"/>
    <w:multiLevelType w:val="hybridMultilevel"/>
    <w:lvl w:ilvl="0">
      <w:lvlJc w:val="left"/>
      <w:lvlText w:val="%1."/>
      <w:numFmt w:val="decimal"/>
      <w:start w:val="1"/>
    </w:lvl>
  </w:abstractNum>
  <w:abstractNum w:abstractNumId="356">
    <w:nsid w:val="E04E6CE"/>
    <w:multiLevelType w:val="hybridMultilevel"/>
    <w:lvl w:ilvl="0">
      <w:lvlJc w:val="left"/>
      <w:lvlText w:val="%1."/>
      <w:numFmt w:val="decimal"/>
      <w:start w:val="2"/>
    </w:lvl>
  </w:abstractNum>
  <w:abstractNum w:abstractNumId="357">
    <w:nsid w:val="31A9DB76"/>
    <w:multiLevelType w:val="hybridMultilevel"/>
    <w:lvl w:ilvl="0">
      <w:lvlJc w:val="left"/>
      <w:lvlText w:val="%1."/>
      <w:numFmt w:val="decimal"/>
      <w:start w:val="3"/>
    </w:lvl>
  </w:abstractNum>
  <w:abstractNum w:abstractNumId="358">
    <w:nsid w:val="4C4FFF5B"/>
    <w:multiLevelType w:val="hybridMultilevel"/>
    <w:lvl w:ilvl="0">
      <w:lvlJc w:val="left"/>
      <w:lvlText w:val="(%1)"/>
      <w:numFmt w:val="lowerLetter"/>
      <w:start w:val="1"/>
    </w:lvl>
  </w:abstractNum>
  <w:abstractNum w:abstractNumId="359">
    <w:nsid w:val="51B76675"/>
    <w:multiLevelType w:val="hybridMultilevel"/>
    <w:lvl w:ilvl="0">
      <w:lvlJc w:val="left"/>
      <w:lvlText w:val="(%1)"/>
      <w:numFmt w:val="lowerLetter"/>
      <w:start w:val="3"/>
    </w:lvl>
  </w:abstractNum>
  <w:abstractNum w:abstractNumId="360">
    <w:nsid w:val="59A4BA71"/>
    <w:multiLevelType w:val="hybridMultilevel"/>
    <w:lvl w:ilvl="0">
      <w:lvlJc w:val="left"/>
      <w:lvlText w:val="%1."/>
      <w:numFmt w:val="decimal"/>
      <w:start w:val="4"/>
    </w:lvl>
  </w:abstractNum>
  <w:abstractNum w:abstractNumId="361">
    <w:nsid w:val="450B7FB6"/>
    <w:multiLevelType w:val="hybridMultilevel"/>
    <w:lvl w:ilvl="0">
      <w:lvlJc w:val="left"/>
      <w:lvlText w:val="%1."/>
      <w:numFmt w:val="decimal"/>
      <w:start w:val="5"/>
    </w:lvl>
  </w:abstractNum>
  <w:abstractNum w:abstractNumId="362">
    <w:nsid w:val="340BF64D"/>
    <w:multiLevelType w:val="hybridMultilevel"/>
    <w:lvl w:ilvl="0">
      <w:lvlJc w:val="left"/>
      <w:lvlText w:val="(%1)"/>
      <w:numFmt w:val="lowerLetter"/>
      <w:start w:val="1"/>
    </w:lvl>
  </w:abstractNum>
  <w:abstractNum w:abstractNumId="363">
    <w:nsid w:val="69454021"/>
    <w:multiLevelType w:val="hybridMultilevel"/>
    <w:lvl w:ilvl="0">
      <w:lvlJc w:val="left"/>
      <w:lvlText w:val="(%1)"/>
      <w:numFmt w:val="lowerLetter"/>
      <w:start w:val="2"/>
    </w:lvl>
  </w:abstractNum>
  <w:abstractNum w:abstractNumId="364">
    <w:nsid w:val="49F15C6B"/>
    <w:multiLevelType w:val="hybridMultilevel"/>
    <w:lvl w:ilvl="0">
      <w:lvlJc w:val="left"/>
      <w:lvlText w:val="%1."/>
      <w:numFmt w:val="decimal"/>
      <w:start w:val="6"/>
    </w:lvl>
  </w:abstractNum>
  <w:abstractNum w:abstractNumId="365">
    <w:nsid w:val="75F56228"/>
    <w:multiLevelType w:val="hybridMultilevel"/>
    <w:lvl w:ilvl="0">
      <w:lvlJc w:val="left"/>
      <w:lvlText w:val="(%1)"/>
      <w:numFmt w:val="lowerLetter"/>
      <w:start w:val="1"/>
    </w:lvl>
  </w:abstractNum>
  <w:abstractNum w:abstractNumId="366">
    <w:nsid w:val="1C618271"/>
    <w:multiLevelType w:val="hybridMultilevel"/>
    <w:lvl w:ilvl="0">
      <w:lvlJc w:val="left"/>
      <w:lvlText w:val="%1."/>
      <w:numFmt w:val="decimal"/>
      <w:start w:val="7"/>
    </w:lvl>
  </w:abstractNum>
  <w:abstractNum w:abstractNumId="367">
    <w:nsid w:val="6505F02E"/>
    <w:multiLevelType w:val="hybridMultilevel"/>
    <w:lvl w:ilvl="0">
      <w:lvlJc w:val="left"/>
      <w:lvlText w:val="(%1)"/>
      <w:numFmt w:val="lowerLetter"/>
      <w:start w:val="1"/>
    </w:lvl>
    <w:lvl w:ilvl="1">
      <w:lvlJc w:val="left"/>
      <w:lvlText w:val="(%2)"/>
      <w:numFmt w:val="lowerRoman"/>
      <w:start w:val="1"/>
    </w:lvl>
  </w:abstractNum>
  <w:abstractNum w:abstractNumId="368">
    <w:nsid w:val="2FE5D025"/>
    <w:multiLevelType w:val="hybridMultilevel"/>
    <w:lvl w:ilvl="0">
      <w:lvlJc w:val="left"/>
      <w:lvlText w:val="(%1)"/>
      <w:numFmt w:val="lowerLetter"/>
      <w:start w:val="3"/>
    </w:lvl>
  </w:abstractNum>
  <w:abstractNum w:abstractNumId="369">
    <w:nsid w:val="30E1B1CF"/>
    <w:multiLevelType w:val="hybridMultilevel"/>
    <w:lvl w:ilvl="0">
      <w:lvlJc w:val="left"/>
      <w:lvlText w:val="%1"/>
      <w:numFmt w:val="lowerRoman"/>
      <w:start w:val="1"/>
    </w:lvl>
    <w:lvl w:ilvl="1">
      <w:lvlJc w:val="left"/>
      <w:lvlText w:val="(%2)"/>
      <w:numFmt w:val="lowerLetter"/>
      <w:start w:val="8"/>
    </w:lvl>
  </w:abstractNum>
  <w:abstractNum w:abstractNumId="370">
    <w:nsid w:val="C7A9237"/>
    <w:multiLevelType w:val="hybridMultilevel"/>
    <w:lvl w:ilvl="0">
      <w:lvlJc w:val="left"/>
      <w:lvlText w:val="(%1)"/>
      <w:numFmt w:val="lowerRoman"/>
      <w:start w:val="4"/>
    </w:lvl>
    <w:lvl w:ilvl="1">
      <w:lvlJc w:val="left"/>
      <w:lvlText w:val="(%2)"/>
      <w:numFmt w:val="lowerLetter"/>
      <w:start w:val="10"/>
    </w:lvl>
  </w:abstractNum>
  <w:abstractNum w:abstractNumId="371">
    <w:nsid w:val="676B3580"/>
    <w:multiLevelType w:val="hybridMultilevel"/>
    <w:lvl w:ilvl="0">
      <w:lvlJc w:val="left"/>
      <w:lvlText w:val="(%1)"/>
      <w:numFmt w:val="lowerRoman"/>
      <w:start w:val="1"/>
    </w:lvl>
  </w:abstractNum>
  <w:abstractNum w:abstractNumId="372">
    <w:nsid w:val="3193C8F9"/>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73">
    <w:nsid w:val="5FA6C6DC"/>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374">
    <w:nsid w:val="77933F62"/>
    <w:multiLevelType w:val="hybridMultilevel"/>
    <w:lvl w:ilvl="0">
      <w:lvlJc w:val="left"/>
      <w:lvlText w:val="%1."/>
      <w:numFmt w:val="decimal"/>
      <w:start w:val="8"/>
    </w:lvl>
  </w:abstractNum>
  <w:abstractNum w:abstractNumId="375">
    <w:nsid w:val="6CB4EE9C"/>
    <w:multiLevelType w:val="hybridMultilevel"/>
    <w:lvl w:ilvl="0">
      <w:lvlJc w:val="left"/>
      <w:lvlText w:val="(%1)"/>
      <w:numFmt w:val="lowerLetter"/>
      <w:start w:val="1"/>
    </w:lvl>
  </w:abstractNum>
  <w:abstractNum w:abstractNumId="376">
    <w:nsid w:val="6A6D56D7"/>
    <w:multiLevelType w:val="hybridMultilevel"/>
    <w:lvl w:ilvl="0">
      <w:lvlJc w:val="left"/>
      <w:lvlText w:val="(%1)"/>
      <w:numFmt w:val="lowerLetter"/>
      <w:start w:val="2"/>
    </w:lvl>
    <w:lvl w:ilvl="1">
      <w:lvlJc w:val="left"/>
      <w:lvlText w:val="(%2)"/>
      <w:numFmt w:val="lowerRoman"/>
      <w:start w:val="1"/>
    </w:lvl>
  </w:abstractNum>
  <w:abstractNum w:abstractNumId="377">
    <w:nsid w:val="5B727F19"/>
    <w:multiLevelType w:val="hybridMultilevel"/>
    <w:lvl w:ilvl="0">
      <w:lvlJc w:val="left"/>
      <w:lvlText w:val="(%1)"/>
      <w:numFmt w:val="lowerLetter"/>
      <w:start w:val="6"/>
    </w:lvl>
    <w:lvl w:ilvl="1">
      <w:lvlJc w:val="left"/>
      <w:lvlText w:val="(%2)"/>
      <w:numFmt w:val="lowerRoman"/>
      <w:start w:val="1"/>
    </w:lvl>
  </w:abstractNum>
  <w:abstractNum w:abstractNumId="378">
    <w:nsid w:val="514E5CB0"/>
    <w:multiLevelType w:val="hybridMultilevel"/>
    <w:lvl w:ilvl="0">
      <w:lvlJc w:val="left"/>
      <w:lvlText w:val="%1."/>
      <w:numFmt w:val="decimal"/>
      <w:start w:val="9"/>
    </w:lvl>
  </w:abstractNum>
  <w:abstractNum w:abstractNumId="379">
    <w:nsid w:val="4210D41E"/>
    <w:multiLevelType w:val="hybridMultilevel"/>
    <w:lvl w:ilvl="0">
      <w:lvlJc w:val="left"/>
      <w:lvlText w:val="(%1)"/>
      <w:numFmt w:val="lowerLetter"/>
      <w:start w:val="1"/>
    </w:lvl>
  </w:abstractNum>
  <w:abstractNum w:abstractNumId="380">
    <w:nsid w:val="4FF4CC6D"/>
    <w:multiLevelType w:val="hybridMultilevel"/>
    <w:lvl w:ilvl="0">
      <w:lvlJc w:val="left"/>
      <w:lvlText w:val="%1."/>
      <w:numFmt w:val="decimal"/>
      <w:start w:val="10"/>
    </w:lvl>
  </w:abstractNum>
  <w:abstractNum w:abstractNumId="381">
    <w:nsid w:val="404EAF4A"/>
    <w:multiLevelType w:val="hybridMultilevel"/>
    <w:lvl w:ilvl="0">
      <w:lvlJc w:val="left"/>
      <w:lvlText w:val="%1"/>
      <w:numFmt w:val="lowerLetter"/>
      <w:start w:val="1"/>
    </w:lvl>
    <w:lvl w:ilvl="1">
      <w:lvlJc w:val="left"/>
      <w:lvlText w:val="(%2)"/>
      <w:numFmt w:val="lowerLetter"/>
      <w:start w:val="1"/>
    </w:lvl>
  </w:abstractNum>
  <w:abstractNum w:abstractNumId="382">
    <w:nsid w:val="4A16874F"/>
    <w:multiLevelType w:val="hybridMultilevel"/>
    <w:lvl w:ilvl="0">
      <w:lvlJc w:val="left"/>
      <w:lvlText w:val="(%1)"/>
      <w:numFmt w:val="lowerLetter"/>
      <w:start w:val="2"/>
    </w:lvl>
    <w:lvl w:ilvl="1">
      <w:lvlJc w:val="left"/>
      <w:lvlText w:val="%2"/>
      <w:numFmt w:val="lowerLetter"/>
      <w:start w:val="1"/>
    </w:lvl>
  </w:abstractNum>
  <w:abstractNum w:abstractNumId="383">
    <w:nsid w:val="55FEE0D1"/>
    <w:multiLevelType w:val="hybridMultilevel"/>
    <w:lvl w:ilvl="0">
      <w:lvlJc w:val="left"/>
      <w:lvlText w:val="%1."/>
      <w:numFmt w:val="decimal"/>
      <w:start w:val="11"/>
    </w:lvl>
  </w:abstractNum>
  <w:abstractNum w:abstractNumId="384">
    <w:nsid w:val="3C5E07C"/>
    <w:multiLevelType w:val="hybridMultilevel"/>
    <w:lvl w:ilvl="0">
      <w:lvlJc w:val="left"/>
      <w:lvlText w:val="(%1)"/>
      <w:numFmt w:val="lowerLetter"/>
      <w:start w:val="1"/>
    </w:lvl>
  </w:abstractNum>
  <w:abstractNum w:abstractNumId="385">
    <w:nsid w:val="60C2D273"/>
    <w:multiLevelType w:val="hybridMultilevel"/>
    <w:lvl w:ilvl="0">
      <w:lvlJc w:val="left"/>
      <w:lvlText w:val="%1."/>
      <w:numFmt w:val="decimal"/>
      <w:start w:val="12"/>
    </w:lvl>
  </w:abstractNum>
  <w:abstractNum w:abstractNumId="386">
    <w:nsid w:val="4CC32F1F"/>
    <w:multiLevelType w:val="hybridMultilevel"/>
    <w:lvl w:ilvl="0">
      <w:lvlJc w:val="left"/>
      <w:lvlText w:val="(%1)"/>
      <w:numFmt w:val="lowerLetter"/>
      <w:start w:val="1"/>
    </w:lvl>
  </w:abstractNum>
  <w:abstractNum w:abstractNumId="387">
    <w:nsid w:val="11CAC74A"/>
    <w:multiLevelType w:val="hybridMultilevel"/>
    <w:lvl w:ilvl="0">
      <w:lvlJc w:val="left"/>
      <w:lvlText w:val="(%1)"/>
      <w:numFmt w:val="lowerLetter"/>
      <w:start w:val="2"/>
    </w:lvl>
  </w:abstractNum>
  <w:abstractNum w:abstractNumId="388">
    <w:nsid w:val="126CADE9"/>
    <w:multiLevelType w:val="hybridMultilevel"/>
    <w:lvl w:ilvl="0">
      <w:lvlJc w:val="left"/>
      <w:lvlText w:val="%1."/>
      <w:numFmt w:val="decimal"/>
      <w:start w:val="13"/>
    </w:lvl>
  </w:abstractNum>
  <w:abstractNum w:abstractNumId="389">
    <w:nsid w:val="19132E7B"/>
    <w:multiLevelType w:val="hybridMultilevel"/>
    <w:lvl w:ilvl="0">
      <w:lvlJc w:val="left"/>
      <w:lvlText w:val="%1."/>
      <w:numFmt w:val="decimal"/>
      <w:start w:val="14"/>
    </w:lvl>
  </w:abstractNum>
  <w:abstractNum w:abstractNumId="390">
    <w:nsid w:val="63822DC0"/>
    <w:multiLevelType w:val="hybridMultilevel"/>
    <w:lvl w:ilvl="0">
      <w:lvlJc w:val="left"/>
      <w:lvlText w:val="%1."/>
      <w:numFmt w:val="decimal"/>
      <w:start w:val="15"/>
    </w:lvl>
  </w:abstractNum>
  <w:abstractNum w:abstractNumId="391">
    <w:nsid w:val="6C11685A"/>
    <w:multiLevelType w:val="hybridMultilevel"/>
    <w:lvl w:ilvl="0">
      <w:lvlJc w:val="left"/>
      <w:lvlText w:val="%1."/>
      <w:numFmt w:val="decimal"/>
      <w:start w:val="16"/>
    </w:lvl>
  </w:abstractNum>
  <w:abstractNum w:abstractNumId="392">
    <w:nsid w:val="5E1EAE31"/>
    <w:multiLevelType w:val="hybridMultilevel"/>
    <w:lvl w:ilvl="0">
      <w:lvlJc w:val="left"/>
      <w:lvlText w:val="%1."/>
      <w:numFmt w:val="decimal"/>
      <w:start w:val="17"/>
    </w:lvl>
  </w:abstractNum>
  <w:abstractNum w:abstractNumId="393">
    <w:nsid w:val="178E240D"/>
    <w:multiLevelType w:val="hybridMultilevel"/>
    <w:lvl w:ilvl="0">
      <w:lvlJc w:val="left"/>
      <w:lvlText w:val="%1."/>
      <w:numFmt w:val="decimal"/>
      <w:start w:val="18"/>
    </w:lvl>
  </w:abstractNum>
  <w:abstractNum w:abstractNumId="394">
    <w:nsid w:val="5556A87B"/>
    <w:multiLevelType w:val="hybridMultilevel"/>
    <w:lvl w:ilvl="0">
      <w:lvlJc w:val="left"/>
      <w:lvlText w:val="%1."/>
      <w:numFmt w:val="decimal"/>
      <w:start w:val="19"/>
    </w:lvl>
  </w:abstractNum>
  <w:abstractNum w:abstractNumId="395">
    <w:nsid w:val="28100A9C"/>
    <w:multiLevelType w:val="hybridMultilevel"/>
    <w:lvl w:ilvl="0">
      <w:lvlJc w:val="left"/>
      <w:lvlText w:val="%1."/>
      <w:numFmt w:val="decimal"/>
      <w:start w:val="20"/>
    </w:lvl>
  </w:abstractNum>
  <w:abstractNum w:abstractNumId="396">
    <w:nsid w:val="D838636"/>
    <w:multiLevelType w:val="hybridMultilevel"/>
    <w:lvl w:ilvl="0">
      <w:lvlJc w:val="left"/>
      <w:lvlText w:val="%1."/>
      <w:numFmt w:val="decimal"/>
      <w:start w:val="21"/>
    </w:lvl>
  </w:abstractNum>
  <w:abstractNum w:abstractNumId="397">
    <w:nsid w:val="71B82AED"/>
    <w:multiLevelType w:val="hybridMultilevel"/>
    <w:lvl w:ilvl="0">
      <w:lvlJc w:val="left"/>
      <w:lvlText w:val="%1."/>
      <w:numFmt w:val="decimal"/>
      <w:start w:val="22"/>
    </w:lvl>
  </w:abstractNum>
  <w:abstractNum w:abstractNumId="398">
    <w:nsid w:val="D15FACA"/>
    <w:multiLevelType w:val="hybridMultilevel"/>
    <w:lvl w:ilvl="0">
      <w:lvlJc w:val="left"/>
      <w:lvlText w:val="%1."/>
      <w:numFmt w:val="decimal"/>
      <w:start w:val="23"/>
    </w:lvl>
  </w:abstractNum>
  <w:abstractNum w:abstractNumId="399">
    <w:nsid w:val="3D69565B"/>
    <w:multiLevelType w:val="hybridMultilevel"/>
    <w:lvl w:ilvl="0">
      <w:lvlJc w:val="left"/>
      <w:lvlText w:val="%1."/>
      <w:numFmt w:val="decimal"/>
      <w:start w:val="24"/>
    </w:lvl>
  </w:abstractNum>
  <w:abstractNum w:abstractNumId="400">
    <w:nsid w:val="2299DCBC"/>
    <w:multiLevelType w:val="hybridMultilevel"/>
    <w:lvl w:ilvl="0">
      <w:lvlJc w:val="left"/>
      <w:lvlText w:val="(%1)"/>
      <w:numFmt w:val="lowerLetter"/>
      <w:start w:val="1"/>
    </w:lvl>
  </w:abstractNum>
  <w:abstractNum w:abstractNumId="401">
    <w:nsid w:val="19908D02"/>
    <w:multiLevelType w:val="hybridMultilevel"/>
    <w:lvl w:ilvl="0">
      <w:lvlJc w:val="left"/>
      <w:lvlText w:val="%1."/>
      <w:numFmt w:val="decimal"/>
      <w:start w:val="25"/>
    </w:lvl>
  </w:abstractNum>
  <w:abstractNum w:abstractNumId="402">
    <w:nsid w:val="24D48BDB"/>
    <w:multiLevelType w:val="hybridMultilevel"/>
    <w:lvl w:ilvl="0">
      <w:lvlJc w:val="left"/>
      <w:lvlText w:val="%1."/>
      <w:numFmt w:val="decimal"/>
      <w:start w:val="26"/>
    </w:lvl>
  </w:abstractNum>
  <w:abstractNum w:abstractNumId="403">
    <w:nsid w:val="542DA5B5"/>
    <w:multiLevelType w:val="hybridMultilevel"/>
    <w:lvl w:ilvl="0">
      <w:lvlJc w:val="left"/>
      <w:lvlText w:val="%1."/>
      <w:numFmt w:val="decimal"/>
      <w:start w:val="1"/>
    </w:lvl>
  </w:abstractNum>
  <w:abstractNum w:abstractNumId="404">
    <w:nsid w:val="793753DE"/>
    <w:multiLevelType w:val="hybridMultilevel"/>
    <w:lvl w:ilvl="0">
      <w:lvlJc w:val="left"/>
      <w:lvlText w:val="%1."/>
      <w:numFmt w:val="decimal"/>
      <w:start w:val="2"/>
    </w:lvl>
  </w:abstractNum>
  <w:abstractNum w:abstractNumId="405">
    <w:nsid w:val="1C67CB3D"/>
    <w:multiLevelType w:val="hybridMultilevel"/>
    <w:lvl w:ilvl="0">
      <w:lvlJc w:val="left"/>
      <w:lvlText w:val="%1."/>
      <w:numFmt w:val="decimal"/>
      <w:start w:val="1"/>
    </w:lvl>
  </w:abstractNum>
  <w:abstractNum w:abstractNumId="406">
    <w:nsid w:val="40E29452"/>
    <w:multiLevelType w:val="hybridMultilevel"/>
    <w:lvl w:ilvl="0">
      <w:lvlJc w:val="left"/>
      <w:lvlText w:val="%1."/>
      <w:numFmt w:val="decimal"/>
      <w:start w:val="2"/>
    </w:lvl>
  </w:abstractNum>
  <w:abstractNum w:abstractNumId="407">
    <w:nsid w:val="63A4AAB6"/>
    <w:multiLevelType w:val="hybridMultilevel"/>
    <w:lvl w:ilvl="0">
      <w:lvlJc w:val="left"/>
      <w:lvlText w:val="%1."/>
      <w:numFmt w:val="decimal"/>
      <w:start w:val="3"/>
    </w:lvl>
  </w:abstractNum>
  <w:abstractNum w:abstractNumId="408">
    <w:nsid w:val="77DA4A57"/>
    <w:multiLevelType w:val="hybridMultilevel"/>
    <w:lvl w:ilvl="0">
      <w:lvlJc w:val="left"/>
      <w:lvlText w:val="(%1)"/>
      <w:numFmt w:val="lowerLetter"/>
      <w:start w:val="1"/>
    </w:lvl>
  </w:abstractNum>
  <w:abstractNum w:abstractNumId="409">
    <w:nsid w:val="1230F102"/>
    <w:multiLevelType w:val="hybridMultilevel"/>
    <w:lvl w:ilvl="0">
      <w:lvlJc w:val="left"/>
      <w:lvlText w:val="(%1)"/>
      <w:numFmt w:val="lowerLetter"/>
      <w:start w:val="3"/>
    </w:lvl>
  </w:abstractNum>
  <w:abstractNum w:abstractNumId="410">
    <w:nsid w:val="25B57ED4"/>
    <w:multiLevelType w:val="hybridMultilevel"/>
    <w:lvl w:ilvl="0">
      <w:lvlJc w:val="left"/>
      <w:lvlText w:val="%1."/>
      <w:numFmt w:val="decimal"/>
      <w:start w:val="4"/>
    </w:lvl>
  </w:abstractNum>
  <w:abstractNum w:abstractNumId="411">
    <w:nsid w:val="47CF16C4"/>
    <w:multiLevelType w:val="hybridMultilevel"/>
    <w:lvl w:ilvl="0">
      <w:lvlJc w:val="left"/>
      <w:lvlText w:val="%1."/>
      <w:numFmt w:val="decimal"/>
      <w:start w:val="5"/>
    </w:lvl>
  </w:abstractNum>
  <w:abstractNum w:abstractNumId="412">
    <w:nsid w:val="527FA04C"/>
    <w:multiLevelType w:val="hybridMultilevel"/>
    <w:lvl w:ilvl="0">
      <w:lvlJc w:val="left"/>
      <w:lvlText w:val="(%1)"/>
      <w:numFmt w:val="lowerLetter"/>
      <w:start w:val="1"/>
    </w:lvl>
  </w:abstractNum>
  <w:abstractNum w:abstractNumId="413">
    <w:nsid w:val="6FCC0624"/>
    <w:multiLevelType w:val="hybridMultilevel"/>
    <w:lvl w:ilvl="0">
      <w:lvlJc w:val="left"/>
      <w:lvlText w:val="(%1)"/>
      <w:numFmt w:val="lowerLetter"/>
      <w:start w:val="2"/>
    </w:lvl>
  </w:abstractNum>
  <w:abstractNum w:abstractNumId="414">
    <w:nsid w:val="1DCDF795"/>
    <w:multiLevelType w:val="hybridMultilevel"/>
    <w:lvl w:ilvl="0">
      <w:lvlJc w:val="left"/>
      <w:lvlText w:val="%1."/>
      <w:numFmt w:val="decimal"/>
      <w:start w:val="6"/>
    </w:lvl>
  </w:abstractNum>
  <w:abstractNum w:abstractNumId="415">
    <w:nsid w:val="564580C8"/>
    <w:multiLevelType w:val="hybridMultilevel"/>
    <w:lvl w:ilvl="0">
      <w:lvlJc w:val="left"/>
      <w:lvlText w:val="(%1)"/>
      <w:numFmt w:val="lowerLetter"/>
      <w:start w:val="1"/>
    </w:lvl>
  </w:abstractNum>
  <w:abstractNum w:abstractNumId="416">
    <w:nsid w:val="508ED897"/>
    <w:multiLevelType w:val="hybridMultilevel"/>
    <w:lvl w:ilvl="0">
      <w:lvlJc w:val="left"/>
      <w:lvlText w:val="%1."/>
      <w:numFmt w:val="decimal"/>
      <w:start w:val="7"/>
    </w:lvl>
  </w:abstractNum>
  <w:abstractNum w:abstractNumId="417">
    <w:nsid w:val="6A9126B5"/>
    <w:multiLevelType w:val="hybridMultilevel"/>
    <w:lvl w:ilvl="0">
      <w:lvlJc w:val="left"/>
      <w:lvlText w:val="(%1)"/>
      <w:numFmt w:val="lowerLetter"/>
      <w:start w:val="1"/>
    </w:lvl>
    <w:lvl w:ilvl="1">
      <w:lvlJc w:val="left"/>
      <w:lvlText w:val="(%2)"/>
      <w:numFmt w:val="lowerRoman"/>
      <w:start w:val="1"/>
    </w:lvl>
  </w:abstractNum>
  <w:abstractNum w:abstractNumId="418">
    <w:nsid w:val="68104812"/>
    <w:multiLevelType w:val="hybridMultilevel"/>
    <w:lvl w:ilvl="0">
      <w:lvlJc w:val="left"/>
      <w:lvlText w:val="(%1)"/>
      <w:numFmt w:val="lowerLetter"/>
      <w:start w:val="3"/>
    </w:lvl>
  </w:abstractNum>
  <w:abstractNum w:abstractNumId="419">
    <w:nsid w:val="62FB8680"/>
    <w:multiLevelType w:val="hybridMultilevel"/>
    <w:lvl w:ilvl="0">
      <w:lvlJc w:val="left"/>
      <w:lvlText w:val="%1"/>
      <w:numFmt w:val="lowerRoman"/>
      <w:start w:val="1"/>
    </w:lvl>
    <w:lvl w:ilvl="1">
      <w:lvlJc w:val="left"/>
      <w:lvlText w:val="(%2)"/>
      <w:numFmt w:val="lowerLetter"/>
      <w:start w:val="8"/>
    </w:lvl>
    <w:lvl w:ilvl="2">
      <w:lvlJc w:val="left"/>
      <w:lvlText w:val="%3"/>
      <w:numFmt w:val="lowerLetter"/>
      <w:start w:val="1"/>
    </w:lvl>
  </w:abstractNum>
  <w:abstractNum w:abstractNumId="420">
    <w:nsid w:val="3A45530"/>
    <w:multiLevelType w:val="hybridMultilevel"/>
    <w:lvl w:ilvl="0">
      <w:lvlJc w:val="left"/>
      <w:lvlText w:val="(%1)"/>
      <w:numFmt w:val="lowerRoman"/>
      <w:start w:val="4"/>
    </w:lvl>
    <w:lvl w:ilvl="1">
      <w:lvlJc w:val="left"/>
      <w:lvlText w:val="(%2)"/>
      <w:numFmt w:val="lowerLetter"/>
      <w:start w:val="10"/>
    </w:lvl>
    <w:lvl w:ilvl="2">
      <w:lvlJc w:val="left"/>
      <w:lvlText w:val="(%3)"/>
      <w:numFmt w:val="lowerLetter"/>
      <w:start w:val="9"/>
    </w:lvl>
  </w:abstractNum>
  <w:abstractNum w:abstractNumId="421">
    <w:nsid w:val="4B9275D2"/>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22">
    <w:nsid w:val="4F0CEEDB"/>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423">
    <w:nsid w:val="61C30361"/>
    <w:multiLevelType w:val="hybridMultilevel"/>
    <w:lvl w:ilvl="0">
      <w:lvlJc w:val="left"/>
      <w:lvlText w:val="%1."/>
      <w:numFmt w:val="decimal"/>
      <w:start w:val="8"/>
    </w:lvl>
  </w:abstractNum>
  <w:abstractNum w:abstractNumId="424">
    <w:nsid w:val="632099E0"/>
    <w:multiLevelType w:val="hybridMultilevel"/>
    <w:lvl w:ilvl="0">
      <w:lvlJc w:val="left"/>
      <w:lvlText w:val="(%1)"/>
      <w:numFmt w:val="lowerLetter"/>
      <w:start w:val="1"/>
    </w:lvl>
  </w:abstractNum>
  <w:abstractNum w:abstractNumId="425">
    <w:nsid w:val="24639756"/>
    <w:multiLevelType w:val="hybridMultilevel"/>
    <w:lvl w:ilvl="0">
      <w:lvlJc w:val="left"/>
      <w:lvlText w:val="(%1)"/>
      <w:numFmt w:val="lowerLetter"/>
      <w:start w:val="2"/>
    </w:lvl>
    <w:lvl w:ilvl="1">
      <w:lvlJc w:val="left"/>
      <w:lvlText w:val="(%2)"/>
      <w:numFmt w:val="lowerRoman"/>
      <w:start w:val="1"/>
    </w:lvl>
  </w:abstractNum>
  <w:abstractNum w:abstractNumId="426">
    <w:nsid w:val="9D30DFD"/>
    <w:multiLevelType w:val="hybridMultilevel"/>
    <w:lvl w:ilvl="0">
      <w:lvlJc w:val="left"/>
      <w:lvlText w:val="(%1)"/>
      <w:numFmt w:val="lowerLetter"/>
      <w:start w:val="6"/>
    </w:lvl>
    <w:lvl w:ilvl="1">
      <w:lvlJc w:val="left"/>
      <w:lvlText w:val="(%2)"/>
      <w:numFmt w:val="lowerRoman"/>
      <w:start w:val="1"/>
    </w:lvl>
  </w:abstractNum>
  <w:abstractNum w:abstractNumId="427">
    <w:nsid w:val="70A42016"/>
    <w:multiLevelType w:val="hybridMultilevel"/>
    <w:lvl w:ilvl="0">
      <w:lvlJc w:val="left"/>
      <w:lvlText w:val="%1."/>
      <w:numFmt w:val="decimal"/>
      <w:start w:val="9"/>
    </w:lvl>
  </w:abstractNum>
  <w:abstractNum w:abstractNumId="428">
    <w:nsid w:val="161BC243"/>
    <w:multiLevelType w:val="hybridMultilevel"/>
    <w:lvl w:ilvl="0">
      <w:lvlJc w:val="left"/>
      <w:lvlText w:val="(%1)"/>
      <w:numFmt w:val="lowerLetter"/>
      <w:start w:val="1"/>
    </w:lvl>
  </w:abstractNum>
  <w:abstractNum w:abstractNumId="429">
    <w:nsid w:val="16E908C8"/>
    <w:multiLevelType w:val="hybridMultilevel"/>
    <w:lvl w:ilvl="0">
      <w:lvlJc w:val="left"/>
      <w:lvlText w:val="%1."/>
      <w:numFmt w:val="decimal"/>
      <w:start w:val="10"/>
    </w:lvl>
  </w:abstractNum>
  <w:abstractNum w:abstractNumId="430">
    <w:nsid w:val="2E0D7671"/>
    <w:multiLevelType w:val="hybridMultilevel"/>
    <w:lvl w:ilvl="0">
      <w:lvlJc w:val="left"/>
      <w:lvlText w:val="(%1)"/>
      <w:numFmt w:val="lowerLetter"/>
      <w:start w:val="1"/>
    </w:lvl>
  </w:abstractNum>
  <w:abstractNum w:abstractNumId="431">
    <w:nsid w:val="38B59EFF"/>
    <w:multiLevelType w:val="hybridMultilevel"/>
    <w:lvl w:ilvl="0">
      <w:lvlJc w:val="left"/>
      <w:lvlText w:val="%1."/>
      <w:numFmt w:val="decimal"/>
      <w:start w:val="11"/>
    </w:lvl>
  </w:abstractNum>
  <w:abstractNum w:abstractNumId="432">
    <w:nsid w:val="307995CA"/>
    <w:multiLevelType w:val="hybridMultilevel"/>
    <w:lvl w:ilvl="0">
      <w:lvlJc w:val="left"/>
      <w:lvlText w:val="(%1)"/>
      <w:numFmt w:val="lowerLetter"/>
      <w:start w:val="1"/>
    </w:lvl>
  </w:abstractNum>
  <w:abstractNum w:abstractNumId="433">
    <w:nsid w:val="52E2024D"/>
    <w:multiLevelType w:val="hybridMultilevel"/>
    <w:lvl w:ilvl="0">
      <w:lvlJc w:val="left"/>
      <w:lvlText w:val="%1."/>
      <w:numFmt w:val="decimal"/>
      <w:start w:val="12"/>
    </w:lvl>
  </w:abstractNum>
  <w:abstractNum w:abstractNumId="434">
    <w:nsid w:val="CE344B5"/>
    <w:multiLevelType w:val="hybridMultilevel"/>
    <w:lvl w:ilvl="0">
      <w:lvlJc w:val="left"/>
      <w:lvlText w:val="(%1)"/>
      <w:numFmt w:val="lowerLetter"/>
      <w:start w:val="1"/>
    </w:lvl>
  </w:abstractNum>
  <w:abstractNum w:abstractNumId="435">
    <w:nsid w:val="29B0E9A8"/>
    <w:multiLevelType w:val="hybridMultilevel"/>
    <w:lvl w:ilvl="0">
      <w:lvlJc w:val="left"/>
      <w:lvlText w:val="(%1)"/>
      <w:numFmt w:val="lowerLetter"/>
      <w:start w:val="2"/>
    </w:lvl>
  </w:abstractNum>
  <w:abstractNum w:abstractNumId="436">
    <w:nsid w:val="6F49CD8A"/>
    <w:multiLevelType w:val="hybridMultilevel"/>
    <w:lvl w:ilvl="0">
      <w:lvlJc w:val="left"/>
      <w:lvlText w:val="%1."/>
      <w:numFmt w:val="decimal"/>
      <w:start w:val="13"/>
    </w:lvl>
  </w:abstractNum>
  <w:abstractNum w:abstractNumId="437">
    <w:nsid w:val="4DC5D907"/>
    <w:multiLevelType w:val="hybridMultilevel"/>
    <w:lvl w:ilvl="0">
      <w:lvlJc w:val="left"/>
      <w:lvlText w:val="%1."/>
      <w:numFmt w:val="decimal"/>
      <w:start w:val="14"/>
    </w:lvl>
  </w:abstractNum>
  <w:abstractNum w:abstractNumId="438">
    <w:nsid w:val="D55945E"/>
    <w:multiLevelType w:val="hybridMultilevel"/>
    <w:lvl w:ilvl="0">
      <w:lvlJc w:val="left"/>
      <w:lvlText w:val="%1."/>
      <w:numFmt w:val="decimal"/>
      <w:start w:val="15"/>
    </w:lvl>
  </w:abstractNum>
  <w:abstractNum w:abstractNumId="439">
    <w:nsid w:val="672417E1"/>
    <w:multiLevelType w:val="hybridMultilevel"/>
    <w:lvl w:ilvl="0">
      <w:lvlJc w:val="left"/>
      <w:lvlText w:val="%1."/>
      <w:numFmt w:val="decimal"/>
      <w:start w:val="16"/>
    </w:lvl>
  </w:abstractNum>
  <w:abstractNum w:abstractNumId="440">
    <w:nsid w:val="5FF6CA09"/>
    <w:multiLevelType w:val="hybridMultilevel"/>
    <w:lvl w:ilvl="0">
      <w:lvlJc w:val="left"/>
      <w:lvlText w:val="%1."/>
      <w:numFmt w:val="decimal"/>
      <w:start w:val="17"/>
    </w:lvl>
  </w:abstractNum>
  <w:abstractNum w:abstractNumId="441">
    <w:nsid w:val="330B1333"/>
    <w:multiLevelType w:val="hybridMultilevel"/>
    <w:lvl w:ilvl="0">
      <w:lvlJc w:val="left"/>
      <w:lvlText w:val="%1."/>
      <w:numFmt w:val="decimal"/>
      <w:start w:val="18"/>
    </w:lvl>
  </w:abstractNum>
  <w:abstractNum w:abstractNumId="442">
    <w:nsid w:val="2EF32EA6"/>
    <w:multiLevelType w:val="hybridMultilevel"/>
    <w:lvl w:ilvl="0">
      <w:lvlJc w:val="left"/>
      <w:lvlText w:val="%1."/>
      <w:numFmt w:val="decimal"/>
      <w:start w:val="19"/>
    </w:lvl>
  </w:abstractNum>
  <w:abstractNum w:abstractNumId="443">
    <w:nsid w:val="32766A55"/>
    <w:multiLevelType w:val="hybridMultilevel"/>
    <w:lvl w:ilvl="0">
      <w:lvlJc w:val="left"/>
      <w:lvlText w:val="%1."/>
      <w:numFmt w:val="decimal"/>
      <w:start w:val="20"/>
    </w:lvl>
  </w:abstractNum>
  <w:abstractNum w:abstractNumId="444">
    <w:nsid w:val="22D71957"/>
    <w:multiLevelType w:val="hybridMultilevel"/>
    <w:lvl w:ilvl="0">
      <w:lvlJc w:val="left"/>
      <w:lvlText w:val="%1."/>
      <w:numFmt w:val="decimal"/>
      <w:start w:val="21"/>
    </w:lvl>
  </w:abstractNum>
  <w:abstractNum w:abstractNumId="445">
    <w:nsid w:val="4CC1263B"/>
    <w:multiLevelType w:val="hybridMultilevel"/>
    <w:lvl w:ilvl="0">
      <w:lvlJc w:val="left"/>
      <w:lvlText w:val="%1."/>
      <w:numFmt w:val="decimal"/>
      <w:start w:val="22"/>
    </w:lvl>
  </w:abstractNum>
  <w:abstractNum w:abstractNumId="446">
    <w:nsid w:val="8BBEB1D"/>
    <w:multiLevelType w:val="hybridMultilevel"/>
    <w:lvl w:ilvl="0">
      <w:lvlJc w:val="left"/>
      <w:lvlText w:val="%1."/>
      <w:numFmt w:val="decimal"/>
      <w:start w:val="23"/>
    </w:lvl>
  </w:abstractNum>
  <w:abstractNum w:abstractNumId="447">
    <w:nsid w:val="7365F1EE"/>
    <w:multiLevelType w:val="hybridMultilevel"/>
    <w:lvl w:ilvl="0">
      <w:lvlJc w:val="left"/>
      <w:lvlText w:val="%1."/>
      <w:numFmt w:val="decimal"/>
      <w:start w:val="24"/>
    </w:lvl>
    <w:lvl w:ilvl="1">
      <w:lvlJc w:val="left"/>
      <w:lvlText w:val="(%2)"/>
      <w:numFmt w:val="lowerLetter"/>
      <w:start w:val="1"/>
    </w:lvl>
  </w:abstractNum>
  <w:abstractNum w:abstractNumId="448">
    <w:nsid w:val="37524CF0"/>
    <w:multiLevelType w:val="hybridMultilevel"/>
    <w:lvl w:ilvl="0">
      <w:lvlJc w:val="left"/>
      <w:lvlText w:val="%1."/>
      <w:numFmt w:val="decimal"/>
      <w:start w:val="25"/>
    </w:lvl>
  </w:abstractNum>
  <w:abstractNum w:abstractNumId="449">
    <w:nsid w:val="70CC332F"/>
    <w:multiLevelType w:val="hybridMultilevel"/>
    <w:lvl w:ilvl="0">
      <w:lvlJc w:val="left"/>
      <w:lvlText w:val="%1."/>
      <w:numFmt w:val="decimal"/>
      <w:start w:val="26"/>
    </w:lvl>
  </w:abstractNum>
  <w:abstractNum w:abstractNumId="450">
    <w:nsid w:val="5661786E"/>
    <w:multiLevelType w:val="hybridMultilevel"/>
    <w:lvl w:ilvl="0">
      <w:lvlJc w:val="left"/>
      <w:lvlText w:val="%1."/>
      <w:numFmt w:val="decimal"/>
      <w:start w:val="1"/>
    </w:lvl>
  </w:abstractNum>
  <w:abstractNum w:abstractNumId="451">
    <w:nsid w:val="3AF6A220"/>
    <w:multiLevelType w:val="hybridMultilevel"/>
    <w:lvl w:ilvl="0">
      <w:lvlJc w:val="left"/>
      <w:lvlText w:val="%1."/>
      <w:numFmt w:val="decimal"/>
      <w:start w:val="2"/>
    </w:lvl>
  </w:abstractNum>
  <w:abstractNum w:abstractNumId="452">
    <w:nsid w:val="3C5EA902"/>
    <w:multiLevelType w:val="hybridMultilevel"/>
    <w:lvl w:ilvl="0">
      <w:lvlJc w:val="left"/>
      <w:lvlText w:val="%1."/>
      <w:numFmt w:val="decimal"/>
      <w:start w:val="1"/>
    </w:lvl>
  </w:abstractNum>
  <w:abstractNum w:abstractNumId="453">
    <w:nsid w:val="256E6749"/>
    <w:multiLevelType w:val="hybridMultilevel"/>
    <w:lvl w:ilvl="0">
      <w:lvlJc w:val="left"/>
      <w:lvlText w:val="%1."/>
      <w:numFmt w:val="decimal"/>
      <w:start w:val="2"/>
    </w:lvl>
  </w:abstractNum>
  <w:abstractNum w:abstractNumId="454">
    <w:nsid w:val="1CB9A581"/>
    <w:multiLevelType w:val="hybridMultilevel"/>
    <w:lvl w:ilvl="0">
      <w:lvlJc w:val="left"/>
      <w:lvlText w:val="%1."/>
      <w:numFmt w:val="decimal"/>
      <w:start w:val="3"/>
    </w:lvl>
  </w:abstractNum>
  <w:abstractNum w:abstractNumId="455">
    <w:nsid w:val="1F7F42E2"/>
    <w:multiLevelType w:val="hybridMultilevel"/>
    <w:lvl w:ilvl="0">
      <w:lvlJc w:val="left"/>
      <w:lvlText w:val="(%1)"/>
      <w:numFmt w:val="lowerLetter"/>
      <w:start w:val="1"/>
    </w:lvl>
  </w:abstractNum>
  <w:abstractNum w:abstractNumId="456">
    <w:nsid w:val="49D1FEA0"/>
    <w:multiLevelType w:val="hybridMultilevel"/>
    <w:lvl w:ilvl="0">
      <w:lvlJc w:val="left"/>
      <w:lvlText w:val="(%1)"/>
      <w:numFmt w:val="lowerLetter"/>
      <w:start w:val="3"/>
    </w:lvl>
  </w:abstractNum>
  <w:abstractNum w:abstractNumId="457">
    <w:nsid w:val="268CB37F"/>
    <w:multiLevelType w:val="hybridMultilevel"/>
    <w:lvl w:ilvl="0">
      <w:lvlJc w:val="left"/>
      <w:lvlText w:val="%1."/>
      <w:numFmt w:val="decimal"/>
      <w:start w:val="4"/>
    </w:lvl>
  </w:abstractNum>
  <w:abstractNum w:abstractNumId="458">
    <w:nsid w:val="102362F8"/>
    <w:multiLevelType w:val="hybridMultilevel"/>
    <w:lvl w:ilvl="0">
      <w:lvlJc w:val="left"/>
      <w:lvlText w:val="%1."/>
      <w:numFmt w:val="decimal"/>
      <w:start w:val="5"/>
    </w:lvl>
  </w:abstractNum>
  <w:abstractNum w:abstractNumId="459">
    <w:nsid w:val="5FEDC0E3"/>
    <w:multiLevelType w:val="hybridMultilevel"/>
    <w:lvl w:ilvl="0">
      <w:lvlJc w:val="left"/>
      <w:lvlText w:val="(%1)"/>
      <w:numFmt w:val="lowerLetter"/>
      <w:start w:val="1"/>
    </w:lvl>
  </w:abstractNum>
  <w:abstractNum w:abstractNumId="460">
    <w:nsid w:val="3D75BC47"/>
    <w:multiLevelType w:val="hybridMultilevel"/>
    <w:lvl w:ilvl="0">
      <w:lvlJc w:val="left"/>
      <w:lvlText w:val="%1."/>
      <w:numFmt w:val="decimal"/>
      <w:start w:val="6"/>
    </w:lvl>
  </w:abstractNum>
  <w:abstractNum w:abstractNumId="461">
    <w:nsid w:val="3E30D969"/>
    <w:multiLevelType w:val="hybridMultilevel"/>
    <w:lvl w:ilvl="0">
      <w:lvlJc w:val="left"/>
      <w:lvlText w:val="(%1)"/>
      <w:numFmt w:val="lowerLetter"/>
      <w:start w:val="1"/>
    </w:lvl>
  </w:abstractNum>
  <w:abstractNum w:abstractNumId="462">
    <w:nsid w:val="18A35FE3"/>
    <w:multiLevelType w:val="hybridMultilevel"/>
    <w:lvl w:ilvl="0">
      <w:lvlJc w:val="left"/>
      <w:lvlText w:val="%1."/>
      <w:numFmt w:val="decimal"/>
      <w:start w:val="7"/>
    </w:lvl>
  </w:abstractNum>
  <w:abstractNum w:abstractNumId="463">
    <w:nsid w:val="6DEF5211"/>
    <w:multiLevelType w:val="hybridMultilevel"/>
    <w:lvl w:ilvl="0">
      <w:lvlJc w:val="left"/>
      <w:lvlText w:val="(%1)"/>
      <w:numFmt w:val="lowerLetter"/>
      <w:start w:val="1"/>
    </w:lvl>
    <w:lvl w:ilvl="1">
      <w:lvlJc w:val="left"/>
      <w:lvlText w:val="(%2)"/>
      <w:numFmt w:val="lowerRoman"/>
      <w:start w:val="1"/>
    </w:lvl>
  </w:abstractNum>
  <w:abstractNum w:abstractNumId="464">
    <w:nsid w:val="1112DBB6"/>
    <w:multiLevelType w:val="hybridMultilevel"/>
    <w:lvl w:ilvl="0">
      <w:lvlJc w:val="left"/>
      <w:lvlText w:val="%1"/>
      <w:numFmt w:val="lowerLetter"/>
      <w:start w:val="1"/>
    </w:lvl>
    <w:lvl w:ilvl="1">
      <w:lvlJc w:val="left"/>
      <w:lvlText w:val="(%2)"/>
      <w:numFmt w:val="lowerLetter"/>
      <w:start w:val="61"/>
    </w:lvl>
  </w:abstractNum>
  <w:abstractNum w:abstractNumId="465">
    <w:nsid w:val="2586A498"/>
    <w:multiLevelType w:val="hybridMultilevel"/>
    <w:lvl w:ilvl="0">
      <w:lvlJc w:val="left"/>
      <w:lvlText w:val="(%1)"/>
      <w:numFmt w:val="lowerLetter"/>
      <w:start w:val="3"/>
    </w:lvl>
    <w:lvl w:ilvl="1">
      <w:lvlJc w:val="left"/>
      <w:lvlText w:val="%2"/>
      <w:numFmt w:val="lowerLetter"/>
      <w:start w:val="1"/>
    </w:lvl>
  </w:abstractNum>
  <w:abstractNum w:abstractNumId="466">
    <w:nsid w:val="17A03BB9"/>
    <w:multiLevelType w:val="hybridMultilevel"/>
    <w:lvl w:ilvl="0">
      <w:lvlJc w:val="left"/>
      <w:lvlText w:val="%1"/>
      <w:numFmt w:val="lowerRoman"/>
      <w:start w:val="1"/>
    </w:lvl>
    <w:lvl w:ilvl="1">
      <w:lvlJc w:val="left"/>
      <w:lvlText w:val="(%2)"/>
      <w:numFmt w:val="lowerLetter"/>
      <w:start w:val="8"/>
    </w:lvl>
    <w:lvl w:ilvl="2">
      <w:lvlJc w:val="left"/>
      <w:lvlText w:val="%3"/>
      <w:numFmt w:val="lowerLetter"/>
      <w:start w:val="1"/>
    </w:lvl>
  </w:abstractNum>
  <w:abstractNum w:abstractNumId="467">
    <w:nsid w:val="5CA941"/>
    <w:multiLevelType w:val="hybridMultilevel"/>
    <w:lvl w:ilvl="0">
      <w:lvlJc w:val="left"/>
      <w:lvlText w:val="(%1)"/>
      <w:numFmt w:val="lowerRoman"/>
      <w:start w:val="4"/>
    </w:lvl>
    <w:lvl w:ilvl="1">
      <w:lvlJc w:val="left"/>
      <w:lvlText w:val="(%2)"/>
      <w:numFmt w:val="lowerLetter"/>
      <w:start w:val="10"/>
    </w:lvl>
    <w:lvl w:ilvl="2">
      <w:lvlJc w:val="left"/>
      <w:lvlText w:val="(%3)"/>
      <w:numFmt w:val="lowerLetter"/>
      <w:start w:val="9"/>
    </w:lvl>
  </w:abstractNum>
  <w:abstractNum w:abstractNumId="468">
    <w:nsid w:val="734C7D9F"/>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69">
    <w:nsid w:val="24F5D018"/>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470">
    <w:nsid w:val="6780C122"/>
    <w:multiLevelType w:val="hybridMultilevel"/>
    <w:lvl w:ilvl="0">
      <w:lvlJc w:val="left"/>
      <w:lvlText w:val="%1."/>
      <w:numFmt w:val="decimal"/>
      <w:start w:val="8"/>
    </w:lvl>
  </w:abstractNum>
  <w:abstractNum w:abstractNumId="471">
    <w:nsid w:val="534347A8"/>
    <w:multiLevelType w:val="hybridMultilevel"/>
    <w:lvl w:ilvl="0">
      <w:lvlJc w:val="left"/>
      <w:lvlText w:val="(%1)"/>
      <w:numFmt w:val="lowerLetter"/>
      <w:start w:val="1"/>
    </w:lvl>
  </w:abstractNum>
  <w:abstractNum w:abstractNumId="472">
    <w:nsid w:val="5800E34B"/>
    <w:multiLevelType w:val="hybridMultilevel"/>
    <w:lvl w:ilvl="0">
      <w:lvlJc w:val="left"/>
      <w:lvlText w:val="(%1)"/>
      <w:numFmt w:val="lowerLetter"/>
      <w:start w:val="2"/>
    </w:lvl>
    <w:lvl w:ilvl="1">
      <w:lvlJc w:val="left"/>
      <w:lvlText w:val="(%2)"/>
      <w:numFmt w:val="lowerRoman"/>
      <w:start w:val="1"/>
    </w:lvl>
  </w:abstractNum>
  <w:abstractNum w:abstractNumId="473">
    <w:nsid w:val="1673EFC8"/>
    <w:multiLevelType w:val="hybridMultilevel"/>
    <w:lvl w:ilvl="0">
      <w:lvlJc w:val="left"/>
      <w:lvlText w:val="(%1)"/>
      <w:numFmt w:val="lowerLetter"/>
      <w:start w:val="6"/>
    </w:lvl>
    <w:lvl w:ilvl="1">
      <w:lvlJc w:val="left"/>
      <w:lvlText w:val="(%2)"/>
      <w:numFmt w:val="lowerRoman"/>
      <w:start w:val="1"/>
    </w:lvl>
  </w:abstractNum>
  <w:abstractNum w:abstractNumId="474">
    <w:nsid w:val="5B9B1FD"/>
    <w:multiLevelType w:val="hybridMultilevel"/>
    <w:lvl w:ilvl="0">
      <w:lvlJc w:val="left"/>
      <w:lvlText w:val="%1."/>
      <w:numFmt w:val="decimal"/>
      <w:start w:val="9"/>
    </w:lvl>
  </w:abstractNum>
  <w:abstractNum w:abstractNumId="475">
    <w:nsid w:val="7AD7FCA2"/>
    <w:multiLevelType w:val="hybridMultilevel"/>
    <w:lvl w:ilvl="0">
      <w:lvlJc w:val="left"/>
      <w:lvlText w:val="(%1)"/>
      <w:numFmt w:val="lowerLetter"/>
      <w:start w:val="1"/>
    </w:lvl>
  </w:abstractNum>
  <w:abstractNum w:abstractNumId="476">
    <w:nsid w:val="63351604"/>
    <w:multiLevelType w:val="hybridMultilevel"/>
    <w:lvl w:ilvl="0">
      <w:lvlJc w:val="left"/>
      <w:lvlText w:val="%1."/>
      <w:numFmt w:val="decimal"/>
      <w:start w:val="10"/>
    </w:lvl>
  </w:abstractNum>
  <w:abstractNum w:abstractNumId="477">
    <w:nsid w:val="E759D1A"/>
    <w:multiLevelType w:val="hybridMultilevel"/>
    <w:lvl w:ilvl="0">
      <w:lvlJc w:val="left"/>
      <w:lvlText w:val="(%1)"/>
      <w:numFmt w:val="lowerLetter"/>
      <w:start w:val="1"/>
    </w:lvl>
  </w:abstractNum>
  <w:abstractNum w:abstractNumId="478">
    <w:nsid w:val="6E3DEE90"/>
    <w:multiLevelType w:val="hybridMultilevel"/>
    <w:lvl w:ilvl="0">
      <w:lvlJc w:val="left"/>
      <w:lvlText w:val="%1."/>
      <w:numFmt w:val="decimal"/>
      <w:start w:val="11"/>
    </w:lvl>
  </w:abstractNum>
  <w:abstractNum w:abstractNumId="479">
    <w:nsid w:val="1A8762F4"/>
    <w:multiLevelType w:val="hybridMultilevel"/>
    <w:lvl w:ilvl="0">
      <w:lvlJc w:val="left"/>
      <w:lvlText w:val="(%1)"/>
      <w:numFmt w:val="lowerLetter"/>
      <w:start w:val="1"/>
    </w:lvl>
  </w:abstractNum>
  <w:abstractNum w:abstractNumId="480">
    <w:nsid w:val="7F41D049"/>
    <w:multiLevelType w:val="hybridMultilevel"/>
    <w:lvl w:ilvl="0">
      <w:lvlJc w:val="left"/>
      <w:lvlText w:val="%1."/>
      <w:numFmt w:val="decimal"/>
      <w:start w:val="12"/>
    </w:lvl>
  </w:abstractNum>
  <w:abstractNum w:abstractNumId="481">
    <w:nsid w:val="449F66FE"/>
    <w:multiLevelType w:val="hybridMultilevel"/>
    <w:lvl w:ilvl="0">
      <w:lvlJc w:val="left"/>
      <w:lvlText w:val="(%1)"/>
      <w:numFmt w:val="lowerLetter"/>
      <w:start w:val="1"/>
    </w:lvl>
  </w:abstractNum>
  <w:abstractNum w:abstractNumId="482">
    <w:nsid w:val="557E0515"/>
    <w:multiLevelType w:val="hybridMultilevel"/>
    <w:lvl w:ilvl="0">
      <w:lvlJc w:val="left"/>
      <w:lvlText w:val="(%1)"/>
      <w:numFmt w:val="lowerLetter"/>
      <w:start w:val="2"/>
    </w:lvl>
  </w:abstractNum>
  <w:abstractNum w:abstractNumId="483">
    <w:nsid w:val="3BA0794B"/>
    <w:multiLevelType w:val="hybridMultilevel"/>
    <w:lvl w:ilvl="0">
      <w:lvlJc w:val="left"/>
      <w:lvlText w:val="%1."/>
      <w:numFmt w:val="decimal"/>
      <w:start w:val="13"/>
    </w:lvl>
  </w:abstractNum>
  <w:abstractNum w:abstractNumId="484">
    <w:nsid w:val="6A0DCE48"/>
    <w:multiLevelType w:val="hybridMultilevel"/>
    <w:lvl w:ilvl="0">
      <w:lvlJc w:val="left"/>
      <w:lvlText w:val="%1."/>
      <w:numFmt w:val="decimal"/>
      <w:start w:val="14"/>
    </w:lvl>
  </w:abstractNum>
  <w:abstractNum w:abstractNumId="485">
    <w:nsid w:val="7237AA96"/>
    <w:multiLevelType w:val="hybridMultilevel"/>
    <w:lvl w:ilvl="0">
      <w:lvlJc w:val="left"/>
      <w:lvlText w:val="%1."/>
      <w:numFmt w:val="decimal"/>
      <w:start w:val="15"/>
    </w:lvl>
  </w:abstractNum>
  <w:abstractNum w:abstractNumId="486">
    <w:nsid w:val="5B1FBC2D"/>
    <w:multiLevelType w:val="hybridMultilevel"/>
    <w:lvl w:ilvl="0">
      <w:lvlJc w:val="left"/>
      <w:lvlText w:val="%1."/>
      <w:numFmt w:val="decimal"/>
      <w:start w:val="16"/>
    </w:lvl>
  </w:abstractNum>
  <w:abstractNum w:abstractNumId="487">
    <w:nsid w:val="33DFCCE8"/>
    <w:multiLevelType w:val="hybridMultilevel"/>
    <w:lvl w:ilvl="0">
      <w:lvlJc w:val="left"/>
      <w:lvlText w:val="%1."/>
      <w:numFmt w:val="decimal"/>
      <w:start w:val="17"/>
    </w:lvl>
  </w:abstractNum>
  <w:abstractNum w:abstractNumId="488">
    <w:nsid w:val="18C45E15"/>
    <w:multiLevelType w:val="hybridMultilevel"/>
    <w:lvl w:ilvl="0">
      <w:lvlJc w:val="left"/>
      <w:lvlText w:val="%1."/>
      <w:numFmt w:val="decimal"/>
      <w:start w:val="18"/>
    </w:lvl>
  </w:abstractNum>
  <w:abstractNum w:abstractNumId="489">
    <w:nsid w:val="6B431F25"/>
    <w:multiLevelType w:val="hybridMultilevel"/>
    <w:lvl w:ilvl="0">
      <w:lvlJc w:val="left"/>
      <w:lvlText w:val="%1."/>
      <w:numFmt w:val="decimal"/>
      <w:start w:val="19"/>
    </w:lvl>
  </w:abstractNum>
  <w:abstractNum w:abstractNumId="490">
    <w:nsid w:val="13CD8DCB"/>
    <w:multiLevelType w:val="hybridMultilevel"/>
    <w:lvl w:ilvl="0">
      <w:lvlJc w:val="left"/>
      <w:lvlText w:val="%1."/>
      <w:numFmt w:val="decimal"/>
      <w:start w:val="20"/>
    </w:lvl>
  </w:abstractNum>
  <w:abstractNum w:abstractNumId="491">
    <w:nsid w:val="563A1A5C"/>
    <w:multiLevelType w:val="hybridMultilevel"/>
    <w:lvl w:ilvl="0">
      <w:lvlJc w:val="left"/>
      <w:lvlText w:val="%1."/>
      <w:numFmt w:val="decimal"/>
      <w:start w:val="21"/>
    </w:lvl>
  </w:abstractNum>
  <w:abstractNum w:abstractNumId="492">
    <w:nsid w:val="2973F88F"/>
    <w:multiLevelType w:val="hybridMultilevel"/>
    <w:lvl w:ilvl="0">
      <w:lvlJc w:val="left"/>
      <w:lvlText w:val="%1."/>
      <w:numFmt w:val="decimal"/>
      <w:start w:val="22"/>
    </w:lvl>
  </w:abstractNum>
  <w:abstractNum w:abstractNumId="493">
    <w:nsid w:val="2C70EDAE"/>
    <w:multiLevelType w:val="hybridMultilevel"/>
    <w:lvl w:ilvl="0">
      <w:lvlJc w:val="left"/>
      <w:lvlText w:val="%1."/>
      <w:numFmt w:val="decimal"/>
      <w:start w:val="23"/>
    </w:lvl>
  </w:abstractNum>
  <w:abstractNum w:abstractNumId="494">
    <w:nsid w:val="44296C6D"/>
    <w:multiLevelType w:val="hybridMultilevel"/>
    <w:lvl w:ilvl="0">
      <w:lvlJc w:val="left"/>
      <w:lvlText w:val="%1."/>
      <w:numFmt w:val="decimal"/>
      <w:start w:val="24"/>
    </w:lvl>
  </w:abstractNum>
  <w:abstractNum w:abstractNumId="495">
    <w:nsid w:val="3A86D445"/>
    <w:multiLevelType w:val="hybridMultilevel"/>
    <w:lvl w:ilvl="0">
      <w:lvlJc w:val="left"/>
      <w:lvlText w:val="(%1)"/>
      <w:numFmt w:val="lowerLetter"/>
      <w:start w:val="1"/>
    </w:lvl>
  </w:abstractNum>
  <w:abstractNum w:abstractNumId="496">
    <w:nsid w:val="51F79246"/>
    <w:multiLevelType w:val="hybridMultilevel"/>
    <w:lvl w:ilvl="0">
      <w:lvlJc w:val="left"/>
      <w:lvlText w:val="%1."/>
      <w:numFmt w:val="decimal"/>
      <w:start w:val="25"/>
    </w:lvl>
  </w:abstractNum>
  <w:abstractNum w:abstractNumId="497">
    <w:nsid w:val="5BC9A827"/>
    <w:multiLevelType w:val="hybridMultilevel"/>
    <w:lvl w:ilvl="0">
      <w:lvlJc w:val="left"/>
      <w:lvlText w:val="%1."/>
      <w:numFmt w:val="decimal"/>
      <w:start w:val="26"/>
    </w:lvl>
  </w:abstractNum>
  <w:abstractNum w:abstractNumId="498">
    <w:nsid w:val="3AE37D86"/>
    <w:multiLevelType w:val="hybridMultilevel"/>
    <w:lvl w:ilvl="0">
      <w:lvlJc w:val="left"/>
      <w:lvlText w:val="%1."/>
      <w:numFmt w:val="decimal"/>
      <w:start w:val="1"/>
    </w:lvl>
  </w:abstractNum>
  <w:abstractNum w:abstractNumId="499">
    <w:nsid w:val="45440FE5"/>
    <w:multiLevelType w:val="hybridMultilevel"/>
    <w:lvl w:ilvl="0">
      <w:lvlJc w:val="left"/>
      <w:lvlText w:val="%1."/>
      <w:numFmt w:val="decimal"/>
      <w:start w:val="2"/>
    </w:lvl>
  </w:abstractNum>
  <w:abstractNum w:abstractNumId="500">
    <w:nsid w:val="BF783F"/>
    <w:multiLevelType w:val="hybridMultilevel"/>
    <w:lvl w:ilvl="0">
      <w:lvlJc w:val="left"/>
      <w:lvlText w:val="(%1)"/>
      <w:numFmt w:val="lowerLetter"/>
      <w:start w:val="1"/>
    </w:lvl>
  </w:abstractNum>
  <w:abstractNum w:abstractNumId="501">
    <w:nsid w:val="22643EA9"/>
    <w:multiLevelType w:val="hybridMultilevel"/>
    <w:lvl w:ilvl="0">
      <w:lvlJc w:val="left"/>
      <w:lvlText w:val="%1."/>
      <w:numFmt w:val="decimal"/>
      <w:start w:val="1"/>
    </w:lvl>
    <w:lvl w:ilvl="1">
      <w:lvlJc w:val="left"/>
      <w:lvlText w:val="%2)"/>
      <w:numFmt w:val="lowerLetter"/>
      <w:start w:val="1"/>
    </w:lvl>
  </w:abstractNum>
  <w:abstractNum w:abstractNumId="502">
    <w:nsid w:val="1887578D"/>
    <w:multiLevelType w:val="hybridMultilevel"/>
    <w:lvl w:ilvl="0">
      <w:lvlJc w:val="left"/>
      <w:lvlText w:val="%1."/>
      <w:numFmt w:val="decimal"/>
      <w:start w:val="1"/>
    </w:lvl>
    <w:lvl w:ilvl="1">
      <w:lvlJc w:val="left"/>
      <w:lvlText w:val="%2)"/>
      <w:numFmt w:val="lowerLetter"/>
      <w:start w:val="1"/>
    </w:lvl>
  </w:abstractNum>
  <w:abstractNum w:abstractNumId="503">
    <w:nsid w:val="58C05B8A"/>
    <w:multiLevelType w:val="hybridMultilevel"/>
    <w:lvl w:ilvl="0">
      <w:lvlJc w:val="left"/>
      <w:lvlText w:val="(%1)"/>
      <w:numFmt w:val="decimal"/>
      <w:start w:val="1"/>
    </w:lvl>
  </w:abstractNum>
  <w:abstractNum w:abstractNumId="504">
    <w:nsid w:val="38D82E7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2019-12-10T08:01:24Z</dcterms:created>
  <dcterms:modified xsi:type="dcterms:W3CDTF">2019-12-10T08:01:24Z</dcterms:modified>
</cp:coreProperties>
</file>