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79"/>
        <w:spacing w:after="0"/>
        <w:rPr>
          <w:sz w:val="20"/>
          <w:szCs w:val="20"/>
          <w:color w:val="auto"/>
        </w:rPr>
      </w:pPr>
      <w:r>
        <w:rPr>
          <w:rFonts w:ascii="Courier New" w:cs="Courier New" w:eastAsia="Courier New" w:hAnsi="Courier New"/>
          <w:sz w:val="15"/>
          <w:szCs w:val="15"/>
          <w:color w:val="auto"/>
        </w:rPr>
        <w:t>As filed with the Securities and Exchange Commission on September 11, 2002.</w:t>
      </w:r>
    </w:p>
    <w:p>
      <w:pPr>
        <w:spacing w:after="0" w:line="174"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5"/>
          <w:szCs w:val="15"/>
          <w:color w:val="auto"/>
        </w:rPr>
        <w:t>Registration No. 333-90742</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AMENDMENT NO. 3</w:t>
      </w:r>
    </w:p>
    <w:p>
      <w:pPr>
        <w:spacing w:after="0" w:line="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CASUAL MALE RETAIL GROUP, INC.</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(formerly known as Designs, Inc.)</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04-2623104</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19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incorporation or organization)</w:t>
            </w:r>
          </w:p>
        </w:tc>
        <w:tc>
          <w:tcPr>
            <w:tcW w:w="1960" w:type="dxa"/>
            <w:vAlign w:val="bottom"/>
          </w:tcPr>
          <w:p>
            <w:pPr>
              <w:spacing w:after="0"/>
              <w:rPr>
                <w:sz w:val="20"/>
                <w:szCs w:val="20"/>
                <w:color w:val="auto"/>
              </w:rPr>
            </w:pPr>
            <w:r>
              <w:rPr>
                <w:rFonts w:ascii="Courier New" w:cs="Courier New" w:eastAsia="Courier New" w:hAnsi="Courier New"/>
                <w:sz w:val="15"/>
                <w:szCs w:val="15"/>
                <w:color w:val="auto"/>
                <w:w w:val="97"/>
              </w:rPr>
              <w:t>Identification Number)</w:t>
            </w:r>
          </w:p>
        </w:tc>
      </w:tr>
      <w:tr>
        <w:trPr>
          <w:trHeight w:val="516"/>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555 Turnpike Street</w:t>
            </w:r>
          </w:p>
        </w:tc>
        <w:tc>
          <w:tcPr>
            <w:tcW w:w="1960" w:type="dxa"/>
            <w:vAlign w:val="bottom"/>
          </w:tcPr>
          <w:p>
            <w:pPr>
              <w:spacing w:after="0"/>
              <w:rPr>
                <w:sz w:val="24"/>
                <w:szCs w:val="2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Canton, Massachusetts 02021</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9"/>
              </w:rPr>
              <w:t>(781) 828-9300</w:t>
            </w:r>
          </w:p>
        </w:tc>
        <w:tc>
          <w:tcPr>
            <w:tcW w:w="1960" w:type="dxa"/>
            <w:vAlign w:val="bottom"/>
          </w:tcPr>
          <w:p>
            <w:pPr>
              <w:spacing w:after="0"/>
              <w:rPr>
                <w:sz w:val="14"/>
                <w:szCs w:val="14"/>
                <w:color w:val="auto"/>
              </w:rPr>
            </w:pPr>
          </w:p>
        </w:tc>
      </w:tr>
      <w:tr>
        <w:trPr>
          <w:trHeight w:val="172"/>
        </w:trPr>
        <w:tc>
          <w:tcPr>
            <w:tcW w:w="6780" w:type="dxa"/>
            <w:vAlign w:val="bottom"/>
            <w:gridSpan w:val="2"/>
          </w:tcPr>
          <w:p>
            <w:pPr>
              <w:jc w:val="center"/>
              <w:ind w:left="385"/>
              <w:spacing w:after="0"/>
              <w:rPr>
                <w:sz w:val="20"/>
                <w:szCs w:val="20"/>
                <w:color w:val="auto"/>
              </w:rPr>
            </w:pPr>
            <w:r>
              <w:rPr>
                <w:rFonts w:ascii="Courier New" w:cs="Courier New" w:eastAsia="Courier New" w:hAnsi="Courier New"/>
                <w:sz w:val="15"/>
                <w:szCs w:val="15"/>
                <w:color w:val="auto"/>
                <w:w w:val="99"/>
              </w:rPr>
              <w:t>(Address, including zip code, and telephone number,</w:t>
            </w:r>
          </w:p>
        </w:tc>
      </w:tr>
      <w:tr>
        <w:trPr>
          <w:trHeight w:val="172"/>
        </w:trPr>
        <w:tc>
          <w:tcPr>
            <w:tcW w:w="6780" w:type="dxa"/>
            <w:vAlign w:val="bottom"/>
            <w:gridSpan w:val="2"/>
          </w:tcPr>
          <w:p>
            <w:pPr>
              <w:jc w:val="center"/>
              <w:ind w:left="365"/>
              <w:spacing w:after="0"/>
              <w:rPr>
                <w:sz w:val="20"/>
                <w:szCs w:val="20"/>
                <w:color w:val="auto"/>
              </w:rPr>
            </w:pPr>
            <w:r>
              <w:rPr>
                <w:rFonts w:ascii="Courier New" w:cs="Courier New" w:eastAsia="Courier New" w:hAnsi="Courier New"/>
                <w:sz w:val="15"/>
                <w:szCs w:val="15"/>
                <w:color w:val="auto"/>
                <w:w w:val="99"/>
              </w:rPr>
              <w:t>including area code, of Registrant's principal executive offices)</w:t>
            </w:r>
          </w:p>
        </w:tc>
      </w:tr>
      <w:tr>
        <w:trPr>
          <w:trHeight w:val="172"/>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spacing w:after="0"/>
              <w:rPr>
                <w:sz w:val="14"/>
                <w:szCs w:val="14"/>
                <w:color w:val="auto"/>
              </w:rPr>
            </w:pPr>
          </w:p>
        </w:tc>
      </w:tr>
      <w:tr>
        <w:trPr>
          <w:trHeight w:val="344"/>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Dennis R. Hernreich</w:t>
            </w:r>
          </w:p>
        </w:tc>
        <w:tc>
          <w:tcPr>
            <w:tcW w:w="1960" w:type="dxa"/>
            <w:vAlign w:val="bottom"/>
          </w:tcPr>
          <w:p>
            <w:pPr>
              <w:spacing w:after="0"/>
              <w:rPr>
                <w:sz w:val="24"/>
                <w:szCs w:val="2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Chief Financial Officer</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555 Turnpike Street</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Canton, Massachusetts 02021</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9"/>
              </w:rPr>
              <w:t>(781) 828-9300</w:t>
            </w:r>
          </w:p>
        </w:tc>
        <w:tc>
          <w:tcPr>
            <w:tcW w:w="1960" w:type="dxa"/>
            <w:vAlign w:val="bottom"/>
          </w:tcPr>
          <w:p>
            <w:pPr>
              <w:spacing w:after="0"/>
              <w:rPr>
                <w:sz w:val="14"/>
                <w:szCs w:val="14"/>
                <w:color w:val="auto"/>
              </w:rPr>
            </w:pPr>
          </w:p>
        </w:tc>
      </w:tr>
      <w:tr>
        <w:trPr>
          <w:trHeight w:val="172"/>
        </w:trPr>
        <w:tc>
          <w:tcPr>
            <w:tcW w:w="6780" w:type="dxa"/>
            <w:vAlign w:val="bottom"/>
            <w:gridSpan w:val="2"/>
          </w:tcPr>
          <w:p>
            <w:pPr>
              <w:jc w:val="center"/>
              <w:ind w:left="365"/>
              <w:spacing w:after="0"/>
              <w:rPr>
                <w:sz w:val="20"/>
                <w:szCs w:val="20"/>
                <w:color w:val="auto"/>
              </w:rPr>
            </w:pPr>
            <w:r>
              <w:rPr>
                <w:rFonts w:ascii="Courier New" w:cs="Courier New" w:eastAsia="Courier New" w:hAnsi="Courier New"/>
                <w:sz w:val="15"/>
                <w:szCs w:val="15"/>
                <w:color w:val="auto"/>
                <w:w w:val="99"/>
              </w:rPr>
              <w:t>(Name, address, including zip code, and telephone number,</w:t>
            </w:r>
          </w:p>
        </w:tc>
      </w:tr>
      <w:tr>
        <w:trPr>
          <w:trHeight w:val="172"/>
        </w:trPr>
        <w:tc>
          <w:tcPr>
            <w:tcW w:w="678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8"/>
              </w:rPr>
              <w:t>including area code, of agent for service)</w:t>
            </w:r>
          </w:p>
        </w:tc>
      </w:tr>
      <w:tr>
        <w:trPr>
          <w:trHeight w:val="172"/>
        </w:trPr>
        <w:tc>
          <w:tcPr>
            <w:tcW w:w="4820" w:type="dxa"/>
            <w:vAlign w:val="bottom"/>
          </w:tcPr>
          <w:p>
            <w:pPr>
              <w:jc w:val="center"/>
              <w:ind w:left="2345"/>
              <w:spacing w:after="0"/>
              <w:rPr>
                <w:sz w:val="20"/>
                <w:szCs w:val="20"/>
                <w:color w:val="auto"/>
              </w:rPr>
            </w:pPr>
            <w:r>
              <w:rPr>
                <w:rFonts w:ascii="Courier New" w:cs="Courier New" w:eastAsia="Courier New" w:hAnsi="Courier New"/>
                <w:sz w:val="15"/>
                <w:szCs w:val="15"/>
                <w:color w:val="auto"/>
                <w:w w:val="99"/>
              </w:rPr>
              <w:t>-----------------</w:t>
            </w:r>
          </w:p>
        </w:tc>
        <w:tc>
          <w:tcPr>
            <w:tcW w:w="1960" w:type="dxa"/>
            <w:vAlign w:val="bottom"/>
          </w:tcPr>
          <w:p>
            <w:pPr>
              <w:spacing w:after="0"/>
              <w:rPr>
                <w:sz w:val="14"/>
                <w:szCs w:val="14"/>
                <w:color w:val="auto"/>
              </w:rPr>
            </w:pPr>
          </w:p>
        </w:tc>
      </w:tr>
      <w:tr>
        <w:trPr>
          <w:trHeight w:val="344"/>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7"/>
              </w:rPr>
              <w:t>Copy to:</w:t>
            </w:r>
          </w:p>
        </w:tc>
        <w:tc>
          <w:tcPr>
            <w:tcW w:w="1960" w:type="dxa"/>
            <w:vAlign w:val="bottom"/>
          </w:tcPr>
          <w:p>
            <w:pPr>
              <w:spacing w:after="0"/>
              <w:rPr>
                <w:sz w:val="24"/>
                <w:szCs w:val="24"/>
                <w:color w:val="auto"/>
              </w:rPr>
            </w:pPr>
          </w:p>
        </w:tc>
      </w:tr>
    </w:tbl>
    <w:p>
      <w:pPr>
        <w:spacing w:after="0" w:line="174"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Peter G. Smith, Esq.</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Kramer Levin Naftalis &amp; Frankel LLP</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919 Third Avenue</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New York, New York 10022</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(212) 715-9100</w:t>
      </w:r>
    </w:p>
    <w:p>
      <w:pPr>
        <w:spacing w:after="0" w:line="176" w:lineRule="exact"/>
        <w:rPr>
          <w:sz w:val="24"/>
          <w:szCs w:val="24"/>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Approximate date of commencement of proposed sale to the public: At such time or times as may be determined by the selling stockholders after this Registration Statement becomes effective.</w:t>
      </w:r>
    </w:p>
    <w:p>
      <w:pPr>
        <w:spacing w:after="0" w:line="176" w:lineRule="exact"/>
        <w:rPr>
          <w:sz w:val="24"/>
          <w:szCs w:val="24"/>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6" w:lineRule="exact"/>
        <w:rPr>
          <w:sz w:val="24"/>
          <w:szCs w:val="24"/>
          <w:color w:val="auto"/>
        </w:rPr>
      </w:pPr>
    </w:p>
    <w:p>
      <w:pPr>
        <w:ind w:right="3079" w:firstLine="716"/>
        <w:spacing w:after="0" w:line="267"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as amended (the "Securities Act"), check the following box. |X|</w:t>
      </w:r>
    </w:p>
    <w:p>
      <w:pPr>
        <w:spacing w:after="0" w:line="159"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 _______</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 _______</w:t>
      </w:r>
    </w:p>
    <w:p>
      <w:pPr>
        <w:spacing w:after="0" w:line="175" w:lineRule="exact"/>
        <w:rPr>
          <w:sz w:val="24"/>
          <w:szCs w:val="24"/>
          <w:color w:val="auto"/>
        </w:rPr>
      </w:pPr>
    </w:p>
    <w:p>
      <w:pPr>
        <w:ind w:right="3439" w:firstLine="716"/>
        <w:spacing w:after="0"/>
        <w:rPr>
          <w:sz w:val="20"/>
          <w:szCs w:val="20"/>
          <w:color w:val="auto"/>
        </w:rPr>
      </w:pPr>
      <w:r>
        <w:rPr>
          <w:rFonts w:ascii="Courier New" w:cs="Courier New" w:eastAsia="Courier New" w:hAnsi="Courier New"/>
          <w:sz w:val="15"/>
          <w:szCs w:val="15"/>
          <w:color w:val="auto"/>
        </w:rPr>
        <w:t>If the delivery of the prospectus is expected to be made pursuant to Rule 434, please check the following box. |_|</w:t>
      </w:r>
    </w:p>
    <w:p>
      <w:pPr>
        <w:spacing w:after="0" w:line="174"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ectPr>
          <w:pgSz w:w="11900" w:h="16838" w:orient="portrait"/>
          <w:cols w:equalWidth="0" w:num="1">
            <w:col w:w="10219"/>
          </w:cols>
          <w:pgMar w:left="240" w:top="231" w:right="1440" w:bottom="1103" w:gutter="0" w:footer="0" w:header="0"/>
        </w:sectPr>
      </w:pPr>
    </w:p>
    <w:bookmarkStart w:id="1" w:name="page2"/>
    <w:bookmarkEnd w:id="1"/>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4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September 11, 2002</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Prospectus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24,809,338 SHARES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CASUAL MALE RETAIL GROUP, INC.</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This prospectus relates to the offer and sale by the selling stockholders listed beginning on page 10 of up to 24,809,338 shares of common stock, par value $0.01 per share, of Casual Male Retail Group, Inc. (formerly known as Designs, Inc.), consisting of (i) 1,379,300 shares of recently issued common stock, (ii) 18,016,200 shares of common stock issued following the conversion on August 8, 2002 of our series B convertible preferred stock, par value $0.01 per share, (iii) 3,391,471 shares of common stock issuable upon exercise of outstanding warrants, (iv) 1,140,000 shares of common stock issuable upon exercise of outstanding options and (v) 882,367 presently outstanding shares of common stock.</w:t>
      </w:r>
    </w:p>
    <w:p>
      <w:pPr>
        <w:spacing w:after="0" w:line="17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issued 1,379,300 shares of common stock and 180,162 shares of series B preferred stock to certain selling stockholders in various private placement transactions in April and May 2002. Each share of series B preferred stock was automatically converted into 100 shares of common stock following the approval of the issuance of such common stock by our stockholders at the annual meeting of stockholders held on August 8, 2002. The selling stockholders may sell all or some of their respective shares offered pursuant to is prospectus through public or private transactions, at prevailing market prices, or at privately negotiated prices. We will not receive any proceeds from the sale of any of the shares by the selling stockholders.</w:t>
      </w:r>
    </w:p>
    <w:p>
      <w:pPr>
        <w:spacing w:after="0" w:line="351" w:lineRule="exact"/>
        <w:rPr>
          <w:sz w:val="20"/>
          <w:szCs w:val="20"/>
          <w:color w:val="auto"/>
        </w:rPr>
      </w:pPr>
    </w:p>
    <w:p>
      <w:pPr>
        <w:ind w:right="3159" w:firstLine="716"/>
        <w:spacing w:after="0" w:line="267" w:lineRule="auto"/>
        <w:rPr>
          <w:sz w:val="20"/>
          <w:szCs w:val="20"/>
          <w:color w:val="auto"/>
        </w:rPr>
      </w:pPr>
      <w:r>
        <w:rPr>
          <w:rFonts w:ascii="Courier New" w:cs="Courier New" w:eastAsia="Courier New" w:hAnsi="Courier New"/>
          <w:sz w:val="14"/>
          <w:szCs w:val="14"/>
          <w:color w:val="auto"/>
        </w:rPr>
        <w:t>Our common stock is listed on the Nasdaq National Market under the symbol "CMRG" (and was formerly listed under the symbol "DESI"). On September 10, 2002, the last reported sale price of our common stock was $4.99 per share.</w:t>
      </w:r>
    </w:p>
    <w:p>
      <w:pPr>
        <w:spacing w:after="0" w:line="32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Investing in our common stock involves risks. See "Risk Factors"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on page 4.</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The date of this prospectus is [___________], 2002.</w:t>
      </w:r>
    </w:p>
    <w:p>
      <w:pPr>
        <w:sectPr>
          <w:pgSz w:w="11900" w:h="16838" w:orient="portrait"/>
          <w:cols w:equalWidth="0" w:num="1">
            <w:col w:w="10219"/>
          </w:cols>
          <w:pgMar w:left="240" w:top="63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88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14"/>
                <w:szCs w:val="14"/>
                <w:color w:val="auto"/>
              </w:rPr>
            </w:pPr>
          </w:p>
        </w:tc>
      </w:tr>
      <w:tr>
        <w:trPr>
          <w:trHeight w:val="516"/>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RECENT DEVELOPMENTS...........................................................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FORWARD-LOOKING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DIVIDENDS....................................................................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SELLING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PLAN OF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WHERE YOU CAN FIND MORE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516"/>
        </w:trPr>
        <w:tc>
          <w:tcPr>
            <w:tcW w:w="6880" w:type="dxa"/>
            <w:vAlign w:val="bottom"/>
          </w:tcPr>
          <w:p>
            <w:pPr>
              <w:ind w:left="2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r>
    </w:tbl>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You should rely only on the information or representations provided in this prospectus or incorporated by reference into this prospectus. We have not authorized anyone to provide you with any different information or to make any different representations in connection with any offering made by this prospectus. This prospectus does not constitute an offer to sell, or a solicitation of an offer to buy, in any state where the offer or sale is prohibited. Neither the delivery of this prospectus, nor any sale made under this prospectus shall, under any circumstances, imply that the information in this prospectus is correct as of any date after the date of this prospectus.</w:t>
      </w:r>
    </w:p>
    <w:p>
      <w:pPr>
        <w:spacing w:after="0" w:line="17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3" w:name="page4"/>
    <w:bookmarkEnd w:id="3"/>
    <w:p>
      <w:pPr>
        <w:ind w:left="312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Casual Male Retail Group, Inc. (formerly known as Designs, Inc.) is a publicly traded, Massachusetts-based brand retail operator which has historically specialized in selling quality branded apparel and accessories in outlet malls throughout the eastern part of the United States and Puerto Rico. All references in this prospectus to "Casual Male Retail Group," the "Company," "we," "us" and "our" are to Casual Male Retail Group, Inc. and its subsidiaries. For over 25 years, through a license agreement with Levi Strauss &amp; Co., we owned and operated retail outlet stores selling exclusively Levi's(R) branded merchandise.</w:t>
      </w:r>
    </w:p>
    <w:p>
      <w:pPr>
        <w:spacing w:after="0" w:line="178"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Expanding upon our core competency of operating retail stores for branded apparel in the outlet channel of distribution, we recently entered into the following arrangements with two well-known apparel manufacturers:</w:t>
      </w:r>
    </w:p>
    <w:p>
      <w:pPr>
        <w:spacing w:after="0" w:line="176" w:lineRule="exact"/>
        <w:rPr>
          <w:sz w:val="20"/>
          <w:szCs w:val="20"/>
          <w:color w:val="auto"/>
        </w:rPr>
      </w:pPr>
    </w:p>
    <w:p>
      <w:pPr>
        <w:ind w:left="880" w:right="3079" w:hanging="441"/>
        <w:spacing w:after="0" w:line="242"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we entered into a license agreement with Candie's, Inc., a leading designer and marketer of young women's footwear, apparel and accessories. Under this license agreement, we plan, over the next five years, to open and operate 75 Candie's(R) branded retail stores in outlet malls and value centers throughout the United States. We plan to open 11 Candie's(R) branded stores in outlet malls during the fiscal year ending February 1, 2003.</w:t>
      </w:r>
    </w:p>
    <w:p>
      <w:pPr>
        <w:spacing w:after="0" w:line="176" w:lineRule="exact"/>
        <w:rPr>
          <w:rFonts w:ascii="Courier New" w:cs="Courier New" w:eastAsia="Courier New" w:hAnsi="Courier New"/>
          <w:sz w:val="15"/>
          <w:szCs w:val="15"/>
          <w:color w:val="auto"/>
        </w:rPr>
      </w:pPr>
    </w:p>
    <w:p>
      <w:pPr>
        <w:ind w:left="880" w:right="3339" w:hanging="441"/>
        <w:spacing w:after="0" w:line="262" w:lineRule="auto"/>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2002, we finalized an exclusive joint venture agreement with EcKo Complex, LLC, a leading design-driven lifestyle brand targeting young men and women. EcKo has worldwide annual sales exceeding $200 million. Under the joint venture agreement, we will open and operate 75 EcKo(R) branded outlet stores throughout the United States over a six-year period. We plan to open five EcKo(R) branded outlet stores during fiscal 2003.</w:t>
      </w:r>
    </w:p>
    <w:p>
      <w:pPr>
        <w:spacing w:after="0" w:line="164"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are continuing discussions with several other manufacturers as we strive to become a premier operator of branded retail outlet stores. We believe that manufacturers will find Casual Male Retail Group as their logical solution for an outlet channel of distribution of their branded merchandise.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As of May 14, 2002, pursuant to an asset purchase agreement entered into as of May 2, 2002, by the Company, Casual Male Corp. and certain of its subsidiaries (which we refer to, collectively, as "old Casual Male"), we completed the acquisition of substantially all of the assets of old Casual Male for a purchase price of approximately $170 million, plus the assumption of certain operating liabilities. We were selected as the highest and best bidder for the old Casual Male assets at a bankruptcy court ordered auction commencing on May 1, 2002 and concluding on May 2, 2002, and our acquisition of old Casual Male was approved by the court on May 7, 2002.</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Old Casual Male was a leading independent specialty retailer of fashion, casual and dress apparel for big and tall men with annual sales that exceeded $350 million. Old Casual Male sold its branded merchandise through various channels of distribution including full price and outlet retail stores, direct mail and the internet. Old Casual Male had been operating under the protection of the U.S. Bankruptcy Court since May 2001.</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Casual Male acquisition, along with the payment of certain related fees and expenses, was completed with funds provided by: (i) approximately $30.2 million in additional borrowings from our amended three-year $120.0 million senior secured credit facility with our bank, Fleet Retail Finance, Inc., (ii) $15.0 million in a three-year term loan with a subsidiary of Fleet Retail Finance, (iii) proceeds from the private placement in April and May 2002 of $24.5 million principal amount of 12% senior subordinated notes due 2007 together with detachable warrants to acquire 1,715,000 shares of our common stock at an exercise price of $0.01 per share and additional detachable warrants to acquire 1,176,471 shares of our common stock at an exercise price of $8.50 per share, (iv) proceeds from the private placement in April and May 2002 of $11.0 million principal amount of 5% senior subordinated notes due 2007, (v) approximately $82.5 million of proceeds from the private placement in April and May 2002 of approximately 1,379,300 shares of newly issued common stock and 180,162 shares of series B preferred stock, and (vi) the assumption of a mortgage note in a principal amount of approximately $12.2 million.</w:t>
      </w:r>
    </w:p>
    <w:p>
      <w:pPr>
        <w:spacing w:after="0" w:line="183" w:lineRule="exact"/>
        <w:rPr>
          <w:sz w:val="20"/>
          <w:szCs w:val="20"/>
          <w:color w:val="auto"/>
        </w:rPr>
      </w:pPr>
    </w:p>
    <w:p>
      <w:pPr>
        <w:ind w:right="3519" w:firstLine="716"/>
        <w:spacing w:after="0" w:line="274" w:lineRule="auto"/>
        <w:rPr>
          <w:sz w:val="20"/>
          <w:szCs w:val="20"/>
          <w:color w:val="auto"/>
        </w:rPr>
      </w:pPr>
      <w:r>
        <w:rPr>
          <w:rFonts w:ascii="Courier New" w:cs="Courier New" w:eastAsia="Courier New" w:hAnsi="Courier New"/>
          <w:sz w:val="14"/>
          <w:szCs w:val="14"/>
          <w:color w:val="auto"/>
        </w:rPr>
        <w:t>Our principle executive offices are located at 555 Turnpike Street, Canton, Massachusetts 02021, and our telephone number is (781) 828-9300.</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At the Company's annual meeting of stockholders held on August 8, 2002, the stockholders of the Company voted in favor of changing the Company's corporate name from Designs, Inc. to Casual Male Retail Group, Inc. Also at the annual meeting, the stockholders voted in favor of (i) changing the Company's state of incorporation from Delaware to Nevada, (ii) increasing the number of authorized shares of common stock from 50,000,000 shares to 75,000,000 shares and (iii) issuing additional shares of common stock upon the conversion of the Company's series B preferred stock and the exercise of certain outstanding warrants.</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On August 7, 2002, the Company announced that due to the continued erosion of the Levi's brand in the marketplace and Levi Strauss &amp; Co.'s consistent inability to provide a balanced assortment of product for our Levi's(R) and Dockers(R) stores, the Company evaluated the current trends of its Levi's(R)/Dockers(R) outlet stores as a result of the continuing comparable store sale decreases the business was experiencing. As a result, the Company plans to close between 34 and 40 Levi's(R)/Dockers(R) stores, combine 6 to 8 other stores and reduce the square footage in another 20 to 25 stores. The Company expects to close between 15 and 20 Levi's(R) and Dockers(R) outlet stores over the next twelve to eighteen months, and has already started negotiations with several landlords to terminate leases on the remaining underperforming stores. At the same time, the Company is continuing to execute its integration plan to combine the operations of Designs, Inc. with Casual Male and is in the process of relocating the Company's distribution facility and corporate offices to Canton, Massachusetts.</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On August 23, 2002, the Company announced its second quarter financial results. For the second quarter of fiscal 2003, the Company reported a net loss of $12.9 million, which includes restructuring charges totaling $11.0 million, primarily related to the previously announced restructuring of the Company's Levi's(R)/Dockers(R) business and the integration of the Casual Male operations. This compares to a net income of $0.7 million in the corresponding period of the prior year. For the six months ended August 3, 2002, the Company reported a net loss of $14.7 million, of which $11.0 million relates to the aforementioned restructuring charges recorded in the second quarter of fiscal 2003. This compares to a net loss of $0.7 million in the corresponding period of the prior year. As a result of the restructuring charge, the income tax benefit previously recorded in the first quarter of the current year was reversed in the second quarter, such that no income tax benefit has been recognized in the year-to-date results. Without the impact of the $11.0 million restructuring charge, the Company would have reported a net loss of $0.5 million for the second quarter of fiscal 2003 and a net loss of $2.3 million for the six months ended August 3, 2002.</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Investing in shares of our common stock involves a high degree of risk. You should carefully consider the following risk factors and all other information contained in this prospectus before purchasing our common stock. The risks and uncertainties described below are those that we currently believe may materially affect our company. Additional risks and uncertainties may also impair our business operations. If the following risks actually occur, our business, financial condition and results of operations could be seriously harmed, the trading price of our common stock could decline and you could lose all or part of your investment.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the Market in Which We Operate</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sales will suffer if we fail to accurately predict changing fashion trends and consumer preferences.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Our business is dependent upon our being able to predict fashion trends, customer preferences and other fashion-related factors. Customer tastes and fashion trends are volatile and tend to change rapidly. Our success depends in large part upon management's ability to effectively predict and respond to changing fashion tastes and consumer demands and to translate market trends to appropriate saleable product offerings far in advance. If we are unable to successfully predict or respond to changing styles or trends and misjudge the market for our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profit margins and profits. In addition, the failure to satisfy consumer demand could have serious longer-term consequences, such as an adverse impact on our brand recognition and the loss of market share to our competitors if our customer base comes to believe that other retailers are more successfully addressing their preferences.</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5" w:name="page6"/>
    <w:bookmarkEnd w:id="5"/>
    <w:p>
      <w:pPr>
        <w:ind w:right="3079"/>
        <w:spacing w:after="0"/>
        <w:rPr>
          <w:sz w:val="20"/>
          <w:szCs w:val="20"/>
          <w:color w:val="auto"/>
        </w:rPr>
      </w:pPr>
      <w:r>
        <w:rPr>
          <w:rFonts w:ascii="Courier New" w:cs="Courier New" w:eastAsia="Courier New" w:hAnsi="Courier New"/>
          <w:sz w:val="15"/>
          <w:szCs w:val="15"/>
          <w:color w:val="auto"/>
        </w:rPr>
        <w:t>Macroeconomic factors adversely affecting the retail industry could also cause a decrease our retail sales which would negatively impact our profitability.</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Our sales could be negatively impacted by a weak retail environment caused by a decline in consumer confidence and ultimately a reduction in consumer spending for such discretionary items such as apparel, which become a lower priority than necessities such as food and housing. Apparel retailers are subject to general economic conditions and purchases of apparel may decline at any time, especially during recessionary periods. In addition, our financial performance is also sensitive to changes in consumer spending trends and shopping patterns.</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understand that the retail industry can be adversely affected by certain economic factors outside of our control that would affect our costs as well as consumer spending behavior. Some of these factors include rising interest rates, negative consumer sentiment brought about by uncertainty over economic recovery and national security, inflation, and rising unemployment. Further, it is well-known in the apparel industry that when economic conditions worsen, men are more reluctant than women and children to shop for clothes for themselves. Because over 80% of our sales are attributable to men's apparel, we would be especially sensitive to such a decline. We have no ability to predict or control these economic and political variables.</w:t>
      </w:r>
    </w:p>
    <w:p>
      <w:pPr>
        <w:spacing w:after="0" w:line="17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We could lose market share to competitors in the retail industry, which would cause a decline in our revenues and have a serious adverse impact on our profitability.</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The United States casual apparel market, men's big and tall market and footwear industry are highly competitive with many national and regional department stores, specialty apparel retailers and discount stores offering a broad range of apparel products similar to the products that we sell. Besides retail competitors, we consider any casual apparel manufacturer operating in outlet parks throughout the United States to be a competitor in the casual apparel market. Due to consolidation in the men's apparel industry, it is possible that another competitor, either a mass merchant or a men's specialty store or specialty apparel catalog, could gain market share in men's big and tall apparel due to more favorable pricing, locations, brand and fashion assortment and size availability. Recently, sales of Levi's(R) brand jeans have been impacted by the increased competition from private labels as well as fashion jeans market entrants and by a decrease in national sales trends of Levi's(R) brand products. Our future Candie's(R) Outlet stores face substantial competition in each of our product lines from, among other brands, Skechers, Steve Madden and Esprit. The presence in the marketplace of various fashion trends and the limited availability of shelf space also can affect competition.</w:t>
      </w:r>
    </w:p>
    <w:p>
      <w:pPr>
        <w:spacing w:after="0" w:line="337" w:lineRule="exact"/>
        <w:rPr>
          <w:sz w:val="20"/>
          <w:szCs w:val="20"/>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We may not be able to compete successfully with our competitors in the future and could lose brand recognition and market share. A significant loss of market share would put the Company's revenues and profitability at risk.</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Our advertising and promotion efforts, while increasing costs, may not result in increased sales.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Our business is directly affected by the success or failure of the advertising and promotional efforts of the Company and our vendors. Future advertising efforts of our company, our vendors or our other licensors may be costly and may not result in increased sales. If a major advertising campaign were undertaken without success, then the Company's failure to realize any revenues from its advertising and promotional expenditures, together with the possible resulting erosion of brand recognition and loss of market share, would have a negative impact upon the Company's revenues. In either case, increased costs and decreased margins, accompanied by static or decreased revenues, would cause a decline in the Company's profitability.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Operations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Our business is likely to be damaged if we are unable to keep certain key personnel.</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Our future success is dependent on the personal efforts, performance and abilities of our key management. Although none of our senior executives is close to retirement age and we are not currently aware of any tensions between management and any senior executive, there is always the possibility that a key member of the management team could become unwilling or unable to continue in that capacity for other reasons. For example, the loss of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services of the Company's chief executive officer, David Levin, or its chief financial officer, Dennis Hernreich, both of whom are an integral part of our daily operations and primary decision makers in all operating matters, could significantly impact the business, until adequate replacements can be identified and put in place, by causing a loss of organizational focus, poor operating execution, or both. In addition, the loss of our chief executive officer and chief financial officer, each of whom has many years of senior executive experience in the retail apparel industry, could materially reduce our ability to identify and execute potential strategic initiatives such as joint venture and licensing opportunities, the establishment of new store locations, and possible acquisitions. That could, among other things, reduce potential revenues, prevent us from diversifying from more limited product lines and geographic concentrations, and expose us to downturns in those markets. The loss of those individuals as well as our chairman,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an erosion in the Company's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188"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If we fail to adequately upgrade and enhance our information systems and control procedures, our systems may not be able to support our requirements.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The Company depends heavily upon technology and information systems to control inventory, sales, markdowns, merchandise on hand and other critical information. We periodically review, improve and, under certain circumstances, replace our technology and management information systems to provide enhanced support to all operating areas of our company. Currently, the Company is undergoing a significant effort to replace Casual Male's existing antiquated legacy systems, as part of the process of integrating the historical Designs, Inc. and Casual Male operations.</w:t>
      </w:r>
    </w:p>
    <w:p>
      <w:pPr>
        <w:spacing w:after="0" w:line="177"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It is critically important to the successful operation of the Company that the implementation of the systems integration process, which entails the replacement, enhancement, or upgrade of all Casual Male's vital information systems, be completed timely without disruption to the daily operations of the Company. The Company anticipates that the implementation will require approximately 12 months to complete.</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However, we may not be able to successfully implement required enhancements to our operating systems in the future. If such upgrades and enhancements are not successfully implemented, then our current systems may not be able to continue to support adequately our future management information requirements.</w:t>
      </w:r>
    </w:p>
    <w:p>
      <w:pPr>
        <w:spacing w:after="0" w:line="175"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Any significant deficiencies in our management information systems resulting in less than optimal systems performance could have a negative impact upon the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the Company's sales could be severely impacted, or its gross margins could easily erode.</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we fail to continue to improve upon and enhance our present management information systems, then we may not be able to resolve or eliminate any existing or potential difficulties, which could have a significant impact on our business and results of operations.</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If the third party manufacturers upon which we are dependent are unable or unwilling to meet our needs, then we may be unable to obtain sufficient products of adequate quality.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do not own or operate any manufacturing facilities and are therefore are entirely dependent on third parties for the manufacture of the products we sell, which are the core of our business. Without adequate supplies of merchandise to sell to our customers in the merchandise styles and fashions demanded by the Company's particular customer base, sales would decrease materially and the Company's business would be in jeopardy. Furthermore, approximately 75-80% of our merchandise are private label items made specifically for Casual Male and its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7" w:name="page8"/>
    <w:bookmarkEnd w:id="7"/>
    <w:p>
      <w:pPr>
        <w:ind w:right="3159"/>
        <w:spacing w:after="0" w:line="242" w:lineRule="auto"/>
        <w:rPr>
          <w:sz w:val="20"/>
          <w:szCs w:val="20"/>
          <w:color w:val="auto"/>
        </w:rPr>
      </w:pPr>
      <w:r>
        <w:rPr>
          <w:rFonts w:ascii="Courier New" w:cs="Courier New" w:eastAsia="Courier New" w:hAnsi="Courier New"/>
          <w:sz w:val="15"/>
          <w:szCs w:val="15"/>
          <w:color w:val="auto"/>
        </w:rPr>
        <w:t>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the profitability of the Company.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and the amount of merchandise we sell, or the prices we charge for such merchandise, or both, would be reduced, decreasing our revenues and our profitability.</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profit margins, or both, will suffer.</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If our trademarks or licenses are compromised, then the market for our products could decline.</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We own and use a number of trademarks and operate under certain trademark license agreements. We believe that these trademarks have significant value and are instrumental in our ability to create and sustain demand for and market our products. We cannot assure that these trademarks and licensing agreements will remain in effect or that they will be renewed. In addition, any future disputes concerning these trademarks and licenses may cause us to incur significant litigation costs or force us to suspend use of the trademarks. For additional details about our license agreements, you should refer to our Annual Report on Form 10-K for the fiscal year ended February 2, 2002 (which we refer to as the "Form 10-K"), which is incorporated herein by 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not be able to successfully expand our operations as planned.</w:t>
      </w:r>
    </w:p>
    <w:p>
      <w:pPr>
        <w:spacing w:after="0" w:line="176"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We plan to significantly expand our operations in fiscal 2003 by opening several new stores and we expect to have capital expenditures of approximately $4.0 million. Our expansion plans are discussed in detail in the Form 10-K. Our growth strategy depends on our ability to open and operate new retail stores on a profitable basis. Our operating complexity and management responsibilities will increase as we continue to grow, and we may face challenges in managing our future growth. This anticipated growth will require that we continue to expand and improve our operations, including our distribution infrastructure, and expand, train and manage our employee base. In addition, we may be unable to hire a sufficient number of qualified personnel to work in our new stores or to successfully integrate the stores into our business. Our expansion prospects also depend on a number of other factors, many of which are beyond our control, including, among other things: economic conditions, competition, and consumer preferences. We may not be able to achieve our store expansion goals and, even if we succeed in opening new stores as planned, our newly opened stores may not achieve revenue or profitability levels comparable to those of our existing stores in the time periods estimated by us, or at all.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Acts of terrorism or war could adversely impact our business.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Additional actual or threatened acts of terrorism or war could negatively impact availability of merchandise or consumer spending trends and may otherwise adversely impact our business. Depending upon the nature of an attack or threatened attack, consumers may be unwilling or unable to go to our retail outlets or may otherwise decrease spending in general. A significant decrease in consumer spending could have a significant adverse impact on our revenues.</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addition, approximately 20% of the Company's merchandise is directly imported from other countries, and most of its remaining merchandise is supplied by U.S. domestic suppliers which source their goods from other countries. If imported goods become difficult or impossible to bring into the United States, and if we cannot obtain such merchandise from other sources at similar costs, then the Company's sales, gross margins and profit margins would significantly decline. Furthermore, in the event that commercial transportation is curtailed or substantially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8" w:name="page9"/>
    <w:bookmarkEnd w:id="8"/>
    <w:p>
      <w:pPr>
        <w:ind w:right="3159"/>
        <w:spacing w:after="0" w:line="242" w:lineRule="auto"/>
        <w:rPr>
          <w:sz w:val="20"/>
          <w:szCs w:val="20"/>
          <w:color w:val="auto"/>
        </w:rPr>
      </w:pPr>
      <w:r>
        <w:rPr>
          <w:rFonts w:ascii="Courier New" w:cs="Courier New" w:eastAsia="Courier New" w:hAnsi="Courier New"/>
          <w:sz w:val="15"/>
          <w:szCs w:val="15"/>
          <w:color w:val="auto"/>
        </w:rPr>
        <w:t>delayed, the Company may not be able to maintain adequate inventory levels of important merchandise levels on a consistent basis, which would negatively impact the Company's sales and potentially erode the confidence of its customer base, leading to further loss of sales and decline in profitability.</w:t>
      </w:r>
    </w:p>
    <w:p>
      <w:pPr>
        <w:spacing w:after="0" w:line="175" w:lineRule="exact"/>
        <w:rPr>
          <w:sz w:val="20"/>
          <w:szCs w:val="20"/>
          <w:color w:val="auto"/>
        </w:rPr>
      </w:pPr>
    </w:p>
    <w:p>
      <w:pPr>
        <w:jc w:val="both"/>
        <w:ind w:right="3159" w:firstLine="716"/>
        <w:spacing w:after="0" w:line="242" w:lineRule="auto"/>
        <w:rPr>
          <w:sz w:val="20"/>
          <w:szCs w:val="20"/>
          <w:color w:val="auto"/>
        </w:rPr>
      </w:pPr>
      <w:r>
        <w:rPr>
          <w:rFonts w:ascii="Courier New" w:cs="Courier New" w:eastAsia="Courier New" w:hAnsi="Courier New"/>
          <w:sz w:val="15"/>
          <w:szCs w:val="15"/>
          <w:color w:val="auto"/>
        </w:rPr>
        <w:t>In extreme circumstances, it may be necessary to close less productive stores so as to consolidate important merchandise categories into the Company's most productive stores which would severely impact the Company's profitability and cash flow.</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Additional issuances of our common stock would cause you to incur immediate dilution.</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In private placement transactions in April and May 2002, we issued shares of common stock, preferred stock convertible into common stock and warrants to purchase common stock. The issuance of common stock upon conversion of the preferred stock and exercise of the warrants and other issuances of additional common stock by us, from time to time, subjects our common stock to the dilutive effects of such issuances.</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Several provisions of our governing law could discourage, delay or prevent transactions that stockholders might otherwise consider favorable.</w:t>
      </w:r>
    </w:p>
    <w:p>
      <w:pPr>
        <w:spacing w:after="0" w:line="154"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It is possible that certain provisions of the Delaware corporate law or, if we change our state of incorporation from Delaware to Nevada (as approved at our annual meeting of stockholders on August 8, 2002), the Nevada corporate law may make it more difficult to accomplish transactions which stockholders may otherwise deem to be in their best interests. Such provisions may be deemed to have an anti-takeover effect and may delay, defer or prevent a tender offer or takeover attempt that might result in the receipt of a premium over the market price for the securities held by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Acquisition of Casual Male</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We may fail to realize the cost savings we anticipated from the Casual Male acquisition.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anticipate significant cost savings following our May 2002 acquisition of substantially all the assets of Casual Male, primarily through headcount reductions, renegotiation of contractual arrangements for supplies and services associated with the operation for more favorable pricing terms, elimination of inefficient and costly business processes and costs by streamlining the Company's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and reducing our expected profitability. If there are substantial failures to achieve these cost savings, cash flow and the servicing of debt related to the acquisition could also be reduced.</w:t>
      </w:r>
    </w:p>
    <w:p>
      <w:pPr>
        <w:spacing w:after="0" w:line="18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We may not be able to successfully integrate the Company's prior operations with the Casual Male operations.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Following the Casual Male acquisition, we face execution risk on two fronts: (i) successful post-acquisition integration of Casual Male operations and (ii) on-schedule store openings as outlined in our licensing and joint venture agreements with Candie's, Inc. and EcKo Complex, LLC, respectively. It is possible that unforeseen pitfalls during the post-acquisition integration effort could adversely affect our historical operation of operating branded outlet stores as well as our ability to operate the Casual Male stores effectively. In such an event, the Company's anticipated revenue growth may not be realized and the expected profit margins may not be achieved, and therefore the Company may not reach the level of profitability anticipated by management in connection with the acquisition. In an extreme case, the historical levels of both sales and profit margins for the different businesses could also be adversely impacted.</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9" w:name="page10"/>
    <w:bookmarkEnd w:id="9"/>
    <w:p>
      <w:pPr>
        <w:ind w:right="3779"/>
        <w:spacing w:after="0"/>
        <w:rPr>
          <w:sz w:val="20"/>
          <w:szCs w:val="20"/>
          <w:color w:val="auto"/>
        </w:rPr>
      </w:pPr>
      <w:r>
        <w:rPr>
          <w:rFonts w:ascii="Courier New" w:cs="Courier New" w:eastAsia="Courier New" w:hAnsi="Courier New"/>
          <w:sz w:val="15"/>
          <w:szCs w:val="15"/>
          <w:color w:val="auto"/>
        </w:rPr>
        <w:t>We may not succeed in our efforts to manage multiple brands in different channels of distribution.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Several retailers have had problems executing a corporate strategy aimed at operating multiple brands in multiple channels. We have expertise in the outlet channel of distribution, but the Casual Male acquisition introduces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75-80% of Casual Male's merchandise inventory. Under the current operating model, this function is mostly the responsibility of the branded manufacturer. If the managing of multiple brands within multiple channels is poorly executed, the Company will not achieve its expected level of profitability, and could ultimately be compelled to eliminate the multiple brand strategy so that the organization may focus on a single brand strategy.</w:t>
      </w:r>
    </w:p>
    <w:p>
      <w:pPr>
        <w:spacing w:after="0" w:line="181"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If the size of our target demographic group shrinks, our sales are likely to decrease.</w:t>
      </w:r>
    </w:p>
    <w:p>
      <w:pPr>
        <w:spacing w:after="0" w:line="176" w:lineRule="exact"/>
        <w:rPr>
          <w:sz w:val="20"/>
          <w:szCs w:val="20"/>
          <w:color w:val="auto"/>
        </w:rPr>
      </w:pPr>
    </w:p>
    <w:p>
      <w:pPr>
        <w:jc w:val="both"/>
        <w:ind w:right="3159" w:firstLine="716"/>
        <w:spacing w:after="0" w:line="260" w:lineRule="auto"/>
        <w:rPr>
          <w:sz w:val="20"/>
          <w:szCs w:val="20"/>
          <w:color w:val="auto"/>
        </w:rPr>
      </w:pPr>
      <w:r>
        <w:rPr>
          <w:rFonts w:ascii="Courier New" w:cs="Courier New" w:eastAsia="Courier New" w:hAnsi="Courier New"/>
          <w:sz w:val="14"/>
          <w:szCs w:val="14"/>
          <w:color w:val="auto"/>
        </w:rPr>
        <w:t>Research provided to Casual Male by The NPD Group suggests that big and tall men accounted for approximately 11% of the total men's apparel market for 1999. Casual Male currently targets big and tall men in the 25-54 age group.</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However, as more and more food retailers begin to compete on the basis of providing more healthy menus, and American popular culture becomes more health conscious, the size of this target demographic could decrease, resulting in lower sales.</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Covenants with our lenders may prevent management from doing things that would otherwise be in the Company's best interests.</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The Third Amended and Restated Loan and Security Agreement that we entered into with Fleet Retail Finance and other lenders on May 14, 2002 contains numerous operating covenants that will limit the discretion of management with respect to certain business matters, and which will place restrictions on, among other things, our ability to incur additional indebtedness, to create liens or other encumbrances, and to make certain payments or investments, loans and guarantees. These restrictions can have a negative impact upon the Company being able to expend funds as it deems necessary, including for the opening of new store locations or the pursuit of potential acquisitions, joint ventures or other strategic initiatives, or enter into important contractual relationships for the improvement of the operation, which could ultimately negatively impact the Company's financial performance.</w:t>
      </w:r>
    </w:p>
    <w:p>
      <w:pPr>
        <w:spacing w:after="0" w:line="339"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Changes in the Company's credit profile following the Casual Male acquisition could have a detrimental effect on its relationship with its suppliers.</w:t>
      </w:r>
    </w:p>
    <w:p>
      <w:pPr>
        <w:spacing w:after="0" w:line="154"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As a result of the additional debt we incurred to finance the Casual Male acquisition, we have become a highly leveraged company. This will have several important effects on our future operations including, but not limited to, (i) a substantial portion of our cash flow from operations must be dedicated to the payment of interest on our indebtedness and will not be available for other purposes, (ii) certain restrictions related to our borrowing may limit our ability to borrow additional funds or dispose of assets and may affect our flexibility in planning for, and reacting to, changes in it business, including other possible acquisition activities, and (iii) our ability to obtain additional financing in the future for working capital, capital expenditures, acquisitions, general corporate or other purposes may be impaired.</w:t>
      </w:r>
    </w:p>
    <w:p>
      <w:pPr>
        <w:spacing w:after="0" w:line="16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Based on the foregoing, our credit risk profile has changed from that of a historically unleveraged company to that of a highly leveraged company. As such, certain suppliers may change the terms under which they are willing to extend trade credit to us or the amount of such credit they are willing to extend at any one time. In both cases the amount of trade credit would be reduced, which would negatively impact the Company's working capital available for operating purposes, increase the borrowings under its revolving line of credit, and reduce the liquidity amount available under its revolving line of credit. In the event that suppliers reduce credit terms or place us on a cash-on-delivery (C.O.D.) basis, our working capital liquidity could be substantially reduced and we could have difficulty maintaining inventory levels or otherwise funding our operating needs.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0" w:name="page11"/>
    <w:bookmarkEnd w:id="10"/>
    <w:p>
      <w:pPr>
        <w:jc w:val="center"/>
        <w:ind w:right="3079"/>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This prospectus contains forward looking statements, which include statements based on our current expectations, assumptions, estimates and projections about our business and our industry. The nature of forward-looking information is that such information involves assumptions, risks and uncertainties. Forward-looking information requires our management to make assumptions, estimates, forecasts and projections regarding our future results as well as the future effectiveness of our strategic plans and future operational decisions. Forward-looking statements made by us or on our behalf are subject to the risk that the forecasts, projections, and expectations of management, or assumptions underlying such forecasts, projections and expectations, may become inaccurate. Accordingly, our future financial positions, the actual results of our operations and the implementation of our plans and operations may differ materially from forward-looking statements made by us or on our behalf.</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use words such as "believes," "anticipates," "expects," "intends," "plans" and similar expressions to identify forward-looking statements, but these are not the exclusive means of identifying these statements. Actual results could differ materially from those projected in any forward-looking statements for the reasons detailed in "Risk Factors" or elsewhere in this prospectus. Before you decide to invest in our common stock, you should be aware that if any of the events described in the "Risk Factors" section and elsewhere in this prospectus occur, they could have an adverse affect on our business. We assume no obligation to update any forward-looking statement.</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716"/>
        <w:spacing w:after="0" w:line="265" w:lineRule="auto"/>
        <w:rPr>
          <w:sz w:val="20"/>
          <w:szCs w:val="20"/>
          <w:color w:val="auto"/>
        </w:rPr>
      </w:pPr>
      <w:r>
        <w:rPr>
          <w:rFonts w:ascii="Courier New" w:cs="Courier New" w:eastAsia="Courier New" w:hAnsi="Courier New"/>
          <w:sz w:val="14"/>
          <w:szCs w:val="14"/>
          <w:color w:val="auto"/>
        </w:rPr>
        <w:t>We presently intend to retain earnings for working capital and to fund capital expenditures. Accordingly, there is no present intention to pay dividends on any shares of our common stock. In addition, the Third Amended and Restated Loan and Security Agreement further restricts the payment of dividends.</w:t>
      </w:r>
    </w:p>
    <w:p>
      <w:pPr>
        <w:spacing w:after="0" w:line="15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We will not receive any proceeds from any sales of the shares offered pursuant to this prospectus.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SELLING STOCKHOLDERS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May 2002, we issued to certain investors who are selling stockholders hereunder a total of 180,162 shares of series B preferred stock and 1,379,300 shares of common stock, and we have issued to the placement agent for certain such transactions warrants to purchase 500,000 shares of common stock at an exercise price of $4.25 per share. Each share of series B preferred stock was automatically converted into 100 shares of common stock upon approval by our stockholders of the proposal to approve the issuance of common stock upon conversion of the series B preferred stock at the annual meeting of our stockholders held on August 8, 2002. These transactions and the process of stockholder approval are described more fully in our Current Report on Form 8-K filed on May 23, 2002, as amended on May 23, 2002 and June 14, 2002, and our definitive proxy statement filed on July 8, 2002, all of which are incorporated herein by reference.</w:t>
      </w:r>
    </w:p>
    <w:p>
      <w:pPr>
        <w:spacing w:after="0" w:line="181"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Also in April and May 2002, in connection with the private placement of our senior subordinated notes, we issued certain purchasers of such notes who are selling stockholders hereunder detachable warrants to purchase an aggregate of 2,891,471 shares of common stock with initial exercise prices ranging from $0.01 to $8.50 per share.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following table sets forth information as of June 3, 2002, regarding the beneficial ownership of shares of common stock by the selling stockholders. The table presents the total number of shares of common stock owned by the selling stockholders prior to the offering contemplated by this prospectus, the total number of shares included in the offering and, assuming the selling stockholders will offer all of the shares listed in the table below pursuant to the offering contemplated by this prospectus, the total number of shares of common stock owned by the selling stockholders after completion of the offering. This prospectus offers, and the registration statement of which this prospectus forms a part registers, only the shares which are listed in the table below in the column titled "Number of shares of Offered Common Stock." Selling stockholders may sell only those shares pursuant to the offering. The presentation is based on (i) 15,989,343 shares of our common stock that were reported as outstanding on June 3, 2002, (ii) 18,016,200 shares of our common stock issued upon conversion of the series B preferred stock on August</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1" w:name="page12"/>
    <w:bookmarkEnd w:id="11"/>
    <w:p>
      <w:pPr>
        <w:ind w:right="4460"/>
        <w:spacing w:after="0"/>
        <w:rPr>
          <w:sz w:val="20"/>
          <w:szCs w:val="20"/>
          <w:color w:val="auto"/>
        </w:rPr>
      </w:pPr>
      <w:r>
        <w:rPr>
          <w:rFonts w:ascii="Courier New" w:cs="Courier New" w:eastAsia="Courier New" w:hAnsi="Courier New"/>
          <w:sz w:val="15"/>
          <w:szCs w:val="15"/>
          <w:color w:val="auto"/>
        </w:rPr>
        <w:t>8, 2002 and (iii) 4,531,471 shares of our common stock anticipated to be issued or issuable upon exercise of warrants and options.</w:t>
      </w:r>
    </w:p>
    <w:p>
      <w:pPr>
        <w:spacing w:after="0" w:line="176" w:lineRule="exact"/>
        <w:rPr>
          <w:sz w:val="20"/>
          <w:szCs w:val="20"/>
          <w:color w:val="auto"/>
        </w:rPr>
      </w:pPr>
    </w:p>
    <w:p>
      <w:pPr>
        <w:ind w:right="4380" w:firstLine="716"/>
        <w:spacing w:after="0" w:line="242" w:lineRule="auto"/>
        <w:rPr>
          <w:sz w:val="20"/>
          <w:szCs w:val="20"/>
          <w:color w:val="auto"/>
        </w:rPr>
      </w:pPr>
      <w:r>
        <w:rPr>
          <w:rFonts w:ascii="Courier New" w:cs="Courier New" w:eastAsia="Courier New" w:hAnsi="Courier New"/>
          <w:sz w:val="15"/>
          <w:szCs w:val="15"/>
          <w:color w:val="auto"/>
        </w:rPr>
        <w:t>The following table and notes following the table were prepared based on information provided to us by the listed selling stockholders. Other than as set forth in the footnotes to the following table, the selling stockholders have not had any material relationship with Casual Male Retail Group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outstanding</w:t>
            </w:r>
          </w:p>
        </w:tc>
      </w:tr>
      <w:tr>
        <w:trPr>
          <w:trHeight w:val="172"/>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3480" w:type="dxa"/>
            <w:vAlign w:val="bottom"/>
          </w:tcPr>
          <w:p>
            <w:pPr>
              <w:spacing w:after="0"/>
              <w:rPr>
                <w:sz w:val="14"/>
                <w:szCs w:val="14"/>
                <w:color w:val="auto"/>
              </w:rPr>
            </w:pP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shares owned</w:t>
            </w:r>
          </w:p>
        </w:tc>
      </w:tr>
      <w:tr>
        <w:trPr>
          <w:trHeight w:val="172"/>
        </w:trPr>
        <w:tc>
          <w:tcPr>
            <w:tcW w:w="3480" w:type="dxa"/>
            <w:vAlign w:val="bottom"/>
          </w:tcPr>
          <w:p>
            <w:pPr>
              <w:spacing w:after="0"/>
              <w:rPr>
                <w:sz w:val="14"/>
                <w:szCs w:val="14"/>
                <w:color w:val="auto"/>
              </w:rPr>
            </w:pP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subsequent</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subsequent</w:t>
            </w:r>
          </w:p>
        </w:tc>
      </w:tr>
      <w:tr>
        <w:trPr>
          <w:trHeight w:val="172"/>
        </w:trPr>
        <w:tc>
          <w:tcPr>
            <w:tcW w:w="3480" w:type="dxa"/>
            <w:vAlign w:val="bottom"/>
          </w:tcPr>
          <w:p>
            <w:pPr>
              <w:spacing w:after="0"/>
              <w:rPr>
                <w:sz w:val="14"/>
                <w:szCs w:val="14"/>
                <w:color w:val="auto"/>
              </w:rPr>
            </w:pP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to the</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to the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offering</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offering</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 Plaza Drive Associates</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Almarc Trading Corp. Defined Benefit</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AMT Asset Management,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Barclays Global Investors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Baron Asset Fund on behalf of</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3,760,353</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3,760,353</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the Small Cap Fund Series (1)**</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Benchmark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Bull Fund,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148,200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148,200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C.P.F.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66,800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Institutional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52,200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52,200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 Offshore,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94,200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The Branagh Revocable Trust, Peter W</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Branagh and Ramona Y. Branagh, Trustees</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Bric Retail,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Bric6,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225,200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218,400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Enhanced,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219,400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219,300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Managed Trust</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48,900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48,900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Offshore,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361,900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361,000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305,500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304,700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238,500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12,400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Bricoleur-Plus Fund,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Allen Brill</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Brook Road Nominee Trust</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Int'l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51,800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720,900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661,200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59,700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BY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289,800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289,800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Carafe Investment Co.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397,000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Clark Partners I, L.P. (2)</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2,346,359</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2,346,359</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Stewart L. Cohen</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Cragswood,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18,900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Kenneth C. Cummins (3)</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Walter Fischer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10,000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Glenhill Capital,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1,129,500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Glenhill Capital Overseas Partners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282,400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282,400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Howard Gonchar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Richard W. Greene IRA</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Jon D. Gruber &amp; Linda W. Gruber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58,900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4"/>
                <w:szCs w:val="24"/>
                <w:color w:val="auto"/>
              </w:rPr>
            </w:pPr>
          </w:p>
        </w:tc>
        <w:tc>
          <w:tcPr>
            <w:tcW w:w="3440" w:type="dxa"/>
            <w:vAlign w:val="bottom"/>
          </w:tcPr>
          <w:p>
            <w:pPr>
              <w:jc w:val="right"/>
              <w:ind w:right="3185"/>
              <w:spacing w:after="0"/>
              <w:rPr>
                <w:sz w:val="20"/>
                <w:szCs w:val="20"/>
                <w:color w:val="auto"/>
              </w:rPr>
            </w:pPr>
            <w:r>
              <w:rPr>
                <w:rFonts w:ascii="Courier New" w:cs="Courier New" w:eastAsia="Courier New" w:hAnsi="Courier New"/>
                <w:sz w:val="15"/>
                <w:szCs w:val="15"/>
                <w:color w:val="auto"/>
                <w:w w:val="88"/>
              </w:rPr>
              <w:t>11</w:t>
            </w: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635" w:right="1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680" w:type="dxa"/>
            <w:vAlign w:val="bottom"/>
          </w:tcPr>
          <w:p>
            <w:pPr>
              <w:spacing w:after="0"/>
              <w:rPr>
                <w:sz w:val="14"/>
                <w:szCs w:val="14"/>
                <w:color w:val="auto"/>
              </w:rPr>
            </w:pP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shares owned</w:t>
            </w:r>
          </w:p>
        </w:tc>
      </w:tr>
      <w:tr>
        <w:trPr>
          <w:trHeight w:val="172"/>
        </w:trPr>
        <w:tc>
          <w:tcPr>
            <w:tcW w:w="4680" w:type="dxa"/>
            <w:vAlign w:val="bottom"/>
          </w:tcPr>
          <w:p>
            <w:pPr>
              <w:spacing w:after="0"/>
              <w:rPr>
                <w:sz w:val="14"/>
                <w:szCs w:val="14"/>
                <w:color w:val="auto"/>
              </w:rPr>
            </w:pP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subsequent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subsequent</w:t>
            </w:r>
          </w:p>
        </w:tc>
      </w:tr>
      <w:tr>
        <w:trPr>
          <w:trHeight w:val="172"/>
        </w:trPr>
        <w:tc>
          <w:tcPr>
            <w:tcW w:w="4680" w:type="dxa"/>
            <w:vAlign w:val="bottom"/>
          </w:tcPr>
          <w:p>
            <w:pPr>
              <w:spacing w:after="0"/>
              <w:rPr>
                <w:sz w:val="14"/>
                <w:szCs w:val="14"/>
                <w:color w:val="auto"/>
              </w:rPr>
            </w:pP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to the</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to the</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offering</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offering</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516"/>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Gruber &amp; McBaine International</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125,800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121,800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Patrick M. Guarini</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Guerrilla IRA Partners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Guerrilla Partners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Halpern Capital DBA UVEST Investment</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Services (4)</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Dennis R. Hernreich (5)</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109,268</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49,268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Hocky Capital,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227,100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227,100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Hocky Capital QP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224,800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Allison Holtzman IRA, Bear Stearns</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Securities Corp. Custodian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Allison</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Olivia</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Garcia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Percy</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Rivers</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Sterling</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Garcia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Temple</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Steven 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Seymour Holtzman (6)</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4,050,739</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2,148,280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Interstate Properties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Jewelcor Management, Inc. (7)</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3,682,974</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1,602,459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2,080,515</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5.4%</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JLF Offshore Fund, Ltd.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795,000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JLF Partners I,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616,800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Warren B. Kanders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Burton I.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Milton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Ruthanne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Lagunitas Partners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407,700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David A. Levin (8)</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497,667</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465,500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32,167</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Carl M. Lieberman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Anne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Elizabeth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Mary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and Carolyn Lynch JWROS**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95,000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The Lynch Foundation**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Lead Annuity</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5,900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Remainder</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47,100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13,000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Unitrust**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7,100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Allan R. Lyons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Paul R. Mancia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R. McMullin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Metrowest Ent. 401(K) Profit Sharing</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Plan FBO Carl M. Lieberman</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Jeremiah P. Murphy, Jr. (9)</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94,326</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69,326</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New Valu, Inc.</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Robert Patron (10)</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Joseph Pennacchio (11)</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121,212</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71,212</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ind w:left="3480"/>
              <w:spacing w:after="0"/>
              <w:rPr>
                <w:sz w:val="20"/>
                <w:szCs w:val="20"/>
                <w:color w:val="auto"/>
              </w:rPr>
            </w:pPr>
            <w:r>
              <w:rPr>
                <w:rFonts w:ascii="Courier New" w:cs="Courier New" w:eastAsia="Courier New" w:hAnsi="Courier New"/>
                <w:sz w:val="15"/>
                <w:szCs w:val="15"/>
                <w:color w:val="auto"/>
              </w:rPr>
              <w:t>12</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977" w:right="139" w:bottom="1440" w:gutter="0" w:footer="0" w:header="0"/>
        </w:sectPr>
      </w:pPr>
    </w:p>
    <w:bookmarkStart w:id="13" w:name="page14"/>
    <w:bookmarkEnd w:id="1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outstanding</w:t>
            </w:r>
          </w:p>
        </w:tc>
      </w:tr>
      <w:tr>
        <w:trPr>
          <w:trHeight w:val="172"/>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60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shares owned</w:t>
            </w:r>
          </w:p>
        </w:tc>
      </w:tr>
      <w:tr>
        <w:trPr>
          <w:trHeight w:val="172"/>
        </w:trPr>
        <w:tc>
          <w:tcPr>
            <w:tcW w:w="4600" w:type="dxa"/>
            <w:vAlign w:val="bottom"/>
          </w:tcPr>
          <w:p>
            <w:pPr>
              <w:spacing w:after="0"/>
              <w:rPr>
                <w:sz w:val="14"/>
                <w:szCs w:val="14"/>
                <w:color w:val="auto"/>
              </w:rPr>
            </w:pP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subsequent</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subsequent</w:t>
            </w:r>
          </w:p>
        </w:tc>
      </w:tr>
      <w:tr>
        <w:trPr>
          <w:trHeight w:val="172"/>
        </w:trPr>
        <w:tc>
          <w:tcPr>
            <w:tcW w:w="4600" w:type="dxa"/>
            <w:vAlign w:val="bottom"/>
          </w:tcPr>
          <w:p>
            <w:pPr>
              <w:spacing w:after="0"/>
              <w:rPr>
                <w:sz w:val="14"/>
                <w:szCs w:val="14"/>
                <w:color w:val="auto"/>
              </w:rPr>
            </w:pP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 the</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to the</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offering</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600" w:type="dxa"/>
            <w:vAlign w:val="bottom"/>
          </w:tcPr>
          <w:p>
            <w:pPr>
              <w:spacing w:after="0"/>
              <w:rPr>
                <w:sz w:val="20"/>
                <w:szCs w:val="20"/>
                <w:color w:val="auto"/>
              </w:rPr>
            </w:pPr>
            <w:r>
              <w:rPr>
                <w:rFonts w:ascii="Courier New" w:cs="Courier New" w:eastAsia="Courier New" w:hAnsi="Courier New"/>
                <w:sz w:val="15"/>
                <w:szCs w:val="15"/>
                <w:color w:val="auto"/>
              </w:rPr>
              <w:t>Permal U.S. Opportunities Fund, Ltd.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565,000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565,000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Pollack Investment Partnership,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Pollat, Evans &amp; Co. Inc.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George T. Porter, Jr. (12)</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92,906</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37,906</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Prism Partners I,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Prism Partners II Offshore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Investment Funds- Putnam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989,600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989,600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Variable Trust- Putnam VT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377,000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377,000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World Trust II: Putnam U.S.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Equity Fund (Dublin)**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Reservoir Capital Master Fund,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67,600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67,600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Reservoir Capital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403,100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403,100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Eugene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61,500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Estate of Marvin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Phillip W.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60,000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Sonia Seidman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&amp; Associates, LLC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34,000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34,000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Investment Partnership II,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Investment Partnership,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John J. Sweeney (13)</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20,668</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17,168</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Tucker Anthony Incorporated (14)</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Hugh Sheldon Unger, Lincoln Trust TTEE</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IRA</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12,500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Jeffrey and Sheryl Unger (15)</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43,650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33,650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Michael H. Weiss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Weiss, Peck &amp; Greer, L.L.C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1,529,500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Whiffletree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Willow Creek Capital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Willow Creek Offshore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WPG Tudor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Partners Small Cap Value,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126,300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126,300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Partners Small Cap Value, LP I</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181,800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181,800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Small Cap Value Offshore</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Fund, Ltd.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Equity Neutral,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Offshore Limited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571,500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138,000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138,000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Affiliate of registered broker-dealer.</w:t>
      </w:r>
    </w:p>
    <w:p>
      <w:pPr>
        <w:spacing w:after="0" w:line="176" w:lineRule="exact"/>
        <w:rPr>
          <w:sz w:val="20"/>
          <w:szCs w:val="20"/>
          <w:color w:val="auto"/>
        </w:rPr>
      </w:pPr>
    </w:p>
    <w:p>
      <w:pPr>
        <w:ind w:left="448" w:right="5080"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1,407,353 shares of common stock issuable upon exercise of warrants.</w:t>
      </w:r>
    </w:p>
    <w:p>
      <w:pPr>
        <w:spacing w:after="0" w:line="176" w:lineRule="exact"/>
        <w:rPr>
          <w:rFonts w:ascii="Courier New" w:cs="Courier New" w:eastAsia="Courier New" w:hAnsi="Courier New"/>
          <w:sz w:val="15"/>
          <w:szCs w:val="15"/>
          <w:color w:val="auto"/>
        </w:rPr>
      </w:pPr>
    </w:p>
    <w:p>
      <w:pPr>
        <w:ind w:left="448" w:right="4380" w:hanging="448"/>
        <w:spacing w:after="0" w:line="241"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934,559 shares of common stock issuable upon exercise of warrants. Stephen M. Duff, who is Treasurer of Ninth Floor Corporation, the general partner of Clark Partners I, L.P., and Senior Investment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8"/>
          </w:cols>
          <w:pgMar w:left="232" w:top="977" w:right="139" w:bottom="1440" w:gutter="0" w:footer="0" w:header="0"/>
        </w:sectPr>
      </w:pPr>
    </w:p>
    <w:bookmarkStart w:id="14" w:name="page15"/>
    <w:bookmarkEnd w:id="14"/>
    <w:p>
      <w:pPr>
        <w:ind w:left="448" w:right="3599"/>
        <w:spacing w:after="0"/>
        <w:rPr>
          <w:sz w:val="20"/>
          <w:szCs w:val="20"/>
          <w:color w:val="auto"/>
        </w:rPr>
      </w:pPr>
      <w:r>
        <w:rPr>
          <w:rFonts w:ascii="Courier New" w:cs="Courier New" w:eastAsia="Courier New" w:hAnsi="Courier New"/>
          <w:sz w:val="15"/>
          <w:szCs w:val="15"/>
          <w:color w:val="auto"/>
        </w:rPr>
        <w:t>Manager at The Clark Estates, Inc., has been a member of the Board of Directors of the Company since May 14, 2002.</w:t>
      </w:r>
    </w:p>
    <w:p>
      <w:pPr>
        <w:spacing w:after="0" w:line="176" w:lineRule="exact"/>
        <w:rPr>
          <w:sz w:val="20"/>
          <w:szCs w:val="20"/>
          <w:color w:val="auto"/>
        </w:rPr>
      </w:pPr>
    </w:p>
    <w:p>
      <w:pPr>
        <w:ind w:left="448" w:right="343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Kenneth C. Cummins has been a legal consultant to the Company since November 12, 1996. Includes 20,000 shares of common stock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500,000 shares of common stock issuable upon exercise of warrants.</w:t>
      </w:r>
    </w:p>
    <w:p>
      <w:pPr>
        <w:spacing w:after="0" w:line="185" w:lineRule="exact"/>
        <w:rPr>
          <w:rFonts w:ascii="Courier New" w:cs="Courier New" w:eastAsia="Courier New" w:hAnsi="Courier New"/>
          <w:sz w:val="14"/>
          <w:szCs w:val="14"/>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Dennis R. Hernreich has been Senior Vice President, Chief Financial Officer and Treasurer of the Company since September 5, 2000. Includes 61,668 shares of common stock issuable upon exercise of options exercisable within 60 days.</w:t>
      </w:r>
    </w:p>
    <w:p>
      <w:pPr>
        <w:spacing w:after="0" w:line="17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Seymour Holtzman was appointed a director of the Company on April 7, 2000 and Chairman of the Board on April 11, 2000. On May 25, 2001, the Company hired Mr. Holtzman as an executive officer of the Company. Mr. Holtzman may be deemed to have shared voting and investment power over 4,050,739 shares of common stock, which includes 3,682,974 shares (including 549,559 shares issuable upon exercise of warrants) beneficially owned by Jewelcor Management, Inc., of which Mr. Holtzman is the Chairman, President and Chief Executive Officer and indirectly, with his wife, the primary shareholder; 337,765 shares owned individually, which includes 300,000 shares being offered pursuant to this prospectus subject to options and 25,000 shares subject to options exercisable within 60 days; and 30,000 shares owned by Mr. Holtzman's grandchildren as to which he disclaims beneficial ownership. The number of shares owned subsequent to the offering excludes 1,681,926 shares being offered by Jewelcor Management, Inc. pursuant to this prospectus.</w:t>
      </w:r>
    </w:p>
    <w:p>
      <w:pPr>
        <w:spacing w:after="0" w:line="182"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Jewelcor Management, Inc. has provided consulting services to the Company since October 1999. This consulting arrangement and other related transactions are described more fully in the Company's definitive proxy statement filed on July 8, 2002, which is incorporated herein by reference. Includes 549,559 shares of common stock issuable upon exercise of warrants. Excludes 337,765 shares, including 300,000 shares being offered pursuant to this prospectus subject to options and 25,000 shares subject to options exercisable within 60 days, owned individually by Seymour Holtzman and 30,000 shares owned by Mr. Holtzman's grandchildren. Includes 60,659 shares of common stock issued to Jewelcor Management, Inc. pursuant to a consulting agreement with the Company, which agreement was extended effective April 29, 2002.</w:t>
      </w:r>
    </w:p>
    <w:p>
      <w:pPr>
        <w:spacing w:after="0" w:line="180"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A. Levin has been President and Chief Executive Officer of the Company since April 10, 2000 and a director of the Company since April 11, 2000. Includes 241,667 shares of common stock issuable upon exercise of options exercisable within 60 days.</w:t>
      </w:r>
    </w:p>
    <w:p>
      <w:pPr>
        <w:spacing w:after="0" w:line="174"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Jeremiah P. Murphy, Jr. has been a director of the Company since October 8, 1999. Includes 35,000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Patron had been a director of the Company since October 1999 until his resignation effective March 11, 2002. Includes 30,000 shares of common stock issuable upon exercise of options.</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Pennacchio has been a director of the Company since October 8, 1999. Includes 35,000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T. Porter, Jr. has been a director of the Company since October 28, 1999. Includes 65,000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33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Sweeney has been an employee of the Company since April 7, 1997. Includes 5,334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079"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issuable upon exercise of options granted in connection with professional services rendered to the Company.</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5" w:right="1440" w:bottom="1440" w:gutter="0" w:footer="0" w:header="0"/>
        </w:sectPr>
      </w:pPr>
    </w:p>
    <w:bookmarkStart w:id="15" w:name="page16"/>
    <w:bookmarkEnd w:id="15"/>
    <w:p>
      <w:pPr>
        <w:ind w:left="448" w:right="3079" w:hanging="448"/>
        <w:spacing w:after="0" w:line="24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Jeffrey Unger was an employee of the Company from October 1999 through July 2000. Mr. Unger has been a investor relations consultant to the Company since July 2000. Includes 20,000 shares of common stock issuable upon exercise of options exercisable within 60 days.</w:t>
      </w:r>
    </w:p>
    <w:p>
      <w:pPr>
        <w:spacing w:after="0" w:line="175" w:lineRule="exact"/>
        <w:rPr>
          <w:sz w:val="20"/>
          <w:szCs w:val="20"/>
          <w:color w:val="auto"/>
        </w:rPr>
      </w:pPr>
    </w:p>
    <w:p>
      <w:pPr>
        <w:ind w:left="8" w:right="3159" w:firstLine="716"/>
        <w:spacing w:after="0" w:line="267" w:lineRule="auto"/>
        <w:rPr>
          <w:sz w:val="20"/>
          <w:szCs w:val="20"/>
          <w:color w:val="auto"/>
        </w:rPr>
      </w:pPr>
      <w:r>
        <w:rPr>
          <w:rFonts w:ascii="Courier New" w:cs="Courier New" w:eastAsia="Courier New" w:hAnsi="Courier New"/>
          <w:sz w:val="14"/>
          <w:szCs w:val="14"/>
          <w:color w:val="auto"/>
        </w:rPr>
        <w:t>The aggregate proceeds to the selling stockholders from the sale of the shares listed in this prospectus offered by them pursuant to this prospectus will be the sale price of the shares less discounts and commissions, if any.</w:t>
      </w:r>
    </w:p>
    <w:p>
      <w:pPr>
        <w:spacing w:after="0" w:line="331" w:lineRule="exact"/>
        <w:rPr>
          <w:sz w:val="20"/>
          <w:szCs w:val="20"/>
          <w:color w:val="auto"/>
        </w:rPr>
      </w:pPr>
    </w:p>
    <w:p>
      <w:pPr>
        <w:ind w:left="8" w:right="3259" w:firstLine="716"/>
        <w:spacing w:after="0"/>
        <w:rPr>
          <w:sz w:val="20"/>
          <w:szCs w:val="20"/>
          <w:color w:val="auto"/>
        </w:rPr>
      </w:pPr>
      <w:r>
        <w:rPr>
          <w:rFonts w:ascii="Courier New" w:cs="Courier New" w:eastAsia="Courier New" w:hAnsi="Courier New"/>
          <w:sz w:val="15"/>
          <w:szCs w:val="15"/>
          <w:color w:val="auto"/>
        </w:rPr>
        <w:t>Additional information about certain selling stockholders is contained in "Annex A - Additional Information About Selling Stockholders."</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selling stockholders, which term includes their successors, transferees, pledgees or donees or their successors, may sell the shares offered pursuant to this prospectus directly to purchasers or through underwriters, broker-dealers or agents, who may receive compensation in the form of discounts, concessions or commissions from the selling stockholders or the purchasers, which discounts, concessions or commissions as to any particular underwriter, broker-dealer or agent may be in excess of those customary in the types of transactions involved.</w:t>
      </w:r>
    </w:p>
    <w:p>
      <w:pPr>
        <w:spacing w:after="0" w:line="177" w:lineRule="exact"/>
        <w:rPr>
          <w:sz w:val="20"/>
          <w:szCs w:val="20"/>
          <w:color w:val="auto"/>
        </w:rPr>
      </w:pPr>
    </w:p>
    <w:p>
      <w:pPr>
        <w:ind w:left="8" w:right="3079" w:firstLine="716"/>
        <w:spacing w:after="0" w:line="261" w:lineRule="auto"/>
        <w:rPr>
          <w:sz w:val="20"/>
          <w:szCs w:val="20"/>
          <w:color w:val="auto"/>
        </w:rPr>
      </w:pPr>
      <w:r>
        <w:rPr>
          <w:rFonts w:ascii="Courier New" w:cs="Courier New" w:eastAsia="Courier New" w:hAnsi="Courier New"/>
          <w:sz w:val="14"/>
          <w:szCs w:val="14"/>
          <w:color w:val="auto"/>
        </w:rPr>
        <w:t>The shares offered pursuant to this prospectus may be sold by any selling stockholder in one or more transactions at fixed prices, at prevailing market prices at the time of sale, at prices related to such prevailing market prices, at varying prices determined at the time of sale, or at negotiated prices. Such sales may be effected in transactions, which may involve crosses or block transactions (1) on any national securities exchange or quotation service on which our common stock may be listed or quoted at the time of sale, (2) in the over-the-counter market, (3) in transactions otherwise than on such exchanges or services or in the over-the-counter market, (4) through the writing of options, whether such options are listed on an options exchange or otherwise, or (5) through the settlement of short sales. In connection with the sale of the shares offered pursuant to this prospectus or otherwise, any selling stockholder may enter into hedging transactions with broker-dealers or other financial institutions which may in turn engage in short sales of the common stock and deliver these securities to close out such short positions, or loan or pledge the common stock to broker-dealers that in turn may sell these securities.</w:t>
      </w:r>
    </w:p>
    <w:p>
      <w:pPr>
        <w:spacing w:after="0" w:line="165" w:lineRule="exact"/>
        <w:rPr>
          <w:sz w:val="20"/>
          <w:szCs w:val="20"/>
          <w:color w:val="auto"/>
        </w:rPr>
      </w:pPr>
    </w:p>
    <w:p>
      <w:pPr>
        <w:ind w:left="8" w:right="3079" w:firstLine="716"/>
        <w:spacing w:after="0" w:line="241" w:lineRule="auto"/>
        <w:rPr>
          <w:sz w:val="20"/>
          <w:szCs w:val="20"/>
          <w:color w:val="auto"/>
        </w:rPr>
      </w:pPr>
      <w:r>
        <w:rPr>
          <w:rFonts w:ascii="Courier New" w:cs="Courier New" w:eastAsia="Courier New" w:hAnsi="Courier New"/>
          <w:sz w:val="15"/>
          <w:szCs w:val="15"/>
          <w:color w:val="auto"/>
        </w:rPr>
        <w:t>Each selling stockholder reserves the right to accept and, together with its agents from time to time, to reject, in whole or in part, any proposed purchase of common stock to be made directly or through agents.</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At the time of the private placement of our series B preferred stock and the issuance of our detachable warrants (converted into or exercisable for shares of common stock offered pursuant to this prospectus), each investor, including any registered broker-dealer or affiliate of a broker-dealer (whose purchases are understood by the Company to be in the ordinary course of business), represented to the Company, among other things, that such investor was not acquiring the securities with a view to any distribution thereof, and each such investor in our series B preferred stock represented that such investor had no agreement, undertaking, arrangement, obligation or commitment providing for the disposition of the securities. The following selling stockholders which are registered broker-dealers are identified as "underwriters" (within the meaning of Section 2(11) of the Securities Act of 1933, as amended) with respect to the shares offered for sale by them pursuant to this prospectus: Halpern Capital DBA UVEST Investment Services; Tucker Anthony Incorporated; and Weiss, Peck &amp; Greer, L.L.C. All selling stockholders which are affiliates of registered broker-dealers are identified by a double asterisk (**) in the table of selling stockholders appearing on pages 11 to 13 of this prospectus. The Company also understands that any underwriters, broker-dealers or agents that participate in the sale of the shares offered pursuant to this prospectus on behalf of the selling stockholders may be considered "underwriters" within the meaning of such statute. Any discounts, commissions, concessions or profit they earn on any resale of the shares may be underwriting discounts and commissions under the Securities Act.</w:t>
      </w:r>
    </w:p>
    <w:p>
      <w:pPr>
        <w:spacing w:after="0" w:line="188"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To the extent required, the common stock to be sold, the name of each selling stockholder, the respective purchase prices and the public offering prices, the name of any agent,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5" w:right="1440" w:bottom="1440" w:gutter="0" w:footer="0" w:header="0"/>
        </w:sectPr>
      </w:pPr>
    </w:p>
    <w:bookmarkStart w:id="16" w:name="page17"/>
    <w:bookmarkEnd w:id="16"/>
    <w:p>
      <w:pPr>
        <w:ind w:left="330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and schedules as of February 2, 2002 and February 3, 2001 and the years then ended included in our Annual Report on Form 10-K for the year ended February 2, 2002, as set forth in their report, which is incorporated by reference in this prospectus and elsewhere in the registration statement. Our fiscal 2002 and fiscal 2001 financial statements and schedules are incorporated by reference in reliance on Ernst &amp; Young LLP's report, given on their authority as experts in accounting and auditing.</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consolidated statements of operations, stockholders' equity, and cash flows for the year ended January 29, 2000 and the related financial statement schedule for the year ended January 29, 2000, incorporated in this prospectus by reference from Designs, Inc.'s Annual Report on Form 10-K for the year ended February 2,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The consolidated financial statements of Casual Male Corp., debtor-in-possession, as of February 2, 2002 and February 3, 2001, and for each of the years in the three-years ended February 2, 2002, February 3, 2001 and January 29, 2000, have been incorporated by reference herein in reliance upon the report of KPMG LLP, independent accountants, incorporated by reference herein, and upon the authority of said firm as experts in accounting and auditing.</w:t>
      </w:r>
    </w:p>
    <w:p>
      <w:pPr>
        <w:spacing w:after="0" w:line="348" w:lineRule="exact"/>
        <w:rPr>
          <w:sz w:val="20"/>
          <w:szCs w:val="20"/>
          <w:color w:val="auto"/>
        </w:rPr>
      </w:pPr>
    </w:p>
    <w:p>
      <w:pPr>
        <w:ind w:right="3159" w:firstLine="716"/>
        <w:spacing w:after="0" w:line="262" w:lineRule="auto"/>
        <w:rPr>
          <w:sz w:val="20"/>
          <w:szCs w:val="20"/>
          <w:color w:val="auto"/>
        </w:rPr>
      </w:pPr>
      <w:r>
        <w:rPr>
          <w:rFonts w:ascii="Courier New" w:cs="Courier New" w:eastAsia="Courier New" w:hAnsi="Courier New"/>
          <w:sz w:val="14"/>
          <w:szCs w:val="14"/>
          <w:color w:val="auto"/>
        </w:rPr>
        <w:t>The audit report covering the February 2, 2002 financial statements contains an explanatory paragraph that states that most of the assets of Casual Male Corp. have been sold. Casual Male Corp. will continue operations primarily to liquidate any remaining assets and settle Casual Male Corp.'s remaining liabilities, including liabilities subject to compromise, to the extent possible. After the settlements have occurred, it is expected that Casual Male Corp. will cease operations. The consolidated financial statements do not include any adjustments that might result from the outcome of this uncertainty.</w:t>
      </w: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that we filed with the Securities and Exchange Commission under the Securities Act, including amendments thereto, relating to the shares offered pursuant to this prospectus. This prospectus does not contain all of the information set forth in the registration statement. You should rely only on the information contained in this prospectus or incorporated herein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180"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are subject to the informational requirements of the Securities Exchange Act of 1934, as amended, and in accordance therewith, file reports, proxy statements and other information with the Commission. Such reports, proxy statements and other information filed by us may be inspected and copied at the Commission's Public Reference Section located at 450 Fifth Street, N.W., Washington, D.C. 20549. Copies of such material also can be obtained from the Public Reference Section of the Commission at 450 Fifth Street, N.W., Washington, D.C. 20549, at prescribed rates. Please call the Commission at</w:t>
      </w:r>
    </w:p>
    <w:p>
      <w:pPr>
        <w:spacing w:after="0" w:line="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1-800-SEC-0330 for more information about the operation of the public reference rooms. The Commission also makes electronic filings publicly available on the Internet. The Commission's Internet address is http://www.sec.gov. The Commission's web site also contains reports, proxy statements and other information regarding us that has been filed with the Commission. Our common stock is quoted under the symbol "CMRG" on the Nasdaq National Market. Reports, proxy statements and other information concerning us may be inspected at the National Association of Securities Dealers, Inc. at 1735 K Street, N.W., Washington, D.C. 20006.</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Further, all filings we make under the Exchange Act after the date of the initial registration statement and prior to effectiveness of the registration statement shall be deemed to be incorporated by reference into this prospectus. We incorporate by reference the documents listed below and any future filings we will make with the Commission under Section 13(a), 13(c), 14 or 15(d) of the Exchange Act:</w:t>
      </w:r>
    </w:p>
    <w:p>
      <w:pPr>
        <w:spacing w:after="0" w:line="178" w:lineRule="exact"/>
        <w:rPr>
          <w:sz w:val="20"/>
          <w:szCs w:val="20"/>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definitive Proxy Statement, filed on July 8, 2002;</w:t>
      </w:r>
    </w:p>
    <w:p>
      <w:pPr>
        <w:spacing w:after="0" w:line="175"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February 2, 2002, as amended on September 11, 2002;</w:t>
      </w:r>
    </w:p>
    <w:p>
      <w:pPr>
        <w:spacing w:after="0" w:line="176"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fiscal quarter ended May 4, 2002, as amended on September 11, 2002;</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8-K filed on May 23, 2002, as amended on May 23, 2002, June 14, 2002 and September 11, 2002;</w:t>
      </w:r>
    </w:p>
    <w:p>
      <w:pPr>
        <w:spacing w:after="0" w:line="176"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capital stock set forth in our Registration Statement on Form S-1 (Registration No. 33-13402), filed with the SEC on April 22, 1987;</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filed by us pursuant to Section 13(a) or 15(d) of the Exchange Act since the end of the fiscal year covered by the annual report referred to above; and</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and reports subsequently filed by us pursuant to Sections 13(a), 13(c), 14 or 15(d) of the Exchange Act, prior to the termination of the offering.</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will furnish to any person to whom this prospectus is delivered, without charge, a copy of these documents upon written or oral request to Secretary, Casual Male Retail Group, Inc., 555 Turnpike Street, Canton, Massachusetts 02021. Our telephone number is (781) 828-9300. A copy of any exhibits to these documents will be furnished at no cost to any stockholder upon written or oral request.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8" w:name="page19"/>
    <w:bookmarkEnd w:id="18"/>
    <w:p>
      <w:pPr>
        <w:jc w:val="center"/>
        <w:ind w:right="2999"/>
        <w:spacing w:after="0"/>
        <w:rPr>
          <w:sz w:val="20"/>
          <w:szCs w:val="20"/>
          <w:color w:val="auto"/>
        </w:rPr>
      </w:pPr>
      <w:r>
        <w:rPr>
          <w:rFonts w:ascii="Courier New" w:cs="Courier New" w:eastAsia="Courier New" w:hAnsi="Courier New"/>
          <w:sz w:val="15"/>
          <w:szCs w:val="15"/>
          <w:color w:val="auto"/>
        </w:rPr>
        <w:t>Disclosure of Commission Position on Indemnification for Securities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Act Liabilities.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Casual Male Retail Group pursuant to the provisions of Item 510 of Regulation S-K,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Casual Male Retail Group of expenses incurred or paid by a director, officer or controlling person of Casual Male Retail Group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19" w:name="page20"/>
    <w:bookmarkEnd w:id="19"/>
    <w:p>
      <w:pPr>
        <w:jc w:val="center"/>
        <w:ind w:right="3040"/>
        <w:spacing w:after="0"/>
        <w:rPr>
          <w:sz w:val="20"/>
          <w:szCs w:val="20"/>
          <w:color w:val="auto"/>
        </w:rPr>
      </w:pPr>
      <w:r>
        <w:rPr>
          <w:rFonts w:ascii="Courier New" w:cs="Courier New" w:eastAsia="Courier New" w:hAnsi="Courier New"/>
          <w:sz w:val="15"/>
          <w:szCs w:val="15"/>
          <w:color w:val="auto"/>
        </w:rPr>
        <w:t>Annex A</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Additional Information About Selling Stockholders</w:t>
      </w:r>
    </w:p>
    <w:p>
      <w:pPr>
        <w:spacing w:after="0" w:line="176" w:lineRule="exact"/>
        <w:rPr>
          <w:sz w:val="20"/>
          <w:szCs w:val="20"/>
          <w:color w:val="auto"/>
        </w:rPr>
      </w:pPr>
    </w:p>
    <w:p>
      <w:pPr>
        <w:ind w:right="3220"/>
        <w:spacing w:after="0" w:line="241" w:lineRule="auto"/>
        <w:rPr>
          <w:sz w:val="20"/>
          <w:szCs w:val="20"/>
          <w:color w:val="auto"/>
        </w:rPr>
      </w:pPr>
      <w:r>
        <w:rPr>
          <w:rFonts w:ascii="Courier New" w:cs="Courier New" w:eastAsia="Courier New" w:hAnsi="Courier New"/>
          <w:sz w:val="15"/>
          <w:szCs w:val="15"/>
          <w:color w:val="auto"/>
        </w:rPr>
        <w:t>The following table identifies, where applicable, the name(s) of the natural person(s) who hold investment and voting control of the shares offered pursuant to the prospectus by certain selling stockholders: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Natural Person(s) with Investment and Voting</w:t>
            </w:r>
          </w:p>
        </w:tc>
      </w:tr>
      <w:tr>
        <w:trPr>
          <w:trHeight w:val="172"/>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Control of Shares</w:t>
            </w:r>
          </w:p>
        </w:tc>
      </w:tr>
      <w:tr>
        <w:trPr>
          <w:trHeight w:val="516"/>
        </w:trPr>
        <w:tc>
          <w:tcPr>
            <w:tcW w:w="4280" w:type="dxa"/>
            <w:vAlign w:val="bottom"/>
          </w:tcPr>
          <w:p>
            <w:pPr>
              <w:spacing w:after="0"/>
              <w:rPr>
                <w:sz w:val="20"/>
                <w:szCs w:val="20"/>
                <w:color w:val="auto"/>
              </w:rPr>
            </w:pPr>
            <w:r>
              <w:rPr>
                <w:rFonts w:ascii="Courier New" w:cs="Courier New" w:eastAsia="Courier New" w:hAnsi="Courier New"/>
                <w:sz w:val="15"/>
                <w:szCs w:val="15"/>
                <w:color w:val="auto"/>
              </w:rPr>
              <w:t>300 Plaza Drive Associates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L. Koffman and Jeffrey P. Koffman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Almarc Trading Corp. Defined Benefit Plan</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Jesse Gerstel</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 investment control; Almarc</w:t>
            </w:r>
          </w:p>
        </w:tc>
      </w:tr>
      <w:tr>
        <w:trPr>
          <w:trHeight w:val="172"/>
        </w:trPr>
        <w:tc>
          <w:tcPr>
            <w:tcW w:w="428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Trading Corp.</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Barclays Global Investors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Apex Capital,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LLC and Sanford J. Cohen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Benchmark Partners,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Richard Whitman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The Branagh Revocable Trust, Peter W. Branagh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Apex Capital,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LLC and Sanford J. Cohen</w:t>
            </w: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and Ramona Y. Branagh, Trustees</w:t>
            </w:r>
          </w:p>
        </w:tc>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 Retail,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Bric6,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Enhanced,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Managed Trust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Offshore,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Partners II,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Partners,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Bricoleur-Plus Fund,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Brook Road Nominee Trust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Esther Smith</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Carafe Investment Co. Ltd.</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Werner Merzbacher</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Cragswood, Ltd.</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and Allison Sachs</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Glenhill Capital,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Glenn Krevlin</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Glenhill Capital Overseas Partners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Glenn Krevlin</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Gruber &amp; McBaine International</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&amp; McBaine Capital Management, LLC, Jon D.</w:t>
            </w:r>
          </w:p>
        </w:tc>
      </w:tr>
      <w:tr>
        <w:trPr>
          <w:trHeight w:val="172"/>
        </w:trPr>
        <w:tc>
          <w:tcPr>
            <w:tcW w:w="4280" w:type="dxa"/>
            <w:vAlign w:val="bottom"/>
          </w:tcPr>
          <w:p>
            <w:pPr>
              <w:spacing w:after="0"/>
              <w:rPr>
                <w:sz w:val="14"/>
                <w:szCs w:val="14"/>
                <w:color w:val="auto"/>
              </w:rPr>
            </w:pP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J. Patterson McBaine and Eric Zwergold</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Guerrilla IRA Partners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Peter Siris and Leigh Curry</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Guerrilla Partners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Peter Siris and Leigh Curry</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Halpern Capital DBA UVEST Investment Services</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Baruch Halpern</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Hocky Capital,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and Allison Sachs</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Hocky Capital QP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and Allison Sachs</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Interstate Properties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Russell B. Wight, Jr., Steven Roth and David</w:t>
            </w:r>
          </w:p>
        </w:tc>
      </w:tr>
      <w:tr>
        <w:trPr>
          <w:trHeight w:val="172"/>
        </w:trPr>
        <w:tc>
          <w:tcPr>
            <w:tcW w:w="428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Mandelbaum</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Jewelcor Management, Inc.</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Seymour and Evelyn Holtzman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JLF Offshore Fund,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Jeff Feinberg</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JLF Partners I,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Jeff Feinberg</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Lagunitas Partners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&amp; McBaine Capital Management, LLC, Jon D.</w:t>
            </w:r>
          </w:p>
        </w:tc>
      </w:tr>
      <w:tr>
        <w:trPr>
          <w:trHeight w:val="172"/>
        </w:trPr>
        <w:tc>
          <w:tcPr>
            <w:tcW w:w="4280" w:type="dxa"/>
            <w:vAlign w:val="bottom"/>
          </w:tcPr>
          <w:p>
            <w:pPr>
              <w:spacing w:after="0"/>
              <w:rPr>
                <w:sz w:val="14"/>
                <w:szCs w:val="14"/>
                <w:color w:val="auto"/>
              </w:rPr>
            </w:pP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J. Patterson McBaine and Eric Zwergold</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Lynch Childrens Trust FBO Anne Lynch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Lynch Childrens Trust FBO Elizabeth Lynch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Lynch Childrens Trust FBO Mary Lynch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The Lynch Foundation</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Peter S. Lynch Charitable Lead Annuity Trust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516"/>
        </w:trPr>
        <w:tc>
          <w:tcPr>
            <w:tcW w:w="4280" w:type="dxa"/>
            <w:vAlign w:val="bottom"/>
          </w:tcPr>
          <w:p>
            <w:pPr>
              <w:ind w:left="3400"/>
              <w:spacing w:after="0"/>
              <w:rPr>
                <w:sz w:val="20"/>
                <w:szCs w:val="20"/>
                <w:color w:val="auto"/>
              </w:rPr>
            </w:pPr>
            <w:r>
              <w:rPr>
                <w:rFonts w:ascii="Courier New" w:cs="Courier New" w:eastAsia="Courier New" w:hAnsi="Courier New"/>
                <w:sz w:val="15"/>
                <w:szCs w:val="15"/>
                <w:color w:val="auto"/>
              </w:rPr>
              <w:t>A-1</w:t>
            </w:r>
          </w:p>
        </w:tc>
        <w:tc>
          <w:tcPr>
            <w:tcW w:w="15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0280"/>
          </w:cols>
          <w:pgMar w:left="240" w:top="633" w:right="137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Selling Stockholder</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Courier New" w:cs="Courier New" w:eastAsia="Courier New" w:hAnsi="Courier New"/>
          <w:sz w:val="14"/>
          <w:szCs w:val="14"/>
          <w:color w:val="auto"/>
        </w:rPr>
        <w:t>Natural Person(s) with Investment and Voting</w:t>
      </w:r>
    </w:p>
    <w:p>
      <w:pPr>
        <w:spacing w:after="0" w:line="12" w:lineRule="exact"/>
        <w:rPr>
          <w:sz w:val="20"/>
          <w:szCs w:val="20"/>
          <w:color w:val="auto"/>
        </w:rPr>
      </w:pPr>
    </w:p>
    <w:p>
      <w:pPr>
        <w:jc w:val="center"/>
        <w:ind w:right="1800"/>
        <w:spacing w:after="0"/>
        <w:rPr>
          <w:sz w:val="20"/>
          <w:szCs w:val="20"/>
          <w:color w:val="auto"/>
        </w:rPr>
      </w:pPr>
      <w:r>
        <w:rPr>
          <w:rFonts w:ascii="Courier New" w:cs="Courier New" w:eastAsia="Courier New" w:hAnsi="Courier New"/>
          <w:sz w:val="15"/>
          <w:szCs w:val="15"/>
          <w:color w:val="auto"/>
        </w:rPr>
        <w:t>Control of Shares</w:t>
      </w:r>
    </w:p>
    <w:p>
      <w:pPr>
        <w:spacing w:after="0" w:line="200" w:lineRule="exact"/>
        <w:rPr>
          <w:sz w:val="20"/>
          <w:szCs w:val="20"/>
          <w:color w:val="auto"/>
        </w:rPr>
      </w:pPr>
    </w:p>
    <w:p>
      <w:pPr>
        <w:sectPr>
          <w:pgSz w:w="11900" w:h="16838" w:orient="portrait"/>
          <w:cols w:equalWidth="0" w:num="2">
            <w:col w:w="3920" w:space="720"/>
            <w:col w:w="5640"/>
          </w:cols>
          <w:pgMar w:left="240" w:top="979" w:right="1379" w:bottom="1440" w:gutter="0" w:footer="0" w:header="0"/>
        </w:sectPr>
      </w:pPr>
    </w:p>
    <w:p>
      <w:pPr>
        <w:spacing w:after="0" w:line="148" w:lineRule="exact"/>
        <w:rPr>
          <w:sz w:val="20"/>
          <w:szCs w:val="20"/>
          <w:color w:val="auto"/>
        </w:rPr>
      </w:pPr>
    </w:p>
    <w:p>
      <w:pPr>
        <w:ind w:right="180"/>
        <w:spacing w:after="0" w:line="260" w:lineRule="auto"/>
        <w:rPr>
          <w:sz w:val="20"/>
          <w:szCs w:val="20"/>
          <w:color w:val="auto"/>
        </w:rPr>
      </w:pPr>
      <w:r>
        <w:rPr>
          <w:rFonts w:ascii="Courier New" w:cs="Courier New" w:eastAsia="Courier New" w:hAnsi="Courier New"/>
          <w:sz w:val="14"/>
          <w:szCs w:val="14"/>
          <w:color w:val="auto"/>
        </w:rPr>
        <w:t>Peter S. Lynch Charitable Remainder Trust Peter S. Lynch Charitable Unitrust Metrowest Ent. 401(K) Profit Sharing Plan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Lynch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Lynch - investment control; Carolyn Lynch - voting control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 Lieberman</w:t>
      </w:r>
    </w:p>
    <w:p>
      <w:pPr>
        <w:spacing w:after="0" w:line="4"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FBO Carl M. Lieberman</w:t>
      </w:r>
    </w:p>
    <w:p>
      <w:pPr>
        <w:sectPr>
          <w:pgSz w:w="11900" w:h="16838" w:orient="portrait"/>
          <w:cols w:equalWidth="0" w:num="1">
            <w:col w:w="10280"/>
          </w:cols>
          <w:pgMar w:left="240" w:top="979" w:right="1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Valu,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Permal U.S. Opportunities Fund,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Pollack Investment Partnership,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Pollat, Evans &amp; 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Prism Partners I,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Prism Partners II Offshore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Investment Funds- Putnam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Bud Koffman and Milt Koffman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Apex Capital, LLC and Sanford J. Cohen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Pollack and 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Apex Capital, LLC and Sanford J.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Weintraub Capital Management LLC and Jerry Weintraub</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Weintraub Capital Management LLC and Jerry Weintraub</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 Harthun</w:t>
      </w:r>
    </w:p>
    <w:p>
      <w:pPr>
        <w:spacing w:after="0" w:line="4"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 Value Fund</w:t>
      </w:r>
    </w:p>
    <w:p>
      <w:pPr>
        <w:sectPr>
          <w:pgSz w:w="11900" w:h="16838" w:orient="portrait"/>
          <w:cols w:equalWidth="0" w:num="1">
            <w:col w:w="10280"/>
          </w:cols>
          <w:pgMar w:left="240" w:top="979" w:right="13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Variable Trust- Putnam VT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Eric Harthun</w:t>
      </w:r>
    </w:p>
    <w:p>
      <w:pPr>
        <w:spacing w:after="0" w:line="13"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 Value Fund</w:t>
      </w:r>
    </w:p>
    <w:p>
      <w:pPr>
        <w:sectPr>
          <w:pgSz w:w="11900" w:h="16838" w:orient="portrait"/>
          <w:cols w:equalWidth="0" w:num="1">
            <w:col w:w="10280"/>
          </w:cols>
          <w:pgMar w:left="240" w:top="979" w:right="13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World Trust II: Putnam U.S.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Eric Harthun</w:t>
      </w:r>
    </w:p>
    <w:p>
      <w:pPr>
        <w:spacing w:after="0" w:line="13"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 Value Equity Fund (Dublin)</w:t>
      </w:r>
    </w:p>
    <w:p>
      <w:pPr>
        <w:sectPr>
          <w:pgSz w:w="11900" w:h="16838" w:orient="portrait"/>
          <w:cols w:equalWidth="0" w:num="1">
            <w:col w:w="10280"/>
          </w:cols>
          <w:pgMar w:left="240" w:top="979" w:right="1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Reservoir Capital Master Fund,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Reservoir Capital Partners,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Estate of Marvin Roth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Seidman &amp; Associates,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Seidman Investment Partnership II,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Seidman Investment Partnership,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Tucker Anthony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Weiss, Peck &amp; Greer,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Whiffletree Partners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Creek Capital Partners,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Creek Offshore 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WPG Tudor 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Wynnefield Partners Small Cap Value,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Wynnefield Partners Small Cap Value, LP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Wynnefield Small Cap Value Offshore Fund,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Daniel Stern, Craig Huff and Gregg Zeitlin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Stern, Craig Huff and Gregg Zeitlin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 Roth and Eugene Roth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Lisa Ferris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Shuster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Whitman and Steve Berman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Aaron Braun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Aaron Braun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Walter Prendergast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Nelson Obus and Josh Landis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Nelson Obus and Josh Landis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Nelson Obus and Josh Landis</w:t>
      </w:r>
    </w:p>
    <w:p>
      <w:pPr>
        <w:spacing w:after="0" w:line="200" w:lineRule="exact"/>
        <w:rPr>
          <w:sz w:val="20"/>
          <w:szCs w:val="20"/>
          <w:color w:val="auto"/>
        </w:rPr>
      </w:pPr>
    </w:p>
    <w:p>
      <w:pPr>
        <w:sectPr>
          <w:pgSz w:w="11900" w:h="16838" w:orient="portrait"/>
          <w:cols w:equalWidth="0" w:num="2">
            <w:col w:w="4100" w:space="460"/>
            <w:col w:w="5720"/>
          </w:cols>
          <w:pgMar w:left="240" w:top="979" w:right="1379" w:bottom="1440" w:gutter="0" w:footer="0" w:header="0"/>
          <w:type w:val="continuous"/>
        </w:sectPr>
      </w:pPr>
    </w:p>
    <w:p>
      <w:pPr>
        <w:spacing w:after="0" w:line="32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80"/>
          </w:cols>
          <w:pgMar w:left="240" w:top="979" w:right="1379" w:bottom="1440" w:gutter="0" w:footer="0" w:header="0"/>
          <w:type w:val="continuous"/>
        </w:sectPr>
      </w:pPr>
    </w:p>
    <w:bookmarkStart w:id="21" w:name="page22"/>
    <w:bookmarkEnd w:id="21"/>
    <w:p>
      <w:pPr>
        <w:ind w:right="3079"/>
        <w:spacing w:after="0" w:line="261" w:lineRule="auto"/>
        <w:rPr>
          <w:sz w:val="20"/>
          <w:szCs w:val="20"/>
          <w:color w:val="auto"/>
        </w:rPr>
      </w:pPr>
      <w:r>
        <w:rPr>
          <w:rFonts w:ascii="Courier New" w:cs="Courier New" w:eastAsia="Courier New" w:hAnsi="Courier New"/>
          <w:sz w:val="14"/>
          <w:szCs w:val="14"/>
          <w:color w:val="auto"/>
        </w:rPr>
        <w:t>No dealer, salesman or other person has been authorized to give any information or to make representations other than those contained in this prospectus, and if given or made, such information or representations must not be relied upon as having been authorized by us or the selling stockholders. Neither the delivery of this prospectus nor any sale hereunder will, under any circumstances, create an implication that the information herein is correct as of any time subsequent to its date. This prospectus does not constitute an offer to or solicitation of offers by anyone in any jurisdiction in which such an offer or solicitation is not authorized or in which the person making such an offer is not qualified to do so or to anyone to whom it is unlawful to make such an offer or solicitation.</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24,809,338 SHARES</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CASUAL MALE RETAIL GROUP, INC.</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 2002</w:t>
      </w:r>
    </w:p>
    <w:p>
      <w:pPr>
        <w:sectPr>
          <w:pgSz w:w="11900" w:h="16838" w:orient="portrait"/>
          <w:cols w:equalWidth="0" w:num="1">
            <w:col w:w="10219"/>
          </w:cols>
          <w:pgMar w:left="240" w:top="635" w:right="1440" w:bottom="1440" w:gutter="0" w:footer="0" w:header="0"/>
        </w:sectPr>
      </w:pPr>
    </w:p>
    <w:bookmarkStart w:id="22" w:name="page23"/>
    <w:bookmarkEnd w:id="22"/>
    <w:p>
      <w:pPr>
        <w:ind w:left="3308"/>
        <w:spacing w:after="0"/>
        <w:rPr>
          <w:sz w:val="20"/>
          <w:szCs w:val="20"/>
          <w:color w:val="auto"/>
        </w:rPr>
      </w:pPr>
      <w:r>
        <w:rPr>
          <w:rFonts w:ascii="Courier New" w:cs="Courier New" w:eastAsia="Courier New" w:hAnsi="Courier New"/>
          <w:sz w:val="15"/>
          <w:szCs w:val="15"/>
          <w:color w:val="auto"/>
        </w:rPr>
        <w:t>PART II</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left="8" w:right="3079" w:firstLine="716"/>
        <w:spacing w:after="0" w:line="241" w:lineRule="auto"/>
        <w:rPr>
          <w:sz w:val="20"/>
          <w:szCs w:val="20"/>
          <w:color w:val="auto"/>
        </w:rPr>
      </w:pPr>
      <w:r>
        <w:rPr>
          <w:rFonts w:ascii="Courier New" w:cs="Courier New" w:eastAsia="Courier New" w:hAnsi="Courier New"/>
          <w:sz w:val="15"/>
          <w:szCs w:val="15"/>
          <w:color w:val="auto"/>
        </w:rPr>
        <w:t>The Registrant will pay all of the expenses payable in connection with the offering described in this Registration Statement, which we estimate will be as follows: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7"/>
              </w:rPr>
              <w:t>SEC registration fee (actual) ..........................................</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$ 11,625</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7"/>
              </w:rPr>
              <w:t>Accounting fees and expenses ...........................................</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$ 40,000</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7"/>
              </w:rPr>
              <w:t>Legal fees and expenses.................................................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Printing and engraving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Miscellaneous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63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$109,125</w:t>
            </w:r>
          </w:p>
        </w:tc>
      </w:tr>
    </w:tbl>
    <w:p>
      <w:pPr>
        <w:spacing w:after="0" w:line="176" w:lineRule="exact"/>
        <w:rPr>
          <w:sz w:val="20"/>
          <w:szCs w:val="20"/>
          <w:color w:val="auto"/>
        </w:rPr>
      </w:pPr>
    </w:p>
    <w:p>
      <w:pPr>
        <w:ind w:left="8" w:right="3339" w:firstLine="716"/>
        <w:spacing w:after="0" w:line="274" w:lineRule="auto"/>
        <w:rPr>
          <w:sz w:val="20"/>
          <w:szCs w:val="20"/>
          <w:color w:val="auto"/>
        </w:rPr>
      </w:pPr>
      <w:r>
        <w:rPr>
          <w:rFonts w:ascii="Courier New" w:cs="Courier New" w:eastAsia="Courier New" w:hAnsi="Courier New"/>
          <w:sz w:val="14"/>
          <w:szCs w:val="14"/>
          <w:color w:val="auto"/>
        </w:rPr>
        <w:t>The selling stockholders will be responsible for any and all expenses associated solely with the execution of the sale or sales of their shares.</w:t>
      </w:r>
    </w:p>
    <w:p>
      <w:pPr>
        <w:spacing w:after="0" w:line="152"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left="8" w:right="3079" w:firstLine="716"/>
        <w:spacing w:after="0" w:line="260" w:lineRule="auto"/>
        <w:rPr>
          <w:sz w:val="20"/>
          <w:szCs w:val="20"/>
          <w:color w:val="auto"/>
        </w:rPr>
      </w:pPr>
      <w:r>
        <w:rPr>
          <w:rFonts w:ascii="Courier New" w:cs="Courier New" w:eastAsia="Courier New" w:hAnsi="Courier New"/>
          <w:sz w:val="14"/>
          <w:szCs w:val="14"/>
          <w:color w:val="auto"/>
        </w:rPr>
        <w:t>The Registrant's Restated Certificate of Incorporation, as amended (the "Certificate of Incorporation"),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2" w:lineRule="exact"/>
        <w:rPr>
          <w:sz w:val="20"/>
          <w:szCs w:val="20"/>
          <w:color w:val="auto"/>
        </w:rPr>
      </w:pPr>
    </w:p>
    <w:p>
      <w:pPr>
        <w:ind w:left="8" w:right="3159" w:hanging="8"/>
        <w:spacing w:after="0" w:line="242"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80" w:lineRule="exact"/>
        <w:rPr>
          <w:sz w:val="20"/>
          <w:szCs w:val="20"/>
          <w:color w:val="auto"/>
        </w:rPr>
      </w:pPr>
    </w:p>
    <w:p>
      <w:pPr>
        <w:ind w:left="8" w:right="3079" w:firstLine="716"/>
        <w:spacing w:after="0" w:line="265" w:lineRule="auto"/>
        <w:rPr>
          <w:sz w:val="20"/>
          <w:szCs w:val="20"/>
          <w:color w:val="auto"/>
        </w:rPr>
      </w:pPr>
      <w:r>
        <w:rPr>
          <w:rFonts w:ascii="Courier New" w:cs="Courier New" w:eastAsia="Courier New" w:hAnsi="Courier New"/>
          <w:sz w:val="14"/>
          <w:szCs w:val="14"/>
          <w:color w:val="auto"/>
        </w:rPr>
        <w:t>The Certificate of Incorporation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158"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16.</w:t>
        <w:tab/>
        <w:t>Exhibits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5.1**..........</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Opinion of Kramer Levin Naftalis &amp; Frankel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23.1**.........</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Consent of Independent Auditors - Ernst &amp; Young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23.2**.........</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Independent Auditors' Consent - Deloitte &amp; Touche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23.3**.........</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Independent Auditors' Consent - KPMG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23.4**.........</w:t>
            </w:r>
          </w:p>
        </w:tc>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Consent of Kramer Levin Naftalis &amp; Frankel LLP (included in</w:t>
            </w:r>
          </w:p>
        </w:tc>
      </w:tr>
      <w:tr>
        <w:trPr>
          <w:trHeight w:val="172"/>
        </w:trPr>
        <w:tc>
          <w:tcPr>
            <w:tcW w:w="134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Exhibit 5.1).</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24.1**.........</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Power of Attorney.</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3" w:right="1440" w:bottom="1440" w:gutter="0" w:footer="0" w:header="0"/>
        </w:sectPr>
      </w:pPr>
    </w:p>
    <w:bookmarkStart w:id="23" w:name="page24"/>
    <w:bookmarkEnd w:id="23"/>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17.</w:t>
        <w:tab/>
        <w:t>Undertakings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708" w:right="3339" w:hanging="708"/>
        <w:spacing w:after="0"/>
        <w:tabs>
          <w:tab w:leader="none" w:pos="7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348" w:right="3439" w:hanging="454"/>
        <w:spacing w:after="0"/>
        <w:tabs>
          <w:tab w:leader="none" w:pos="13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6" w:lineRule="exact"/>
        <w:rPr>
          <w:rFonts w:ascii="Courier New" w:cs="Courier New" w:eastAsia="Courier New" w:hAnsi="Courier New"/>
          <w:sz w:val="15"/>
          <w:szCs w:val="15"/>
          <w:color w:val="auto"/>
        </w:rPr>
      </w:pPr>
    </w:p>
    <w:p>
      <w:pPr>
        <w:ind w:left="1348" w:right="3259" w:hanging="454"/>
        <w:spacing w:after="0" w:line="242" w:lineRule="auto"/>
        <w:tabs>
          <w:tab w:leader="none" w:pos="13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Courier New" w:cs="Courier New" w:eastAsia="Courier New" w:hAnsi="Courier New"/>
          <w:sz w:val="15"/>
          <w:szCs w:val="15"/>
          <w:color w:val="auto"/>
        </w:rPr>
      </w:pPr>
    </w:p>
    <w:p>
      <w:pPr>
        <w:ind w:left="1348" w:right="3259" w:hanging="454"/>
        <w:spacing w:after="0" w:line="242" w:lineRule="auto"/>
        <w:tabs>
          <w:tab w:leader="none" w:pos="13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708" w:right="3079"/>
        <w:spacing w:after="0" w:line="242" w:lineRule="auto"/>
        <w:rPr>
          <w:sz w:val="20"/>
          <w:szCs w:val="20"/>
          <w:color w:val="auto"/>
        </w:rPr>
      </w:pPr>
      <w:r>
        <w:rPr>
          <w:rFonts w:ascii="Courier New" w:cs="Courier New" w:eastAsia="Courier New" w:hAnsi="Courier New"/>
          <w:sz w:val="15"/>
          <w:szCs w:val="15"/>
          <w:color w:val="auto"/>
        </w:rPr>
        <w:t>provided, however, that clauses (i) and (ii) do not apply if the Registration Statement is on Form S-3, Form S-8 or Form F-3, and the information required to be included in a post-effective amendment by such clauses is contained in periodic reports filed with or furnished to the Commission by the Registrant pursuant to Section 13 or 15(d) of the Securities Exchange Act of 1934 that are incorporated by reference in the Registration Statement;</w:t>
      </w:r>
    </w:p>
    <w:p>
      <w:pPr>
        <w:spacing w:after="0" w:line="177" w:lineRule="exact"/>
        <w:rPr>
          <w:sz w:val="20"/>
          <w:szCs w:val="20"/>
          <w:color w:val="auto"/>
        </w:rPr>
      </w:pPr>
    </w:p>
    <w:p>
      <w:pPr>
        <w:ind w:left="708" w:right="3159" w:hanging="708"/>
        <w:spacing w:after="0" w:line="242" w:lineRule="auto"/>
        <w:tabs>
          <w:tab w:leader="none" w:pos="7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Courier New" w:cs="Courier New" w:eastAsia="Courier New" w:hAnsi="Courier New"/>
          <w:sz w:val="15"/>
          <w:szCs w:val="15"/>
          <w:color w:val="auto"/>
        </w:rPr>
      </w:pPr>
    </w:p>
    <w:p>
      <w:pPr>
        <w:ind w:left="708" w:right="3259" w:hanging="708"/>
        <w:spacing w:after="0" w:line="241" w:lineRule="auto"/>
        <w:tabs>
          <w:tab w:leader="none" w:pos="7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633" w:right="1440" w:bottom="1440" w:gutter="0" w:footer="0" w:header="0"/>
        </w:sectPr>
      </w:pPr>
    </w:p>
    <w:bookmarkStart w:id="24" w:name="page25"/>
    <w:bookmarkEnd w:id="24"/>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Canton, Massachusetts, on September 11, 2002.</w:t>
      </w:r>
    </w:p>
    <w:p>
      <w:pPr>
        <w:spacing w:after="0" w:line="17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By: /s/ David A. Levin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David A. Levin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Officer</w:t>
      </w:r>
    </w:p>
    <w:p>
      <w:pPr>
        <w:spacing w:after="0" w:line="176" w:lineRule="exact"/>
        <w:rPr>
          <w:sz w:val="20"/>
          <w:szCs w:val="20"/>
          <w:color w:val="auto"/>
        </w:rPr>
      </w:pPr>
    </w:p>
    <w:p>
      <w:pPr>
        <w:ind w:right="3779" w:firstLine="716"/>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David A. Levin</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w w:val="97"/>
              </w:rPr>
              <w:t>September 11, 2002</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David A. Levin</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Officer and Director</w:t>
            </w: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(Principal Executive Officer)</w:t>
            </w: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Dennis R. Hernreich</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Chief</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w w:val="97"/>
              </w:rPr>
              <w:t>September 11, 2002</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Dennis R. Hernreich</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Financial Officer and Treasurer</w:t>
            </w: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(Principal Financial and</w:t>
            </w: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Accounting Officer)</w:t>
            </w: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ind w:left="220"/>
              <w:spacing w:after="0"/>
              <w:rPr>
                <w:sz w:val="20"/>
                <w:szCs w:val="20"/>
                <w:color w:val="auto"/>
              </w:rPr>
            </w:pPr>
            <w:r>
              <w:rPr>
                <w:rFonts w:ascii="Courier New" w:cs="Courier New" w:eastAsia="Courier New" w:hAnsi="Courier New"/>
                <w:sz w:val="15"/>
                <w:szCs w:val="15"/>
                <w:color w:val="auto"/>
              </w:rPr>
              <w:t>Directors</w:t>
            </w: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Seymour Holtzman</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Jesse H. Choper</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Alan Cohen</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Stephen M. Duff</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Jeremiah P. Murphy, Jr.</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Joseph Pennacchio</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George T. Porter, Jr.</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*By: /s/ Dennis R. Hernreich</w:t>
            </w:r>
          </w:p>
        </w:tc>
        <w:tc>
          <w:tcPr>
            <w:tcW w:w="290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w w:val="97"/>
              </w:rPr>
              <w:t>September 11, 2002</w:t>
            </w: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Dennis R. Hernreich</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Attorney-in-Fact</w:t>
            </w: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16"/>
        </w:trPr>
        <w:tc>
          <w:tcPr>
            <w:tcW w:w="254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Courier New" w:cs="Courier New" w:eastAsia="Courier New" w:hAnsi="Courier New"/>
                <w:sz w:val="15"/>
                <w:szCs w:val="15"/>
                <w:color w:val="auto"/>
              </w:rPr>
              <w:t>II-3</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5" w:name="page26"/>
    <w:bookmarkEnd w:id="2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5100" w:type="dxa"/>
            <w:vAlign w:val="bottom"/>
          </w:tcPr>
          <w:p>
            <w:pPr>
              <w:ind w:left="1800"/>
              <w:spacing w:after="0"/>
              <w:rPr>
                <w:sz w:val="20"/>
                <w:szCs w:val="20"/>
                <w:color w:val="auto"/>
              </w:rPr>
            </w:pPr>
            <w:r>
              <w:rPr>
                <w:rFonts w:ascii="Courier New" w:cs="Courier New" w:eastAsia="Courier New" w:hAnsi="Courier New"/>
                <w:sz w:val="15"/>
                <w:szCs w:val="15"/>
                <w:color w:val="auto"/>
              </w:rPr>
              <w:t>EXHIBIT INDEX</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1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Opinion of Kramer Levin Naftalis &amp; Frankel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Consent of Independent Auditors - Ernst &amp; Young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Independent Auditors' Consent - Deloitte &amp; Touche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Independent Auditors' Consent - KPMG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w w:val="98"/>
              </w:rPr>
              <w:t>Consent of Kramer Levin Naftalis &amp; Frankel LLP (included</w:t>
            </w:r>
          </w:p>
        </w:tc>
      </w:tr>
      <w:tr>
        <w:trPr>
          <w:trHeight w:val="172"/>
        </w:trPr>
        <w:tc>
          <w:tcPr>
            <w:tcW w:w="1240" w:type="dxa"/>
            <w:vAlign w:val="bottom"/>
          </w:tcPr>
          <w:p>
            <w:pPr>
              <w:spacing w:after="0"/>
              <w:rPr>
                <w:sz w:val="14"/>
                <w:szCs w:val="14"/>
                <w:color w:val="auto"/>
              </w:rPr>
            </w:pP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in Exhibit 5.1).</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Power of Attorney.</w:t>
            </w:r>
          </w:p>
        </w:tc>
      </w:tr>
    </w:tbl>
    <w:p>
      <w:pPr>
        <w:spacing w:after="0" w:line="174"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sectPr>
      <w:pgSz w:w="11900" w:h="16838" w:orient="portrait"/>
      <w:cols w:equalWidth="0" w:num="1">
        <w:col w:w="10227"/>
      </w:cols>
      <w:pgMar w:left="232" w:top="6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15"/>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Roman"/>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2019-12-20T00:47:57Z</dcterms:created>
  <dcterms:modified xsi:type="dcterms:W3CDTF">2019-12-20T00:47:57Z</dcterms:modified>
</cp:coreProperties>
</file>