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0"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UNITED STATES</w:t>
      </w:r>
    </w:p>
    <w:p>
      <w:pPr>
        <w:ind w:left="222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860"/>
        <w:spacing w:after="0"/>
        <w:tabs>
          <w:tab w:leader="none" w:pos="4720" w:val="left"/>
        </w:tabs>
        <w:rPr>
          <w:sz w:val="20"/>
          <w:szCs w:val="20"/>
          <w:color w:val="auto"/>
        </w:rPr>
      </w:pPr>
      <w:r>
        <w:rPr>
          <w:rFonts w:ascii="Courier New" w:cs="Courier New" w:eastAsia="Courier New" w:hAnsi="Courier New"/>
          <w:sz w:val="18"/>
          <w:szCs w:val="18"/>
          <w:color w:val="auto"/>
        </w:rPr>
        <w:t>Washington, D.C.</w:t>
        <w:tab/>
        <w:t>20549</w:t>
      </w:r>
    </w:p>
    <w:p>
      <w:pPr>
        <w:ind w:left="2540"/>
        <w:spacing w:after="0" w:line="237" w:lineRule="auto"/>
        <w:rPr>
          <w:sz w:val="20"/>
          <w:szCs w:val="20"/>
          <w:color w:val="auto"/>
        </w:rPr>
      </w:pPr>
      <w:r>
        <w:rPr>
          <w:rFonts w:ascii="Courier New" w:cs="Courier New" w:eastAsia="Courier New" w:hAnsi="Courier New"/>
          <w:sz w:val="18"/>
          <w:szCs w:val="18"/>
          <w:color w:val="auto"/>
        </w:rPr>
        <w:t>______________________________</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FORM 8-K</w:t>
      </w:r>
    </w:p>
    <w:p>
      <w:pPr>
        <w:ind w:left="3280"/>
        <w:spacing w:after="0" w:line="238" w:lineRule="auto"/>
        <w:rPr>
          <w:sz w:val="20"/>
          <w:szCs w:val="20"/>
          <w:color w:val="auto"/>
        </w:rPr>
      </w:pPr>
      <w:r>
        <w:rPr>
          <w:rFonts w:ascii="Courier New" w:cs="Courier New" w:eastAsia="Courier New" w:hAnsi="Courier New"/>
          <w:sz w:val="18"/>
          <w:szCs w:val="18"/>
          <w:color w:val="auto"/>
        </w:rPr>
        <w:t>CURRENT REPORT</w:t>
      </w:r>
    </w:p>
    <w:p>
      <w:pPr>
        <w:spacing w:after="0" w:line="200" w:lineRule="exact"/>
        <w:rPr>
          <w:sz w:val="24"/>
          <w:szCs w:val="24"/>
          <w:color w:val="auto"/>
        </w:rPr>
      </w:pPr>
    </w:p>
    <w:p>
      <w:pPr>
        <w:spacing w:after="0" w:line="204"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PURSUANT TO SECTION 13 OR 15(d) OF THE</w:t>
      </w:r>
    </w:p>
    <w:p>
      <w:pPr>
        <w:ind w:left="232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04" w:lineRule="exact"/>
        <w:rPr>
          <w:sz w:val="24"/>
          <w:szCs w:val="24"/>
          <w:color w:val="auto"/>
        </w:rPr>
      </w:pPr>
    </w:p>
    <w:p>
      <w:pPr>
        <w:ind w:left="640"/>
        <w:spacing w:after="0"/>
        <w:tabs>
          <w:tab w:leader="none" w:pos="6000" w:val="left"/>
        </w:tabs>
        <w:rPr>
          <w:sz w:val="20"/>
          <w:szCs w:val="20"/>
          <w:color w:val="auto"/>
        </w:rPr>
      </w:pPr>
      <w:r>
        <w:rPr>
          <w:rFonts w:ascii="Courier New" w:cs="Courier New" w:eastAsia="Courier New" w:hAnsi="Courier New"/>
          <w:sz w:val="18"/>
          <w:szCs w:val="18"/>
          <w:color w:val="auto"/>
        </w:rPr>
        <w:t>Date of Report (Date of earliest event reported):</w:t>
      </w:r>
      <w:r>
        <w:rPr>
          <w:sz w:val="20"/>
          <w:szCs w:val="20"/>
          <w:color w:val="auto"/>
        </w:rPr>
        <w:tab/>
      </w:r>
      <w:r>
        <w:rPr>
          <w:rFonts w:ascii="Courier New" w:cs="Courier New" w:eastAsia="Courier New" w:hAnsi="Courier New"/>
          <w:sz w:val="16"/>
          <w:szCs w:val="16"/>
          <w:color w:val="auto"/>
        </w:rPr>
        <w:t>January 27, 2005</w:t>
      </w:r>
    </w:p>
    <w:p>
      <w:pPr>
        <w:spacing w:after="0" w:line="200" w:lineRule="exact"/>
        <w:rPr>
          <w:sz w:val="24"/>
          <w:szCs w:val="24"/>
          <w:color w:val="auto"/>
        </w:rPr>
      </w:pPr>
    </w:p>
    <w:p>
      <w:pPr>
        <w:spacing w:after="0" w:line="204"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0-15898</w:t>
      </w:r>
    </w:p>
    <w:p>
      <w:pPr>
        <w:ind w:left="2740"/>
        <w:spacing w:after="0" w:line="238" w:lineRule="auto"/>
        <w:rPr>
          <w:sz w:val="20"/>
          <w:szCs w:val="20"/>
          <w:color w:val="auto"/>
        </w:rPr>
      </w:pPr>
      <w:r>
        <w:rPr>
          <w:rFonts w:ascii="Courier New" w:cs="Courier New" w:eastAsia="Courier New" w:hAnsi="Courier New"/>
          <w:sz w:val="18"/>
          <w:szCs w:val="18"/>
          <w:color w:val="auto"/>
        </w:rPr>
        <w:t>(Commission File Number)</w:t>
      </w:r>
    </w:p>
    <w:p>
      <w:pPr>
        <w:spacing w:after="0" w:line="202"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______________________________</w:t>
      </w:r>
    </w:p>
    <w:p>
      <w:pPr>
        <w:spacing w:after="0" w:line="201"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CASUAL MALE RETAIL GROUP, INC.</w:t>
      </w:r>
    </w:p>
    <w:p>
      <w:pPr>
        <w:ind w:left="860"/>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78" w:orient="portrait"/>
          <w:cols w:equalWidth="0" w:num="1">
            <w:col w:w="10219"/>
          </w:cols>
          <w:pgMar w:left="240" w:top="447" w:right="1440" w:bottom="0" w:gutter="0" w:footer="0" w:header="0"/>
        </w:sectPr>
      </w:pPr>
    </w:p>
    <w:p>
      <w:pPr>
        <w:spacing w:after="0" w:line="202"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04-2623104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w:t>
      </w:r>
    </w:p>
    <w:p>
      <w:pPr>
        <w:spacing w:after="0" w:line="16" w:lineRule="exact"/>
        <w:rPr>
          <w:sz w:val="24"/>
          <w:szCs w:val="24"/>
          <w:color w:val="auto"/>
        </w:rPr>
      </w:pPr>
    </w:p>
    <w:p>
      <w:pPr>
        <w:sectPr>
          <w:pgSz w:w="11900" w:h="16878" w:orient="portrait"/>
          <w:cols w:equalWidth="0" w:num="2">
            <w:col w:w="5300" w:space="720"/>
            <w:col w:w="4199"/>
          </w:cols>
          <w:pgMar w:left="240" w:top="447" w:right="1440" w:bottom="0" w:gutter="0" w:footer="0" w:header="0"/>
          <w:type w:val="continuous"/>
        </w:sectPr>
      </w:pPr>
    </w:p>
    <w:p>
      <w:pPr>
        <w:ind w:left="5700"/>
        <w:spacing w:after="0"/>
        <w:rPr>
          <w:sz w:val="20"/>
          <w:szCs w:val="20"/>
          <w:color w:val="auto"/>
        </w:rPr>
      </w:pPr>
      <w:r>
        <w:rPr>
          <w:rFonts w:ascii="Courier New" w:cs="Courier New" w:eastAsia="Courier New" w:hAnsi="Courier New"/>
          <w:sz w:val="18"/>
          <w:szCs w:val="18"/>
          <w:color w:val="auto"/>
        </w:rPr>
        <w:t>Identification Number)</w:t>
      </w:r>
    </w:p>
    <w:p>
      <w:pPr>
        <w:spacing w:after="0" w:line="200" w:lineRule="exact"/>
        <w:rPr>
          <w:sz w:val="24"/>
          <w:szCs w:val="24"/>
          <w:color w:val="auto"/>
        </w:rPr>
      </w:pPr>
    </w:p>
    <w:p>
      <w:pPr>
        <w:spacing w:after="0" w:line="204"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555 Turnpike Street, Canton, Massachusetts 02021</w:t>
      </w:r>
    </w:p>
    <w:p>
      <w:pPr>
        <w:jc w:val="center"/>
        <w:ind w:right="2199"/>
        <w:spacing w:after="0" w:line="238" w:lineRule="auto"/>
        <w:rPr>
          <w:sz w:val="20"/>
          <w:szCs w:val="20"/>
          <w:color w:val="auto"/>
        </w:rPr>
      </w:pPr>
      <w:r>
        <w:rPr>
          <w:rFonts w:ascii="Courier New" w:cs="Courier New" w:eastAsia="Courier New" w:hAnsi="Courier New"/>
          <w:sz w:val="18"/>
          <w:szCs w:val="18"/>
          <w:color w:val="auto"/>
        </w:rPr>
        <w:t>(Address of registrant's principal executive office)</w:t>
      </w:r>
    </w:p>
    <w:p>
      <w:pPr>
        <w:spacing w:after="0" w:line="200" w:lineRule="exact"/>
        <w:rPr>
          <w:sz w:val="24"/>
          <w:szCs w:val="24"/>
          <w:color w:val="auto"/>
        </w:rPr>
      </w:pPr>
    </w:p>
    <w:p>
      <w:pPr>
        <w:spacing w:after="0" w:line="204" w:lineRule="exact"/>
        <w:rPr>
          <w:sz w:val="24"/>
          <w:szCs w:val="24"/>
          <w:color w:val="auto"/>
        </w:rPr>
      </w:pPr>
    </w:p>
    <w:p>
      <w:pPr>
        <w:ind w:left="3800" w:hanging="632"/>
        <w:spacing w:after="0"/>
        <w:tabs>
          <w:tab w:leader="none" w:pos="38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828-9300</w:t>
      </w:r>
    </w:p>
    <w:p>
      <w:pPr>
        <w:ind w:left="2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(Registrant's telephone number)</w:t>
      </w:r>
    </w:p>
    <w:p>
      <w:pPr>
        <w:ind w:left="2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w:t>
      </w:r>
    </w:p>
    <w:p>
      <w:pPr>
        <w:spacing w:after="0" w:line="200" w:lineRule="exact"/>
        <w:rPr>
          <w:sz w:val="24"/>
          <w:szCs w:val="24"/>
          <w:color w:val="auto"/>
        </w:rPr>
      </w:pPr>
    </w:p>
    <w:p>
      <w:pPr>
        <w:spacing w:after="0" w:line="210" w:lineRule="exact"/>
        <w:rPr>
          <w:sz w:val="24"/>
          <w:szCs w:val="24"/>
          <w:color w:val="auto"/>
        </w:rPr>
      </w:pPr>
    </w:p>
    <w:p>
      <w:pPr>
        <w:ind w:right="2619"/>
        <w:spacing w:after="0" w:line="236" w:lineRule="auto"/>
        <w:rPr>
          <w:sz w:val="20"/>
          <w:szCs w:val="20"/>
          <w:color w:val="auto"/>
        </w:rPr>
      </w:pPr>
      <w:r>
        <w:rPr>
          <w:rFonts w:ascii="Courier New" w:cs="Courier New" w:eastAsia="Courier New" w:hAnsi="Courier New"/>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09" w:lineRule="exact"/>
        <w:rPr>
          <w:sz w:val="24"/>
          <w:szCs w:val="24"/>
          <w:color w:val="auto"/>
        </w:rPr>
      </w:pPr>
    </w:p>
    <w:p>
      <w:pPr>
        <w:ind w:left="420" w:right="2619" w:hanging="412"/>
        <w:spacing w:after="0" w:line="235" w:lineRule="auto"/>
        <w:tabs>
          <w:tab w:leader="none" w:pos="209"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Written communications pursuant to Rule 425 under the Securities Act (17 CFR 230.425)</w:t>
      </w:r>
    </w:p>
    <w:p>
      <w:pPr>
        <w:spacing w:after="0" w:line="208" w:lineRule="exact"/>
        <w:rPr>
          <w:sz w:val="24"/>
          <w:szCs w:val="24"/>
          <w:color w:val="auto"/>
        </w:rPr>
      </w:pPr>
    </w:p>
    <w:p>
      <w:pPr>
        <w:ind w:left="420" w:right="2839" w:hanging="412"/>
        <w:spacing w:after="0" w:line="235" w:lineRule="auto"/>
        <w:tabs>
          <w:tab w:leader="none" w:pos="209"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Soliciting material pursuant to Rule 14a-12 under the Exchange Act (17 CFR 240.14a-12)</w:t>
      </w:r>
    </w:p>
    <w:p>
      <w:pPr>
        <w:spacing w:after="0" w:line="208" w:lineRule="exact"/>
        <w:rPr>
          <w:sz w:val="24"/>
          <w:szCs w:val="24"/>
          <w:color w:val="auto"/>
        </w:rPr>
      </w:pPr>
    </w:p>
    <w:p>
      <w:pPr>
        <w:ind w:left="420" w:right="2739" w:hanging="412"/>
        <w:spacing w:after="0" w:line="235" w:lineRule="auto"/>
        <w:tabs>
          <w:tab w:leader="none" w:pos="209"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Pre-commencement communications pursuant to Rule 14d-2(b) under the Exchange Act(17 CFR 240.14d-2(b))</w:t>
      </w:r>
    </w:p>
    <w:p>
      <w:pPr>
        <w:spacing w:after="0" w:line="208" w:lineRule="exact"/>
        <w:rPr>
          <w:sz w:val="24"/>
          <w:szCs w:val="24"/>
          <w:color w:val="auto"/>
        </w:rPr>
      </w:pPr>
    </w:p>
    <w:p>
      <w:pPr>
        <w:ind w:left="420" w:right="2739" w:hanging="412"/>
        <w:spacing w:after="0" w:line="235" w:lineRule="auto"/>
        <w:tabs>
          <w:tab w:leader="none" w:pos="209"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Pre-commencement communications pursuant to Rule 13e-4(c) under the Exchange Act(17 CFR 240.13e-4(c))</w:t>
      </w:r>
    </w:p>
    <w:p>
      <w:pPr>
        <w:spacing w:after="0" w:line="200" w:lineRule="exact"/>
        <w:rPr>
          <w:sz w:val="24"/>
          <w:szCs w:val="24"/>
          <w:color w:val="auto"/>
        </w:rPr>
      </w:pPr>
    </w:p>
    <w:p>
      <w:pPr>
        <w:spacing w:after="0" w:line="205" w:lineRule="exact"/>
        <w:rPr>
          <w:sz w:val="24"/>
          <w:szCs w:val="24"/>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8.01</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4"/>
          <w:szCs w:val="24"/>
          <w:color w:val="auto"/>
        </w:rPr>
      </w:pPr>
    </w:p>
    <w:p>
      <w:pPr>
        <w:ind w:right="1579" w:firstLine="843"/>
        <w:spacing w:after="0" w:line="237" w:lineRule="auto"/>
        <w:rPr>
          <w:sz w:val="20"/>
          <w:szCs w:val="20"/>
          <w:color w:val="auto"/>
        </w:rPr>
      </w:pPr>
      <w:r>
        <w:rPr>
          <w:rFonts w:ascii="Courier New" w:cs="Courier New" w:eastAsia="Courier New" w:hAnsi="Courier New"/>
          <w:sz w:val="18"/>
          <w:szCs w:val="18"/>
          <w:color w:val="auto"/>
        </w:rPr>
        <w:t>Effective January 27, 2005, Casual Male Retail Group, Inc. (the "Company") accelerated the vesting of all outstanding unvested options held by directors, officers and employees under the Company's 1992 Stock Incentive Plan. As a result of the acceleration, options to acquire 1,778,252 shares of the Company's common stock, which otherwise would have vested from time to time over the next 35 months, became immediately exercisable.</w:t>
      </w:r>
    </w:p>
    <w:p>
      <w:pPr>
        <w:spacing w:after="0" w:line="210" w:lineRule="exact"/>
        <w:rPr>
          <w:sz w:val="24"/>
          <w:szCs w:val="24"/>
          <w:color w:val="auto"/>
        </w:rPr>
      </w:pPr>
    </w:p>
    <w:p>
      <w:pPr>
        <w:ind w:right="1679" w:firstLine="843"/>
        <w:spacing w:after="0" w:line="237" w:lineRule="auto"/>
        <w:rPr>
          <w:sz w:val="20"/>
          <w:szCs w:val="20"/>
          <w:color w:val="auto"/>
        </w:rPr>
      </w:pPr>
      <w:r>
        <w:rPr>
          <w:rFonts w:ascii="Courier New" w:cs="Courier New" w:eastAsia="Courier New" w:hAnsi="Courier New"/>
          <w:sz w:val="18"/>
          <w:szCs w:val="18"/>
          <w:color w:val="auto"/>
        </w:rPr>
        <w:t>The Company accelerated these options in advance of the effective date of Statement of Financial Accounting Standards No. 123 (revised 2004) "Share-Based Payment" ("SFAS 123R"). SFAS 123R will require that, beginning July 31, 2005 (the start of the Company's third fiscal quarter), the Company record as compensation expense in its statement of operations the fair value of employee stock options.</w:t>
      </w:r>
    </w:p>
    <w:p>
      <w:pPr>
        <w:spacing w:after="0" w:line="210" w:lineRule="exact"/>
        <w:rPr>
          <w:sz w:val="24"/>
          <w:szCs w:val="24"/>
          <w:color w:val="auto"/>
        </w:rPr>
      </w:pPr>
    </w:p>
    <w:p>
      <w:pPr>
        <w:ind w:right="1679" w:firstLine="843"/>
        <w:spacing w:after="0" w:line="271" w:lineRule="auto"/>
        <w:rPr>
          <w:sz w:val="20"/>
          <w:szCs w:val="20"/>
          <w:color w:val="auto"/>
        </w:rPr>
      </w:pPr>
      <w:r>
        <w:rPr>
          <w:rFonts w:ascii="Courier New" w:cs="Courier New" w:eastAsia="Courier New" w:hAnsi="Courier New"/>
          <w:sz w:val="16"/>
          <w:szCs w:val="16"/>
          <w:color w:val="auto"/>
        </w:rPr>
        <w:t>The Company has estimated that the transition expense associated with the adoption of SFAS123R for these outstanding shares would have resulted in a charge of approximately $3.6 million to be recognized over the next three fiscal years (fiscal 2005 through fiscal 2007). As a result of the Company's decision to accelerate the vesting of these options, the Company has been able to eliminate this transition expense. The Company will, however, recognize a one-time compensation expense in accordance with APB Opinion No. 25 of approximately $70,000 in the fourth quarter of fiscal 2004 with respect to its in-the-money stock options that were accelerated. In authorizing this acceleration, the</w:t>
      </w:r>
    </w:p>
    <w:p>
      <w:pPr>
        <w:sectPr>
          <w:pgSz w:w="11900" w:h="16878" w:orient="portrait"/>
          <w:cols w:equalWidth="0" w:num="1">
            <w:col w:w="10219"/>
          </w:cols>
          <w:pgMar w:left="240" w:top="447" w:right="1440" w:bottom="0" w:gutter="0" w:footer="0" w:header="0"/>
          <w:type w:val="continuous"/>
        </w:sectPr>
      </w:pPr>
    </w:p>
    <w:bookmarkStart w:id="1" w:name="page2"/>
    <w:bookmarkEnd w:id="1"/>
    <w:p>
      <w:pPr>
        <w:ind w:right="1879"/>
        <w:spacing w:after="0" w:line="235" w:lineRule="auto"/>
        <w:rPr>
          <w:sz w:val="20"/>
          <w:szCs w:val="20"/>
          <w:color w:val="auto"/>
        </w:rPr>
      </w:pPr>
      <w:r>
        <w:rPr>
          <w:rFonts w:ascii="Courier New" w:cs="Courier New" w:eastAsia="Courier New" w:hAnsi="Courier New"/>
          <w:sz w:val="18"/>
          <w:szCs w:val="18"/>
          <w:color w:val="auto"/>
        </w:rPr>
        <w:t>Board of Directors determined that the overall effect of such action was in the best interests of the Company, its stockholders and its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Pursuant to the requirements of the Securities Exchange Act of 1934,</w:t>
      </w:r>
    </w:p>
    <w:p>
      <w:pPr>
        <w:spacing w:after="0" w:line="4"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the registrant has duly caused this report to be signed on its behalf by the undersigned, thereunto duly authorized.</w:t>
      </w:r>
    </w:p>
    <w:p>
      <w:pPr>
        <w:spacing w:after="0" w:line="203"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CASUAL MALE RETAIL GROUP, INC.</w:t>
      </w:r>
    </w:p>
    <w:p>
      <w:pPr>
        <w:spacing w:after="0" w:line="201"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By: /S/ DENNIS R. HERNREICH</w:t>
      </w:r>
    </w:p>
    <w:p>
      <w:pPr>
        <w:spacing w:after="0" w:line="4" w:lineRule="exact"/>
        <w:rPr>
          <w:sz w:val="20"/>
          <w:szCs w:val="20"/>
          <w:color w:val="auto"/>
        </w:rPr>
      </w:pPr>
    </w:p>
    <w:p>
      <w:pPr>
        <w:ind w:left="6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860"/>
        <w:spacing w:after="0"/>
        <w:tabs>
          <w:tab w:leader="none" w:pos="5580" w:val="left"/>
        </w:tabs>
        <w:rPr>
          <w:sz w:val="20"/>
          <w:szCs w:val="20"/>
          <w:color w:val="auto"/>
        </w:rPr>
      </w:pPr>
      <w:r>
        <w:rPr>
          <w:rFonts w:ascii="Courier New" w:cs="Courier New" w:eastAsia="Courier New" w:hAnsi="Courier New"/>
          <w:sz w:val="18"/>
          <w:szCs w:val="18"/>
          <w:color w:val="auto"/>
        </w:rPr>
        <w:t>Name:</w:t>
        <w:tab/>
        <w:t>Dennis R. Hernreich</w:t>
      </w:r>
    </w:p>
    <w:p>
      <w:pPr>
        <w:ind w:left="4860"/>
        <w:spacing w:after="0" w:line="238" w:lineRule="auto"/>
        <w:rPr>
          <w:sz w:val="20"/>
          <w:szCs w:val="20"/>
          <w:color w:val="auto"/>
        </w:rPr>
      </w:pPr>
      <w:r>
        <w:rPr>
          <w:rFonts w:ascii="Courier New" w:cs="Courier New" w:eastAsia="Courier New" w:hAnsi="Courier New"/>
          <w:sz w:val="18"/>
          <w:szCs w:val="18"/>
          <w:color w:val="auto"/>
        </w:rPr>
        <w:t>Title: Executive Vice President</w:t>
      </w:r>
    </w:p>
    <w:p>
      <w:pPr>
        <w:ind w:left="5600"/>
        <w:spacing w:after="0"/>
        <w:rPr>
          <w:sz w:val="20"/>
          <w:szCs w:val="20"/>
          <w:color w:val="auto"/>
        </w:rPr>
      </w:pPr>
      <w:r>
        <w:rPr>
          <w:rFonts w:ascii="Courier New" w:cs="Courier New" w:eastAsia="Courier New" w:hAnsi="Courier New"/>
          <w:sz w:val="18"/>
          <w:szCs w:val="18"/>
          <w:color w:val="auto"/>
        </w:rPr>
        <w:t>and Chief Financial Officer</w:t>
      </w:r>
    </w:p>
    <w:p>
      <w:pPr>
        <w:spacing w:after="0" w:line="200" w:lineRule="exact"/>
        <w:rPr>
          <w:sz w:val="20"/>
          <w:szCs w:val="20"/>
          <w:color w:val="auto"/>
        </w:rPr>
      </w:pP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March 10, 2005</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78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2019-12-11T21:29:10Z</dcterms:created>
  <dcterms:modified xsi:type="dcterms:W3CDTF">2019-12-11T21:29:10Z</dcterms:modified>
</cp:coreProperties>
</file>