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As filed with the Securities and Exchange Commission on November 3, 2000</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370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SCHEDULE TO</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TENDER OFFER STATEMENT UNDER SECTION 14(d)(1) OR 13(e)(1)</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Subject Company (Issuer))</w:t>
      </w: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DESIGNS,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(Offeror)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(Names of Filing Persons (identifying status as</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offeror, issuer or other person))</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$0.01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25057L10</w:t>
      </w:r>
    </w:p>
    <w:p>
      <w:pPr>
        <w:jc w:val="center"/>
        <w:ind w:right="165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Dennis Hernreich</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 Designs, Inc.</w:t>
      </w:r>
    </w:p>
    <w:p>
      <w:pPr>
        <w:jc w:val="center"/>
        <w:ind w:right="1659"/>
        <w:spacing w:after="0"/>
        <w:rPr>
          <w:sz w:val="20"/>
          <w:szCs w:val="20"/>
          <w:color w:val="auto"/>
        </w:rPr>
      </w:pPr>
      <w:r>
        <w:rPr>
          <w:rFonts w:ascii="Courier New" w:cs="Courier New" w:eastAsia="Courier New" w:hAnsi="Courier New"/>
          <w:sz w:val="18"/>
          <w:szCs w:val="18"/>
          <w:color w:val="auto"/>
        </w:rPr>
        <w:t>66 B Street</w:t>
      </w:r>
    </w:p>
    <w:p>
      <w:pPr>
        <w:jc w:val="center"/>
        <w:ind w:right="1779"/>
        <w:spacing w:after="0" w:line="237" w:lineRule="auto"/>
        <w:rPr>
          <w:sz w:val="20"/>
          <w:szCs w:val="20"/>
          <w:color w:val="auto"/>
        </w:rPr>
      </w:pPr>
      <w:r>
        <w:rPr>
          <w:rFonts w:ascii="Courier New" w:cs="Courier New" w:eastAsia="Courier New" w:hAnsi="Courier New"/>
          <w:sz w:val="18"/>
          <w:szCs w:val="18"/>
          <w:color w:val="auto"/>
        </w:rPr>
        <w:t>Needham, Massachusetts 02494</w:t>
      </w:r>
    </w:p>
    <w:p>
      <w:pPr>
        <w:jc w:val="center"/>
        <w:ind w:right="1779"/>
        <w:spacing w:after="0" w:line="238" w:lineRule="auto"/>
        <w:rPr>
          <w:sz w:val="20"/>
          <w:szCs w:val="20"/>
          <w:color w:val="auto"/>
        </w:rPr>
      </w:pPr>
      <w:r>
        <w:rPr>
          <w:rFonts w:ascii="Courier New" w:cs="Courier New" w:eastAsia="Courier New" w:hAnsi="Courier New"/>
          <w:sz w:val="18"/>
          <w:szCs w:val="18"/>
          <w:color w:val="auto"/>
        </w:rPr>
        <w:t>(781) 444-7222</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Persons Authorized to Receive Notices</w:t>
      </w:r>
    </w:p>
    <w:p>
      <w:pPr>
        <w:jc w:val="center"/>
        <w:ind w:right="1659"/>
        <w:spacing w:after="0" w:line="237" w:lineRule="auto"/>
        <w:rPr>
          <w:sz w:val="20"/>
          <w:szCs w:val="20"/>
          <w:color w:val="auto"/>
        </w:rPr>
      </w:pPr>
      <w:r>
        <w:rPr>
          <w:rFonts w:ascii="Courier New" w:cs="Courier New" w:eastAsia="Courier New" w:hAnsi="Courier New"/>
          <w:sz w:val="18"/>
          <w:szCs w:val="18"/>
          <w:color w:val="auto"/>
        </w:rPr>
        <w:t>and Communications on Behalf of filing persons)</w:t>
      </w: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Copies to:</w:t>
      </w:r>
    </w:p>
    <w:p>
      <w:pPr>
        <w:ind w:left="3160"/>
        <w:spacing w:after="0" w:line="238" w:lineRule="auto"/>
        <w:rPr>
          <w:sz w:val="20"/>
          <w:szCs w:val="20"/>
          <w:color w:val="auto"/>
        </w:rPr>
      </w:pPr>
      <w:r>
        <w:rPr>
          <w:rFonts w:ascii="Courier New" w:cs="Courier New" w:eastAsia="Courier New" w:hAnsi="Courier New"/>
          <w:sz w:val="18"/>
          <w:szCs w:val="18"/>
          <w:color w:val="auto"/>
        </w:rPr>
        <w:t>Peter G. Smith, Esq.</w:t>
      </w:r>
    </w:p>
    <w:p>
      <w:pPr>
        <w:ind w:left="2440"/>
        <w:spacing w:after="0"/>
        <w:rPr>
          <w:sz w:val="20"/>
          <w:szCs w:val="20"/>
          <w:color w:val="auto"/>
        </w:rPr>
      </w:pPr>
      <w:r>
        <w:rPr>
          <w:rFonts w:ascii="Courier New" w:cs="Courier New" w:eastAsia="Courier New" w:hAnsi="Courier New"/>
          <w:sz w:val="18"/>
          <w:szCs w:val="18"/>
          <w:color w:val="auto"/>
        </w:rPr>
        <w:t>Kramer Levin Naftalis &amp; Frankel LLP</w:t>
      </w:r>
    </w:p>
    <w:p>
      <w:pPr>
        <w:ind w:left="3380"/>
        <w:spacing w:after="0" w:line="237" w:lineRule="auto"/>
        <w:rPr>
          <w:sz w:val="20"/>
          <w:szCs w:val="20"/>
          <w:color w:val="auto"/>
        </w:rPr>
      </w:pPr>
      <w:r>
        <w:rPr>
          <w:rFonts w:ascii="Courier New" w:cs="Courier New" w:eastAsia="Courier New" w:hAnsi="Courier New"/>
          <w:sz w:val="18"/>
          <w:szCs w:val="18"/>
          <w:color w:val="auto"/>
        </w:rPr>
        <w:t>919 Third Avenue</w:t>
      </w:r>
    </w:p>
    <w:p>
      <w:pPr>
        <w:ind w:left="2960"/>
        <w:spacing w:after="0" w:line="238" w:lineRule="auto"/>
        <w:rPr>
          <w:sz w:val="20"/>
          <w:szCs w:val="20"/>
          <w:color w:val="auto"/>
        </w:rPr>
      </w:pPr>
      <w:r>
        <w:rPr>
          <w:rFonts w:ascii="Courier New" w:cs="Courier New" w:eastAsia="Courier New" w:hAnsi="Courier New"/>
          <w:sz w:val="18"/>
          <w:szCs w:val="18"/>
          <w:color w:val="auto"/>
        </w:rPr>
        <w:t>New York, New York 10022</w:t>
      </w:r>
    </w:p>
    <w:p>
      <w:pPr>
        <w:ind w:left="4120" w:hanging="636"/>
        <w:spacing w:after="0"/>
        <w:tabs>
          <w:tab w:leader="none" w:pos="4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715-9100</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89" w:lineRule="exact"/>
        <w:rPr>
          <w:rFonts w:ascii="Courier New" w:cs="Courier New" w:eastAsia="Courier New" w:hAnsi="Courier New"/>
          <w:sz w:val="18"/>
          <w:szCs w:val="18"/>
          <w:color w:val="auto"/>
        </w:rPr>
      </w:pPr>
    </w:p>
    <w:p>
      <w:pPr>
        <w:ind w:left="640" w:right="3039" w:hanging="527"/>
        <w:spacing w:after="0" w:line="290" w:lineRule="auto"/>
        <w:tabs>
          <w:tab w:leader="none" w:pos="32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Check the box if the filing relates solely to preliminary communications made before the commencement of a tender offer.</w:t>
      </w:r>
    </w:p>
    <w:p>
      <w:pPr>
        <w:spacing w:after="0" w:line="170" w:lineRule="exact"/>
        <w:rPr>
          <w:sz w:val="24"/>
          <w:szCs w:val="24"/>
          <w:color w:val="auto"/>
        </w:rPr>
      </w:pPr>
    </w:p>
    <w:p>
      <w:pPr>
        <w:ind w:left="640" w:right="1999"/>
        <w:spacing w:after="0" w:line="235"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spacing w:after="0" w:line="203" w:lineRule="exact"/>
        <w:rPr>
          <w:sz w:val="24"/>
          <w:szCs w:val="24"/>
          <w:color w:val="auto"/>
        </w:rPr>
      </w:pPr>
    </w:p>
    <w:p>
      <w:pPr>
        <w:ind w:left="1060" w:hanging="420"/>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third-party tender offer subject to Rule 14d-1.</w:t>
      </w:r>
    </w:p>
    <w:p>
      <w:pPr>
        <w:ind w:left="860" w:hanging="220"/>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w:t>
      </w:r>
      <w:r>
        <w:rPr>
          <w:rFonts w:ascii="Courier New" w:cs="Courier New" w:eastAsia="Courier New" w:hAnsi="Courier New"/>
          <w:sz w:val="16"/>
          <w:szCs w:val="16"/>
          <w:color w:val="auto"/>
        </w:rPr>
        <w:t>issuer tender offer subject to Rule 13e-4.</w:t>
      </w:r>
    </w:p>
    <w:p>
      <w:pPr>
        <w:ind w:left="1060" w:hanging="420"/>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going-private transaction subject to Rule 13e-3.</w:t>
      </w:r>
    </w:p>
    <w:p>
      <w:pPr>
        <w:ind w:left="1060" w:hanging="420"/>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amendment to Schedule 13D under Rule 13d-2.</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w:t>
      </w:r>
    </w:p>
    <w:p>
      <w:pPr>
        <w:sectPr>
          <w:pgSz w:w="11900" w:h="16838" w:orient="portrait"/>
          <w:cols w:equalWidth="0" w:num="1">
            <w:col w:w="10219"/>
          </w:cols>
          <w:pgMar w:left="240" w:top="447" w:right="1440" w:bottom="1440" w:gutter="0" w:footer="0" w:header="0"/>
        </w:sectPr>
      </w:pPr>
    </w:p>
    <w:bookmarkStart w:id="1" w:name="page2"/>
    <w:bookmarkEnd w:id="1"/>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Press Release issued by Designs, Inc. on November 3, 2000.</w:t>
      </w:r>
    </w:p>
    <w:p>
      <w:pPr>
        <w:sectPr>
          <w:pgSz w:w="11900" w:h="16838" w:orient="portrait"/>
          <w:cols w:equalWidth="0" w:num="1">
            <w:col w:w="10219"/>
          </w:cols>
          <w:pgMar w:left="240" w:top="717"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EXHIBIT NUMBER</w:t>
      </w:r>
    </w:p>
    <w:p>
      <w:pPr>
        <w:spacing w:after="0" w:line="20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Press Release issued by Designs, Inc. on November 3, 2000.</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Filed by 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Section 14(d)/13(e) of the Securities Exchange Act of 1934</w:t>
      </w:r>
    </w:p>
    <w:p>
      <w:pPr>
        <w:jc w:val="center"/>
        <w:ind w:right="1779"/>
        <w:spacing w:after="0"/>
        <w:rPr>
          <w:sz w:val="20"/>
          <w:szCs w:val="20"/>
          <w:color w:val="auto"/>
        </w:rPr>
      </w:pPr>
      <w:r>
        <w:rPr>
          <w:rFonts w:ascii="Courier New" w:cs="Courier New" w:eastAsia="Courier New" w:hAnsi="Courier New"/>
          <w:sz w:val="18"/>
          <w:szCs w:val="18"/>
          <w:color w:val="auto"/>
        </w:rPr>
        <w:t>Filer: Designs, Inc.</w:t>
      </w:r>
    </w:p>
    <w:p>
      <w:pPr>
        <w:jc w:val="center"/>
        <w:ind w:right="1779"/>
        <w:spacing w:after="0" w:line="237" w:lineRule="auto"/>
        <w:rPr>
          <w:sz w:val="20"/>
          <w:szCs w:val="20"/>
          <w:color w:val="auto"/>
        </w:rPr>
      </w:pPr>
      <w:r>
        <w:rPr>
          <w:rFonts w:ascii="Courier New" w:cs="Courier New" w:eastAsia="Courier New" w:hAnsi="Courier New"/>
          <w:sz w:val="18"/>
          <w:szCs w:val="18"/>
          <w:color w:val="auto"/>
        </w:rPr>
        <w:t>Subject Company: Designs, Inc.</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Seymour Holtzman, Chairman of the Board</w:t>
      </w:r>
    </w:p>
    <w:p>
      <w:pPr>
        <w:ind w:left="2640"/>
        <w:spacing w:after="0" w:line="238" w:lineRule="auto"/>
        <w:rPr>
          <w:sz w:val="20"/>
          <w:szCs w:val="20"/>
          <w:color w:val="auto"/>
        </w:rPr>
      </w:pPr>
      <w:r>
        <w:rPr>
          <w:rFonts w:ascii="Courier New" w:cs="Courier New" w:eastAsia="Courier New" w:hAnsi="Courier New"/>
          <w:sz w:val="18"/>
          <w:szCs w:val="18"/>
          <w:color w:val="auto"/>
        </w:rPr>
        <w:t>Jeff Unger, Investor Relations</w:t>
      </w:r>
    </w:p>
    <w:p>
      <w:pPr>
        <w:ind w:left="2640"/>
        <w:spacing w:after="0"/>
        <w:rPr>
          <w:sz w:val="20"/>
          <w:szCs w:val="20"/>
          <w:color w:val="auto"/>
        </w:rPr>
      </w:pPr>
      <w:r>
        <w:rPr>
          <w:rFonts w:ascii="Courier New" w:cs="Courier New" w:eastAsia="Courier New" w:hAnsi="Courier New"/>
          <w:sz w:val="18"/>
          <w:szCs w:val="18"/>
          <w:color w:val="auto"/>
        </w:rPr>
        <w:t>Designs, Inc.</w:t>
      </w:r>
    </w:p>
    <w:p>
      <w:pPr>
        <w:ind w:left="2640"/>
        <w:spacing w:after="0" w:line="237" w:lineRule="auto"/>
        <w:rPr>
          <w:sz w:val="20"/>
          <w:szCs w:val="20"/>
          <w:color w:val="auto"/>
        </w:rPr>
      </w:pPr>
      <w:r>
        <w:rPr>
          <w:rFonts w:ascii="Courier New" w:cs="Courier New" w:eastAsia="Courier New" w:hAnsi="Courier New"/>
          <w:sz w:val="18"/>
          <w:szCs w:val="18"/>
          <w:color w:val="auto"/>
        </w:rPr>
        <w:t>(781) 444-7222</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RJ Falkner &amp; Company, Inc.</w:t>
      </w:r>
    </w:p>
    <w:p>
      <w:pPr>
        <w:ind w:left="2640"/>
        <w:spacing w:after="0" w:line="238" w:lineRule="auto"/>
        <w:rPr>
          <w:sz w:val="20"/>
          <w:szCs w:val="20"/>
          <w:color w:val="auto"/>
        </w:rPr>
      </w:pPr>
      <w:r>
        <w:rPr>
          <w:rFonts w:ascii="Courier New" w:cs="Courier New" w:eastAsia="Courier New" w:hAnsi="Courier New"/>
          <w:sz w:val="18"/>
          <w:szCs w:val="18"/>
          <w:color w:val="auto"/>
        </w:rPr>
        <w:t>Investor Relations Counsel</w:t>
      </w:r>
    </w:p>
    <w:p>
      <w:pPr>
        <w:spacing w:after="0" w:line="5" w:lineRule="exact"/>
        <w:rPr>
          <w:sz w:val="20"/>
          <w:szCs w:val="20"/>
          <w:color w:val="auto"/>
        </w:rPr>
      </w:pPr>
    </w:p>
    <w:p>
      <w:pPr>
        <w:ind w:left="2640" w:right="5679" w:firstLine="2"/>
        <w:spacing w:after="0" w:line="290" w:lineRule="auto"/>
        <w:tabs>
          <w:tab w:leader="none" w:pos="327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377-9893 info@rjfalkner.com</w:t>
      </w:r>
    </w:p>
    <w:p>
      <w:pPr>
        <w:spacing w:after="0" w:line="36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DESIGNS, INC. ANNOUNCES PLANS FOR DUTCH AUCTION TENDER OFFER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(Needham, MA, November 3, 2000) -- Designs, Inc. (NASDAQ: DESI), operator of Levi's(R) and Dockers(R) Outlet stores, today announced that its Board of Directors has authorized a proposed "Dutch Auction" tender offer for up to 1.5 million shares of the Company's Common Stock, reserving the option to purchase up to an additional 1 million shares. The Company currently has approximately 15.8 million shares outstanding. Commencement of the proposed tender offer will be subject to, among other things, completion of all regulatory filings and financing arrangements.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offer is expected to commence by approximately November 13, 2000. Shareholders will be invited to sell their shares to the Company at prices determined by the tendering shareholders within a range to be specified in the proposed offer, expected not to be in excess of $3.00 nor less than $2.20 per share, in ten-cent ($0.10) increments, subject to market conditions. There is no certainty that the Company will purchase all shares tendered in the contemplated offer, and in the event of an over-subscription within the specified range, the Company would accept shares on a pro rata basis.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Seymour Holtzman, Chairman of the Board, said, "We believe that our shares continue to be undervalued in the public market, and that the offer is consistent with our long-term corporate strategy of seeking to increase shareholder value. For the past two years there has been limited liquidity in the marketplace for our stock and small purchases or sales can cause significant fluctuations in the stock price. The proposed "Dutch Auction" tender offer will permit shareholders who want to sell their stock to do so in a liquid and stable market."</w:t>
      </w:r>
    </w:p>
    <w:p>
      <w:pPr>
        <w:sectPr>
          <w:pgSz w:w="11900" w:h="16838" w:orient="portrait"/>
          <w:cols w:equalWidth="0" w:num="1">
            <w:col w:w="10219"/>
          </w:cols>
          <w:pgMar w:left="240" w:top="717" w:right="1440" w:bottom="1440" w:gutter="0" w:footer="0" w:header="0"/>
        </w:sectPr>
      </w:pPr>
    </w:p>
    <w:bookmarkStart w:id="4" w:name="page5"/>
    <w:bookmarkEnd w:id="4"/>
    <w:p>
      <w:pPr>
        <w:jc w:val="both"/>
        <w:ind w:right="1779"/>
        <w:spacing w:after="0" w:line="236" w:lineRule="auto"/>
        <w:rPr>
          <w:sz w:val="20"/>
          <w:szCs w:val="20"/>
          <w:color w:val="auto"/>
        </w:rPr>
      </w:pPr>
      <w:r>
        <w:rPr>
          <w:rFonts w:ascii="Courier New" w:cs="Courier New" w:eastAsia="Courier New" w:hAnsi="Courier New"/>
          <w:sz w:val="18"/>
          <w:szCs w:val="18"/>
          <w:color w:val="auto"/>
        </w:rPr>
        <w:t>The Company has been advised that neither the Company's directors or executive officers nor Jewelcor Management, Inc., the Company's largest shareholder, intend to tender any shares pursuant to the proposed offer.</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PRESS RELEASE IS FOR INFORMATIONAL PURPOSES ONLY AND IS NOT AN OFFER TO BUY OR THE SOLICITATION OF AN OFFER TO SELL ANY SHARES OF DESIGNS, INC.'S COMMON STOCK. COMMENCEMENT OF THE PROPOSED TENDER OFFER IS SUBJECT TO, AMONG OTHER THINGS, COMPLETION OF ALL REGULATORY FILINGS. ANY SOLICITATION OF OFFERS TO BUY DESIGNS, INC. COMMON STOCK WILL ONLY BE MADE PURSUANT TO AN OFFER TO PURCHASE AND RELATED MATERIALS TO BE SENT BY DESIGNS, INC. TO ITS SHAREHOLDERS UPON COMMENCEMENT OF THE PROPOSED OFFER. SHAREHOLDERS SHOULD CAREFULLY READ THOSE MATERIALS WHEN THEY BECOME AVAILABLE BECAUSE THEY WILL CONTAIN IMPORTANT INFORMATION, INCLUDING THE VARIOUS TERMS AND CONDITIONS OF THE OFFER. SHAREHOLDERS WILL BE ABLE TO OBTAIN COPIES OF THE OFFER TO PURCHASE, RELATED MATERIALS AND OTHER DOCUMENTS FILED WITH THE SECURITIES AND EXCHANGE COMMISSION THROUGH THE COMMISSION'S WEB SITE AT http://www.sec.gov: WITHOUT CHARGE WHEN THESE DOCUMENTS BECOME AVAILABLE. SHAREHOLDERS WILL ALSO BE ABLE TO OBTAIN COPIES OF THE OFFER TO PURCHASE AND RELATED MATERIALS, WITHOUT CHARGE, WHEN AVAILABLE, FROM DESIGNS, INC. BY ORAL OR WRITTEN REQUEST TO: DESIGNS, INC. ATTENTION: DENNIS HERNREICH, SENIOR VICE PRESIDENT AND CHIEF FINANCIAL OFFICER, 66 B STREET, NEEDHAM, MASSACHUSETTS, 02494.</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forwarding-looking information concerning the Company to refer to its prior filings with the Securities and Exchange Commission that set forth certain risks and uncertainties that may have an impact on future results and direction of the Company.</w:t>
      </w:r>
    </w:p>
    <w:p>
      <w:pPr>
        <w:spacing w:after="0" w:line="214"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Designs, Inc. operates 107 Levi's(R)Outlet by Designs and Dockers(R)Outlet by Designs stores. These stores are located in outlet parks and malls throughout the eastern United States and Puerto Rico.</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2)"/>
      <w:numFmt w:val="decimal"/>
      <w:start w:val="212"/>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80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2019-12-20T00:59:18Z</dcterms:created>
  <dcterms:modified xsi:type="dcterms:W3CDTF">2019-12-20T00:59:18Z</dcterms:modified>
</cp:coreProperties>
</file>