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85"/>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148590</wp:posOffset>
            </wp:positionH>
            <wp:positionV relativeFrom="page">
              <wp:posOffset>148590</wp:posOffset>
            </wp:positionV>
            <wp:extent cx="72644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page">
              <wp:posOffset>148590</wp:posOffset>
            </wp:positionH>
            <wp:positionV relativeFrom="page">
              <wp:posOffset>170815</wp:posOffset>
            </wp:positionV>
            <wp:extent cx="72644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7620"/>
                    </a:xfrm>
                    <a:prstGeom prst="rect">
                      <a:avLst/>
                    </a:prstGeom>
                    <a:noFill/>
                  </pic:spPr>
                </pic:pic>
              </a:graphicData>
            </a:graphic>
          </wp:anchor>
        </w:drawing>
        <w:t>UNITED STATES</w:t>
      </w:r>
    </w:p>
    <w:p>
      <w:pPr>
        <w:spacing w:after="0" w:line="24" w:lineRule="exact"/>
        <w:rPr>
          <w:sz w:val="24"/>
          <w:szCs w:val="24"/>
          <w:color w:val="auto"/>
        </w:rPr>
      </w:pPr>
    </w:p>
    <w:p>
      <w:pPr>
        <w:jc w:val="center"/>
        <w:ind w:right="-385"/>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385"/>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161925</wp:posOffset>
            </wp:positionV>
            <wp:extent cx="15303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351" w:lineRule="exact"/>
        <w:rPr>
          <w:sz w:val="24"/>
          <w:szCs w:val="24"/>
          <w:color w:val="auto"/>
        </w:rPr>
      </w:pPr>
    </w:p>
    <w:p>
      <w:pPr>
        <w:jc w:val="center"/>
        <w:ind w:right="-385"/>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177165</wp:posOffset>
            </wp:positionV>
            <wp:extent cx="153035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387" w:lineRule="exact"/>
        <w:rPr>
          <w:sz w:val="24"/>
          <w:szCs w:val="24"/>
          <w:color w:val="auto"/>
        </w:rPr>
      </w:pPr>
    </w:p>
    <w:p>
      <w:pPr>
        <w:jc w:val="center"/>
        <w:ind w:right="-385"/>
        <w:spacing w:after="0"/>
        <w:rPr>
          <w:sz w:val="20"/>
          <w:szCs w:val="20"/>
          <w:color w:val="auto"/>
        </w:rPr>
      </w:pPr>
      <w:r>
        <w:rPr>
          <w:rFonts w:ascii="Arial" w:cs="Arial" w:eastAsia="Arial" w:hAnsi="Arial"/>
          <w:sz w:val="21"/>
          <w:szCs w:val="21"/>
          <w:b w:val="1"/>
          <w:bCs w:val="1"/>
          <w:color w:val="auto"/>
        </w:rPr>
        <w:t>CURRENT REPORT</w:t>
      </w:r>
    </w:p>
    <w:p>
      <w:pPr>
        <w:spacing w:after="0" w:line="146" w:lineRule="exact"/>
        <w:rPr>
          <w:sz w:val="24"/>
          <w:szCs w:val="24"/>
          <w:color w:val="auto"/>
        </w:rPr>
      </w:pPr>
    </w:p>
    <w:p>
      <w:pPr>
        <w:jc w:val="center"/>
        <w:ind w:right="-385"/>
        <w:spacing w:after="0"/>
        <w:rPr>
          <w:sz w:val="20"/>
          <w:szCs w:val="20"/>
          <w:color w:val="auto"/>
        </w:rPr>
      </w:pPr>
      <w:r>
        <w:rPr>
          <w:rFonts w:ascii="Arial" w:cs="Arial" w:eastAsia="Arial" w:hAnsi="Arial"/>
          <w:sz w:val="19"/>
          <w:szCs w:val="19"/>
          <w:b w:val="1"/>
          <w:bCs w:val="1"/>
          <w:color w:val="auto"/>
        </w:rPr>
        <w:t>Pursuant to Section 13 or 15(d) of</w:t>
      </w:r>
    </w:p>
    <w:p>
      <w:pPr>
        <w:spacing w:after="0" w:line="15" w:lineRule="exact"/>
        <w:rPr>
          <w:sz w:val="24"/>
          <w:szCs w:val="24"/>
          <w:color w:val="auto"/>
        </w:rPr>
      </w:pPr>
    </w:p>
    <w:p>
      <w:pPr>
        <w:jc w:val="center"/>
        <w:ind w:right="-385"/>
        <w:spacing w:after="0"/>
        <w:rPr>
          <w:sz w:val="20"/>
          <w:szCs w:val="20"/>
          <w:color w:val="auto"/>
        </w:rPr>
      </w:pPr>
      <w:r>
        <w:rPr>
          <w:rFonts w:ascii="Arial" w:cs="Arial" w:eastAsia="Arial" w:hAnsi="Arial"/>
          <w:sz w:val="19"/>
          <w:szCs w:val="19"/>
          <w:b w:val="1"/>
          <w:bCs w:val="1"/>
          <w:color w:val="auto"/>
        </w:rPr>
        <w:t>The Securities Exchange Act of 1934</w:t>
      </w:r>
    </w:p>
    <w:p>
      <w:pPr>
        <w:spacing w:after="0" w:line="112" w:lineRule="exact"/>
        <w:rPr>
          <w:sz w:val="24"/>
          <w:szCs w:val="24"/>
          <w:color w:val="auto"/>
        </w:rPr>
      </w:pPr>
    </w:p>
    <w:p>
      <w:pPr>
        <w:ind w:left="3146"/>
        <w:spacing w:after="0"/>
        <w:rPr>
          <w:sz w:val="20"/>
          <w:szCs w:val="20"/>
          <w:color w:val="auto"/>
        </w:rPr>
      </w:pPr>
      <w:r>
        <w:rPr>
          <w:rFonts w:ascii="Arial" w:cs="Arial" w:eastAsia="Arial" w:hAnsi="Arial"/>
          <w:sz w:val="18"/>
          <w:szCs w:val="18"/>
          <w:b w:val="1"/>
          <w:bCs w:val="1"/>
          <w:color w:val="auto"/>
        </w:rPr>
        <w:t>Date of Report (Date of earliest event reported): March 21,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175895</wp:posOffset>
            </wp:positionV>
            <wp:extent cx="153035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371" w:lineRule="exact"/>
        <w:rPr>
          <w:sz w:val="24"/>
          <w:szCs w:val="24"/>
          <w:color w:val="auto"/>
        </w:rPr>
      </w:pPr>
    </w:p>
    <w:p>
      <w:pPr>
        <w:jc w:val="center"/>
        <w:ind w:right="-385"/>
        <w:spacing w:after="0"/>
        <w:rPr>
          <w:sz w:val="20"/>
          <w:szCs w:val="20"/>
          <w:color w:val="auto"/>
        </w:rPr>
      </w:pPr>
      <w:r>
        <w:rPr>
          <w:rFonts w:ascii="Arial" w:cs="Arial" w:eastAsia="Arial" w:hAnsi="Arial"/>
          <w:sz w:val="38"/>
          <w:szCs w:val="38"/>
          <w:b w:val="1"/>
          <w:bCs w:val="1"/>
          <w:color w:val="auto"/>
        </w:rPr>
        <w:t>DESTINATION XL GROUP, INC.</w:t>
      </w:r>
    </w:p>
    <w:p>
      <w:pPr>
        <w:spacing w:after="0" w:line="41" w:lineRule="exact"/>
        <w:rPr>
          <w:sz w:val="24"/>
          <w:szCs w:val="24"/>
          <w:color w:val="auto"/>
        </w:rPr>
      </w:pPr>
    </w:p>
    <w:p>
      <w:pPr>
        <w:jc w:val="center"/>
        <w:ind w:right="-385"/>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170815</wp:posOffset>
            </wp:positionV>
            <wp:extent cx="15303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ectPr>
          <w:pgSz w:w="11900" w:h="16838" w:orient="portrait"/>
          <w:cols w:equalWidth="0" w:num="1">
            <w:col w:w="11066"/>
          </w:cols>
          <w:pgMar w:left="234" w:top="291" w:right="599" w:bottom="1440" w:gutter="0" w:footer="0" w:header="0"/>
        </w:sectPr>
      </w:pPr>
    </w:p>
    <w:p>
      <w:pPr>
        <w:spacing w:after="0" w:line="200" w:lineRule="exact"/>
        <w:rPr>
          <w:sz w:val="24"/>
          <w:szCs w:val="24"/>
          <w:color w:val="auto"/>
        </w:rPr>
      </w:pPr>
    </w:p>
    <w:p>
      <w:pPr>
        <w:spacing w:after="0" w:line="270" w:lineRule="exact"/>
        <w:rPr>
          <w:sz w:val="24"/>
          <w:szCs w:val="24"/>
          <w:color w:val="auto"/>
        </w:rPr>
      </w:pPr>
    </w:p>
    <w:p>
      <w:pPr>
        <w:ind w:left="1626"/>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0" w:lineRule="exact"/>
        <w:rPr>
          <w:sz w:val="24"/>
          <w:szCs w:val="24"/>
          <w:color w:val="auto"/>
        </w:rPr>
      </w:pPr>
    </w:p>
    <w:p>
      <w:pPr>
        <w:jc w:val="center"/>
        <w:ind w:right="2380"/>
        <w:spacing w:after="0"/>
        <w:rPr>
          <w:sz w:val="20"/>
          <w:szCs w:val="20"/>
          <w:color w:val="auto"/>
        </w:rPr>
      </w:pPr>
      <w:r>
        <w:rPr>
          <w:rFonts w:ascii="Arial" w:cs="Arial" w:eastAsia="Arial" w:hAnsi="Arial"/>
          <w:sz w:val="13"/>
          <w:szCs w:val="13"/>
          <w:b w:val="1"/>
          <w:bCs w:val="1"/>
          <w:color w:val="auto"/>
        </w:rPr>
        <w:t>01-34219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04-2623104</w:t>
      </w:r>
    </w:p>
    <w:p>
      <w:pPr>
        <w:spacing w:after="0" w:line="48" w:lineRule="exact"/>
        <w:rPr>
          <w:sz w:val="24"/>
          <w:szCs w:val="24"/>
          <w:color w:val="auto"/>
        </w:rPr>
      </w:pPr>
    </w:p>
    <w:p>
      <w:pPr>
        <w:sectPr>
          <w:pgSz w:w="11900" w:h="16838" w:orient="portrait"/>
          <w:cols w:equalWidth="0" w:num="3">
            <w:col w:w="4846" w:space="720"/>
            <w:col w:w="2960" w:space="720"/>
            <w:col w:w="1820"/>
          </w:cols>
          <w:pgMar w:left="234" w:top="291" w:right="599" w:bottom="1440" w:gutter="0" w:footer="0" w:header="0"/>
          <w:type w:val="continuous"/>
        </w:sectPr>
      </w:pPr>
    </w:p>
    <w:p>
      <w:pPr>
        <w:jc w:val="center"/>
        <w:ind w:right="894"/>
        <w:spacing w:after="0"/>
        <w:rPr>
          <w:sz w:val="20"/>
          <w:szCs w:val="20"/>
          <w:color w:val="auto"/>
        </w:rPr>
      </w:pPr>
      <w:r>
        <w:rPr>
          <w:rFonts w:ascii="Arial" w:cs="Arial" w:eastAsia="Arial" w:hAnsi="Arial"/>
          <w:sz w:val="9"/>
          <w:szCs w:val="9"/>
          <w:b w:val="1"/>
          <w:bCs w:val="1"/>
          <w:color w:val="auto"/>
        </w:rPr>
        <w:t>(State or Other Jurisdiction</w:t>
      </w:r>
    </w:p>
    <w:p>
      <w:pPr>
        <w:spacing w:after="0" w:line="28" w:lineRule="exact"/>
        <w:rPr>
          <w:sz w:val="24"/>
          <w:szCs w:val="24"/>
          <w:color w:val="auto"/>
        </w:rPr>
      </w:pPr>
    </w:p>
    <w:p>
      <w:pPr>
        <w:jc w:val="center"/>
        <w:ind w:right="894"/>
        <w:spacing w:after="0"/>
        <w:rPr>
          <w:sz w:val="20"/>
          <w:szCs w:val="20"/>
          <w:color w:val="auto"/>
        </w:rPr>
      </w:pPr>
      <w:r>
        <w:rPr>
          <w:rFonts w:ascii="Arial" w:cs="Arial" w:eastAsia="Arial" w:hAnsi="Arial"/>
          <w:sz w:val="12"/>
          <w:szCs w:val="12"/>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9"/>
          <w:szCs w:val="9"/>
          <w:b w:val="1"/>
          <w:bCs w:val="1"/>
          <w:color w:val="auto"/>
        </w:rPr>
        <w:t>(Commission</w:t>
      </w:r>
    </w:p>
    <w:p>
      <w:pPr>
        <w:spacing w:after="0" w:line="28"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1"/>
          <w:szCs w:val="11"/>
          <w:b w:val="1"/>
          <w:bCs w:val="1"/>
          <w:color w:val="auto"/>
        </w:rPr>
        <w:t>(I.R.S. Employer</w:t>
      </w:r>
    </w:p>
    <w:p>
      <w:pPr>
        <w:spacing w:after="0" w:line="5" w:lineRule="exact"/>
        <w:rPr>
          <w:sz w:val="24"/>
          <w:szCs w:val="24"/>
          <w:color w:val="auto"/>
        </w:rPr>
      </w:pPr>
    </w:p>
    <w:p>
      <w:pPr>
        <w:spacing w:after="0"/>
        <w:rPr>
          <w:sz w:val="20"/>
          <w:szCs w:val="20"/>
          <w:color w:val="auto"/>
        </w:rPr>
      </w:pPr>
      <w:r>
        <w:rPr>
          <w:rFonts w:ascii="Arial" w:cs="Arial" w:eastAsia="Arial" w:hAnsi="Arial"/>
          <w:sz w:val="9"/>
          <w:szCs w:val="9"/>
          <w:b w:val="1"/>
          <w:bCs w:val="1"/>
          <w:color w:val="auto"/>
        </w:rPr>
        <w:t>Identification No.)</w:t>
      </w:r>
    </w:p>
    <w:p>
      <w:pPr>
        <w:spacing w:after="0" w:line="213" w:lineRule="exact"/>
        <w:rPr>
          <w:sz w:val="24"/>
          <w:szCs w:val="24"/>
          <w:color w:val="auto"/>
        </w:rPr>
      </w:pPr>
    </w:p>
    <w:p>
      <w:pPr>
        <w:sectPr>
          <w:pgSz w:w="11900" w:h="16838" w:orient="portrait"/>
          <w:cols w:equalWidth="0" w:num="3">
            <w:col w:w="4786" w:space="720"/>
            <w:col w:w="2920" w:space="720"/>
            <w:col w:w="1920"/>
          </w:cols>
          <w:pgMar w:left="234" w:top="291" w:right="599" w:bottom="1440" w:gutter="0" w:footer="0" w:header="0"/>
          <w:type w:val="continuous"/>
        </w:sectPr>
      </w:pPr>
    </w:p>
    <w:p>
      <w:pPr>
        <w:ind w:left="2406"/>
        <w:spacing w:after="0"/>
        <w:rPr>
          <w:sz w:val="20"/>
          <w:szCs w:val="20"/>
          <w:color w:val="auto"/>
        </w:rPr>
      </w:pPr>
      <w:r>
        <w:rPr>
          <w:rFonts w:ascii="Arial" w:cs="Arial" w:eastAsia="Arial" w:hAnsi="Arial"/>
          <w:sz w:val="13"/>
          <w:szCs w:val="13"/>
          <w:b w:val="1"/>
          <w:bCs w:val="1"/>
          <w:color w:val="auto"/>
        </w:rPr>
        <w:t>555 Turnpike Street, Canton, Massachusetts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02021</w:t>
      </w:r>
    </w:p>
    <w:p>
      <w:pPr>
        <w:spacing w:after="0" w:line="49" w:lineRule="exact"/>
        <w:rPr>
          <w:sz w:val="24"/>
          <w:szCs w:val="24"/>
          <w:color w:val="auto"/>
        </w:rPr>
      </w:pPr>
    </w:p>
    <w:p>
      <w:pPr>
        <w:sectPr>
          <w:pgSz w:w="11900" w:h="16838" w:orient="portrait"/>
          <w:cols w:equalWidth="0" w:num="2">
            <w:col w:w="8706" w:space="720"/>
            <w:col w:w="1640"/>
          </w:cols>
          <w:pgMar w:left="234" w:top="291" w:right="599" w:bottom="1440" w:gutter="0" w:footer="0" w:header="0"/>
          <w:type w:val="continuous"/>
        </w:sectPr>
      </w:pPr>
    </w:p>
    <w:p>
      <w:pPr>
        <w:ind w:left="2826"/>
        <w:spacing w:after="0"/>
        <w:rPr>
          <w:sz w:val="20"/>
          <w:szCs w:val="20"/>
          <w:color w:val="auto"/>
        </w:rPr>
      </w:pPr>
      <w:r>
        <w:rPr>
          <w:rFonts w:ascii="Arial" w:cs="Arial" w:eastAsia="Arial" w:hAnsi="Arial"/>
          <w:sz w:val="9"/>
          <w:szCs w:val="9"/>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b w:val="1"/>
          <w:bCs w:val="1"/>
          <w:color w:val="auto"/>
        </w:rPr>
        <w:t>(Zip Code)</w:t>
      </w:r>
    </w:p>
    <w:p>
      <w:pPr>
        <w:spacing w:after="0" w:line="157" w:lineRule="exact"/>
        <w:rPr>
          <w:sz w:val="24"/>
          <w:szCs w:val="24"/>
          <w:color w:val="auto"/>
        </w:rPr>
      </w:pPr>
    </w:p>
    <w:p>
      <w:pPr>
        <w:sectPr>
          <w:pgSz w:w="11900" w:h="16838" w:orient="portrait"/>
          <w:cols w:equalWidth="0" w:num="2">
            <w:col w:w="8626" w:space="720"/>
            <w:col w:w="1720"/>
          </w:cols>
          <w:pgMar w:left="234" w:top="291" w:right="599" w:bottom="1440" w:gutter="0" w:footer="0" w:header="0"/>
          <w:type w:val="continuous"/>
        </w:sectPr>
      </w:pPr>
    </w:p>
    <w:p>
      <w:pPr>
        <w:jc w:val="center"/>
        <w:ind w:right="-365"/>
        <w:spacing w:after="0"/>
        <w:rPr>
          <w:sz w:val="20"/>
          <w:szCs w:val="20"/>
          <w:color w:val="auto"/>
        </w:rPr>
      </w:pPr>
      <w:r>
        <w:rPr>
          <w:rFonts w:ascii="Arial" w:cs="Arial" w:eastAsia="Arial" w:hAnsi="Arial"/>
          <w:sz w:val="15"/>
          <w:szCs w:val="15"/>
          <w:b w:val="1"/>
          <w:bCs w:val="1"/>
          <w:color w:val="auto"/>
        </w:rPr>
        <w:t>(781) 828-9300</w:t>
      </w:r>
    </w:p>
    <w:p>
      <w:pPr>
        <w:spacing w:after="0" w:line="26" w:lineRule="exact"/>
        <w:rPr>
          <w:sz w:val="24"/>
          <w:szCs w:val="24"/>
          <w:color w:val="auto"/>
        </w:rPr>
      </w:pPr>
    </w:p>
    <w:p>
      <w:pPr>
        <w:jc w:val="center"/>
        <w:ind w:right="-365"/>
        <w:spacing w:after="0"/>
        <w:rPr>
          <w:sz w:val="20"/>
          <w:szCs w:val="20"/>
          <w:color w:val="auto"/>
        </w:rPr>
      </w:pPr>
      <w:r>
        <w:rPr>
          <w:rFonts w:ascii="Arial" w:cs="Arial" w:eastAsia="Arial" w:hAnsi="Arial"/>
          <w:sz w:val="9"/>
          <w:szCs w:val="9"/>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173990</wp:posOffset>
            </wp:positionV>
            <wp:extent cx="15303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ectPr>
          <w:pgSz w:w="11900" w:h="16838" w:orient="portrait"/>
          <w:cols w:equalWidth="0" w:num="1">
            <w:col w:w="11066"/>
          </w:cols>
          <w:pgMar w:left="234" w:top="291" w:right="599" w:bottom="1440" w:gutter="0" w:footer="0" w:header="0"/>
          <w:type w:val="continuous"/>
        </w:sectPr>
      </w:pPr>
    </w:p>
    <w:p>
      <w:pPr>
        <w:spacing w:after="0" w:line="200" w:lineRule="exact"/>
        <w:rPr>
          <w:sz w:val="24"/>
          <w:szCs w:val="24"/>
          <w:color w:val="auto"/>
        </w:rPr>
      </w:pPr>
    </w:p>
    <w:p>
      <w:pPr>
        <w:spacing w:after="0" w:line="220" w:lineRule="exact"/>
        <w:rPr>
          <w:sz w:val="24"/>
          <w:szCs w:val="24"/>
          <w:color w:val="auto"/>
        </w:rPr>
      </w:pPr>
    </w:p>
    <w:p>
      <w:pPr>
        <w:ind w:left="6"/>
        <w:spacing w:after="0" w:line="290" w:lineRule="auto"/>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w:t>
      </w:r>
      <w:r>
        <w:rPr>
          <w:rFonts w:ascii="Arial" w:cs="Arial" w:eastAsia="Arial" w:hAnsi="Arial"/>
          <w:sz w:val="15"/>
          <w:szCs w:val="15"/>
          <w:u w:val="single" w:color="auto"/>
          <w:color w:val="auto"/>
        </w:rPr>
        <w:t>see</w:t>
      </w:r>
      <w:r>
        <w:rPr>
          <w:rFonts w:ascii="Arial" w:cs="Arial" w:eastAsia="Arial" w:hAnsi="Arial"/>
          <w:sz w:val="15"/>
          <w:szCs w:val="15"/>
          <w:color w:val="auto"/>
        </w:rPr>
        <w:t xml:space="preserve"> General Instruction A.2. below):</w:t>
      </w:r>
    </w:p>
    <w:p>
      <w:pPr>
        <w:spacing w:after="0" w:line="30" w:lineRule="exact"/>
        <w:rPr>
          <w:sz w:val="24"/>
          <w:szCs w:val="24"/>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86"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86"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86"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72644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118745</wp:posOffset>
            </wp:positionV>
            <wp:extent cx="72644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ectPr>
          <w:pgSz w:w="11900" w:h="16838" w:orient="portrait"/>
          <w:cols w:equalWidth="0" w:num="1">
            <w:col w:w="11066"/>
          </w:cols>
          <w:pgMar w:left="234" w:top="291" w:right="599" w:bottom="1440" w:gutter="0" w:footer="0" w:header="0"/>
          <w:type w:val="continuous"/>
        </w:sectPr>
      </w:pPr>
    </w:p>
    <w:bookmarkStart w:id="1" w:name="page2"/>
    <w:bookmarkEnd w:id="1"/>
    <w:p>
      <w:pPr>
        <w:ind w:left="6"/>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4405" cy="34925"/>
                    </a:xfrm>
                    <a:prstGeom prst="rect">
                      <a:avLst/>
                    </a:prstGeom>
                    <a:noFill/>
                  </pic:spPr>
                </pic:pic>
              </a:graphicData>
            </a:graphic>
          </wp:anchor>
        </w:drawing>
        <w:t>Item 7.01 -Regulation FD Disclosure</w:t>
      </w:r>
    </w:p>
    <w:p>
      <w:pPr>
        <w:spacing w:after="0" w:line="90" w:lineRule="exact"/>
        <w:rPr>
          <w:sz w:val="20"/>
          <w:szCs w:val="20"/>
          <w:color w:val="auto"/>
        </w:rPr>
      </w:pPr>
    </w:p>
    <w:p>
      <w:pPr>
        <w:ind w:left="6" w:right="80"/>
        <w:spacing w:after="0" w:line="276" w:lineRule="auto"/>
        <w:rPr>
          <w:sz w:val="20"/>
          <w:szCs w:val="20"/>
          <w:color w:val="auto"/>
        </w:rPr>
      </w:pPr>
      <w:r>
        <w:rPr>
          <w:rFonts w:ascii="Arial" w:cs="Arial" w:eastAsia="Arial" w:hAnsi="Arial"/>
          <w:sz w:val="15"/>
          <w:szCs w:val="15"/>
          <w:color w:val="auto"/>
        </w:rPr>
        <w:t xml:space="preserve">Destination XL Group, Inc. (the “Company”) will be presenting a slide presentation to various investment groups at upcoming investor conferences. A copy of the slides to be presented at those conferences is attached to this report as Exhibit 99.1 and is incorporated by reference herein. A copy of the slides is available on the investor page of the Company’s website at </w:t>
      </w:r>
      <w:r>
        <w:rPr>
          <w:rFonts w:ascii="Arial" w:cs="Arial" w:eastAsia="Arial" w:hAnsi="Arial"/>
          <w:sz w:val="15"/>
          <w:szCs w:val="15"/>
          <w:u w:val="single" w:color="auto"/>
          <w:color w:val="auto"/>
        </w:rPr>
        <w:t>http://investor.destinationxl.com</w:t>
      </w:r>
      <w:r>
        <w:rPr>
          <w:rFonts w:ascii="Arial" w:cs="Arial" w:eastAsia="Arial" w:hAnsi="Arial"/>
          <w:sz w:val="15"/>
          <w:szCs w:val="15"/>
          <w:color w:val="auto"/>
        </w:rPr>
        <w:t>.</w:t>
      </w:r>
    </w:p>
    <w:p>
      <w:pPr>
        <w:spacing w:after="0" w:line="110" w:lineRule="exact"/>
        <w:rPr>
          <w:sz w:val="20"/>
          <w:szCs w:val="20"/>
          <w:color w:val="auto"/>
        </w:rPr>
      </w:pPr>
    </w:p>
    <w:p>
      <w:pPr>
        <w:ind w:left="6"/>
        <w:spacing w:after="0" w:line="292" w:lineRule="auto"/>
        <w:rPr>
          <w:sz w:val="20"/>
          <w:szCs w:val="20"/>
          <w:color w:val="auto"/>
        </w:rPr>
      </w:pPr>
      <w:r>
        <w:rPr>
          <w:rFonts w:ascii="Arial" w:cs="Arial" w:eastAsia="Arial" w:hAnsi="Arial"/>
          <w:sz w:val="14"/>
          <w:szCs w:val="14"/>
          <w:color w:val="auto"/>
        </w:rPr>
        <w:t>The slide presentation contained in the exhibit includes statements intended as “forward-looking statements,” which are subject to the cautionary statement about forward-looking statements set forth in the exhibit. The slide presentation is being furnished, not filed, pursuant to Regulation FD. Accordingly, the slide presentation will not be incorporated by reference into any registration statement filed by the Company under the Securities Act of 1933, as amended, unless specifically identified therein as being incorporated therein by reference. The furnishing of the slide presentation is not intended to, and does not, constitute a determination or admission by the Company that the information in the slide presentation is material or complete, or that investors should consider this information before making an investment decision with respect to the Company.</w:t>
      </w:r>
    </w:p>
    <w:p>
      <w:pPr>
        <w:spacing w:after="0" w:line="173" w:lineRule="exact"/>
        <w:rPr>
          <w:sz w:val="20"/>
          <w:szCs w:val="20"/>
          <w:color w:val="auto"/>
        </w:rPr>
      </w:pPr>
    </w:p>
    <w:p>
      <w:pPr>
        <w:ind w:left="6"/>
        <w:spacing w:after="0"/>
        <w:rPr>
          <w:sz w:val="20"/>
          <w:szCs w:val="20"/>
          <w:color w:val="auto"/>
        </w:rPr>
      </w:pPr>
      <w:r>
        <w:rPr>
          <w:rFonts w:ascii="Arial" w:cs="Arial" w:eastAsia="Arial" w:hAnsi="Arial"/>
          <w:sz w:val="15"/>
          <w:szCs w:val="15"/>
          <w:i w:val="1"/>
          <w:iCs w:val="1"/>
          <w:color w:val="auto"/>
        </w:rPr>
        <w:t>Presentation of Non-GAAP Measures</w:t>
      </w:r>
    </w:p>
    <w:p>
      <w:pPr>
        <w:spacing w:after="0" w:line="86" w:lineRule="exact"/>
        <w:rPr>
          <w:sz w:val="20"/>
          <w:szCs w:val="20"/>
          <w:color w:val="auto"/>
        </w:rPr>
      </w:pPr>
    </w:p>
    <w:p>
      <w:pPr>
        <w:ind w:left="6" w:right="500"/>
        <w:spacing w:after="0" w:line="276" w:lineRule="auto"/>
        <w:rPr>
          <w:sz w:val="20"/>
          <w:szCs w:val="20"/>
          <w:color w:val="auto"/>
        </w:rPr>
      </w:pPr>
      <w:r>
        <w:rPr>
          <w:rFonts w:ascii="Arial" w:cs="Arial" w:eastAsia="Arial" w:hAnsi="Arial"/>
          <w:sz w:val="15"/>
          <w:szCs w:val="15"/>
          <w:color w:val="auto"/>
        </w:rPr>
        <w:t>The slide presentation includes the discussion of non-GAAP free cash flow on slide 24. Free cash flow is not a measure determined by generally accepted accounting principles (“GAAP”) and should not be considered superior to or as a substitute for net income (loss) or cash flows from operating activities or any other measure of performance derived in accordance with GAAP.</w:t>
      </w:r>
    </w:p>
    <w:p>
      <w:pPr>
        <w:spacing w:after="0" w:line="110" w:lineRule="exact"/>
        <w:rPr>
          <w:sz w:val="20"/>
          <w:szCs w:val="20"/>
          <w:color w:val="auto"/>
        </w:rPr>
      </w:pPr>
    </w:p>
    <w:p>
      <w:pPr>
        <w:ind w:left="6" w:right="40"/>
        <w:spacing w:after="0" w:line="292" w:lineRule="auto"/>
        <w:rPr>
          <w:sz w:val="20"/>
          <w:szCs w:val="20"/>
          <w:color w:val="auto"/>
        </w:rPr>
      </w:pPr>
      <w:r>
        <w:rPr>
          <w:rFonts w:ascii="Arial" w:cs="Arial" w:eastAsia="Arial" w:hAnsi="Arial"/>
          <w:sz w:val="14"/>
          <w:szCs w:val="14"/>
          <w:color w:val="auto"/>
        </w:rPr>
        <w:t>In addition, all companies do not calculate non-GAAP financial measures in the same manner and, accordingly, “free cash flows” as presented in this slide presentation may not be comparable to similar measures used by other companies. The Company calculates free cash flows as cash flow from operating activities less capital expenditures and discretionary store asset acquisitions, if any. We calculate projected free cash flows for fiscal 2016 of $60.0-$70.0 million as estimated cash flow from operating activities of $77.0-$87.0 million, less estimated capital expenditures of $17.0 million (no discretionary store asset acquisitions are anticipated in fiscal 2016). We believe that inclusion of this non-GAAP measure helps investors gain a better understanding of projected performance, especially when comparing such results to previous periods.</w:t>
      </w:r>
    </w:p>
    <w:p>
      <w:pPr>
        <w:spacing w:after="0" w:line="204" w:lineRule="exact"/>
        <w:rPr>
          <w:sz w:val="20"/>
          <w:szCs w:val="20"/>
          <w:color w:val="auto"/>
        </w:rPr>
      </w:pPr>
    </w:p>
    <w:p>
      <w:pPr>
        <w:ind w:left="6"/>
        <w:spacing w:after="0"/>
        <w:tabs>
          <w:tab w:leader="none" w:pos="1346" w:val="left"/>
        </w:tabs>
        <w:rPr>
          <w:sz w:val="20"/>
          <w:szCs w:val="20"/>
          <w:color w:val="auto"/>
        </w:rPr>
      </w:pPr>
      <w:r>
        <w:rPr>
          <w:rFonts w:ascii="Arial" w:cs="Arial" w:eastAsia="Arial" w:hAnsi="Arial"/>
          <w:sz w:val="15"/>
          <w:szCs w:val="15"/>
          <w:b w:val="1"/>
          <w:bCs w:val="1"/>
          <w:color w:val="auto"/>
        </w:rPr>
        <w:t>Item 9.01</w:t>
      </w:r>
      <w:r>
        <w:rPr>
          <w:sz w:val="20"/>
          <w:szCs w:val="20"/>
          <w:color w:val="auto"/>
        </w:rPr>
        <w:tab/>
      </w:r>
      <w:r>
        <w:rPr>
          <w:rFonts w:ascii="Arial" w:cs="Arial" w:eastAsia="Arial" w:hAnsi="Arial"/>
          <w:sz w:val="13"/>
          <w:szCs w:val="13"/>
          <w:b w:val="1"/>
          <w:bCs w:val="1"/>
          <w:color w:val="auto"/>
        </w:rPr>
        <w:t>Financial Statements and Exhibits.</w:t>
      </w:r>
    </w:p>
    <w:p>
      <w:pPr>
        <w:spacing w:after="0" w:line="90" w:lineRule="exact"/>
        <w:rPr>
          <w:sz w:val="20"/>
          <w:szCs w:val="20"/>
          <w:color w:val="auto"/>
        </w:rPr>
      </w:pPr>
    </w:p>
    <w:p>
      <w:pPr>
        <w:ind w:left="446" w:hanging="446"/>
        <w:spacing w:after="0"/>
        <w:tabs>
          <w:tab w:leader="none" w:pos="446" w:val="left"/>
        </w:tabs>
        <w:numPr>
          <w:ilvl w:val="0"/>
          <w:numId w:val="2"/>
        </w:numPr>
        <w:rPr>
          <w:rFonts w:ascii="Arial" w:cs="Arial" w:eastAsia="Arial" w:hAnsi="Arial"/>
          <w:sz w:val="15"/>
          <w:szCs w:val="15"/>
          <w:color w:val="auto"/>
        </w:rPr>
      </w:pPr>
      <w:r>
        <w:rPr>
          <w:rFonts w:ascii="Arial" w:cs="Arial" w:eastAsia="Arial" w:hAnsi="Arial"/>
          <w:sz w:val="15"/>
          <w:szCs w:val="15"/>
          <w:color w:val="auto"/>
        </w:rPr>
        <w:t>Exhibits</w:t>
      </w:r>
    </w:p>
    <w:p>
      <w:pPr>
        <w:spacing w:after="0" w:line="190" w:lineRule="exact"/>
        <w:rPr>
          <w:sz w:val="20"/>
          <w:szCs w:val="20"/>
          <w:color w:val="auto"/>
        </w:rPr>
      </w:pPr>
    </w:p>
    <w:p>
      <w:pPr>
        <w:ind w:left="6"/>
        <w:spacing w:after="0"/>
        <w:rPr>
          <w:sz w:val="20"/>
          <w:szCs w:val="20"/>
          <w:color w:val="auto"/>
        </w:rPr>
      </w:pPr>
      <w:r>
        <w:rPr>
          <w:rFonts w:ascii="Arial" w:cs="Arial" w:eastAsia="Arial" w:hAnsi="Arial"/>
          <w:sz w:val="12"/>
          <w:szCs w:val="12"/>
          <w:color w:val="auto"/>
        </w:rPr>
        <w:t>Exhibit</w:t>
      </w:r>
    </w:p>
    <w:p>
      <w:pPr>
        <w:spacing w:after="0" w:line="1" w:lineRule="exact"/>
        <w:rPr>
          <w:sz w:val="20"/>
          <w:szCs w:val="20"/>
          <w:color w:val="auto"/>
        </w:rPr>
      </w:pPr>
    </w:p>
    <w:p>
      <w:pPr>
        <w:ind w:left="86"/>
        <w:spacing w:after="0"/>
        <w:tabs>
          <w:tab w:leader="none" w:pos="906" w:val="left"/>
        </w:tabs>
        <w:rPr>
          <w:sz w:val="20"/>
          <w:szCs w:val="20"/>
          <w:color w:val="auto"/>
        </w:rPr>
      </w:pPr>
      <w:r>
        <w:rPr>
          <w:rFonts w:ascii="Arial" w:cs="Arial" w:eastAsia="Arial" w:hAnsi="Arial"/>
          <w:sz w:val="12"/>
          <w:szCs w:val="12"/>
          <w:color w:val="auto"/>
        </w:rPr>
        <w:t>No.</w:t>
      </w:r>
      <w:r>
        <w:rPr>
          <w:sz w:val="20"/>
          <w:szCs w:val="20"/>
          <w:color w:val="auto"/>
        </w:rPr>
        <w:tab/>
      </w:r>
      <w:r>
        <w:rPr>
          <w:rFonts w:ascii="Arial" w:cs="Arial" w:eastAsia="Arial" w:hAnsi="Arial"/>
          <w:sz w:val="12"/>
          <w:szCs w:val="12"/>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3114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1140" cy="7620"/>
                    </a:xfrm>
                    <a:prstGeom prst="rect">
                      <a:avLst/>
                    </a:prstGeom>
                    <a:noFill/>
                  </pic:spPr>
                </pic:pic>
              </a:graphicData>
            </a:graphic>
          </wp:anchor>
        </w:drawing>
      </w:r>
    </w:p>
    <w:p>
      <w:pPr>
        <w:spacing w:after="0" w:line="69" w:lineRule="exact"/>
        <w:rPr>
          <w:sz w:val="20"/>
          <w:szCs w:val="20"/>
          <w:color w:val="auto"/>
        </w:rPr>
      </w:pPr>
    </w:p>
    <w:p>
      <w:pPr>
        <w:ind w:left="6"/>
        <w:spacing w:after="0"/>
        <w:tabs>
          <w:tab w:leader="none" w:pos="906" w:val="left"/>
        </w:tabs>
        <w:rPr>
          <w:sz w:val="20"/>
          <w:szCs w:val="20"/>
          <w:color w:val="auto"/>
        </w:rPr>
      </w:pPr>
      <w:r>
        <w:rPr>
          <w:rFonts w:ascii="Arial" w:cs="Arial" w:eastAsia="Arial" w:hAnsi="Arial"/>
          <w:sz w:val="15"/>
          <w:szCs w:val="15"/>
          <w:color w:val="auto"/>
        </w:rPr>
        <w:t>99.1</w:t>
      </w:r>
      <w:r>
        <w:rPr>
          <w:sz w:val="20"/>
          <w:szCs w:val="20"/>
          <w:color w:val="auto"/>
        </w:rPr>
        <w:tab/>
      </w:r>
      <w:r>
        <w:rPr>
          <w:rFonts w:ascii="Arial" w:cs="Arial" w:eastAsia="Arial" w:hAnsi="Arial"/>
          <w:sz w:val="13"/>
          <w:szCs w:val="13"/>
          <w:color w:val="auto"/>
        </w:rPr>
        <w:t>Investor Slide Presentation dated March 2013</w:t>
      </w:r>
    </w:p>
    <w:p>
      <w:pPr>
        <w:sectPr>
          <w:pgSz w:w="11900" w:h="16838" w:orient="portrait"/>
          <w:cols w:equalWidth="0" w:num="1">
            <w:col w:w="11386"/>
          </w:cols>
          <w:pgMar w:left="234" w:top="258"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4405" cy="34925"/>
                    </a:xfrm>
                    <a:prstGeom prst="rect">
                      <a:avLst/>
                    </a:prstGeom>
                    <a:noFill/>
                  </pic:spPr>
                </pic:pic>
              </a:graphicData>
            </a:graphic>
          </wp:anchor>
        </w:drawing>
        <w:t>SIGNATURE</w:t>
      </w:r>
    </w:p>
    <w:p>
      <w:pPr>
        <w:spacing w:after="0" w:line="161" w:lineRule="exact"/>
        <w:rPr>
          <w:sz w:val="20"/>
          <w:szCs w:val="20"/>
          <w:color w:val="auto"/>
        </w:rPr>
      </w:pPr>
    </w:p>
    <w:p>
      <w:pPr>
        <w:ind w:right="540" w:firstLine="457"/>
        <w:spacing w:after="0" w:line="291"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hereunto duly authorized.</w:t>
      </w:r>
    </w:p>
    <w:p>
      <w:pPr>
        <w:spacing w:after="0" w:line="134" w:lineRule="exact"/>
        <w:rPr>
          <w:sz w:val="20"/>
          <w:szCs w:val="20"/>
          <w:color w:val="auto"/>
        </w:rPr>
      </w:pPr>
    </w:p>
    <w:p>
      <w:pPr>
        <w:ind w:left="5380"/>
        <w:spacing w:after="0"/>
        <w:rPr>
          <w:sz w:val="20"/>
          <w:szCs w:val="20"/>
          <w:color w:val="auto"/>
        </w:rPr>
      </w:pPr>
      <w:r>
        <w:rPr>
          <w:rFonts w:ascii="Arial" w:cs="Arial" w:eastAsia="Arial" w:hAnsi="Arial"/>
          <w:sz w:val="15"/>
          <w:szCs w:val="15"/>
          <w:color w:val="auto"/>
        </w:rPr>
        <w:t>DESTINATION XL GROUP, INC.</w:t>
      </w:r>
    </w:p>
    <w:p>
      <w:pPr>
        <w:spacing w:after="0" w:line="203" w:lineRule="exact"/>
        <w:rPr>
          <w:sz w:val="20"/>
          <w:szCs w:val="20"/>
          <w:color w:val="auto"/>
        </w:rPr>
      </w:pPr>
    </w:p>
    <w:p>
      <w:pPr>
        <w:spacing w:after="0"/>
        <w:tabs>
          <w:tab w:leader="none" w:pos="5360" w:val="left"/>
          <w:tab w:leader="none" w:pos="5720" w:val="left"/>
        </w:tabs>
        <w:rPr>
          <w:sz w:val="20"/>
          <w:szCs w:val="20"/>
          <w:color w:val="auto"/>
        </w:rPr>
      </w:pPr>
      <w:r>
        <w:rPr>
          <w:rFonts w:ascii="Arial" w:cs="Arial" w:eastAsia="Arial" w:hAnsi="Arial"/>
          <w:sz w:val="15"/>
          <w:szCs w:val="15"/>
          <w:color w:val="auto"/>
        </w:rPr>
        <w:t>Date: March 21, 2013</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Dennis R. Hernreich</w:t>
      </w:r>
    </w:p>
    <w:p>
      <w:pPr>
        <w:spacing w:after="0" w:line="23" w:lineRule="exact"/>
        <w:rPr>
          <w:sz w:val="20"/>
          <w:szCs w:val="20"/>
          <w:color w:val="auto"/>
        </w:rPr>
      </w:pPr>
    </w:p>
    <w:tbl>
      <w:tblPr>
        <w:tblLayout w:type="fixed"/>
        <w:tblInd w:w="5740" w:type="dxa"/>
        <w:tblCellMar>
          <w:top w:w="0" w:type="dxa"/>
          <w:left w:w="0" w:type="dxa"/>
          <w:bottom w:w="0" w:type="dxa"/>
          <w:right w:w="0" w:type="dxa"/>
        </w:tblCellMar>
      </w:tblPr>
      <w:tr>
        <w:trPr>
          <w:trHeight w:val="185"/>
        </w:trPr>
        <w:tc>
          <w:tcPr>
            <w:tcW w:w="4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Name:</w:t>
            </w:r>
          </w:p>
        </w:tc>
        <w:tc>
          <w:tcPr>
            <w:tcW w:w="5220" w:type="dxa"/>
            <w:vAlign w:val="bottom"/>
            <w:tcBorders>
              <w:top w:val="single" w:sz="8" w:color="auto"/>
            </w:tcBorders>
          </w:tcPr>
          <w:p>
            <w:pPr>
              <w:ind w:left="80"/>
              <w:spacing w:after="0"/>
              <w:rPr>
                <w:sz w:val="20"/>
                <w:szCs w:val="20"/>
                <w:color w:val="auto"/>
              </w:rPr>
            </w:pPr>
            <w:r>
              <w:rPr>
                <w:rFonts w:ascii="Arial" w:cs="Arial" w:eastAsia="Arial" w:hAnsi="Arial"/>
                <w:sz w:val="15"/>
                <w:szCs w:val="15"/>
                <w:color w:val="auto"/>
              </w:rPr>
              <w:t>Dennis R. Hernreich</w:t>
            </w:r>
          </w:p>
        </w:tc>
      </w:tr>
      <w:tr>
        <w:trPr>
          <w:trHeight w:val="194"/>
        </w:trPr>
        <w:tc>
          <w:tcPr>
            <w:tcW w:w="480" w:type="dxa"/>
            <w:vAlign w:val="bottom"/>
          </w:tcPr>
          <w:p>
            <w:pPr>
              <w:spacing w:after="0"/>
              <w:rPr>
                <w:sz w:val="20"/>
                <w:szCs w:val="20"/>
                <w:color w:val="auto"/>
              </w:rPr>
            </w:pPr>
            <w:r>
              <w:rPr>
                <w:rFonts w:ascii="Arial" w:cs="Arial" w:eastAsia="Arial" w:hAnsi="Arial"/>
                <w:sz w:val="15"/>
                <w:szCs w:val="15"/>
                <w:color w:val="auto"/>
              </w:rPr>
              <w:t>Title:</w:t>
            </w:r>
          </w:p>
        </w:tc>
        <w:tc>
          <w:tcPr>
            <w:tcW w:w="5220" w:type="dxa"/>
            <w:vAlign w:val="bottom"/>
          </w:tcPr>
          <w:p>
            <w:pPr>
              <w:ind w:left="80"/>
              <w:spacing w:after="0"/>
              <w:rPr>
                <w:sz w:val="20"/>
                <w:szCs w:val="20"/>
                <w:color w:val="auto"/>
              </w:rPr>
            </w:pPr>
            <w:r>
              <w:rPr>
                <w:rFonts w:ascii="Arial" w:cs="Arial" w:eastAsia="Arial" w:hAnsi="Arial"/>
                <w:sz w:val="15"/>
                <w:szCs w:val="15"/>
                <w:color w:val="auto"/>
              </w:rPr>
              <w:t>Executive Vice President and Chief Financial Officer</w:t>
            </w:r>
          </w:p>
        </w:tc>
      </w:tr>
    </w:tbl>
    <w:p>
      <w:pPr>
        <w:sectPr>
          <w:pgSz w:w="11900" w:h="16838" w:orient="portrait"/>
          <w:cols w:equalWidth="0" w:num="1">
            <w:col w:w="11440"/>
          </w:cols>
          <w:pgMar w:left="240" w:top="258" w:right="219" w:bottom="1440" w:gutter="0" w:footer="0" w:header="0"/>
        </w:sectPr>
      </w:pPr>
    </w:p>
    <w:bookmarkStart w:id="3" w:name="page4"/>
    <w:bookmarkEnd w:id="3"/>
    <w:p>
      <w:pPr>
        <w:ind w:left="88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1096645</wp:posOffset>
            </wp:positionH>
            <wp:positionV relativeFrom="page">
              <wp:posOffset>163830</wp:posOffset>
            </wp:positionV>
            <wp:extent cx="6219190" cy="5382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219190" cy="5382895"/>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300" w:type="dxa"/>
            <w:vAlign w:val="bottom"/>
          </w:tcPr>
          <w:p>
            <w:pPr>
              <w:spacing w:after="0"/>
              <w:rPr>
                <w:sz w:val="20"/>
                <w:szCs w:val="20"/>
                <w:color w:val="auto"/>
              </w:rPr>
            </w:pPr>
            <w:r>
              <w:rPr>
                <w:rFonts w:ascii="Arial" w:cs="Arial" w:eastAsia="Arial" w:hAnsi="Arial"/>
                <w:sz w:val="19"/>
                <w:szCs w:val="19"/>
                <w:color w:val="7F7F7F"/>
              </w:rPr>
              <w:t>Destination XL Group, Inc.</w:t>
            </w:r>
          </w:p>
        </w:tc>
        <w:tc>
          <w:tcPr>
            <w:tcW w:w="4200" w:type="dxa"/>
            <w:vAlign w:val="bottom"/>
            <w:vMerge w:val="restart"/>
          </w:tcPr>
          <w:p>
            <w:pPr>
              <w:jc w:val="right"/>
              <w:spacing w:after="0"/>
              <w:rPr>
                <w:sz w:val="20"/>
                <w:szCs w:val="20"/>
                <w:color w:val="auto"/>
              </w:rPr>
            </w:pPr>
            <w:r>
              <w:rPr>
                <w:rFonts w:ascii="Arial" w:cs="Arial" w:eastAsia="Arial" w:hAnsi="Arial"/>
                <w:sz w:val="19"/>
                <w:szCs w:val="19"/>
                <w:color w:val="898989"/>
              </w:rPr>
              <w:t>1</w:t>
            </w:r>
          </w:p>
        </w:tc>
        <w:tc>
          <w:tcPr>
            <w:tcW w:w="0" w:type="dxa"/>
            <w:vAlign w:val="bottom"/>
          </w:tcPr>
          <w:p>
            <w:pPr>
              <w:spacing w:after="0"/>
              <w:rPr>
                <w:sz w:val="1"/>
                <w:szCs w:val="1"/>
                <w:color w:val="auto"/>
              </w:rPr>
            </w:pPr>
          </w:p>
        </w:tc>
      </w:tr>
      <w:tr>
        <w:trPr>
          <w:trHeight w:val="94"/>
        </w:trPr>
        <w:tc>
          <w:tcPr>
            <w:tcW w:w="6300" w:type="dxa"/>
            <w:vAlign w:val="bottom"/>
          </w:tcPr>
          <w:p>
            <w:pPr>
              <w:spacing w:after="0"/>
              <w:rPr>
                <w:sz w:val="8"/>
                <w:szCs w:val="8"/>
                <w:color w:val="auto"/>
              </w:rPr>
            </w:pPr>
          </w:p>
        </w:tc>
        <w:tc>
          <w:tcPr>
            <w:tcW w:w="4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360" w:top="338" w:right="1039" w:bottom="1440" w:gutter="0" w:footer="0" w:header="0"/>
        </w:sectPr>
      </w:pPr>
    </w:p>
    <w:bookmarkStart w:id="4" w:name="page5"/>
    <w:bookmarkEnd w:id="4"/>
    <w:p>
      <w:pPr>
        <w:ind w:left="380"/>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Safe Harbor</w:t>
      </w:r>
    </w:p>
    <w:p>
      <w:pPr>
        <w:spacing w:after="0" w:line="18" w:lineRule="exact"/>
        <w:rPr>
          <w:sz w:val="20"/>
          <w:szCs w:val="20"/>
          <w:color w:val="auto"/>
        </w:rPr>
      </w:pPr>
    </w:p>
    <w:p>
      <w:pPr>
        <w:ind w:right="1020"/>
        <w:spacing w:after="0" w:line="249" w:lineRule="auto"/>
        <w:rPr>
          <w:sz w:val="20"/>
          <w:szCs w:val="20"/>
          <w:color w:val="auto"/>
        </w:rPr>
      </w:pPr>
      <w:r>
        <w:rPr>
          <w:rFonts w:ascii="Arial" w:cs="Arial" w:eastAsia="Arial" w:hAnsi="Arial"/>
          <w:sz w:val="22"/>
          <w:szCs w:val="22"/>
          <w:color w:val="5F5F5F"/>
        </w:rPr>
        <w:t>Certain information contained in this presentation, including, but not limited to, cash flows, operating margins, store counts, earnings expectations for fiscal 2012 and estimates through fiscal 2016, constitute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Such forward-looking statements are subject to various risks and uncertainties that could cause actual results to differ materially from those indicated.Suchrisksanduncertaintiesmayinclude,but arenot limitedto: the failureto</w:t>
      </w:r>
    </w:p>
    <w:p>
      <w:pPr>
        <w:spacing w:after="0" w:line="5" w:lineRule="exact"/>
        <w:rPr>
          <w:sz w:val="20"/>
          <w:szCs w:val="20"/>
          <w:color w:val="auto"/>
        </w:rPr>
      </w:pPr>
    </w:p>
    <w:p>
      <w:pPr>
        <w:ind w:right="1300"/>
        <w:spacing w:after="0" w:line="249" w:lineRule="auto"/>
        <w:rPr>
          <w:sz w:val="20"/>
          <w:szCs w:val="20"/>
          <w:color w:val="auto"/>
        </w:rPr>
      </w:pPr>
      <w:r>
        <w:rPr>
          <w:rFonts w:ascii="Arial" w:cs="Arial" w:eastAsia="Arial" w:hAnsi="Arial"/>
          <w:sz w:val="22"/>
          <w:szCs w:val="22"/>
          <w:color w:val="5F5F5F"/>
        </w:rPr>
        <w:t>implement the Company's business plan for increased profitability and growth in the Company's retail stores sales and direct-to-consumer business, the failure to achieve improvementin the Company'scompetitiveposition,changesin or miscalculationof fashion trends, extreme or unseasonable weather conditions, economic downturns, a weakness in overallconsumerdemand,tradeandsecurityrestrictionsandpoliticalor financialinstabilityin countries where goods are manufactured, increases in raw material costs from inflation and other factors, the interruption of merchandise flow from the Company's distribution facility, competitive pressures, and the adverse effects of natural disasters, war, acts of terrorism or threatsof either,or other armedconflict,on the UnitedStatesandinternationaleconomies.</w:t>
      </w:r>
    </w:p>
    <w:p>
      <w:pPr>
        <w:spacing w:after="0" w:line="1" w:lineRule="exact"/>
        <w:rPr>
          <w:sz w:val="20"/>
          <w:szCs w:val="20"/>
          <w:color w:val="auto"/>
        </w:rPr>
      </w:pPr>
    </w:p>
    <w:p>
      <w:pPr>
        <w:ind w:right="900"/>
        <w:spacing w:after="0" w:line="249" w:lineRule="auto"/>
        <w:rPr>
          <w:sz w:val="20"/>
          <w:szCs w:val="20"/>
          <w:color w:val="auto"/>
        </w:rPr>
      </w:pPr>
      <w:r>
        <w:rPr>
          <w:rFonts w:ascii="Arial" w:cs="Arial" w:eastAsia="Arial" w:hAnsi="Arial"/>
          <w:sz w:val="22"/>
          <w:szCs w:val="22"/>
          <w:color w:val="5F5F5F"/>
        </w:rPr>
        <w:t>These, and other risks and uncertainties, are detailed in the Company's Annual Report on Form 10-K filed with the Securities and Exchange Commission for the fiscal year ended February 2, 2013 filed on March 15, 2013 and other Company filings with the Securities and Exchange</w:t>
      </w:r>
    </w:p>
    <w:p>
      <w:pPr>
        <w:ind w:right="1620"/>
        <w:spacing w:after="0" w:line="258" w:lineRule="auto"/>
        <w:rPr>
          <w:sz w:val="20"/>
          <w:szCs w:val="20"/>
          <w:color w:val="auto"/>
        </w:rPr>
      </w:pPr>
      <w:r>
        <w:rPr>
          <w:rFonts w:ascii="Arial" w:cs="Arial" w:eastAsia="Arial" w:hAnsi="Arial"/>
          <w:sz w:val="22"/>
          <w:szCs w:val="22"/>
          <w:color w:val="5F5F5F"/>
        </w:rPr>
        <w:t>CommissionDestinationXLGroup,Inc..assumesno dutyto updateor reviseits forward-looking statements even if experience or future changes make it clear that any projected results expressed or implied therein will not be realized.</w:t>
      </w: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2</w:t>
      </w:r>
    </w:p>
    <w:p>
      <w:pPr>
        <w:sectPr>
          <w:pgSz w:w="11900" w:h="16838" w:orient="portrait"/>
          <w:cols w:equalWidth="0" w:num="1">
            <w:col w:w="10340"/>
          </w:cols>
          <w:pgMar w:left="660" w:top="1052" w:right="899" w:bottom="1440" w:gutter="0" w:footer="0" w:header="0"/>
        </w:sectPr>
      </w:pPr>
    </w:p>
    <w:bookmarkStart w:id="5" w:name="page6"/>
    <w:bookmarkEnd w:id="5"/>
    <w:p>
      <w:pPr>
        <w:spacing w:after="0"/>
        <w:rPr>
          <w:sz w:val="20"/>
          <w:szCs w:val="20"/>
          <w:color w:val="auto"/>
        </w:rPr>
      </w:pPr>
      <w:r>
        <w:rPr>
          <w:rFonts w:ascii="Arial" w:cs="Arial" w:eastAsia="Arial" w:hAnsi="Arial"/>
          <w:sz w:val="59"/>
          <w:szCs w:val="59"/>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Who is Destination XL Group, Inc.?</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560"/>
        <w:spacing w:after="0"/>
        <w:rPr>
          <w:sz w:val="20"/>
          <w:szCs w:val="20"/>
          <w:color w:val="auto"/>
        </w:rPr>
      </w:pPr>
      <w:r>
        <w:rPr>
          <w:rFonts w:ascii="Arial" w:cs="Arial" w:eastAsia="Arial" w:hAnsi="Arial"/>
          <w:sz w:val="38"/>
          <w:szCs w:val="38"/>
          <w:color w:val="auto"/>
        </w:rPr>
        <w:t>Largest multi-channel specialty</w:t>
      </w:r>
    </w:p>
    <w:p>
      <w:pPr>
        <w:spacing w:after="0" w:line="42" w:lineRule="exact"/>
        <w:rPr>
          <w:sz w:val="20"/>
          <w:szCs w:val="20"/>
          <w:color w:val="auto"/>
        </w:rPr>
      </w:pPr>
    </w:p>
    <w:p>
      <w:pPr>
        <w:ind w:left="4560"/>
        <w:spacing w:after="0"/>
        <w:rPr>
          <w:sz w:val="20"/>
          <w:szCs w:val="20"/>
          <w:color w:val="auto"/>
        </w:rPr>
      </w:pPr>
      <w:r>
        <w:rPr>
          <w:rFonts w:ascii="Arial" w:cs="Arial" w:eastAsia="Arial" w:hAnsi="Arial"/>
          <w:sz w:val="38"/>
          <w:szCs w:val="38"/>
          <w:color w:val="auto"/>
        </w:rPr>
        <w:t>retailer in niche men’s big and</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38"/>
          <w:szCs w:val="38"/>
          <w:color w:val="auto"/>
        </w:rPr>
        <w:t>tall (B&amp;T)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560"/>
        <w:spacing w:after="0"/>
        <w:rPr>
          <w:sz w:val="20"/>
          <w:szCs w:val="20"/>
          <w:color w:val="auto"/>
        </w:rPr>
      </w:pPr>
      <w:r>
        <w:rPr>
          <w:rFonts w:ascii="Arial" w:cs="Arial" w:eastAsia="Arial" w:hAnsi="Arial"/>
          <w:sz w:val="38"/>
          <w:szCs w:val="38"/>
          <w:color w:val="auto"/>
        </w:rPr>
        <w:t>Offering unique blend</w:t>
      </w:r>
    </w:p>
    <w:p>
      <w:pPr>
        <w:spacing w:after="0" w:line="42" w:lineRule="exact"/>
        <w:rPr>
          <w:sz w:val="20"/>
          <w:szCs w:val="20"/>
          <w:color w:val="auto"/>
        </w:rPr>
      </w:pPr>
    </w:p>
    <w:p>
      <w:pPr>
        <w:ind w:left="4560"/>
        <w:spacing w:after="0"/>
        <w:rPr>
          <w:sz w:val="20"/>
          <w:szCs w:val="20"/>
          <w:color w:val="auto"/>
        </w:rPr>
      </w:pPr>
      <w:r>
        <w:rPr>
          <w:rFonts w:ascii="Arial" w:cs="Arial" w:eastAsia="Arial" w:hAnsi="Arial"/>
          <w:sz w:val="38"/>
          <w:szCs w:val="38"/>
          <w:color w:val="auto"/>
        </w:rPr>
        <w:t>of wardrobe solutions</w:t>
      </w:r>
    </w:p>
    <w:p>
      <w:pPr>
        <w:spacing w:after="0" w:line="163" w:lineRule="exact"/>
        <w:rPr>
          <w:sz w:val="20"/>
          <w:szCs w:val="20"/>
          <w:color w:val="auto"/>
        </w:rPr>
      </w:pPr>
    </w:p>
    <w:p>
      <w:pPr>
        <w:ind w:left="4560"/>
        <w:spacing w:after="0"/>
        <w:rPr>
          <w:sz w:val="20"/>
          <w:szCs w:val="20"/>
          <w:color w:val="auto"/>
        </w:rPr>
      </w:pPr>
      <w:r>
        <w:rPr>
          <w:rFonts w:ascii="Arial" w:cs="Arial" w:eastAsia="Arial" w:hAnsi="Arial"/>
          <w:sz w:val="28"/>
          <w:szCs w:val="28"/>
          <w:color w:val="auto"/>
        </w:rPr>
        <w:t>Private label &amp; leading</w:t>
      </w:r>
    </w:p>
    <w:p>
      <w:pPr>
        <w:spacing w:after="0" w:line="37" w:lineRule="exact"/>
        <w:rPr>
          <w:sz w:val="20"/>
          <w:szCs w:val="20"/>
          <w:color w:val="auto"/>
        </w:rPr>
      </w:pPr>
    </w:p>
    <w:p>
      <w:pPr>
        <w:ind w:left="4560"/>
        <w:spacing w:after="0"/>
        <w:rPr>
          <w:sz w:val="20"/>
          <w:szCs w:val="20"/>
          <w:color w:val="auto"/>
        </w:rPr>
      </w:pPr>
      <w:r>
        <w:rPr>
          <w:rFonts w:ascii="Arial" w:cs="Arial" w:eastAsia="Arial" w:hAnsi="Arial"/>
          <w:sz w:val="28"/>
          <w:szCs w:val="28"/>
          <w:color w:val="auto"/>
        </w:rPr>
        <w:t>apparel name brands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3</w:t>
      </w:r>
    </w:p>
    <w:p>
      <w:pPr>
        <w:sectPr>
          <w:pgSz w:w="11900" w:h="16838" w:orient="portrait"/>
          <w:cols w:equalWidth="0" w:num="1">
            <w:col w:w="10000"/>
          </w:cols>
          <w:pgMar w:left="1000" w:top="1052" w:right="899" w:bottom="1440" w:gutter="0" w:footer="0" w:header="0"/>
        </w:sectPr>
      </w:pPr>
    </w:p>
    <w:bookmarkStart w:id="6" w:name="page7"/>
    <w:bookmarkEnd w:id="6"/>
    <w:p>
      <w:pPr>
        <w:ind w:left="80"/>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DXLG by the Numbers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Active customers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Retail</w:t>
      </w:r>
    </w:p>
    <w:p>
      <w:pPr>
        <w:spacing w:after="0" w:line="252" w:lineRule="exact"/>
        <w:rPr>
          <w:sz w:val="20"/>
          <w:szCs w:val="20"/>
          <w:color w:val="auto"/>
        </w:rPr>
      </w:pPr>
    </w:p>
    <w:p>
      <w:pPr>
        <w:ind w:left="8860"/>
        <w:spacing w:after="0"/>
        <w:rPr>
          <w:sz w:val="20"/>
          <w:szCs w:val="20"/>
          <w:color w:val="auto"/>
        </w:rPr>
      </w:pPr>
      <w:r>
        <w:rPr>
          <w:rFonts w:ascii="Arial" w:cs="Arial" w:eastAsia="Arial" w:hAnsi="Arial"/>
          <w:sz w:val="18"/>
          <w:szCs w:val="18"/>
          <w:b w:val="1"/>
          <w:bCs w:val="1"/>
          <w:color w:val="auto"/>
        </w:rPr>
        <w:t>Retail Stores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w:t>
      </w:r>
    </w:p>
    <w:p>
      <w:pPr>
        <w:spacing w:after="0" w:line="252" w:lineRule="exact"/>
        <w:rPr>
          <w:sz w:val="20"/>
          <w:szCs w:val="20"/>
          <w:color w:val="auto"/>
        </w:rPr>
      </w:pPr>
    </w:p>
    <w:p>
      <w:pPr>
        <w:ind w:left="4780"/>
        <w:spacing w:after="0"/>
        <w:rPr>
          <w:sz w:val="20"/>
          <w:szCs w:val="20"/>
          <w:color w:val="auto"/>
        </w:rPr>
      </w:pPr>
      <w:r>
        <w:rPr>
          <w:rFonts w:ascii="Arial" w:cs="Arial" w:eastAsia="Arial" w:hAnsi="Arial"/>
          <w:sz w:val="19"/>
          <w:szCs w:val="19"/>
          <w:b w:val="1"/>
          <w:bCs w:val="1"/>
          <w:color w:val="auto"/>
        </w:rPr>
        <w:t>Enrolled in loyalty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40"/>
        <w:spacing w:after="0"/>
        <w:rPr>
          <w:sz w:val="20"/>
          <w:szCs w:val="20"/>
          <w:color w:val="auto"/>
        </w:rPr>
      </w:pPr>
      <w:r>
        <w:rPr>
          <w:rFonts w:ascii="Arial" w:cs="Arial" w:eastAsia="Arial" w:hAnsi="Arial"/>
          <w:sz w:val="19"/>
          <w:szCs w:val="19"/>
          <w:b w:val="1"/>
          <w:bCs w:val="1"/>
          <w:color w:val="auto"/>
        </w:rPr>
        <w:t>Highest rated retailer</w:t>
      </w:r>
    </w:p>
    <w:p>
      <w:pPr>
        <w:ind w:left="1660"/>
        <w:spacing w:after="0" w:line="215" w:lineRule="auto"/>
        <w:tabs>
          <w:tab w:leader="none" w:pos="4580" w:val="left"/>
        </w:tabs>
        <w:rPr>
          <w:sz w:val="20"/>
          <w:szCs w:val="20"/>
          <w:color w:val="auto"/>
        </w:rPr>
      </w:pPr>
      <w:r>
        <w:rPr>
          <w:rFonts w:ascii="Arial" w:cs="Arial" w:eastAsia="Arial" w:hAnsi="Arial"/>
          <w:sz w:val="19"/>
          <w:szCs w:val="19"/>
          <w:b w:val="1"/>
          <w:bCs w:val="1"/>
          <w:color w:val="auto"/>
        </w:rPr>
        <w:t>in 2011 CSI</w:t>
      </w:r>
      <w:r>
        <w:rPr>
          <w:sz w:val="20"/>
          <w:szCs w:val="20"/>
          <w:color w:val="auto"/>
        </w:rPr>
        <w:tab/>
      </w:r>
      <w:r>
        <w:rPr>
          <w:rFonts w:ascii="Arial" w:cs="Arial" w:eastAsia="Arial" w:hAnsi="Arial"/>
          <w:sz w:val="25"/>
          <w:szCs w:val="25"/>
          <w:b w:val="1"/>
          <w:bCs w:val="1"/>
          <w:color w:val="auto"/>
          <w:vertAlign w:val="superscript"/>
        </w:rPr>
        <w:t>Brands</w:t>
      </w:r>
    </w:p>
    <w:p>
      <w:pPr>
        <w:spacing w:after="0" w:line="1" w:lineRule="exact"/>
        <w:rPr>
          <w:sz w:val="20"/>
          <w:szCs w:val="20"/>
          <w:color w:val="auto"/>
        </w:rPr>
      </w:pPr>
    </w:p>
    <w:p>
      <w:pPr>
        <w:ind w:left="1420"/>
        <w:spacing w:after="0"/>
        <w:rPr>
          <w:sz w:val="20"/>
          <w:szCs w:val="20"/>
          <w:color w:val="auto"/>
        </w:rPr>
      </w:pPr>
      <w:r>
        <w:rPr>
          <w:rFonts w:ascii="Arial" w:cs="Arial" w:eastAsia="Arial" w:hAnsi="Arial"/>
          <w:sz w:val="19"/>
          <w:szCs w:val="19"/>
          <w:b w:val="1"/>
          <w:bCs w:val="1"/>
          <w:color w:val="auto"/>
        </w:rPr>
        <w:t>Customer Survey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40"/>
        <w:spacing w:after="0"/>
        <w:rPr>
          <w:sz w:val="20"/>
          <w:szCs w:val="20"/>
          <w:color w:val="auto"/>
        </w:rPr>
      </w:pPr>
      <w:r>
        <w:rPr>
          <w:rFonts w:ascii="Arial" w:cs="Arial" w:eastAsia="Arial" w:hAnsi="Arial"/>
          <w:sz w:val="22"/>
          <w:szCs w:val="22"/>
          <w:b w:val="1"/>
          <w:bCs w:val="1"/>
          <w:color w:val="auto"/>
        </w:rPr>
        <w:t>Customer</w:t>
      </w:r>
    </w:p>
    <w:p>
      <w:pPr>
        <w:spacing w:after="0" w:line="38"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auto"/>
        </w:rPr>
        <w:t>Satisfaction</w:t>
      </w: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4</w:t>
      </w:r>
    </w:p>
    <w:p>
      <w:pPr>
        <w:sectPr>
          <w:pgSz w:w="11900" w:h="16838" w:orient="portrait"/>
          <w:cols w:equalWidth="0" w:num="1">
            <w:col w:w="10020"/>
          </w:cols>
          <w:pgMar w:left="960" w:top="1052" w:right="919" w:bottom="1440" w:gutter="0" w:footer="0" w:header="0"/>
        </w:sectPr>
      </w:pPr>
    </w:p>
    <w:bookmarkStart w:id="7" w:name="page8"/>
    <w:bookmarkEnd w:id="7"/>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Who is Our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800"/>
        <w:spacing w:after="0"/>
        <w:rPr>
          <w:sz w:val="20"/>
          <w:szCs w:val="20"/>
          <w:color w:val="auto"/>
        </w:rPr>
      </w:pPr>
      <w:r>
        <w:rPr>
          <w:rFonts w:ascii="Arial" w:cs="Arial" w:eastAsia="Arial" w:hAnsi="Arial"/>
          <w:sz w:val="28"/>
          <w:szCs w:val="28"/>
          <w:color w:val="auto"/>
        </w:rPr>
        <w:t>Males with a waist size 40”and</w:t>
      </w:r>
    </w:p>
    <w:p>
      <w:pPr>
        <w:spacing w:after="0" w:line="37" w:lineRule="exact"/>
        <w:rPr>
          <w:sz w:val="20"/>
          <w:szCs w:val="20"/>
          <w:color w:val="auto"/>
        </w:rPr>
      </w:pPr>
    </w:p>
    <w:p>
      <w:pPr>
        <w:ind w:left="3460"/>
        <w:spacing w:after="0"/>
        <w:rPr>
          <w:sz w:val="20"/>
          <w:szCs w:val="20"/>
          <w:color w:val="auto"/>
        </w:rPr>
      </w:pPr>
      <w:r>
        <w:rPr>
          <w:rFonts w:ascii="Arial" w:cs="Arial" w:eastAsia="Arial" w:hAnsi="Arial"/>
          <w:sz w:val="28"/>
          <w:szCs w:val="28"/>
          <w:color w:val="auto"/>
        </w:rPr>
        <w:t>greater (40M men).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860"/>
        <w:spacing w:after="0"/>
        <w:rPr>
          <w:sz w:val="20"/>
          <w:szCs w:val="20"/>
          <w:color w:val="auto"/>
        </w:rPr>
      </w:pPr>
      <w:r>
        <w:rPr>
          <w:rFonts w:ascii="Arial" w:cs="Arial" w:eastAsia="Arial" w:hAnsi="Arial"/>
          <w:sz w:val="28"/>
          <w:szCs w:val="28"/>
          <w:color w:val="auto"/>
        </w:rPr>
        <w:t>Determined by physical</w:t>
      </w:r>
    </w:p>
    <w:p>
      <w:pPr>
        <w:spacing w:after="0" w:line="37" w:lineRule="exact"/>
        <w:rPr>
          <w:sz w:val="20"/>
          <w:szCs w:val="20"/>
          <w:color w:val="auto"/>
        </w:rPr>
      </w:pPr>
    </w:p>
    <w:p>
      <w:pPr>
        <w:jc w:val="center"/>
        <w:ind w:right="840"/>
        <w:spacing w:after="0"/>
        <w:rPr>
          <w:sz w:val="20"/>
          <w:szCs w:val="20"/>
          <w:color w:val="auto"/>
        </w:rPr>
      </w:pPr>
      <w:r>
        <w:rPr>
          <w:rFonts w:ascii="Arial" w:cs="Arial" w:eastAsia="Arial" w:hAnsi="Arial"/>
          <w:sz w:val="28"/>
          <w:szCs w:val="28"/>
          <w:color w:val="auto"/>
        </w:rPr>
        <w:t>characteristic, not demographic.</w:t>
      </w:r>
    </w:p>
    <w:p>
      <w:pPr>
        <w:spacing w:after="0" w:line="19" w:lineRule="exact"/>
        <w:rPr>
          <w:sz w:val="20"/>
          <w:szCs w:val="20"/>
          <w:color w:val="auto"/>
        </w:rPr>
      </w:pPr>
    </w:p>
    <w:p>
      <w:pPr>
        <w:jc w:val="center"/>
        <w:ind w:right="900"/>
        <w:spacing w:after="0"/>
        <w:rPr>
          <w:sz w:val="20"/>
          <w:szCs w:val="20"/>
          <w:color w:val="auto"/>
        </w:rPr>
      </w:pPr>
      <w:r>
        <w:rPr>
          <w:rFonts w:ascii="Arial" w:cs="Arial" w:eastAsia="Arial" w:hAnsi="Arial"/>
          <w:sz w:val="28"/>
          <w:szCs w:val="28"/>
          <w:color w:val="auto"/>
        </w:rPr>
        <w:t>Not dependent on age, income,</w:t>
      </w:r>
    </w:p>
    <w:p>
      <w:pPr>
        <w:spacing w:after="0" w:line="19" w:lineRule="exact"/>
        <w:rPr>
          <w:sz w:val="20"/>
          <w:szCs w:val="20"/>
          <w:color w:val="auto"/>
        </w:rPr>
      </w:pPr>
    </w:p>
    <w:p>
      <w:pPr>
        <w:jc w:val="center"/>
        <w:ind w:right="900"/>
        <w:spacing w:after="0"/>
        <w:rPr>
          <w:sz w:val="20"/>
          <w:szCs w:val="20"/>
          <w:color w:val="auto"/>
        </w:rPr>
      </w:pPr>
      <w:r>
        <w:rPr>
          <w:rFonts w:ascii="Arial" w:cs="Arial" w:eastAsia="Arial" w:hAnsi="Arial"/>
          <w:sz w:val="28"/>
          <w:szCs w:val="28"/>
          <w:color w:val="auto"/>
        </w:rPr>
        <w:t>race or nationality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60"/>
        <w:spacing w:after="0"/>
        <w:rPr>
          <w:sz w:val="20"/>
          <w:szCs w:val="20"/>
          <w:color w:val="auto"/>
        </w:rPr>
      </w:pPr>
      <w:r>
        <w:rPr>
          <w:rFonts w:ascii="Arial" w:cs="Arial" w:eastAsia="Arial" w:hAnsi="Arial"/>
          <w:sz w:val="28"/>
          <w:szCs w:val="28"/>
          <w:color w:val="auto"/>
        </w:rPr>
        <w:t>Seeking greater selection in size.</w:t>
      </w:r>
    </w:p>
    <w:p>
      <w:pPr>
        <w:spacing w:after="0" w:line="31" w:lineRule="exact"/>
        <w:rPr>
          <w:sz w:val="20"/>
          <w:szCs w:val="20"/>
          <w:color w:val="auto"/>
        </w:rPr>
      </w:pPr>
    </w:p>
    <w:p>
      <w:pPr>
        <w:jc w:val="center"/>
        <w:ind w:right="840"/>
        <w:spacing w:after="0"/>
        <w:rPr>
          <w:sz w:val="20"/>
          <w:szCs w:val="20"/>
          <w:color w:val="auto"/>
        </w:rPr>
      </w:pPr>
      <w:r>
        <w:rPr>
          <w:rFonts w:ascii="Arial" w:cs="Arial" w:eastAsia="Arial" w:hAnsi="Arial"/>
          <w:sz w:val="28"/>
          <w:szCs w:val="28"/>
          <w:color w:val="auto"/>
        </w:rPr>
        <w:t>Values convenience, selection</w:t>
      </w:r>
    </w:p>
    <w:p>
      <w:pPr>
        <w:spacing w:after="0" w:line="13" w:lineRule="exact"/>
        <w:rPr>
          <w:sz w:val="20"/>
          <w:szCs w:val="20"/>
          <w:color w:val="auto"/>
        </w:rPr>
      </w:pPr>
    </w:p>
    <w:p>
      <w:pPr>
        <w:jc w:val="center"/>
        <w:ind w:right="900"/>
        <w:spacing w:after="0"/>
        <w:rPr>
          <w:sz w:val="20"/>
          <w:szCs w:val="20"/>
          <w:color w:val="auto"/>
        </w:rPr>
      </w:pPr>
      <w:r>
        <w:rPr>
          <w:rFonts w:ascii="Arial" w:cs="Arial" w:eastAsia="Arial" w:hAnsi="Arial"/>
          <w:sz w:val="28"/>
          <w:szCs w:val="28"/>
          <w:color w:val="auto"/>
        </w:rPr>
        <w:t>and fit over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5</w:t>
      </w:r>
    </w:p>
    <w:p>
      <w:pPr>
        <w:sectPr>
          <w:pgSz w:w="11900" w:h="16838" w:orient="portrait"/>
          <w:cols w:equalWidth="0" w:num="1">
            <w:col w:w="9960"/>
          </w:cols>
          <w:pgMar w:left="1040" w:top="1052" w:right="899" w:bottom="1440" w:gutter="0" w:footer="0" w:header="0"/>
        </w:sectPr>
      </w:pPr>
    </w:p>
    <w:bookmarkStart w:id="8" w:name="page9"/>
    <w:bookmarkEnd w:id="8"/>
    <w:p>
      <w:pPr>
        <w:spacing w:after="0"/>
        <w:rPr>
          <w:sz w:val="20"/>
          <w:szCs w:val="20"/>
          <w:color w:val="auto"/>
        </w:rPr>
      </w:pPr>
      <w:r>
        <w:rPr>
          <w:rFonts w:ascii="Arial" w:cs="Arial" w:eastAsia="Arial" w:hAnsi="Arial"/>
          <w:sz w:val="59"/>
          <w:szCs w:val="59"/>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4405" cy="34925"/>
                    </a:xfrm>
                    <a:prstGeom prst="rect">
                      <a:avLst/>
                    </a:prstGeom>
                    <a:noFill/>
                  </pic:spPr>
                </pic:pic>
              </a:graphicData>
            </a:graphic>
          </wp:anchor>
        </w:drawing>
        <w:t>Our Current Casual Male XL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94615</wp:posOffset>
            </wp:positionV>
            <wp:extent cx="6584950" cy="4083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84950" cy="408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6</w:t>
      </w:r>
    </w:p>
    <w:p>
      <w:pPr>
        <w:sectPr>
          <w:pgSz w:w="11900" w:h="16838" w:orient="portrait"/>
          <w:cols w:equalWidth="0" w:num="1">
            <w:col w:w="9960"/>
          </w:cols>
          <w:pgMar w:left="1040" w:top="217" w:right="899" w:bottom="1440" w:gutter="0" w:footer="0" w:header="0"/>
        </w:sectPr>
      </w:pPr>
    </w:p>
    <w:bookmarkStart w:id="9" w:name="page10"/>
    <w:bookmarkEnd w:id="9"/>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4405" cy="34925"/>
                    </a:xfrm>
                    <a:prstGeom prst="rect">
                      <a:avLst/>
                    </a:prstGeom>
                    <a:noFill/>
                  </pic:spPr>
                </pic:pic>
              </a:graphicData>
            </a:graphic>
          </wp:anchor>
        </w:drawing>
        <w:t>What Our Customer Wants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1900" w:type="dxa"/>
            <w:vAlign w:val="bottom"/>
          </w:tcPr>
          <w:p>
            <w:pPr>
              <w:jc w:val="center"/>
              <w:ind w:right="639"/>
              <w:spacing w:after="0"/>
              <w:rPr>
                <w:sz w:val="20"/>
                <w:szCs w:val="20"/>
                <w:color w:val="auto"/>
              </w:rPr>
            </w:pPr>
            <w:r>
              <w:rPr>
                <w:rFonts w:ascii="Arial" w:cs="Arial" w:eastAsia="Arial" w:hAnsi="Arial"/>
                <w:sz w:val="28"/>
                <w:szCs w:val="28"/>
                <w:b w:val="1"/>
                <w:bCs w:val="1"/>
                <w:color w:val="auto"/>
                <w:w w:val="94"/>
              </w:rPr>
              <w:t>Large</w:t>
            </w:r>
          </w:p>
        </w:tc>
        <w:tc>
          <w:tcPr>
            <w:tcW w:w="3000" w:type="dxa"/>
            <w:vAlign w:val="bottom"/>
            <w:vMerge w:val="restart"/>
          </w:tcPr>
          <w:p>
            <w:pPr>
              <w:ind w:left="820"/>
              <w:spacing w:after="0"/>
              <w:rPr>
                <w:sz w:val="20"/>
                <w:szCs w:val="20"/>
                <w:color w:val="auto"/>
              </w:rPr>
            </w:pPr>
            <w:r>
              <w:rPr>
                <w:rFonts w:ascii="Arial" w:cs="Arial" w:eastAsia="Arial" w:hAnsi="Arial"/>
                <w:sz w:val="28"/>
                <w:szCs w:val="28"/>
                <w:b w:val="1"/>
                <w:bCs w:val="1"/>
                <w:color w:val="auto"/>
              </w:rPr>
              <w:t>More brand</w:t>
            </w:r>
          </w:p>
        </w:tc>
        <w:tc>
          <w:tcPr>
            <w:tcW w:w="2500" w:type="dxa"/>
            <w:vAlign w:val="bottom"/>
            <w:vMerge w:val="restart"/>
          </w:tcPr>
          <w:p>
            <w:pPr>
              <w:jc w:val="center"/>
              <w:spacing w:after="0"/>
              <w:rPr>
                <w:sz w:val="20"/>
                <w:szCs w:val="20"/>
                <w:color w:val="auto"/>
              </w:rPr>
            </w:pPr>
            <w:r>
              <w:rPr>
                <w:rFonts w:ascii="Arial" w:cs="Arial" w:eastAsia="Arial" w:hAnsi="Arial"/>
                <w:sz w:val="28"/>
                <w:szCs w:val="28"/>
                <w:b w:val="1"/>
                <w:bCs w:val="1"/>
                <w:color w:val="auto"/>
                <w:w w:val="91"/>
              </w:rPr>
              <w:t>On-site</w:t>
            </w:r>
          </w:p>
        </w:tc>
        <w:tc>
          <w:tcPr>
            <w:tcW w:w="2120" w:type="dxa"/>
            <w:vAlign w:val="bottom"/>
            <w:vMerge w:val="restart"/>
          </w:tcPr>
          <w:p>
            <w:pPr>
              <w:jc w:val="center"/>
              <w:ind w:left="599"/>
              <w:spacing w:after="0"/>
              <w:rPr>
                <w:sz w:val="20"/>
                <w:szCs w:val="20"/>
                <w:color w:val="auto"/>
              </w:rPr>
            </w:pPr>
            <w:r>
              <w:rPr>
                <w:rFonts w:ascii="Arial" w:cs="Arial" w:eastAsia="Arial" w:hAnsi="Arial"/>
                <w:sz w:val="28"/>
                <w:szCs w:val="28"/>
                <w:b w:val="1"/>
                <w:bCs w:val="1"/>
                <w:color w:val="auto"/>
                <w:w w:val="94"/>
              </w:rPr>
              <w:t>Bright</w:t>
            </w:r>
          </w:p>
        </w:tc>
        <w:tc>
          <w:tcPr>
            <w:tcW w:w="0" w:type="dxa"/>
            <w:vAlign w:val="bottom"/>
          </w:tcPr>
          <w:p>
            <w:pPr>
              <w:spacing w:after="0"/>
              <w:rPr>
                <w:sz w:val="1"/>
                <w:szCs w:val="1"/>
                <w:color w:val="auto"/>
              </w:rPr>
            </w:pPr>
          </w:p>
        </w:tc>
      </w:tr>
      <w:tr>
        <w:trPr>
          <w:trHeight w:val="129"/>
        </w:trPr>
        <w:tc>
          <w:tcPr>
            <w:tcW w:w="1900" w:type="dxa"/>
            <w:vAlign w:val="bottom"/>
            <w:vMerge w:val="restart"/>
          </w:tcPr>
          <w:p>
            <w:pPr>
              <w:jc w:val="center"/>
              <w:ind w:right="659"/>
              <w:spacing w:after="0"/>
              <w:rPr>
                <w:sz w:val="20"/>
                <w:szCs w:val="20"/>
                <w:color w:val="auto"/>
              </w:rPr>
            </w:pPr>
            <w:r>
              <w:rPr>
                <w:rFonts w:ascii="Arial" w:cs="Arial" w:eastAsia="Arial" w:hAnsi="Arial"/>
                <w:sz w:val="28"/>
                <w:szCs w:val="28"/>
                <w:b w:val="1"/>
                <w:bCs w:val="1"/>
                <w:color w:val="auto"/>
                <w:w w:val="88"/>
              </w:rPr>
              <w:t>changing</w:t>
            </w:r>
          </w:p>
        </w:tc>
        <w:tc>
          <w:tcPr>
            <w:tcW w:w="3000" w:type="dxa"/>
            <w:vAlign w:val="bottom"/>
            <w:vMerge w:val="continue"/>
          </w:tcPr>
          <w:p>
            <w:pPr>
              <w:spacing w:after="0"/>
              <w:rPr>
                <w:sz w:val="11"/>
                <w:szCs w:val="11"/>
                <w:color w:val="auto"/>
              </w:rPr>
            </w:pPr>
          </w:p>
        </w:tc>
        <w:tc>
          <w:tcPr>
            <w:tcW w:w="2500" w:type="dxa"/>
            <w:vAlign w:val="bottom"/>
            <w:vMerge w:val="continue"/>
          </w:tcPr>
          <w:p>
            <w:pPr>
              <w:spacing w:after="0"/>
              <w:rPr>
                <w:sz w:val="11"/>
                <w:szCs w:val="11"/>
                <w:color w:val="auto"/>
              </w:rPr>
            </w:pPr>
          </w:p>
        </w:tc>
        <w:tc>
          <w:tcPr>
            <w:tcW w:w="2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1900" w:type="dxa"/>
            <w:vAlign w:val="bottom"/>
            <w:vMerge w:val="continue"/>
          </w:tcPr>
          <w:p>
            <w:pPr>
              <w:spacing w:after="0"/>
              <w:rPr>
                <w:sz w:val="18"/>
                <w:szCs w:val="18"/>
                <w:color w:val="auto"/>
              </w:rPr>
            </w:pPr>
          </w:p>
        </w:tc>
        <w:tc>
          <w:tcPr>
            <w:tcW w:w="3000" w:type="dxa"/>
            <w:vAlign w:val="bottom"/>
            <w:vMerge w:val="restart"/>
          </w:tcPr>
          <w:p>
            <w:pPr>
              <w:ind w:left="920"/>
              <w:spacing w:after="0"/>
              <w:rPr>
                <w:sz w:val="20"/>
                <w:szCs w:val="20"/>
                <w:color w:val="auto"/>
              </w:rPr>
            </w:pPr>
            <w:r>
              <w:rPr>
                <w:rFonts w:ascii="Arial" w:cs="Arial" w:eastAsia="Arial" w:hAnsi="Arial"/>
                <w:sz w:val="28"/>
                <w:szCs w:val="28"/>
                <w:b w:val="1"/>
                <w:bCs w:val="1"/>
                <w:color w:val="auto"/>
              </w:rPr>
              <w:t>selections</w:t>
            </w:r>
          </w:p>
        </w:tc>
        <w:tc>
          <w:tcPr>
            <w:tcW w:w="2500" w:type="dxa"/>
            <w:vAlign w:val="bottom"/>
            <w:vMerge w:val="restart"/>
          </w:tcPr>
          <w:p>
            <w:pPr>
              <w:jc w:val="center"/>
              <w:spacing w:after="0"/>
              <w:rPr>
                <w:sz w:val="20"/>
                <w:szCs w:val="20"/>
                <w:color w:val="auto"/>
              </w:rPr>
            </w:pPr>
            <w:r>
              <w:rPr>
                <w:rFonts w:ascii="Arial" w:cs="Arial" w:eastAsia="Arial" w:hAnsi="Arial"/>
                <w:sz w:val="28"/>
                <w:szCs w:val="28"/>
                <w:b w:val="1"/>
                <w:bCs w:val="1"/>
                <w:color w:val="auto"/>
                <w:w w:val="94"/>
              </w:rPr>
              <w:t>tailoring</w:t>
            </w:r>
          </w:p>
        </w:tc>
        <w:tc>
          <w:tcPr>
            <w:tcW w:w="2120" w:type="dxa"/>
            <w:vAlign w:val="bottom"/>
            <w:vMerge w:val="restart"/>
          </w:tcPr>
          <w:p>
            <w:pPr>
              <w:jc w:val="center"/>
              <w:ind w:left="579"/>
              <w:spacing w:after="0"/>
              <w:rPr>
                <w:sz w:val="20"/>
                <w:szCs w:val="20"/>
                <w:color w:val="auto"/>
              </w:rPr>
            </w:pPr>
            <w:r>
              <w:rPr>
                <w:rFonts w:ascii="Arial" w:cs="Arial" w:eastAsia="Arial" w:hAnsi="Arial"/>
                <w:sz w:val="28"/>
                <w:szCs w:val="28"/>
                <w:b w:val="1"/>
                <w:bCs w:val="1"/>
                <w:color w:val="auto"/>
                <w:w w:val="88"/>
              </w:rPr>
              <w:t>atmosphere</w:t>
            </w:r>
          </w:p>
        </w:tc>
        <w:tc>
          <w:tcPr>
            <w:tcW w:w="0" w:type="dxa"/>
            <w:vAlign w:val="bottom"/>
          </w:tcPr>
          <w:p>
            <w:pPr>
              <w:spacing w:after="0"/>
              <w:rPr>
                <w:sz w:val="1"/>
                <w:szCs w:val="1"/>
                <w:color w:val="auto"/>
              </w:rPr>
            </w:pPr>
          </w:p>
        </w:tc>
      </w:tr>
      <w:tr>
        <w:trPr>
          <w:trHeight w:val="203"/>
        </w:trPr>
        <w:tc>
          <w:tcPr>
            <w:tcW w:w="1900" w:type="dxa"/>
            <w:vAlign w:val="bottom"/>
            <w:vMerge w:val="restart"/>
          </w:tcPr>
          <w:p>
            <w:pPr>
              <w:jc w:val="center"/>
              <w:ind w:right="659"/>
              <w:spacing w:after="0"/>
              <w:rPr>
                <w:sz w:val="20"/>
                <w:szCs w:val="20"/>
                <w:color w:val="auto"/>
              </w:rPr>
            </w:pPr>
            <w:r>
              <w:rPr>
                <w:rFonts w:ascii="Arial" w:cs="Arial" w:eastAsia="Arial" w:hAnsi="Arial"/>
                <w:sz w:val="28"/>
                <w:szCs w:val="28"/>
                <w:b w:val="1"/>
                <w:bCs w:val="1"/>
                <w:color w:val="auto"/>
                <w:w w:val="86"/>
              </w:rPr>
              <w:t>rooms</w:t>
            </w:r>
          </w:p>
        </w:tc>
        <w:tc>
          <w:tcPr>
            <w:tcW w:w="3000" w:type="dxa"/>
            <w:vAlign w:val="bottom"/>
            <w:vMerge w:val="continue"/>
          </w:tcPr>
          <w:p>
            <w:pPr>
              <w:spacing w:after="0"/>
              <w:rPr>
                <w:sz w:val="17"/>
                <w:szCs w:val="17"/>
                <w:color w:val="auto"/>
              </w:rPr>
            </w:pPr>
          </w:p>
        </w:tc>
        <w:tc>
          <w:tcPr>
            <w:tcW w:w="2500" w:type="dxa"/>
            <w:vAlign w:val="bottom"/>
            <w:vMerge w:val="continue"/>
          </w:tcPr>
          <w:p>
            <w:pPr>
              <w:spacing w:after="0"/>
              <w:rPr>
                <w:sz w:val="17"/>
                <w:szCs w:val="17"/>
                <w:color w:val="auto"/>
              </w:rPr>
            </w:pPr>
          </w:p>
        </w:tc>
        <w:tc>
          <w:tcPr>
            <w:tcW w:w="2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900" w:type="dxa"/>
            <w:vAlign w:val="bottom"/>
            <w:vMerge w:val="continue"/>
          </w:tcPr>
          <w:p>
            <w:pPr>
              <w:spacing w:after="0"/>
              <w:rPr>
                <w:sz w:val="14"/>
                <w:szCs w:val="14"/>
                <w:color w:val="auto"/>
              </w:rPr>
            </w:pPr>
          </w:p>
        </w:tc>
        <w:tc>
          <w:tcPr>
            <w:tcW w:w="30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140" w:type="dxa"/>
        <w:tblCellMar>
          <w:top w:w="0" w:type="dxa"/>
          <w:left w:w="0" w:type="dxa"/>
          <w:bottom w:w="0" w:type="dxa"/>
          <w:right w:w="0" w:type="dxa"/>
        </w:tblCellMar>
      </w:tblPr>
      <w:tr>
        <w:trPr>
          <w:trHeight w:val="342"/>
        </w:trPr>
        <w:tc>
          <w:tcPr>
            <w:tcW w:w="2060" w:type="dxa"/>
            <w:vAlign w:val="bottom"/>
          </w:tcPr>
          <w:p>
            <w:pPr>
              <w:jc w:val="center"/>
              <w:ind w:right="719"/>
              <w:spacing w:after="0"/>
              <w:rPr>
                <w:sz w:val="20"/>
                <w:szCs w:val="20"/>
                <w:color w:val="auto"/>
              </w:rPr>
            </w:pPr>
            <w:r>
              <w:rPr>
                <w:rFonts w:ascii="Arial" w:cs="Arial" w:eastAsia="Arial" w:hAnsi="Arial"/>
                <w:sz w:val="28"/>
                <w:szCs w:val="28"/>
                <w:b w:val="1"/>
                <w:bCs w:val="1"/>
                <w:color w:val="auto"/>
                <w:w w:val="83"/>
              </w:rPr>
              <w:t>Suggested</w:t>
            </w:r>
          </w:p>
        </w:tc>
        <w:tc>
          <w:tcPr>
            <w:tcW w:w="3120" w:type="dxa"/>
            <w:vAlign w:val="bottom"/>
            <w:vMerge w:val="restart"/>
          </w:tcPr>
          <w:p>
            <w:pPr>
              <w:ind w:left="840"/>
              <w:spacing w:after="0"/>
              <w:rPr>
                <w:sz w:val="20"/>
                <w:szCs w:val="20"/>
                <w:color w:val="auto"/>
              </w:rPr>
            </w:pPr>
            <w:r>
              <w:rPr>
                <w:rFonts w:ascii="Arial" w:cs="Arial" w:eastAsia="Arial" w:hAnsi="Arial"/>
                <w:sz w:val="28"/>
                <w:szCs w:val="28"/>
                <w:b w:val="1"/>
                <w:bCs w:val="1"/>
                <w:color w:val="auto"/>
              </w:rPr>
              <w:t>Wide aisles</w:t>
            </w:r>
          </w:p>
        </w:tc>
        <w:tc>
          <w:tcPr>
            <w:tcW w:w="2020" w:type="dxa"/>
            <w:vAlign w:val="bottom"/>
          </w:tcPr>
          <w:p>
            <w:pPr>
              <w:ind w:left="920"/>
              <w:spacing w:after="0"/>
              <w:rPr>
                <w:sz w:val="20"/>
                <w:szCs w:val="20"/>
                <w:color w:val="auto"/>
              </w:rPr>
            </w:pPr>
            <w:r>
              <w:rPr>
                <w:rFonts w:ascii="Arial" w:cs="Arial" w:eastAsia="Arial" w:hAnsi="Arial"/>
                <w:sz w:val="28"/>
                <w:szCs w:val="28"/>
                <w:b w:val="1"/>
                <w:bCs w:val="1"/>
                <w:color w:val="auto"/>
                <w:w w:val="87"/>
              </w:rPr>
              <w:t>One-stop</w:t>
            </w:r>
          </w:p>
        </w:tc>
        <w:tc>
          <w:tcPr>
            <w:tcW w:w="0" w:type="dxa"/>
            <w:vAlign w:val="bottom"/>
          </w:tcPr>
          <w:p>
            <w:pPr>
              <w:spacing w:after="0"/>
              <w:rPr>
                <w:sz w:val="1"/>
                <w:szCs w:val="1"/>
                <w:color w:val="auto"/>
              </w:rPr>
            </w:pPr>
          </w:p>
        </w:tc>
      </w:tr>
      <w:tr>
        <w:trPr>
          <w:trHeight w:val="399"/>
        </w:trPr>
        <w:tc>
          <w:tcPr>
            <w:tcW w:w="2060" w:type="dxa"/>
            <w:vAlign w:val="bottom"/>
          </w:tcPr>
          <w:p>
            <w:pPr>
              <w:jc w:val="center"/>
              <w:ind w:right="639"/>
              <w:spacing w:after="0"/>
              <w:rPr>
                <w:sz w:val="20"/>
                <w:szCs w:val="20"/>
                <w:color w:val="auto"/>
              </w:rPr>
            </w:pPr>
            <w:r>
              <w:rPr>
                <w:rFonts w:ascii="Arial" w:cs="Arial" w:eastAsia="Arial" w:hAnsi="Arial"/>
                <w:sz w:val="28"/>
                <w:szCs w:val="28"/>
                <w:b w:val="1"/>
                <w:bCs w:val="1"/>
                <w:color w:val="auto"/>
                <w:w w:val="92"/>
              </w:rPr>
              <w:t>wardrobe</w:t>
            </w:r>
          </w:p>
        </w:tc>
        <w:tc>
          <w:tcPr>
            <w:tcW w:w="3120" w:type="dxa"/>
            <w:vAlign w:val="bottom"/>
            <w:vMerge w:val="continue"/>
          </w:tcPr>
          <w:p>
            <w:pPr>
              <w:spacing w:after="0"/>
              <w:rPr>
                <w:sz w:val="24"/>
                <w:szCs w:val="24"/>
                <w:color w:val="auto"/>
              </w:rPr>
            </w:pPr>
          </w:p>
        </w:tc>
        <w:tc>
          <w:tcPr>
            <w:tcW w:w="2020" w:type="dxa"/>
            <w:vAlign w:val="bottom"/>
          </w:tcPr>
          <w:p>
            <w:pPr>
              <w:ind w:left="920"/>
              <w:spacing w:after="0"/>
              <w:rPr>
                <w:sz w:val="20"/>
                <w:szCs w:val="20"/>
                <w:color w:val="auto"/>
              </w:rPr>
            </w:pPr>
            <w:r>
              <w:rPr>
                <w:rFonts w:ascii="Arial" w:cs="Arial" w:eastAsia="Arial" w:hAnsi="Arial"/>
                <w:sz w:val="28"/>
                <w:szCs w:val="28"/>
                <w:b w:val="1"/>
                <w:bCs w:val="1"/>
                <w:color w:val="auto"/>
                <w:w w:val="85"/>
              </w:rPr>
              <w:t>shopping</w:t>
            </w:r>
          </w:p>
        </w:tc>
        <w:tc>
          <w:tcPr>
            <w:tcW w:w="0" w:type="dxa"/>
            <w:vAlign w:val="bottom"/>
          </w:tcPr>
          <w:p>
            <w:pPr>
              <w:spacing w:after="0"/>
              <w:rPr>
                <w:sz w:val="1"/>
                <w:szCs w:val="1"/>
                <w:color w:val="auto"/>
              </w:rPr>
            </w:pPr>
          </w:p>
        </w:tc>
      </w:tr>
      <w:tr>
        <w:trPr>
          <w:trHeight w:val="367"/>
        </w:trPr>
        <w:tc>
          <w:tcPr>
            <w:tcW w:w="2060" w:type="dxa"/>
            <w:vAlign w:val="bottom"/>
          </w:tcPr>
          <w:p>
            <w:pPr>
              <w:jc w:val="center"/>
              <w:ind w:right="719"/>
              <w:spacing w:after="0"/>
              <w:rPr>
                <w:sz w:val="20"/>
                <w:szCs w:val="20"/>
                <w:color w:val="auto"/>
              </w:rPr>
            </w:pPr>
            <w:r>
              <w:rPr>
                <w:rFonts w:ascii="Arial" w:cs="Arial" w:eastAsia="Arial" w:hAnsi="Arial"/>
                <w:sz w:val="28"/>
                <w:szCs w:val="28"/>
                <w:b w:val="1"/>
                <w:bCs w:val="1"/>
                <w:color w:val="auto"/>
                <w:w w:val="86"/>
              </w:rPr>
              <w:t>solutions</w:t>
            </w:r>
          </w:p>
        </w:tc>
        <w:tc>
          <w:tcPr>
            <w:tcW w:w="3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7</w:t>
      </w:r>
    </w:p>
    <w:p>
      <w:pPr>
        <w:sectPr>
          <w:pgSz w:w="11900" w:h="16838" w:orient="portrait"/>
          <w:cols w:equalWidth="0" w:num="1">
            <w:col w:w="9960"/>
          </w:cols>
          <w:pgMar w:left="1040" w:top="1052" w:right="89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4405" cy="34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200" w:type="dxa"/>
            <w:vAlign w:val="bottom"/>
          </w:tcPr>
          <w:p>
            <w:pPr>
              <w:spacing w:after="0"/>
              <w:rPr>
                <w:sz w:val="20"/>
                <w:szCs w:val="20"/>
                <w:color w:val="auto"/>
              </w:rPr>
            </w:pPr>
            <w:r>
              <w:rPr>
                <w:rFonts w:ascii="Arial" w:cs="Arial" w:eastAsia="Arial" w:hAnsi="Arial"/>
                <w:sz w:val="22"/>
                <w:szCs w:val="22"/>
                <w:color w:val="auto"/>
              </w:rPr>
              <w:t>Opened 4 DXL</w:t>
            </w:r>
          </w:p>
        </w:tc>
        <w:tc>
          <w:tcPr>
            <w:tcW w:w="2760" w:type="dxa"/>
            <w:vAlign w:val="bottom"/>
          </w:tcPr>
          <w:p>
            <w:pPr>
              <w:ind w:left="1800"/>
              <w:spacing w:after="0"/>
              <w:rPr>
                <w:sz w:val="20"/>
                <w:szCs w:val="20"/>
                <w:color w:val="auto"/>
              </w:rPr>
            </w:pPr>
            <w:r>
              <w:rPr>
                <w:rFonts w:ascii="Arial" w:cs="Arial" w:eastAsia="Arial" w:hAnsi="Arial"/>
                <w:sz w:val="19"/>
                <w:szCs w:val="19"/>
                <w:color w:val="auto"/>
                <w:w w:val="99"/>
              </w:rPr>
              <w:t>Opened 32</w:t>
            </w:r>
          </w:p>
        </w:tc>
      </w:tr>
      <w:tr>
        <w:trPr>
          <w:trHeight w:val="285"/>
        </w:trPr>
        <w:tc>
          <w:tcPr>
            <w:tcW w:w="3200" w:type="dxa"/>
            <w:vAlign w:val="bottom"/>
          </w:tcPr>
          <w:p>
            <w:pPr>
              <w:ind w:left="20"/>
              <w:spacing w:after="0"/>
              <w:rPr>
                <w:sz w:val="20"/>
                <w:szCs w:val="20"/>
                <w:color w:val="auto"/>
              </w:rPr>
            </w:pPr>
            <w:r>
              <w:rPr>
                <w:rFonts w:ascii="Arial" w:cs="Arial" w:eastAsia="Arial" w:hAnsi="Arial"/>
                <w:sz w:val="22"/>
                <w:szCs w:val="22"/>
                <w:color w:val="auto"/>
              </w:rPr>
              <w:t>concept stores</w:t>
            </w:r>
          </w:p>
        </w:tc>
        <w:tc>
          <w:tcPr>
            <w:tcW w:w="2760" w:type="dxa"/>
            <w:vAlign w:val="bottom"/>
          </w:tcPr>
          <w:p>
            <w:pPr>
              <w:ind w:left="1820"/>
              <w:spacing w:after="0"/>
              <w:rPr>
                <w:sz w:val="20"/>
                <w:szCs w:val="20"/>
                <w:color w:val="auto"/>
              </w:rPr>
            </w:pPr>
            <w:r>
              <w:rPr>
                <w:rFonts w:ascii="Arial" w:cs="Arial" w:eastAsia="Arial" w:hAnsi="Arial"/>
                <w:sz w:val="19"/>
                <w:szCs w:val="19"/>
                <w:color w:val="auto"/>
                <w:w w:val="97"/>
              </w:rPr>
              <w:t>DXL stores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2840" w:type="dxa"/>
        <w:tblCellMar>
          <w:top w:w="0" w:type="dxa"/>
          <w:left w:w="0" w:type="dxa"/>
          <w:bottom w:w="0" w:type="dxa"/>
          <w:right w:w="0" w:type="dxa"/>
        </w:tblCellMar>
      </w:tblPr>
      <w:tr>
        <w:trPr>
          <w:trHeight w:val="259"/>
        </w:trPr>
        <w:tc>
          <w:tcPr>
            <w:tcW w:w="2900" w:type="dxa"/>
            <w:vAlign w:val="bottom"/>
          </w:tcPr>
          <w:p>
            <w:pPr>
              <w:spacing w:after="0"/>
              <w:rPr>
                <w:sz w:val="20"/>
                <w:szCs w:val="20"/>
                <w:color w:val="auto"/>
              </w:rPr>
            </w:pPr>
            <w:r>
              <w:rPr>
                <w:rFonts w:ascii="Arial" w:cs="Arial" w:eastAsia="Arial" w:hAnsi="Arial"/>
                <w:sz w:val="22"/>
                <w:szCs w:val="22"/>
                <w:color w:val="auto"/>
              </w:rPr>
              <w:t>Opened 12</w:t>
            </w:r>
          </w:p>
        </w:tc>
        <w:tc>
          <w:tcPr>
            <w:tcW w:w="3180" w:type="dxa"/>
            <w:vAlign w:val="bottom"/>
          </w:tcPr>
          <w:p>
            <w:pPr>
              <w:ind w:left="1840"/>
              <w:spacing w:after="0"/>
              <w:rPr>
                <w:sz w:val="20"/>
                <w:szCs w:val="20"/>
                <w:color w:val="auto"/>
              </w:rPr>
            </w:pPr>
            <w:r>
              <w:rPr>
                <w:rFonts w:ascii="Arial" w:cs="Arial" w:eastAsia="Arial" w:hAnsi="Arial"/>
                <w:sz w:val="19"/>
                <w:szCs w:val="19"/>
                <w:color w:val="auto"/>
              </w:rPr>
              <w:t>Expect to Open</w:t>
            </w:r>
          </w:p>
        </w:tc>
      </w:tr>
      <w:tr>
        <w:trPr>
          <w:trHeight w:val="285"/>
        </w:trPr>
        <w:tc>
          <w:tcPr>
            <w:tcW w:w="2900" w:type="dxa"/>
            <w:vAlign w:val="bottom"/>
          </w:tcPr>
          <w:p>
            <w:pPr>
              <w:ind w:left="20"/>
              <w:spacing w:after="0"/>
              <w:rPr>
                <w:sz w:val="20"/>
                <w:szCs w:val="20"/>
                <w:color w:val="auto"/>
              </w:rPr>
            </w:pPr>
            <w:r>
              <w:rPr>
                <w:rFonts w:ascii="Arial" w:cs="Arial" w:eastAsia="Arial" w:hAnsi="Arial"/>
                <w:sz w:val="22"/>
                <w:szCs w:val="22"/>
                <w:color w:val="auto"/>
              </w:rPr>
              <w:t>DXL stores</w:t>
            </w:r>
          </w:p>
        </w:tc>
        <w:tc>
          <w:tcPr>
            <w:tcW w:w="3180" w:type="dxa"/>
            <w:vAlign w:val="bottom"/>
          </w:tcPr>
          <w:p>
            <w:pPr>
              <w:ind w:left="1880"/>
              <w:spacing w:after="0"/>
              <w:rPr>
                <w:sz w:val="20"/>
                <w:szCs w:val="20"/>
                <w:color w:val="auto"/>
              </w:rPr>
            </w:pPr>
            <w:r>
              <w:rPr>
                <w:rFonts w:ascii="Arial" w:cs="Arial" w:eastAsia="Arial" w:hAnsi="Arial"/>
                <w:sz w:val="19"/>
                <w:szCs w:val="19"/>
                <w:color w:val="auto"/>
                <w:w w:val="97"/>
              </w:rPr>
              <w:t>~60 DXL stores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Arial" w:cs="Arial" w:eastAsia="Arial" w:hAnsi="Arial"/>
          <w:sz w:val="28"/>
          <w:szCs w:val="28"/>
          <w:color w:val="auto"/>
        </w:rPr>
        <w:t>Opportunity for accelerated growth and profitability</w:t>
      </w: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8</w:t>
      </w:r>
    </w:p>
    <w:p>
      <w:pPr>
        <w:sectPr>
          <w:pgSz w:w="11900" w:h="16838" w:orient="portrait"/>
          <w:cols w:equalWidth="0" w:num="1">
            <w:col w:w="10040"/>
          </w:cols>
          <w:pgMar w:left="960" w:top="1440" w:right="899" w:bottom="1440" w:gutter="0" w:footer="0" w:header="0"/>
        </w:sectPr>
      </w:pPr>
    </w:p>
    <w:bookmarkStart w:id="11" w:name="page12"/>
    <w:bookmarkEnd w:id="11"/>
    <w:p>
      <w:pPr>
        <w:spacing w:after="0"/>
        <w:rPr>
          <w:sz w:val="20"/>
          <w:szCs w:val="20"/>
          <w:color w:val="auto"/>
        </w:rPr>
      </w:pPr>
      <w:r>
        <w:rPr>
          <w:rFonts w:ascii="Arial" w:cs="Arial" w:eastAsia="Arial" w:hAnsi="Arial"/>
          <w:sz w:val="19"/>
          <w:szCs w:val="19"/>
          <w:color w:val="FEFEFE"/>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4838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4405" cy="4838065"/>
                    </a:xfrm>
                    <a:prstGeom prst="rect">
                      <a:avLst/>
                    </a:prstGeom>
                    <a:noFill/>
                  </pic:spPr>
                </pic:pic>
              </a:graphicData>
            </a:graphic>
          </wp:anchor>
        </w:drawing>
        <w:t>*</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color w:val="FEFEFE"/>
        </w:rPr>
        <w:t>*</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color w:val="FEFEFE"/>
        </w:rPr>
        <w:t>*</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FEFEFE"/>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9</w:t>
      </w:r>
    </w:p>
    <w:p>
      <w:pPr>
        <w:sectPr>
          <w:pgSz w:w="11900" w:h="16838" w:orient="portrait"/>
          <w:cols w:equalWidth="0" w:num="1">
            <w:col w:w="9860"/>
          </w:cols>
          <w:pgMar w:left="1140" w:top="451" w:right="89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4838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4405" cy="483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9360"/>
        <w:spacing w:after="0"/>
        <w:rPr>
          <w:sz w:val="20"/>
          <w:szCs w:val="20"/>
          <w:color w:val="auto"/>
        </w:rPr>
      </w:pPr>
      <w:r>
        <w:rPr>
          <w:rFonts w:ascii="Arial" w:cs="Arial" w:eastAsia="Arial" w:hAnsi="Arial"/>
          <w:sz w:val="17"/>
          <w:szCs w:val="17"/>
          <w:color w:val="898989"/>
        </w:rPr>
        <w:t>10</w:t>
      </w:r>
    </w:p>
    <w:p>
      <w:pPr>
        <w:sectPr>
          <w:pgSz w:w="11900" w:h="16838" w:orient="portrait"/>
          <w:cols w:equalWidth="0" w:num="1">
            <w:col w:w="9560"/>
          </w:cols>
          <w:pgMar w:left="1440" w:top="1440" w:right="899" w:bottom="1440" w:gutter="0" w:footer="0" w:header="0"/>
        </w:sectPr>
      </w:pPr>
    </w:p>
    <w:bookmarkStart w:id="13" w:name="page14"/>
    <w:bookmarkEnd w:id="13"/>
    <w:p>
      <w:pPr>
        <w:ind w:left="660"/>
        <w:spacing w:after="0"/>
        <w:rPr>
          <w:sz w:val="20"/>
          <w:szCs w:val="20"/>
          <w:color w:val="auto"/>
        </w:rPr>
      </w:pPr>
      <w:r>
        <w:rPr>
          <w:rFonts w:ascii="Arial" w:cs="Arial" w:eastAsia="Arial" w:hAnsi="Arial"/>
          <w:sz w:val="19"/>
          <w:szCs w:val="19"/>
          <w:color w:val="FEFEFE"/>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4405" cy="34925"/>
                    </a:xfrm>
                    <a:prstGeom prst="rect">
                      <a:avLst/>
                    </a:prstGeom>
                    <a:noFill/>
                  </pic:spPr>
                </pic:pic>
              </a:graphicData>
            </a:graphic>
          </wp:anchor>
        </w:drawing>
        <w:t>*</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9"/>
          <w:szCs w:val="19"/>
          <w:color w:val="FEFEFE"/>
        </w:rPr>
        <w:t>*</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9"/>
          <w:szCs w:val="19"/>
          <w:color w:val="FEFEFE"/>
        </w:rPr>
        <w:t>*</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19"/>
          <w:szCs w:val="19"/>
          <w:color w:val="FEFEF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-74930</wp:posOffset>
            </wp:positionV>
            <wp:extent cx="6219190" cy="41433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19190" cy="414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8"/>
          <w:szCs w:val="28"/>
          <w:color w:val="FEFEFE"/>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11</w:t>
      </w:r>
    </w:p>
    <w:p>
      <w:pPr>
        <w:sectPr>
          <w:pgSz w:w="11900" w:h="16838" w:orient="portrait"/>
          <w:cols w:equalWidth="0" w:num="1">
            <w:col w:w="10520"/>
          </w:cols>
          <w:pgMar w:left="360" w:top="357" w:right="1019" w:bottom="1440" w:gutter="0" w:footer="0" w:header="0"/>
        </w:sectPr>
      </w:pPr>
    </w:p>
    <w:bookmarkStart w:id="14" w:name="page15"/>
    <w:bookmarkEnd w:id="14"/>
    <w:p>
      <w:pPr>
        <w:spacing w:after="0"/>
        <w:rPr>
          <w:sz w:val="20"/>
          <w:szCs w:val="20"/>
          <w:color w:val="auto"/>
        </w:rPr>
      </w:pPr>
      <w:r>
        <w:rPr>
          <w:rFonts w:ascii="Arial" w:cs="Arial" w:eastAsia="Arial" w:hAnsi="Arial"/>
          <w:sz w:val="19"/>
          <w:szCs w:val="19"/>
          <w:color w:val="FEFEFE"/>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4838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4405" cy="4838065"/>
                    </a:xfrm>
                    <a:prstGeom prst="rect">
                      <a:avLst/>
                    </a:prstGeom>
                    <a:noFill/>
                  </pic:spPr>
                </pic:pic>
              </a:graphicData>
            </a:graphic>
          </wp:anchor>
        </w:drawing>
        <w:t>*</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color w:val="FEFEFE"/>
        </w:rPr>
        <w:t>*</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color w:val="FEFEFE"/>
        </w:rPr>
        <w:t>*</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FEFEFE"/>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12</w:t>
      </w:r>
    </w:p>
    <w:p>
      <w:pPr>
        <w:sectPr>
          <w:pgSz w:w="11900" w:h="16838" w:orient="portrait"/>
          <w:cols w:equalWidth="0" w:num="1">
            <w:col w:w="9860"/>
          </w:cols>
          <w:pgMar w:left="1140" w:top="451" w:right="899" w:bottom="1440" w:gutter="0" w:footer="0" w:header="0"/>
        </w:sectPr>
      </w:pPr>
    </w:p>
    <w:bookmarkStart w:id="15" w:name="page16"/>
    <w:bookmarkEnd w:id="15"/>
    <w:p>
      <w:pPr>
        <w:spacing w:after="0"/>
        <w:rPr>
          <w:sz w:val="20"/>
          <w:szCs w:val="20"/>
          <w:color w:val="auto"/>
        </w:rPr>
      </w:pPr>
      <w:r>
        <w:rPr>
          <w:rFonts w:ascii="Arial" w:cs="Arial" w:eastAsia="Arial" w:hAnsi="Arial"/>
          <w:sz w:val="28"/>
          <w:szCs w:val="28"/>
          <w:color w:val="FEFEFE"/>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4405" cy="34925"/>
                    </a:xfrm>
                    <a:prstGeom prst="rect">
                      <a:avLst/>
                    </a:prstGeom>
                    <a:noFill/>
                  </pic:spPr>
                </pic:pic>
              </a:graphicData>
            </a:graphic>
          </wp:anchor>
        </w:drawing>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203835</wp:posOffset>
            </wp:positionV>
            <wp:extent cx="6233795" cy="4203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33795" cy="420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13</w:t>
      </w:r>
    </w:p>
    <w:p>
      <w:pPr>
        <w:sectPr>
          <w:pgSz w:w="11900" w:h="16838" w:orient="portrait"/>
          <w:cols w:equalWidth="0" w:num="1">
            <w:col w:w="10520"/>
          </w:cols>
          <w:pgMar w:left="360" w:top="354" w:right="1019" w:bottom="1440" w:gutter="0" w:footer="0" w:header="0"/>
        </w:sectPr>
      </w:pPr>
    </w:p>
    <w:bookmarkStart w:id="16" w:name="page17"/>
    <w:bookmarkEnd w:id="16"/>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Large Selection of Name 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14</w:t>
      </w:r>
    </w:p>
    <w:p>
      <w:pPr>
        <w:sectPr>
          <w:pgSz w:w="11900" w:h="16838" w:orient="portrait"/>
          <w:cols w:equalWidth="0" w:num="1">
            <w:col w:w="9960"/>
          </w:cols>
          <w:pgMar w:left="1040" w:top="1052" w:right="899"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25"/>
          <w:szCs w:val="25"/>
          <w:color w:val="auto"/>
        </w:rPr>
        <w:t>Average</w:t>
      </w:r>
    </w:p>
    <w:p>
      <w:pPr>
        <w:spacing w:after="0" w:line="247" w:lineRule="exact"/>
        <w:rPr>
          <w:sz w:val="20"/>
          <w:szCs w:val="20"/>
          <w:color w:val="auto"/>
        </w:rPr>
      </w:pPr>
    </w:p>
    <w:p>
      <w:pPr>
        <w:jc w:val="center"/>
        <w:ind w:right="320"/>
        <w:spacing w:after="0"/>
        <w:rPr>
          <w:sz w:val="20"/>
          <w:szCs w:val="20"/>
          <w:color w:val="auto"/>
        </w:rPr>
      </w:pPr>
      <w:r>
        <w:rPr>
          <w:rFonts w:ascii="Arial" w:cs="Arial" w:eastAsia="Arial" w:hAnsi="Arial"/>
          <w:sz w:val="25"/>
          <w:szCs w:val="25"/>
          <w:b w:val="1"/>
          <w:bCs w:val="1"/>
          <w:color w:val="558ED5"/>
        </w:rPr>
        <w:t>Store size</w:t>
      </w:r>
    </w:p>
    <w:p>
      <w:pPr>
        <w:spacing w:after="0" w:line="277" w:lineRule="exact"/>
        <w:rPr>
          <w:sz w:val="20"/>
          <w:szCs w:val="20"/>
          <w:color w:val="auto"/>
        </w:rPr>
      </w:pPr>
    </w:p>
    <w:p>
      <w:pPr>
        <w:ind w:left="260"/>
        <w:spacing w:after="0"/>
        <w:rPr>
          <w:sz w:val="20"/>
          <w:szCs w:val="20"/>
          <w:color w:val="auto"/>
        </w:rPr>
      </w:pPr>
      <w:r>
        <w:rPr>
          <w:rFonts w:ascii="Arial" w:cs="Arial" w:eastAsia="Arial" w:hAnsi="Arial"/>
          <w:sz w:val="25"/>
          <w:szCs w:val="25"/>
          <w:b w:val="1"/>
          <w:bCs w:val="1"/>
          <w:color w:val="558ED5"/>
        </w:rPr>
        <w:t>Sales per sq. ft.</w:t>
      </w:r>
    </w:p>
    <w:p>
      <w:pPr>
        <w:spacing w:after="0" w:line="277" w:lineRule="exact"/>
        <w:rPr>
          <w:sz w:val="20"/>
          <w:szCs w:val="20"/>
          <w:color w:val="auto"/>
        </w:rPr>
      </w:pPr>
    </w:p>
    <w:p>
      <w:pPr>
        <w:ind w:left="260"/>
        <w:spacing w:after="0"/>
        <w:rPr>
          <w:sz w:val="20"/>
          <w:szCs w:val="20"/>
          <w:color w:val="auto"/>
        </w:rPr>
      </w:pPr>
      <w:r>
        <w:rPr>
          <w:rFonts w:ascii="Arial" w:cs="Arial" w:eastAsia="Arial" w:hAnsi="Arial"/>
          <w:sz w:val="25"/>
          <w:szCs w:val="25"/>
          <w:b w:val="1"/>
          <w:bCs w:val="1"/>
          <w:color w:val="558ED5"/>
        </w:rPr>
        <w:t>Build out costs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23"/>
          <w:szCs w:val="23"/>
          <w:b w:val="1"/>
          <w:bCs w:val="1"/>
          <w:color w:val="558ED5"/>
        </w:rPr>
        <w:t>Occupancy costs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25"/>
          <w:szCs w:val="25"/>
          <w:b w:val="1"/>
          <w:bCs w:val="1"/>
          <w:color w:val="558ED5"/>
        </w:rPr>
        <w:t>Dollars per</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5"/>
          <w:szCs w:val="25"/>
          <w:b w:val="1"/>
          <w:bCs w:val="1"/>
          <w:color w:val="558ED5"/>
        </w:rPr>
        <w:t>transaction</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25"/>
          <w:szCs w:val="25"/>
          <w:b w:val="1"/>
          <w:bCs w:val="1"/>
          <w:color w:val="558ED5"/>
        </w:rPr>
        <w:t>Style choices</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558ED5"/>
        </w:rPr>
        <w:t>Private label brands</w:t>
      </w:r>
    </w:p>
    <w:p>
      <w:pPr>
        <w:spacing w:after="0" w:line="323" w:lineRule="exact"/>
        <w:rPr>
          <w:sz w:val="20"/>
          <w:szCs w:val="20"/>
          <w:color w:val="auto"/>
        </w:rPr>
      </w:pPr>
    </w:p>
    <w:p>
      <w:pPr>
        <w:ind w:left="320"/>
        <w:spacing w:after="0"/>
        <w:rPr>
          <w:sz w:val="20"/>
          <w:szCs w:val="20"/>
          <w:color w:val="auto"/>
        </w:rPr>
      </w:pPr>
      <w:r>
        <w:rPr>
          <w:rFonts w:ascii="Arial" w:cs="Arial" w:eastAsia="Arial" w:hAnsi="Arial"/>
          <w:sz w:val="25"/>
          <w:szCs w:val="25"/>
          <w:b w:val="1"/>
          <w:bCs w:val="1"/>
          <w:color w:val="558ED5"/>
        </w:rPr>
        <w:t>Name brands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6"/>
        </w:trPr>
        <w:tc>
          <w:tcPr>
            <w:tcW w:w="1660" w:type="dxa"/>
            <w:vAlign w:val="bottom"/>
          </w:tcPr>
          <w:p>
            <w:pPr>
              <w:spacing w:after="0"/>
              <w:rPr>
                <w:sz w:val="20"/>
                <w:szCs w:val="20"/>
                <w:color w:val="auto"/>
              </w:rPr>
            </w:pPr>
            <w:r>
              <w:rPr>
                <w:rFonts w:ascii="Arial" w:cs="Arial" w:eastAsia="Arial" w:hAnsi="Arial"/>
                <w:sz w:val="25"/>
                <w:szCs w:val="25"/>
                <w:color w:val="auto"/>
              </w:rPr>
              <w:t>3,600 sq. ft.</w:t>
            </w:r>
          </w:p>
        </w:tc>
        <w:tc>
          <w:tcPr>
            <w:tcW w:w="2520" w:type="dxa"/>
            <w:vAlign w:val="bottom"/>
          </w:tcPr>
          <w:p>
            <w:pPr>
              <w:ind w:left="860"/>
              <w:spacing w:after="0"/>
              <w:rPr>
                <w:sz w:val="20"/>
                <w:szCs w:val="20"/>
                <w:color w:val="auto"/>
              </w:rPr>
            </w:pPr>
            <w:r>
              <w:rPr>
                <w:rFonts w:ascii="Arial" w:cs="Arial" w:eastAsia="Arial" w:hAnsi="Arial"/>
                <w:sz w:val="25"/>
                <w:szCs w:val="25"/>
                <w:color w:val="auto"/>
              </w:rPr>
              <w:t>8,400 sq. ft.</w:t>
            </w:r>
          </w:p>
        </w:tc>
      </w:tr>
      <w:tr>
        <w:trPr>
          <w:trHeight w:val="564"/>
        </w:trPr>
        <w:tc>
          <w:tcPr>
            <w:tcW w:w="1660" w:type="dxa"/>
            <w:vAlign w:val="bottom"/>
          </w:tcPr>
          <w:p>
            <w:pPr>
              <w:jc w:val="center"/>
              <w:ind w:right="357"/>
              <w:spacing w:after="0"/>
              <w:rPr>
                <w:sz w:val="20"/>
                <w:szCs w:val="20"/>
                <w:color w:val="auto"/>
              </w:rPr>
            </w:pPr>
            <w:r>
              <w:rPr>
                <w:rFonts w:ascii="Arial" w:cs="Arial" w:eastAsia="Arial" w:hAnsi="Arial"/>
                <w:sz w:val="25"/>
                <w:szCs w:val="25"/>
                <w:color w:val="auto"/>
                <w:w w:val="89"/>
              </w:rPr>
              <w:t>$172</w:t>
            </w:r>
          </w:p>
        </w:tc>
        <w:tc>
          <w:tcPr>
            <w:tcW w:w="2520" w:type="dxa"/>
            <w:vAlign w:val="bottom"/>
          </w:tcPr>
          <w:p>
            <w:pPr>
              <w:ind w:left="460"/>
              <w:spacing w:after="0"/>
              <w:rPr>
                <w:sz w:val="20"/>
                <w:szCs w:val="20"/>
                <w:color w:val="auto"/>
              </w:rPr>
            </w:pPr>
            <w:r>
              <w:rPr>
                <w:rFonts w:ascii="Arial" w:cs="Arial" w:eastAsia="Arial" w:hAnsi="Arial"/>
                <w:sz w:val="25"/>
                <w:szCs w:val="25"/>
                <w:color w:val="auto"/>
                <w:w w:val="88"/>
              </w:rPr>
              <w:t xml:space="preserve">$147 </w:t>
            </w:r>
            <w:r>
              <w:rPr>
                <w:rFonts w:ascii="Arial" w:cs="Arial" w:eastAsia="Arial" w:hAnsi="Arial"/>
                <w:sz w:val="25"/>
                <w:szCs w:val="25"/>
                <w:i w:val="1"/>
                <w:iCs w:val="1"/>
                <w:color w:val="auto"/>
                <w:w w:val="88"/>
              </w:rPr>
              <w:t>($230 by 2016)</w:t>
            </w:r>
          </w:p>
        </w:tc>
      </w:tr>
      <w:tr>
        <w:trPr>
          <w:trHeight w:val="564"/>
        </w:trPr>
        <w:tc>
          <w:tcPr>
            <w:tcW w:w="1660" w:type="dxa"/>
            <w:vAlign w:val="bottom"/>
          </w:tcPr>
          <w:p>
            <w:pPr>
              <w:jc w:val="center"/>
              <w:ind w:right="377"/>
              <w:spacing w:after="0"/>
              <w:rPr>
                <w:sz w:val="20"/>
                <w:szCs w:val="20"/>
                <w:color w:val="auto"/>
              </w:rPr>
            </w:pPr>
            <w:r>
              <w:rPr>
                <w:rFonts w:ascii="Arial" w:cs="Arial" w:eastAsia="Arial" w:hAnsi="Arial"/>
                <w:sz w:val="25"/>
                <w:szCs w:val="25"/>
                <w:color w:val="auto"/>
                <w:w w:val="86"/>
              </w:rPr>
              <w:t>$50</w:t>
            </w:r>
          </w:p>
        </w:tc>
        <w:tc>
          <w:tcPr>
            <w:tcW w:w="2520" w:type="dxa"/>
            <w:vAlign w:val="bottom"/>
          </w:tcPr>
          <w:p>
            <w:pPr>
              <w:jc w:val="center"/>
              <w:ind w:left="217"/>
              <w:spacing w:after="0"/>
              <w:rPr>
                <w:sz w:val="20"/>
                <w:szCs w:val="20"/>
                <w:color w:val="auto"/>
              </w:rPr>
            </w:pPr>
            <w:r>
              <w:rPr>
                <w:rFonts w:ascii="Arial" w:cs="Arial" w:eastAsia="Arial" w:hAnsi="Arial"/>
                <w:sz w:val="25"/>
                <w:szCs w:val="25"/>
                <w:color w:val="auto"/>
                <w:w w:val="91"/>
              </w:rPr>
              <w:t>$70</w:t>
            </w:r>
          </w:p>
        </w:tc>
      </w:tr>
      <w:tr>
        <w:trPr>
          <w:trHeight w:val="576"/>
        </w:trPr>
        <w:tc>
          <w:tcPr>
            <w:tcW w:w="1660" w:type="dxa"/>
            <w:vAlign w:val="bottom"/>
          </w:tcPr>
          <w:p>
            <w:pPr>
              <w:jc w:val="center"/>
              <w:ind w:right="377"/>
              <w:spacing w:after="0"/>
              <w:rPr>
                <w:sz w:val="20"/>
                <w:szCs w:val="20"/>
                <w:color w:val="auto"/>
              </w:rPr>
            </w:pPr>
            <w:r>
              <w:rPr>
                <w:rFonts w:ascii="Arial" w:cs="Arial" w:eastAsia="Arial" w:hAnsi="Arial"/>
                <w:sz w:val="25"/>
                <w:szCs w:val="25"/>
                <w:color w:val="auto"/>
                <w:w w:val="86"/>
              </w:rPr>
              <w:t>$30</w:t>
            </w:r>
          </w:p>
        </w:tc>
        <w:tc>
          <w:tcPr>
            <w:tcW w:w="2520" w:type="dxa"/>
            <w:vAlign w:val="bottom"/>
          </w:tcPr>
          <w:p>
            <w:pPr>
              <w:jc w:val="center"/>
              <w:ind w:left="217"/>
              <w:spacing w:after="0"/>
              <w:rPr>
                <w:sz w:val="20"/>
                <w:szCs w:val="20"/>
                <w:color w:val="auto"/>
              </w:rPr>
            </w:pPr>
            <w:r>
              <w:rPr>
                <w:rFonts w:ascii="Arial" w:cs="Arial" w:eastAsia="Arial" w:hAnsi="Arial"/>
                <w:sz w:val="25"/>
                <w:szCs w:val="25"/>
                <w:color w:val="auto"/>
                <w:w w:val="91"/>
              </w:rPr>
              <w:t>$30</w:t>
            </w:r>
          </w:p>
        </w:tc>
      </w:tr>
      <w:tr>
        <w:trPr>
          <w:trHeight w:val="635"/>
        </w:trPr>
        <w:tc>
          <w:tcPr>
            <w:tcW w:w="1660" w:type="dxa"/>
            <w:vAlign w:val="bottom"/>
          </w:tcPr>
          <w:p>
            <w:pPr>
              <w:jc w:val="center"/>
              <w:ind w:right="377"/>
              <w:spacing w:after="0"/>
              <w:rPr>
                <w:sz w:val="20"/>
                <w:szCs w:val="20"/>
                <w:color w:val="auto"/>
              </w:rPr>
            </w:pPr>
            <w:r>
              <w:rPr>
                <w:rFonts w:ascii="Arial" w:cs="Arial" w:eastAsia="Arial" w:hAnsi="Arial"/>
                <w:sz w:val="25"/>
                <w:szCs w:val="25"/>
                <w:color w:val="auto"/>
                <w:w w:val="86"/>
              </w:rPr>
              <w:t>$97</w:t>
            </w:r>
          </w:p>
        </w:tc>
        <w:tc>
          <w:tcPr>
            <w:tcW w:w="2520" w:type="dxa"/>
            <w:vAlign w:val="bottom"/>
          </w:tcPr>
          <w:p>
            <w:pPr>
              <w:jc w:val="center"/>
              <w:ind w:left="217"/>
              <w:spacing w:after="0"/>
              <w:rPr>
                <w:sz w:val="20"/>
                <w:szCs w:val="20"/>
                <w:color w:val="auto"/>
              </w:rPr>
            </w:pPr>
            <w:r>
              <w:rPr>
                <w:rFonts w:ascii="Arial" w:cs="Arial" w:eastAsia="Arial" w:hAnsi="Arial"/>
                <w:sz w:val="25"/>
                <w:szCs w:val="25"/>
                <w:color w:val="auto"/>
                <w:w w:val="89"/>
              </w:rPr>
              <w:t>$137</w:t>
            </w:r>
          </w:p>
        </w:tc>
      </w:tr>
      <w:tr>
        <w:trPr>
          <w:trHeight w:val="647"/>
        </w:trPr>
        <w:tc>
          <w:tcPr>
            <w:tcW w:w="1660" w:type="dxa"/>
            <w:vAlign w:val="bottom"/>
          </w:tcPr>
          <w:p>
            <w:pPr>
              <w:jc w:val="center"/>
              <w:ind w:right="377"/>
              <w:spacing w:after="0"/>
              <w:rPr>
                <w:sz w:val="20"/>
                <w:szCs w:val="20"/>
                <w:color w:val="auto"/>
              </w:rPr>
            </w:pPr>
            <w:r>
              <w:rPr>
                <w:rFonts w:ascii="Arial" w:cs="Arial" w:eastAsia="Arial" w:hAnsi="Arial"/>
                <w:sz w:val="25"/>
                <w:szCs w:val="25"/>
                <w:color w:val="auto"/>
                <w:w w:val="86"/>
              </w:rPr>
              <w:t>600</w:t>
            </w:r>
          </w:p>
        </w:tc>
        <w:tc>
          <w:tcPr>
            <w:tcW w:w="2520" w:type="dxa"/>
            <w:vAlign w:val="bottom"/>
          </w:tcPr>
          <w:p>
            <w:pPr>
              <w:jc w:val="center"/>
              <w:ind w:left="197"/>
              <w:spacing w:after="0"/>
              <w:rPr>
                <w:sz w:val="20"/>
                <w:szCs w:val="20"/>
                <w:color w:val="auto"/>
              </w:rPr>
            </w:pPr>
            <w:r>
              <w:rPr>
                <w:rFonts w:ascii="Arial" w:cs="Arial" w:eastAsia="Arial" w:hAnsi="Arial"/>
                <w:sz w:val="25"/>
                <w:szCs w:val="25"/>
                <w:color w:val="auto"/>
                <w:w w:val="89"/>
              </w:rPr>
              <w:t>2,000</w:t>
            </w:r>
          </w:p>
        </w:tc>
      </w:tr>
      <w:tr>
        <w:trPr>
          <w:trHeight w:val="564"/>
        </w:trPr>
        <w:tc>
          <w:tcPr>
            <w:tcW w:w="1660" w:type="dxa"/>
            <w:vAlign w:val="bottom"/>
          </w:tcPr>
          <w:p>
            <w:pPr>
              <w:jc w:val="center"/>
              <w:ind w:right="377"/>
              <w:spacing w:after="0"/>
              <w:rPr>
                <w:sz w:val="20"/>
                <w:szCs w:val="20"/>
                <w:color w:val="auto"/>
              </w:rPr>
            </w:pPr>
            <w:r>
              <w:rPr>
                <w:rFonts w:ascii="Arial" w:cs="Arial" w:eastAsia="Arial" w:hAnsi="Arial"/>
                <w:sz w:val="25"/>
                <w:szCs w:val="25"/>
                <w:color w:val="auto"/>
                <w:w w:val="86"/>
              </w:rPr>
              <w:t>10</w:t>
            </w:r>
          </w:p>
        </w:tc>
        <w:tc>
          <w:tcPr>
            <w:tcW w:w="2520" w:type="dxa"/>
            <w:vAlign w:val="bottom"/>
          </w:tcPr>
          <w:p>
            <w:pPr>
              <w:jc w:val="center"/>
              <w:ind w:left="197"/>
              <w:spacing w:after="0"/>
              <w:rPr>
                <w:sz w:val="20"/>
                <w:szCs w:val="20"/>
                <w:color w:val="auto"/>
              </w:rPr>
            </w:pPr>
            <w:r>
              <w:rPr>
                <w:rFonts w:ascii="Arial" w:cs="Arial" w:eastAsia="Arial" w:hAnsi="Arial"/>
                <w:sz w:val="25"/>
                <w:szCs w:val="25"/>
                <w:color w:val="auto"/>
                <w:w w:val="86"/>
              </w:rPr>
              <w:t>15</w:t>
            </w:r>
          </w:p>
        </w:tc>
      </w:tr>
      <w:tr>
        <w:trPr>
          <w:trHeight w:val="576"/>
        </w:trPr>
        <w:tc>
          <w:tcPr>
            <w:tcW w:w="1660" w:type="dxa"/>
            <w:vAlign w:val="bottom"/>
          </w:tcPr>
          <w:p>
            <w:pPr>
              <w:jc w:val="center"/>
              <w:ind w:right="377"/>
              <w:spacing w:after="0"/>
              <w:rPr>
                <w:sz w:val="20"/>
                <w:szCs w:val="20"/>
                <w:color w:val="auto"/>
              </w:rPr>
            </w:pPr>
            <w:r>
              <w:rPr>
                <w:rFonts w:ascii="Arial" w:cs="Arial" w:eastAsia="Arial" w:hAnsi="Arial"/>
                <w:sz w:val="25"/>
                <w:szCs w:val="25"/>
                <w:color w:val="auto"/>
                <w:w w:val="85"/>
              </w:rPr>
              <w:t>8</w:t>
            </w:r>
          </w:p>
        </w:tc>
        <w:tc>
          <w:tcPr>
            <w:tcW w:w="2520" w:type="dxa"/>
            <w:vAlign w:val="bottom"/>
          </w:tcPr>
          <w:p>
            <w:pPr>
              <w:jc w:val="center"/>
              <w:ind w:left="197"/>
              <w:spacing w:after="0"/>
              <w:rPr>
                <w:sz w:val="20"/>
                <w:szCs w:val="20"/>
                <w:color w:val="auto"/>
              </w:rPr>
            </w:pPr>
            <w:r>
              <w:rPr>
                <w:rFonts w:ascii="Arial" w:cs="Arial" w:eastAsia="Arial" w:hAnsi="Arial"/>
                <w:sz w:val="25"/>
                <w:szCs w:val="25"/>
                <w:color w:val="auto"/>
                <w:w w:val="86"/>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-2530475</wp:posOffset>
            </wp:positionH>
            <wp:positionV relativeFrom="paragraph">
              <wp:posOffset>-5026025</wp:posOffset>
            </wp:positionV>
            <wp:extent cx="7304405" cy="5539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pacing w:after="0" w:line="277"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15</w:t>
      </w:r>
    </w:p>
    <w:p>
      <w:pPr>
        <w:sectPr>
          <w:pgSz w:w="11900" w:h="16838" w:orient="portrait"/>
          <w:cols w:equalWidth="0" w:num="2">
            <w:col w:w="2420" w:space="720"/>
            <w:col w:w="6800"/>
          </w:cols>
          <w:pgMar w:left="1060" w:top="1440" w:right="899" w:bottom="1440" w:gutter="0" w:footer="0" w:header="0"/>
        </w:sectPr>
      </w:pPr>
    </w:p>
    <w:bookmarkStart w:id="18" w:name="page19"/>
    <w:bookmarkEnd w:id="18"/>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Market Consolidation to DXL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1340" w:type="dxa"/>
        <w:tblCellMar>
          <w:top w:w="0" w:type="dxa"/>
          <w:left w:w="0" w:type="dxa"/>
          <w:bottom w:w="0" w:type="dxa"/>
          <w:right w:w="0" w:type="dxa"/>
        </w:tblCellMar>
      </w:tblPr>
      <w:tr>
        <w:trPr>
          <w:trHeight w:val="198"/>
        </w:trPr>
        <w:tc>
          <w:tcPr>
            <w:tcW w:w="1700" w:type="dxa"/>
            <w:vAlign w:val="bottom"/>
            <w:vMerge w:val="restart"/>
          </w:tcPr>
          <w:p>
            <w:pPr>
              <w:spacing w:after="0"/>
              <w:rPr>
                <w:sz w:val="20"/>
                <w:szCs w:val="20"/>
                <w:color w:val="auto"/>
              </w:rPr>
            </w:pPr>
            <w:r>
              <w:rPr>
                <w:rFonts w:ascii="Arial" w:cs="Arial" w:eastAsia="Arial" w:hAnsi="Arial"/>
                <w:sz w:val="18"/>
                <w:szCs w:val="18"/>
                <w:color w:val="auto"/>
                <w:w w:val="97"/>
              </w:rPr>
              <w:t>9451 Schaumburg, IL</w:t>
            </w:r>
          </w:p>
        </w:tc>
        <w:tc>
          <w:tcPr>
            <w:tcW w:w="1860" w:type="dxa"/>
            <w:vAlign w:val="bottom"/>
          </w:tcPr>
          <w:p>
            <w:pPr>
              <w:ind w:left="160"/>
              <w:spacing w:after="0"/>
              <w:rPr>
                <w:sz w:val="20"/>
                <w:szCs w:val="20"/>
                <w:color w:val="auto"/>
              </w:rPr>
            </w:pPr>
            <w:r>
              <w:rPr>
                <w:rFonts w:ascii="Arial" w:cs="Arial" w:eastAsia="Arial" w:hAnsi="Arial"/>
                <w:sz w:val="15"/>
                <w:szCs w:val="15"/>
                <w:b w:val="1"/>
                <w:bCs w:val="1"/>
                <w:color w:val="auto"/>
              </w:rPr>
              <w:t>DXL</w:t>
            </w:r>
          </w:p>
        </w:tc>
        <w:tc>
          <w:tcPr>
            <w:tcW w:w="1740" w:type="dxa"/>
            <w:vAlign w:val="bottom"/>
            <w:vMerge w:val="restart"/>
          </w:tcPr>
          <w:p>
            <w:pPr>
              <w:jc w:val="center"/>
              <w:ind w:left="632"/>
              <w:spacing w:after="0"/>
              <w:rPr>
                <w:sz w:val="20"/>
                <w:szCs w:val="20"/>
                <w:color w:val="auto"/>
              </w:rPr>
            </w:pPr>
            <w:r>
              <w:rPr>
                <w:rFonts w:ascii="Arial" w:cs="Arial" w:eastAsia="Arial" w:hAnsi="Arial"/>
                <w:sz w:val="18"/>
                <w:szCs w:val="18"/>
                <w:color w:val="auto"/>
                <w:w w:val="92"/>
              </w:rPr>
              <w:t>9183 Niles, IL</w:t>
            </w:r>
          </w:p>
        </w:tc>
        <w:tc>
          <w:tcPr>
            <w:tcW w:w="0" w:type="dxa"/>
            <w:vAlign w:val="bottom"/>
          </w:tcPr>
          <w:p>
            <w:pPr>
              <w:spacing w:after="0"/>
              <w:rPr>
                <w:sz w:val="1"/>
                <w:szCs w:val="1"/>
                <w:color w:val="auto"/>
              </w:rPr>
            </w:pPr>
          </w:p>
        </w:tc>
      </w:tr>
      <w:tr>
        <w:trPr>
          <w:trHeight w:val="136"/>
        </w:trPr>
        <w:tc>
          <w:tcPr>
            <w:tcW w:w="1700" w:type="dxa"/>
            <w:vAlign w:val="bottom"/>
            <w:vMerge w:val="continue"/>
          </w:tcPr>
          <w:p>
            <w:pPr>
              <w:spacing w:after="0"/>
              <w:rPr>
                <w:sz w:val="11"/>
                <w:szCs w:val="11"/>
                <w:color w:val="auto"/>
              </w:rPr>
            </w:pPr>
          </w:p>
        </w:tc>
        <w:tc>
          <w:tcPr>
            <w:tcW w:w="18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Schaumburg, IL</w:t>
            </w:r>
          </w:p>
        </w:tc>
        <w:tc>
          <w:tcPr>
            <w:tcW w:w="1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700" w:type="dxa"/>
            <w:vAlign w:val="bottom"/>
          </w:tcPr>
          <w:p>
            <w:pPr>
              <w:spacing w:after="0"/>
              <w:rPr>
                <w:sz w:val="10"/>
                <w:szCs w:val="10"/>
                <w:color w:val="auto"/>
              </w:rPr>
            </w:pPr>
          </w:p>
        </w:tc>
        <w:tc>
          <w:tcPr>
            <w:tcW w:w="1860" w:type="dxa"/>
            <w:vAlign w:val="bottom"/>
            <w:vMerge w:val="continue"/>
          </w:tcPr>
          <w:p>
            <w:pPr>
              <w:spacing w:after="0"/>
              <w:rPr>
                <w:sz w:val="10"/>
                <w:szCs w:val="10"/>
                <w:color w:val="auto"/>
              </w:rPr>
            </w:pPr>
          </w:p>
        </w:tc>
        <w:tc>
          <w:tcPr>
            <w:tcW w:w="1740" w:type="dxa"/>
            <w:vAlign w:val="bottom"/>
            <w:vMerge w:val="restart"/>
          </w:tcPr>
          <w:p>
            <w:pPr>
              <w:jc w:val="center"/>
              <w:ind w:left="632"/>
              <w:spacing w:after="0"/>
              <w:rPr>
                <w:sz w:val="20"/>
                <w:szCs w:val="20"/>
                <w:color w:val="auto"/>
              </w:rPr>
            </w:pPr>
            <w:r>
              <w:rPr>
                <w:rFonts w:ascii="Arial" w:cs="Arial" w:eastAsia="Arial" w:hAnsi="Arial"/>
                <w:sz w:val="18"/>
                <w:szCs w:val="18"/>
                <w:color w:val="auto"/>
                <w:w w:val="90"/>
              </w:rPr>
              <w:t>11.4 miles</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8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xml:space="preserve">0.9 </w:t>
            </w:r>
            <w:r>
              <w:rPr>
                <w:rFonts w:ascii="Arial" w:cs="Arial" w:eastAsia="Arial" w:hAnsi="Arial"/>
                <w:sz w:val="15"/>
                <w:szCs w:val="15"/>
                <w:b w:val="1"/>
                <w:bCs w:val="1"/>
                <w:color w:val="auto"/>
              </w:rPr>
              <w:t>miles</w:t>
            </w:r>
          </w:p>
        </w:tc>
        <w:tc>
          <w:tcPr>
            <w:tcW w:w="1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700" w:type="dxa"/>
            <w:vAlign w:val="bottom"/>
          </w:tcPr>
          <w:p>
            <w:pPr>
              <w:spacing w:after="0"/>
              <w:rPr>
                <w:sz w:val="15"/>
                <w:szCs w:val="15"/>
                <w:color w:val="auto"/>
              </w:rPr>
            </w:pPr>
          </w:p>
        </w:tc>
        <w:tc>
          <w:tcPr>
            <w:tcW w:w="1860" w:type="dxa"/>
            <w:vAlign w:val="bottom"/>
            <w:vMerge w:val="continue"/>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880"/>
        <w:spacing w:after="0"/>
        <w:rPr>
          <w:sz w:val="20"/>
          <w:szCs w:val="20"/>
          <w:color w:val="auto"/>
        </w:rPr>
      </w:pPr>
      <w:r>
        <w:rPr>
          <w:rFonts w:ascii="Arial" w:cs="Arial" w:eastAsia="Arial" w:hAnsi="Arial"/>
          <w:sz w:val="86"/>
          <w:szCs w:val="86"/>
          <w:b w:val="1"/>
          <w:bCs w:val="1"/>
          <w:color w:val="auto"/>
        </w:rPr>
        <w:t>Chicago Metro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9512 Bloomingdale, IL</w:t>
      </w:r>
    </w:p>
    <w:p>
      <w:pPr>
        <w:spacing w:after="0" w:line="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11.2 miles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80"/>
        <w:spacing w:after="0"/>
        <w:rPr>
          <w:sz w:val="20"/>
          <w:szCs w:val="20"/>
          <w:color w:val="auto"/>
        </w:rPr>
      </w:pPr>
      <w:r>
        <w:rPr>
          <w:rFonts w:ascii="Arial" w:cs="Arial" w:eastAsia="Arial" w:hAnsi="Arial"/>
          <w:sz w:val="28"/>
          <w:szCs w:val="28"/>
          <w:color w:val="auto"/>
        </w:rPr>
        <w:t>Customers are willing to drive up to 20 miles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16</w:t>
      </w:r>
    </w:p>
    <w:p>
      <w:pPr>
        <w:sectPr>
          <w:pgSz w:w="11900" w:h="16838" w:orient="portrait"/>
          <w:cols w:equalWidth="0" w:num="1">
            <w:col w:w="9960"/>
          </w:cols>
          <w:pgMar w:left="1040" w:top="1052" w:right="899" w:bottom="1440" w:gutter="0" w:footer="0" w:header="0"/>
        </w:sectPr>
      </w:pPr>
    </w:p>
    <w:bookmarkStart w:id="19" w:name="page20"/>
    <w:bookmarkEnd w:id="19"/>
    <w:p>
      <w:pPr>
        <w:ind w:left="20"/>
        <w:spacing w:after="0"/>
        <w:rPr>
          <w:sz w:val="20"/>
          <w:szCs w:val="20"/>
          <w:color w:val="auto"/>
        </w:rPr>
      </w:pPr>
      <w:r>
        <w:rPr>
          <w:rFonts w:ascii="Arial" w:cs="Arial" w:eastAsia="Arial" w:hAnsi="Arial"/>
          <w:sz w:val="53"/>
          <w:szCs w:val="53"/>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DXL Comps Reflect Growth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480" w:type="dxa"/>
        <w:tblCellMar>
          <w:top w:w="0" w:type="dxa"/>
          <w:left w:w="0" w:type="dxa"/>
          <w:bottom w:w="0" w:type="dxa"/>
          <w:right w:w="0" w:type="dxa"/>
        </w:tblCellMar>
      </w:tblPr>
      <w:tr>
        <w:trPr>
          <w:trHeight w:val="250"/>
        </w:trPr>
        <w:tc>
          <w:tcPr>
            <w:tcW w:w="640" w:type="dxa"/>
            <w:vAlign w:val="bottom"/>
          </w:tcPr>
          <w:p>
            <w:pPr>
              <w:jc w:val="right"/>
              <w:ind w:right="6"/>
              <w:spacing w:after="0"/>
              <w:rPr>
                <w:sz w:val="20"/>
                <w:szCs w:val="20"/>
                <w:color w:val="auto"/>
              </w:rPr>
            </w:pPr>
            <w:r>
              <w:rPr>
                <w:rFonts w:ascii="Arial" w:cs="Arial" w:eastAsia="Arial" w:hAnsi="Arial"/>
                <w:sz w:val="19"/>
                <w:szCs w:val="19"/>
                <w:b w:val="1"/>
                <w:bCs w:val="1"/>
                <w:color w:val="697D88"/>
                <w:w w:val="96"/>
              </w:rPr>
              <w:t>20.0%</w:t>
            </w:r>
          </w:p>
        </w:tc>
        <w:tc>
          <w:tcPr>
            <w:tcW w:w="84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0"/>
        </w:trPr>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20" w:type="dxa"/>
            <w:vAlign w:val="bottom"/>
            <w:vMerge w:val="restart"/>
          </w:tcPr>
          <w:p>
            <w:pPr>
              <w:jc w:val="right"/>
              <w:ind w:right="86"/>
              <w:spacing w:after="0"/>
              <w:rPr>
                <w:sz w:val="20"/>
                <w:szCs w:val="20"/>
                <w:color w:val="auto"/>
              </w:rPr>
            </w:pPr>
            <w:r>
              <w:rPr>
                <w:rFonts w:ascii="Arial" w:cs="Arial" w:eastAsia="Arial" w:hAnsi="Arial"/>
                <w:sz w:val="19"/>
                <w:szCs w:val="19"/>
                <w:b w:val="1"/>
                <w:bCs w:val="1"/>
                <w:color w:val="697D88"/>
              </w:rPr>
              <w:t>16.3%</w:t>
            </w:r>
          </w:p>
        </w:tc>
        <w:tc>
          <w:tcPr>
            <w:tcW w:w="2720" w:type="dxa"/>
            <w:vAlign w:val="bottom"/>
          </w:tcPr>
          <w:p>
            <w:pPr>
              <w:jc w:val="right"/>
              <w:ind w:right="1906"/>
              <w:spacing w:after="0"/>
              <w:rPr>
                <w:sz w:val="20"/>
                <w:szCs w:val="20"/>
                <w:color w:val="auto"/>
              </w:rPr>
            </w:pPr>
            <w:r>
              <w:rPr>
                <w:rFonts w:ascii="Arial" w:cs="Arial" w:eastAsia="Arial" w:hAnsi="Arial"/>
                <w:sz w:val="19"/>
                <w:szCs w:val="19"/>
                <w:b w:val="1"/>
                <w:bCs w:val="1"/>
                <w:color w:val="697D88"/>
              </w:rPr>
              <w:t>17.1%</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20" w:type="dxa"/>
            <w:vAlign w:val="bottom"/>
            <w:vMerge w:val="continue"/>
          </w:tcPr>
          <w:p>
            <w:pPr>
              <w:spacing w:after="0"/>
              <w:rPr>
                <w:sz w:val="12"/>
                <w:szCs w:val="12"/>
                <w:color w:val="auto"/>
              </w:rPr>
            </w:pPr>
          </w:p>
        </w:tc>
        <w:tc>
          <w:tcPr>
            <w:tcW w:w="2720" w:type="dxa"/>
            <w:vAlign w:val="bottom"/>
            <w:vMerge w:val="restart"/>
          </w:tcPr>
          <w:p>
            <w:pPr>
              <w:jc w:val="right"/>
              <w:ind w:right="86"/>
              <w:spacing w:after="0" w:line="419" w:lineRule="exact"/>
              <w:rPr>
                <w:sz w:val="20"/>
                <w:szCs w:val="20"/>
                <w:color w:val="auto"/>
              </w:rPr>
            </w:pPr>
            <w:r>
              <w:rPr>
                <w:rFonts w:ascii="Arial" w:cs="Arial" w:eastAsia="Arial" w:hAnsi="Arial"/>
                <w:sz w:val="19"/>
                <w:szCs w:val="19"/>
                <w:b w:val="1"/>
                <w:bCs w:val="1"/>
                <w:color w:val="697D88"/>
              </w:rPr>
              <w:t>15.0%</w:t>
            </w:r>
            <w:r>
              <w:rPr>
                <w:rFonts w:ascii="Arial" w:cs="Arial" w:eastAsia="Arial" w:hAnsi="Arial"/>
                <w:sz w:val="37"/>
                <w:szCs w:val="37"/>
                <w:color w:val="10253F"/>
                <w:vertAlign w:val="superscript"/>
              </w:rPr>
              <w:t>*</w:t>
            </w:r>
          </w:p>
        </w:tc>
        <w:tc>
          <w:tcPr>
            <w:tcW w:w="720" w:type="dxa"/>
            <w:vAlign w:val="bottom"/>
            <w:vMerge w:val="restart"/>
          </w:tcPr>
          <w:p>
            <w:pPr>
              <w:jc w:val="right"/>
              <w:spacing w:after="0"/>
              <w:rPr>
                <w:sz w:val="20"/>
                <w:szCs w:val="20"/>
                <w:color w:val="auto"/>
              </w:rPr>
            </w:pPr>
            <w:r>
              <w:rPr>
                <w:rFonts w:ascii="Arial" w:cs="Arial" w:eastAsia="Arial" w:hAnsi="Arial"/>
                <w:sz w:val="19"/>
                <w:szCs w:val="19"/>
                <w:b w:val="1"/>
                <w:bCs w:val="1"/>
                <w:color w:val="697D88"/>
              </w:rPr>
              <w:t>15.6%</w:t>
            </w:r>
          </w:p>
        </w:tc>
        <w:tc>
          <w:tcPr>
            <w:tcW w:w="0" w:type="dxa"/>
            <w:vAlign w:val="bottom"/>
          </w:tcPr>
          <w:p>
            <w:pPr>
              <w:spacing w:after="0"/>
              <w:rPr>
                <w:sz w:val="1"/>
                <w:szCs w:val="1"/>
                <w:color w:val="auto"/>
              </w:rPr>
            </w:pPr>
          </w:p>
        </w:tc>
      </w:tr>
      <w:tr>
        <w:trPr>
          <w:trHeight w:val="153"/>
        </w:trPr>
        <w:tc>
          <w:tcPr>
            <w:tcW w:w="640" w:type="dxa"/>
            <w:vAlign w:val="bottom"/>
          </w:tcPr>
          <w:p>
            <w:pPr>
              <w:spacing w:after="0"/>
              <w:rPr>
                <w:sz w:val="13"/>
                <w:szCs w:val="13"/>
                <w:color w:val="auto"/>
              </w:rPr>
            </w:pPr>
          </w:p>
        </w:tc>
        <w:tc>
          <w:tcPr>
            <w:tcW w:w="840" w:type="dxa"/>
            <w:vAlign w:val="bottom"/>
            <w:vMerge w:val="restart"/>
          </w:tcPr>
          <w:p>
            <w:pPr>
              <w:jc w:val="right"/>
              <w:ind w:right="126"/>
              <w:spacing w:after="0"/>
              <w:rPr>
                <w:sz w:val="20"/>
                <w:szCs w:val="20"/>
                <w:color w:val="auto"/>
              </w:rPr>
            </w:pPr>
            <w:r>
              <w:rPr>
                <w:rFonts w:ascii="Arial" w:cs="Arial" w:eastAsia="Arial" w:hAnsi="Arial"/>
                <w:sz w:val="19"/>
                <w:szCs w:val="19"/>
                <w:b w:val="1"/>
                <w:bCs w:val="1"/>
                <w:color w:val="697D88"/>
              </w:rPr>
              <w:t>14.5%</w:t>
            </w:r>
          </w:p>
        </w:tc>
        <w:tc>
          <w:tcPr>
            <w:tcW w:w="2620" w:type="dxa"/>
            <w:vAlign w:val="bottom"/>
          </w:tcPr>
          <w:p>
            <w:pPr>
              <w:spacing w:after="0"/>
              <w:rPr>
                <w:sz w:val="13"/>
                <w:szCs w:val="13"/>
                <w:color w:val="auto"/>
              </w:rPr>
            </w:pPr>
          </w:p>
        </w:tc>
        <w:tc>
          <w:tcPr>
            <w:tcW w:w="27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640" w:type="dxa"/>
            <w:vAlign w:val="bottom"/>
            <w:vMerge w:val="restart"/>
          </w:tcPr>
          <w:p>
            <w:pPr>
              <w:jc w:val="right"/>
              <w:ind w:right="6"/>
              <w:spacing w:after="0"/>
              <w:rPr>
                <w:sz w:val="20"/>
                <w:szCs w:val="20"/>
                <w:color w:val="auto"/>
              </w:rPr>
            </w:pPr>
            <w:r>
              <w:rPr>
                <w:rFonts w:ascii="Arial" w:cs="Arial" w:eastAsia="Arial" w:hAnsi="Arial"/>
                <w:sz w:val="19"/>
                <w:szCs w:val="19"/>
                <w:b w:val="1"/>
                <w:bCs w:val="1"/>
                <w:color w:val="697D88"/>
                <w:w w:val="96"/>
              </w:rPr>
              <w:t>15.0%</w:t>
            </w:r>
          </w:p>
        </w:tc>
        <w:tc>
          <w:tcPr>
            <w:tcW w:w="840" w:type="dxa"/>
            <w:vAlign w:val="bottom"/>
            <w:vMerge w:val="continue"/>
          </w:tcPr>
          <w:p>
            <w:pPr>
              <w:spacing w:after="0"/>
              <w:rPr>
                <w:sz w:val="10"/>
                <w:szCs w:val="10"/>
                <w:color w:val="auto"/>
              </w:rPr>
            </w:pPr>
          </w:p>
        </w:tc>
        <w:tc>
          <w:tcPr>
            <w:tcW w:w="2620" w:type="dxa"/>
            <w:vAlign w:val="bottom"/>
          </w:tcPr>
          <w:p>
            <w:pPr>
              <w:spacing w:after="0"/>
              <w:rPr>
                <w:sz w:val="10"/>
                <w:szCs w:val="10"/>
                <w:color w:val="auto"/>
              </w:rPr>
            </w:pPr>
          </w:p>
        </w:tc>
        <w:tc>
          <w:tcPr>
            <w:tcW w:w="272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620" w:type="dxa"/>
            <w:vAlign w:val="bottom"/>
          </w:tcPr>
          <w:p>
            <w:pPr>
              <w:spacing w:after="0"/>
              <w:rPr>
                <w:sz w:val="14"/>
                <w:szCs w:val="14"/>
                <w:color w:val="auto"/>
              </w:rPr>
            </w:pPr>
          </w:p>
        </w:tc>
        <w:tc>
          <w:tcPr>
            <w:tcW w:w="2720" w:type="dxa"/>
            <w:vAlign w:val="bottom"/>
            <w:vMerge w:val="restart"/>
          </w:tcPr>
          <w:p>
            <w:pPr>
              <w:jc w:val="right"/>
              <w:ind w:right="1006"/>
              <w:spacing w:after="0"/>
              <w:rPr>
                <w:sz w:val="20"/>
                <w:szCs w:val="20"/>
                <w:color w:val="auto"/>
              </w:rPr>
            </w:pPr>
            <w:r>
              <w:rPr>
                <w:rFonts w:ascii="Arial" w:cs="Arial" w:eastAsia="Arial" w:hAnsi="Arial"/>
                <w:sz w:val="19"/>
                <w:szCs w:val="19"/>
                <w:b w:val="1"/>
                <w:bCs w:val="1"/>
                <w:color w:val="697D88"/>
              </w:rPr>
              <w:t>13.8%</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20" w:type="dxa"/>
            <w:vAlign w:val="bottom"/>
            <w:vMerge w:val="restart"/>
          </w:tcPr>
          <w:p>
            <w:pPr>
              <w:jc w:val="right"/>
              <w:ind w:right="966"/>
              <w:spacing w:after="0"/>
              <w:rPr>
                <w:sz w:val="20"/>
                <w:szCs w:val="20"/>
                <w:color w:val="auto"/>
              </w:rPr>
            </w:pPr>
            <w:r>
              <w:rPr>
                <w:rFonts w:ascii="Arial" w:cs="Arial" w:eastAsia="Arial" w:hAnsi="Arial"/>
                <w:sz w:val="19"/>
                <w:szCs w:val="19"/>
                <w:b w:val="1"/>
                <w:bCs w:val="1"/>
                <w:color w:val="697D88"/>
              </w:rPr>
              <w:t>12.8%</w:t>
            </w:r>
          </w:p>
        </w:tc>
        <w:tc>
          <w:tcPr>
            <w:tcW w:w="272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20" w:type="dxa"/>
            <w:vAlign w:val="bottom"/>
            <w:vMerge w:val="continue"/>
          </w:tcPr>
          <w:p>
            <w:pPr>
              <w:spacing w:after="0"/>
              <w:rPr>
                <w:sz w:val="18"/>
                <w:szCs w:val="18"/>
                <w:color w:val="auto"/>
              </w:rPr>
            </w:pPr>
          </w:p>
        </w:tc>
        <w:tc>
          <w:tcPr>
            <w:tcW w:w="2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9"/>
        </w:trPr>
        <w:tc>
          <w:tcPr>
            <w:tcW w:w="640" w:type="dxa"/>
            <w:vAlign w:val="bottom"/>
          </w:tcPr>
          <w:p>
            <w:pPr>
              <w:jc w:val="right"/>
              <w:ind w:right="6"/>
              <w:spacing w:after="0"/>
              <w:rPr>
                <w:sz w:val="20"/>
                <w:szCs w:val="20"/>
                <w:color w:val="auto"/>
              </w:rPr>
            </w:pPr>
            <w:r>
              <w:rPr>
                <w:rFonts w:ascii="Arial" w:cs="Arial" w:eastAsia="Arial" w:hAnsi="Arial"/>
                <w:sz w:val="19"/>
                <w:szCs w:val="19"/>
                <w:b w:val="1"/>
                <w:bCs w:val="1"/>
                <w:color w:val="697D88"/>
                <w:w w:val="96"/>
              </w:rPr>
              <w:t>10.0%</w:t>
            </w:r>
          </w:p>
        </w:tc>
        <w:tc>
          <w:tcPr>
            <w:tcW w:w="840" w:type="dxa"/>
            <w:vAlign w:val="bottom"/>
          </w:tcPr>
          <w:p>
            <w:pPr>
              <w:spacing w:after="0"/>
              <w:rPr>
                <w:sz w:val="24"/>
                <w:szCs w:val="24"/>
                <w:color w:val="auto"/>
              </w:rPr>
            </w:pPr>
          </w:p>
        </w:tc>
        <w:tc>
          <w:tcPr>
            <w:tcW w:w="2620" w:type="dxa"/>
            <w:vAlign w:val="bottom"/>
          </w:tcPr>
          <w:p>
            <w:pPr>
              <w:jc w:val="right"/>
              <w:ind w:right="1886"/>
              <w:spacing w:after="0"/>
              <w:rPr>
                <w:sz w:val="20"/>
                <w:szCs w:val="20"/>
                <w:color w:val="auto"/>
              </w:rPr>
            </w:pPr>
            <w:r>
              <w:rPr>
                <w:rFonts w:ascii="Arial" w:cs="Arial" w:eastAsia="Arial" w:hAnsi="Arial"/>
                <w:sz w:val="19"/>
                <w:szCs w:val="19"/>
                <w:b w:val="1"/>
                <w:bCs w:val="1"/>
                <w:color w:val="697D88"/>
              </w:rPr>
              <w:t>9.0%</w:t>
            </w:r>
          </w:p>
        </w:tc>
        <w:tc>
          <w:tcPr>
            <w:tcW w:w="2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80" w:type="dxa"/>
            <w:vAlign w:val="bottom"/>
          </w:tcPr>
          <w:p>
            <w:pPr>
              <w:ind w:left="600"/>
              <w:spacing w:after="0"/>
              <w:rPr>
                <w:sz w:val="20"/>
                <w:szCs w:val="20"/>
                <w:color w:val="auto"/>
              </w:rPr>
            </w:pPr>
            <w:r>
              <w:rPr>
                <w:rFonts w:ascii="Arial" w:cs="Arial" w:eastAsia="Arial" w:hAnsi="Arial"/>
                <w:sz w:val="19"/>
                <w:szCs w:val="19"/>
                <w:b w:val="1"/>
                <w:bCs w:val="1"/>
                <w:color w:val="697D88"/>
              </w:rPr>
              <w:t>5.0%</w:t>
            </w:r>
          </w:p>
        </w:tc>
        <w:tc>
          <w:tcPr>
            <w:tcW w:w="2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3"/>
        </w:trPr>
        <w:tc>
          <w:tcPr>
            <w:tcW w:w="2080" w:type="dxa"/>
            <w:vAlign w:val="bottom"/>
          </w:tcPr>
          <w:p>
            <w:pPr>
              <w:spacing w:after="0"/>
              <w:rPr>
                <w:sz w:val="24"/>
                <w:szCs w:val="24"/>
                <w:color w:val="auto"/>
              </w:rPr>
            </w:pPr>
          </w:p>
        </w:tc>
        <w:tc>
          <w:tcPr>
            <w:tcW w:w="2160" w:type="dxa"/>
            <w:vAlign w:val="bottom"/>
          </w:tcPr>
          <w:p>
            <w:pPr>
              <w:jc w:val="right"/>
              <w:ind w:right="366"/>
              <w:spacing w:after="0"/>
              <w:rPr>
                <w:sz w:val="20"/>
                <w:szCs w:val="20"/>
                <w:color w:val="auto"/>
              </w:rPr>
            </w:pPr>
            <w:r>
              <w:rPr>
                <w:rFonts w:ascii="Arial" w:cs="Arial" w:eastAsia="Arial" w:hAnsi="Arial"/>
                <w:sz w:val="19"/>
                <w:szCs w:val="19"/>
                <w:b w:val="1"/>
                <w:bCs w:val="1"/>
                <w:color w:val="697D88"/>
              </w:rPr>
              <w:t>2.1%</w:t>
            </w:r>
          </w:p>
        </w:tc>
        <w:tc>
          <w:tcPr>
            <w:tcW w:w="540" w:type="dxa"/>
            <w:vAlign w:val="bottom"/>
          </w:tcPr>
          <w:p>
            <w:pPr>
              <w:jc w:val="right"/>
              <w:spacing w:after="0"/>
              <w:rPr>
                <w:sz w:val="20"/>
                <w:szCs w:val="20"/>
                <w:color w:val="auto"/>
              </w:rPr>
            </w:pPr>
            <w:r>
              <w:rPr>
                <w:rFonts w:ascii="Arial" w:cs="Arial" w:eastAsia="Arial" w:hAnsi="Arial"/>
                <w:sz w:val="19"/>
                <w:szCs w:val="19"/>
                <w:b w:val="1"/>
                <w:bCs w:val="1"/>
                <w:color w:val="697D88"/>
              </w:rPr>
              <w:t>2.0%</w:t>
            </w:r>
          </w:p>
        </w:tc>
        <w:tc>
          <w:tcPr>
            <w:tcW w:w="1080" w:type="dxa"/>
            <w:vAlign w:val="bottom"/>
          </w:tcPr>
          <w:p>
            <w:pPr>
              <w:jc w:val="right"/>
              <w:ind w:right="146"/>
              <w:spacing w:after="0"/>
              <w:rPr>
                <w:sz w:val="20"/>
                <w:szCs w:val="20"/>
                <w:color w:val="auto"/>
              </w:rPr>
            </w:pPr>
            <w:r>
              <w:rPr>
                <w:rFonts w:ascii="Arial" w:cs="Arial" w:eastAsia="Arial" w:hAnsi="Arial"/>
                <w:sz w:val="19"/>
                <w:szCs w:val="19"/>
                <w:b w:val="1"/>
                <w:bCs w:val="1"/>
                <w:color w:val="697D88"/>
              </w:rPr>
              <w:t>2.0%</w:t>
            </w:r>
          </w:p>
        </w:tc>
        <w:tc>
          <w:tcPr>
            <w:tcW w:w="720" w:type="dxa"/>
            <w:vAlign w:val="bottom"/>
            <w:vMerge w:val="restart"/>
          </w:tcPr>
          <w:p>
            <w:pPr>
              <w:jc w:val="right"/>
              <w:spacing w:after="0"/>
              <w:rPr>
                <w:sz w:val="20"/>
                <w:szCs w:val="20"/>
                <w:color w:val="auto"/>
              </w:rPr>
            </w:pPr>
            <w:r>
              <w:rPr>
                <w:rFonts w:ascii="Arial" w:cs="Arial" w:eastAsia="Arial" w:hAnsi="Arial"/>
                <w:sz w:val="19"/>
                <w:szCs w:val="19"/>
                <w:b w:val="1"/>
                <w:bCs w:val="1"/>
                <w:color w:val="697D88"/>
              </w:rPr>
              <w:t>1.5%</w:t>
            </w:r>
          </w:p>
        </w:tc>
        <w:tc>
          <w:tcPr>
            <w:tcW w:w="3660" w:type="dxa"/>
            <w:vAlign w:val="bottom"/>
            <w:vMerge w:val="restart"/>
          </w:tcPr>
          <w:p>
            <w:pPr>
              <w:jc w:val="right"/>
              <w:ind w:right="1886"/>
              <w:spacing w:after="0"/>
              <w:rPr>
                <w:sz w:val="20"/>
                <w:szCs w:val="20"/>
                <w:color w:val="auto"/>
              </w:rPr>
            </w:pPr>
            <w:r>
              <w:rPr>
                <w:rFonts w:ascii="Arial" w:cs="Arial" w:eastAsia="Arial" w:hAnsi="Arial"/>
                <w:sz w:val="19"/>
                <w:szCs w:val="19"/>
                <w:b w:val="1"/>
                <w:bCs w:val="1"/>
                <w:color w:val="697D88"/>
              </w:rPr>
              <w:t>1.5%</w:t>
            </w:r>
          </w:p>
        </w:tc>
        <w:tc>
          <w:tcPr>
            <w:tcW w:w="0" w:type="dxa"/>
            <w:vAlign w:val="bottom"/>
          </w:tcPr>
          <w:p>
            <w:pPr>
              <w:spacing w:after="0"/>
              <w:rPr>
                <w:sz w:val="1"/>
                <w:szCs w:val="1"/>
                <w:color w:val="auto"/>
              </w:rPr>
            </w:pPr>
          </w:p>
        </w:tc>
      </w:tr>
      <w:tr>
        <w:trPr>
          <w:trHeight w:val="53"/>
        </w:trPr>
        <w:tc>
          <w:tcPr>
            <w:tcW w:w="2080" w:type="dxa"/>
            <w:vAlign w:val="bottom"/>
            <w:vMerge w:val="restart"/>
          </w:tcPr>
          <w:p>
            <w:pPr>
              <w:ind w:left="1560"/>
              <w:spacing w:after="0"/>
              <w:rPr>
                <w:sz w:val="20"/>
                <w:szCs w:val="20"/>
                <w:color w:val="auto"/>
              </w:rPr>
            </w:pPr>
            <w:r>
              <w:rPr>
                <w:rFonts w:ascii="Arial" w:cs="Arial" w:eastAsia="Arial" w:hAnsi="Arial"/>
                <w:sz w:val="19"/>
                <w:szCs w:val="19"/>
                <w:b w:val="1"/>
                <w:bCs w:val="1"/>
                <w:color w:val="697D88"/>
              </w:rPr>
              <w:t>0.7%</w:t>
            </w:r>
          </w:p>
        </w:tc>
        <w:tc>
          <w:tcPr>
            <w:tcW w:w="2160" w:type="dxa"/>
            <w:vAlign w:val="bottom"/>
            <w:vMerge w:val="restart"/>
          </w:tcPr>
          <w:p>
            <w:pPr>
              <w:jc w:val="right"/>
              <w:ind w:right="1206"/>
              <w:spacing w:after="0"/>
              <w:rPr>
                <w:sz w:val="20"/>
                <w:szCs w:val="20"/>
                <w:color w:val="auto"/>
              </w:rPr>
            </w:pPr>
            <w:r>
              <w:rPr>
                <w:rFonts w:ascii="Arial" w:cs="Arial" w:eastAsia="Arial" w:hAnsi="Arial"/>
                <w:sz w:val="19"/>
                <w:szCs w:val="19"/>
                <w:b w:val="1"/>
                <w:bCs w:val="1"/>
                <w:color w:val="697D88"/>
              </w:rPr>
              <w:t>0.8%</w:t>
            </w:r>
          </w:p>
        </w:tc>
        <w:tc>
          <w:tcPr>
            <w:tcW w:w="5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3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80" w:type="dxa"/>
            <w:vAlign w:val="bottom"/>
            <w:vMerge w:val="continue"/>
          </w:tcPr>
          <w:p>
            <w:pPr>
              <w:spacing w:after="0"/>
              <w:rPr>
                <w:sz w:val="21"/>
                <w:szCs w:val="21"/>
                <w:color w:val="auto"/>
              </w:rPr>
            </w:pPr>
          </w:p>
        </w:tc>
        <w:tc>
          <w:tcPr>
            <w:tcW w:w="216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60" w:type="dxa"/>
            <w:vAlign w:val="bottom"/>
          </w:tcPr>
          <w:p>
            <w:pPr>
              <w:jc w:val="right"/>
              <w:ind w:right="2786"/>
              <w:spacing w:after="0"/>
              <w:rPr>
                <w:sz w:val="20"/>
                <w:szCs w:val="20"/>
                <w:color w:val="auto"/>
              </w:rPr>
            </w:pPr>
            <w:r>
              <w:rPr>
                <w:rFonts w:ascii="Arial" w:cs="Arial" w:eastAsia="Arial" w:hAnsi="Arial"/>
                <w:sz w:val="19"/>
                <w:szCs w:val="19"/>
                <w:b w:val="1"/>
                <w:bCs w:val="1"/>
                <w:color w:val="697D88"/>
              </w:rPr>
              <w:t>0.5%</w:t>
            </w:r>
          </w:p>
        </w:tc>
        <w:tc>
          <w:tcPr>
            <w:tcW w:w="0" w:type="dxa"/>
            <w:vAlign w:val="bottom"/>
          </w:tcPr>
          <w:p>
            <w:pPr>
              <w:spacing w:after="0"/>
              <w:rPr>
                <w:sz w:val="1"/>
                <w:szCs w:val="1"/>
                <w:color w:val="auto"/>
              </w:rPr>
            </w:pPr>
          </w:p>
        </w:tc>
      </w:tr>
      <w:tr>
        <w:trPr>
          <w:trHeight w:val="264"/>
        </w:trPr>
        <w:tc>
          <w:tcPr>
            <w:tcW w:w="2080" w:type="dxa"/>
            <w:vAlign w:val="bottom"/>
          </w:tcPr>
          <w:p>
            <w:pPr>
              <w:ind w:left="580"/>
              <w:spacing w:after="0"/>
              <w:rPr>
                <w:sz w:val="20"/>
                <w:szCs w:val="20"/>
                <w:color w:val="auto"/>
              </w:rPr>
            </w:pPr>
            <w:r>
              <w:rPr>
                <w:rFonts w:ascii="Arial" w:cs="Arial" w:eastAsia="Arial" w:hAnsi="Arial"/>
                <w:sz w:val="19"/>
                <w:szCs w:val="19"/>
                <w:b w:val="1"/>
                <w:bCs w:val="1"/>
                <w:color w:val="697D88"/>
              </w:rPr>
              <w:t>0.0%</w:t>
            </w:r>
          </w:p>
        </w:tc>
        <w:tc>
          <w:tcPr>
            <w:tcW w:w="2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2080" w:type="dxa"/>
            <w:vAlign w:val="bottom"/>
          </w:tcPr>
          <w:p>
            <w:pPr>
              <w:ind w:left="1260"/>
              <w:spacing w:after="0"/>
              <w:rPr>
                <w:sz w:val="20"/>
                <w:szCs w:val="20"/>
                <w:color w:val="auto"/>
              </w:rPr>
            </w:pPr>
            <w:r>
              <w:rPr>
                <w:rFonts w:ascii="Arial" w:cs="Arial" w:eastAsia="Arial" w:hAnsi="Arial"/>
                <w:sz w:val="19"/>
                <w:szCs w:val="19"/>
                <w:b w:val="1"/>
                <w:bCs w:val="1"/>
                <w:color w:val="697D88"/>
              </w:rPr>
              <w:t>Q3 2011</w:t>
            </w:r>
          </w:p>
        </w:tc>
        <w:tc>
          <w:tcPr>
            <w:tcW w:w="2700" w:type="dxa"/>
            <w:vAlign w:val="bottom"/>
            <w:gridSpan w:val="2"/>
          </w:tcPr>
          <w:p>
            <w:pPr>
              <w:jc w:val="right"/>
              <w:ind w:right="6"/>
              <w:spacing w:after="0"/>
              <w:rPr>
                <w:sz w:val="20"/>
                <w:szCs w:val="20"/>
                <w:color w:val="auto"/>
              </w:rPr>
            </w:pPr>
            <w:r>
              <w:rPr>
                <w:rFonts w:ascii="Arial" w:cs="Arial" w:eastAsia="Arial" w:hAnsi="Arial"/>
                <w:sz w:val="19"/>
                <w:szCs w:val="19"/>
                <w:b w:val="1"/>
                <w:bCs w:val="1"/>
                <w:color w:val="697D88"/>
              </w:rPr>
              <w:t>Q4 2011  FY 2011  Q1 2012</w:t>
            </w:r>
          </w:p>
        </w:tc>
        <w:tc>
          <w:tcPr>
            <w:tcW w:w="1800" w:type="dxa"/>
            <w:vAlign w:val="bottom"/>
            <w:gridSpan w:val="2"/>
          </w:tcPr>
          <w:p>
            <w:pPr>
              <w:jc w:val="right"/>
              <w:ind w:right="6"/>
              <w:spacing w:after="0"/>
              <w:rPr>
                <w:sz w:val="20"/>
                <w:szCs w:val="20"/>
                <w:color w:val="auto"/>
              </w:rPr>
            </w:pPr>
            <w:r>
              <w:rPr>
                <w:rFonts w:ascii="Arial" w:cs="Arial" w:eastAsia="Arial" w:hAnsi="Arial"/>
                <w:sz w:val="19"/>
                <w:szCs w:val="19"/>
                <w:b w:val="1"/>
                <w:bCs w:val="1"/>
                <w:color w:val="697D88"/>
              </w:rPr>
              <w:t>Q2 2012  Q3 2012</w:t>
            </w:r>
          </w:p>
        </w:tc>
        <w:tc>
          <w:tcPr>
            <w:tcW w:w="3660" w:type="dxa"/>
            <w:vAlign w:val="bottom"/>
          </w:tcPr>
          <w:p>
            <w:pPr>
              <w:jc w:val="right"/>
              <w:ind w:right="1886"/>
              <w:spacing w:after="0"/>
              <w:rPr>
                <w:sz w:val="20"/>
                <w:szCs w:val="20"/>
                <w:color w:val="auto"/>
              </w:rPr>
            </w:pPr>
            <w:r>
              <w:rPr>
                <w:rFonts w:ascii="Arial" w:cs="Arial" w:eastAsia="Arial" w:hAnsi="Arial"/>
                <w:sz w:val="19"/>
                <w:szCs w:val="19"/>
                <w:b w:val="1"/>
                <w:bCs w:val="1"/>
                <w:color w:val="697D88"/>
              </w:rPr>
              <w:t>Q4 2012  FY 2012</w:t>
            </w:r>
          </w:p>
        </w:tc>
        <w:tc>
          <w:tcPr>
            <w:tcW w:w="0" w:type="dxa"/>
            <w:vAlign w:val="bottom"/>
          </w:tcPr>
          <w:p>
            <w:pPr>
              <w:spacing w:after="0"/>
              <w:rPr>
                <w:sz w:val="1"/>
                <w:szCs w:val="1"/>
                <w:color w:val="auto"/>
              </w:rPr>
            </w:pPr>
          </w:p>
        </w:tc>
      </w:tr>
      <w:tr>
        <w:trPr>
          <w:trHeight w:val="470"/>
        </w:trPr>
        <w:tc>
          <w:tcPr>
            <w:tcW w:w="208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9"/>
                <w:szCs w:val="19"/>
                <w:b w:val="1"/>
                <w:bCs w:val="1"/>
                <w:color w:val="697D88"/>
              </w:rPr>
              <w:t>DXL Comparables</w:t>
            </w:r>
          </w:p>
        </w:tc>
        <w:tc>
          <w:tcPr>
            <w:tcW w:w="6000" w:type="dxa"/>
            <w:vAlign w:val="bottom"/>
            <w:gridSpan w:val="4"/>
          </w:tcPr>
          <w:p>
            <w:pPr>
              <w:jc w:val="right"/>
              <w:ind w:right="3346"/>
              <w:spacing w:after="0"/>
              <w:rPr>
                <w:sz w:val="20"/>
                <w:szCs w:val="20"/>
                <w:color w:val="auto"/>
              </w:rPr>
            </w:pPr>
            <w:r>
              <w:rPr>
                <w:rFonts w:ascii="Arial" w:cs="Arial" w:eastAsia="Arial" w:hAnsi="Arial"/>
                <w:sz w:val="19"/>
                <w:szCs w:val="19"/>
                <w:b w:val="1"/>
                <w:bCs w:val="1"/>
                <w:color w:val="697D88"/>
              </w:rPr>
              <w:t>Total DXLG Comparables**</w:t>
            </w:r>
          </w:p>
        </w:tc>
        <w:tc>
          <w:tcPr>
            <w:tcW w:w="0" w:type="dxa"/>
            <w:vAlign w:val="bottom"/>
          </w:tcPr>
          <w:p>
            <w:pPr>
              <w:spacing w:after="0"/>
              <w:rPr>
                <w:sz w:val="1"/>
                <w:szCs w:val="1"/>
                <w:color w:val="auto"/>
              </w:rPr>
            </w:pPr>
          </w:p>
        </w:tc>
      </w:tr>
      <w:tr>
        <w:trPr>
          <w:trHeight w:val="392"/>
        </w:trPr>
        <w:tc>
          <w:tcPr>
            <w:tcW w:w="10240" w:type="dxa"/>
            <w:vAlign w:val="bottom"/>
            <w:gridSpan w:val="6"/>
          </w:tcPr>
          <w:p>
            <w:pPr>
              <w:spacing w:after="0"/>
              <w:rPr>
                <w:sz w:val="20"/>
                <w:szCs w:val="20"/>
                <w:color w:val="auto"/>
              </w:rPr>
            </w:pPr>
            <w:r>
              <w:rPr>
                <w:rFonts w:ascii="Arial" w:cs="Arial" w:eastAsia="Arial" w:hAnsi="Arial"/>
                <w:sz w:val="20"/>
                <w:szCs w:val="20"/>
                <w:color w:val="auto"/>
              </w:rPr>
              <w:t>* The 16 DXL stores opened for more than 1 year produced a 7.6% comp in Q4 2012</w:t>
            </w:r>
          </w:p>
        </w:tc>
        <w:tc>
          <w:tcPr>
            <w:tcW w:w="0" w:type="dxa"/>
            <w:vAlign w:val="bottom"/>
          </w:tcPr>
          <w:p>
            <w:pPr>
              <w:spacing w:after="0"/>
              <w:rPr>
                <w:sz w:val="1"/>
                <w:szCs w:val="1"/>
                <w:color w:val="auto"/>
              </w:rPr>
            </w:pPr>
          </w:p>
        </w:tc>
      </w:tr>
      <w:tr>
        <w:trPr>
          <w:trHeight w:val="381"/>
        </w:trPr>
        <w:tc>
          <w:tcPr>
            <w:tcW w:w="6580" w:type="dxa"/>
            <w:vAlign w:val="bottom"/>
            <w:gridSpan w:val="5"/>
          </w:tcPr>
          <w:p>
            <w:pPr>
              <w:spacing w:after="0"/>
              <w:rPr>
                <w:sz w:val="20"/>
                <w:szCs w:val="20"/>
                <w:color w:val="auto"/>
              </w:rPr>
            </w:pPr>
            <w:r>
              <w:rPr>
                <w:rFonts w:ascii="Arial" w:cs="Arial" w:eastAsia="Arial" w:hAnsi="Arial"/>
                <w:sz w:val="20"/>
                <w:szCs w:val="20"/>
                <w:color w:val="auto"/>
                <w:w w:val="99"/>
              </w:rPr>
              <w:t>** Total DXLG Comparables consist of all stores, including DXL stores and</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80" w:type="dxa"/>
            <w:vAlign w:val="bottom"/>
          </w:tcPr>
          <w:p>
            <w:pPr>
              <w:spacing w:after="0"/>
              <w:rPr>
                <w:sz w:val="20"/>
                <w:szCs w:val="20"/>
                <w:color w:val="auto"/>
              </w:rPr>
            </w:pPr>
            <w:r>
              <w:rPr>
                <w:rFonts w:ascii="Arial" w:cs="Arial" w:eastAsia="Arial" w:hAnsi="Arial"/>
                <w:sz w:val="20"/>
                <w:szCs w:val="20"/>
                <w:color w:val="auto"/>
              </w:rPr>
              <w:t>direct channel</w:t>
            </w:r>
          </w:p>
        </w:tc>
        <w:tc>
          <w:tcPr>
            <w:tcW w:w="2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60" w:type="dxa"/>
            <w:vAlign w:val="bottom"/>
          </w:tcPr>
          <w:p>
            <w:pPr>
              <w:jc w:val="right"/>
              <w:spacing w:after="0"/>
              <w:rPr>
                <w:sz w:val="20"/>
                <w:szCs w:val="20"/>
                <w:color w:val="auto"/>
              </w:rPr>
            </w:pPr>
            <w:r>
              <w:rPr>
                <w:rFonts w:ascii="Arial" w:cs="Arial" w:eastAsia="Arial" w:hAnsi="Arial"/>
                <w:sz w:val="19"/>
                <w:szCs w:val="19"/>
                <w:color w:val="898989"/>
              </w:rPr>
              <w:t>17</w:t>
            </w:r>
          </w:p>
        </w:tc>
        <w:tc>
          <w:tcPr>
            <w:tcW w:w="0" w:type="dxa"/>
            <w:vAlign w:val="bottom"/>
          </w:tcPr>
          <w:p>
            <w:pPr>
              <w:spacing w:after="0"/>
              <w:rPr>
                <w:sz w:val="1"/>
                <w:szCs w:val="1"/>
                <w:color w:val="auto"/>
              </w:rPr>
            </w:pPr>
          </w:p>
        </w:tc>
      </w:tr>
    </w:tbl>
    <w:p>
      <w:pPr>
        <w:sectPr>
          <w:pgSz w:w="11900" w:h="16838" w:orient="portrait"/>
          <w:cols w:equalWidth="0" w:num="1">
            <w:col w:w="10240"/>
          </w:cols>
          <w:pgMar w:left="760" w:top="1101" w:right="899" w:bottom="1440" w:gutter="0" w:footer="0" w:header="0"/>
        </w:sectPr>
      </w:pPr>
    </w:p>
    <w:bookmarkStart w:id="20" w:name="page21"/>
    <w:bookmarkEnd w:id="20"/>
    <w:p>
      <w:pPr>
        <w:ind w:left="180"/>
        <w:spacing w:after="0"/>
        <w:rPr>
          <w:sz w:val="20"/>
          <w:szCs w:val="20"/>
          <w:color w:val="auto"/>
        </w:rPr>
      </w:pPr>
      <w:r>
        <w:rPr>
          <w:rFonts w:ascii="Arial" w:cs="Arial" w:eastAsia="Arial" w:hAnsi="Arial"/>
          <w:sz w:val="56"/>
          <w:szCs w:val="56"/>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Compelling DXL Returns</w:t>
      </w:r>
    </w:p>
    <w:p>
      <w:pPr>
        <w:sectPr>
          <w:pgSz w:w="11900" w:h="16838" w:orient="portrait"/>
          <w:cols w:equalWidth="0" w:num="1">
            <w:col w:w="10140"/>
          </w:cols>
          <w:pgMar w:left="860" w:top="1052" w:right="899" w:bottom="1440" w:gutter="0" w:footer="0" w:header="0"/>
        </w:sectPr>
      </w:pPr>
    </w:p>
    <w:p>
      <w:pPr>
        <w:spacing w:after="0" w:line="370" w:lineRule="exact"/>
        <w:rPr>
          <w:sz w:val="20"/>
          <w:szCs w:val="20"/>
          <w:color w:val="auto"/>
        </w:rPr>
      </w:pPr>
    </w:p>
    <w:p>
      <w:pPr>
        <w:spacing w:after="0"/>
        <w:rPr>
          <w:sz w:val="20"/>
          <w:szCs w:val="20"/>
          <w:color w:val="auto"/>
        </w:rPr>
      </w:pPr>
      <w:r>
        <w:rPr>
          <w:rFonts w:ascii="Arial" w:cs="Arial" w:eastAsia="Arial" w:hAnsi="Arial"/>
          <w:sz w:val="26"/>
          <w:szCs w:val="26"/>
          <w:b w:val="1"/>
          <w:bCs w:val="1"/>
          <w:color w:val="558ED5"/>
        </w:rPr>
        <w:t>Expect greater store productivity</w:t>
      </w:r>
    </w:p>
    <w:p>
      <w:pPr>
        <w:spacing w:after="0" w:line="85" w:lineRule="exact"/>
        <w:rPr>
          <w:sz w:val="20"/>
          <w:szCs w:val="20"/>
          <w:color w:val="auto"/>
        </w:rPr>
      </w:pPr>
    </w:p>
    <w:p>
      <w:pPr>
        <w:spacing w:after="0"/>
        <w:rPr>
          <w:sz w:val="20"/>
          <w:szCs w:val="20"/>
          <w:color w:val="auto"/>
        </w:rPr>
      </w:pPr>
      <w:r>
        <w:rPr>
          <w:rFonts w:ascii="Arial" w:cs="Arial" w:eastAsia="Arial" w:hAnsi="Arial"/>
          <w:sz w:val="28"/>
          <w:szCs w:val="28"/>
          <w:b w:val="1"/>
          <w:bCs w:val="1"/>
          <w:color w:val="558ED5"/>
        </w:rPr>
        <w:t>and profitability</w:t>
      </w:r>
    </w:p>
    <w:p>
      <w:pPr>
        <w:spacing w:after="0" w:line="330" w:lineRule="exact"/>
        <w:rPr>
          <w:sz w:val="20"/>
          <w:szCs w:val="20"/>
          <w:color w:val="auto"/>
        </w:rPr>
      </w:pPr>
    </w:p>
    <w:p>
      <w:pPr>
        <w:ind w:right="240"/>
        <w:spacing w:after="0" w:line="341" w:lineRule="auto"/>
        <w:rPr>
          <w:sz w:val="20"/>
          <w:szCs w:val="20"/>
          <w:color w:val="auto"/>
        </w:rPr>
      </w:pPr>
      <w:r>
        <w:rPr>
          <w:rFonts w:ascii="Arial" w:cs="Arial" w:eastAsia="Arial" w:hAnsi="Arial"/>
          <w:sz w:val="24"/>
          <w:szCs w:val="24"/>
          <w:b w:val="1"/>
          <w:bCs w:val="1"/>
          <w:color w:val="558ED5"/>
        </w:rPr>
        <w:t>Projecting higher 4-wall profits than combined profits of individual stores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800"/>
        <w:spacing w:after="0" w:line="288" w:lineRule="auto"/>
        <w:rPr>
          <w:sz w:val="20"/>
          <w:szCs w:val="20"/>
          <w:color w:val="auto"/>
        </w:rPr>
      </w:pPr>
      <w:r>
        <w:rPr>
          <w:rFonts w:ascii="Arial" w:cs="Arial" w:eastAsia="Arial" w:hAnsi="Arial"/>
          <w:sz w:val="28"/>
          <w:szCs w:val="28"/>
          <w:b w:val="1"/>
          <w:bCs w:val="1"/>
          <w:color w:val="558ED5"/>
        </w:rPr>
        <w:t>Potential to capture additional market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560"/>
        <w:spacing w:after="0" w:line="328" w:lineRule="auto"/>
        <w:rPr>
          <w:sz w:val="20"/>
          <w:szCs w:val="20"/>
          <w:color w:val="auto"/>
        </w:rPr>
      </w:pPr>
      <w:r>
        <w:rPr>
          <w:rFonts w:ascii="Arial" w:cs="Arial" w:eastAsia="Arial" w:hAnsi="Arial"/>
          <w:sz w:val="26"/>
          <w:szCs w:val="26"/>
          <w:b w:val="1"/>
          <w:bCs w:val="1"/>
          <w:color w:val="558ED5"/>
        </w:rPr>
        <w:t>Opportunity to improve operating margins</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right="1920"/>
        <w:spacing w:after="0" w:line="284" w:lineRule="auto"/>
        <w:rPr>
          <w:sz w:val="20"/>
          <w:szCs w:val="20"/>
          <w:color w:val="auto"/>
        </w:rPr>
      </w:pPr>
      <w:r>
        <w:rPr>
          <w:rFonts w:ascii="Arial" w:cs="Arial" w:eastAsia="Arial" w:hAnsi="Arial"/>
          <w:sz w:val="21"/>
          <w:szCs w:val="21"/>
          <w:color w:val="auto"/>
        </w:rPr>
        <w:t>Better leveraging of expenses -- occupancy, labor productivity and local/district management</w:t>
      </w:r>
    </w:p>
    <w:p>
      <w:pPr>
        <w:spacing w:after="0" w:line="200" w:lineRule="exact"/>
        <w:rPr>
          <w:sz w:val="20"/>
          <w:szCs w:val="20"/>
          <w:color w:val="auto"/>
        </w:rPr>
      </w:pPr>
    </w:p>
    <w:p>
      <w:pPr>
        <w:spacing w:after="0" w:line="201" w:lineRule="exact"/>
        <w:rPr>
          <w:sz w:val="20"/>
          <w:szCs w:val="20"/>
          <w:color w:val="auto"/>
        </w:rPr>
      </w:pPr>
    </w:p>
    <w:p>
      <w:pPr>
        <w:ind w:right="1860"/>
        <w:spacing w:after="0" w:line="286" w:lineRule="auto"/>
        <w:rPr>
          <w:sz w:val="20"/>
          <w:szCs w:val="20"/>
          <w:color w:val="auto"/>
        </w:rPr>
      </w:pPr>
      <w:r>
        <w:rPr>
          <w:rFonts w:ascii="Arial" w:cs="Arial" w:eastAsia="Arial" w:hAnsi="Arial"/>
          <w:sz w:val="22"/>
          <w:szCs w:val="22"/>
          <w:color w:val="auto"/>
        </w:rPr>
        <w:t>Targeting between 25%-30% store operating margin</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color w:val="auto"/>
        </w:rPr>
        <w:t>Attract new customers</w:t>
      </w:r>
    </w:p>
    <w:p>
      <w:pPr>
        <w:spacing w:after="0" w:line="100" w:lineRule="exact"/>
        <w:rPr>
          <w:sz w:val="20"/>
          <w:szCs w:val="20"/>
          <w:color w:val="auto"/>
        </w:rPr>
      </w:pPr>
    </w:p>
    <w:p>
      <w:pPr>
        <w:ind w:right="1820"/>
        <w:spacing w:after="0" w:line="304" w:lineRule="auto"/>
        <w:rPr>
          <w:sz w:val="20"/>
          <w:szCs w:val="20"/>
          <w:color w:val="auto"/>
        </w:rPr>
      </w:pPr>
      <w:r>
        <w:rPr>
          <w:rFonts w:ascii="Arial" w:cs="Arial" w:eastAsia="Arial" w:hAnsi="Arial"/>
          <w:sz w:val="20"/>
          <w:szCs w:val="20"/>
          <w:color w:val="auto"/>
        </w:rPr>
        <w:t>Better cross-selling environment to capture greater share of apparel wallet from existing customers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920"/>
        <w:spacing w:after="0" w:line="260" w:lineRule="auto"/>
        <w:rPr>
          <w:sz w:val="20"/>
          <w:szCs w:val="20"/>
          <w:color w:val="auto"/>
        </w:rPr>
      </w:pPr>
      <w:r>
        <w:rPr>
          <w:rFonts w:ascii="Arial" w:cs="Arial" w:eastAsia="Arial" w:hAnsi="Arial"/>
          <w:sz w:val="22"/>
          <w:szCs w:val="22"/>
          <w:color w:val="auto"/>
        </w:rPr>
        <w:t>Expect to increase margins significantly after the transition to DXL is complete</w:t>
      </w:r>
    </w:p>
    <w:p>
      <w:pPr>
        <w:spacing w:after="0" w:line="200" w:lineRule="exact"/>
        <w:rPr>
          <w:sz w:val="20"/>
          <w:szCs w:val="20"/>
          <w:color w:val="auto"/>
        </w:rPr>
      </w:pPr>
    </w:p>
    <w:p>
      <w:pPr>
        <w:sectPr>
          <w:pgSz w:w="11900" w:h="16838" w:orient="portrait"/>
          <w:cols w:equalWidth="0" w:num="2">
            <w:col w:w="4460" w:space="720"/>
            <w:col w:w="4960"/>
          </w:cols>
          <w:pgMar w:left="860" w:top="1052"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940"/>
        <w:spacing w:after="0"/>
        <w:rPr>
          <w:sz w:val="20"/>
          <w:szCs w:val="20"/>
          <w:color w:val="auto"/>
        </w:rPr>
      </w:pPr>
      <w:r>
        <w:rPr>
          <w:rFonts w:ascii="Arial" w:cs="Arial" w:eastAsia="Arial" w:hAnsi="Arial"/>
          <w:sz w:val="17"/>
          <w:szCs w:val="17"/>
          <w:color w:val="898989"/>
        </w:rPr>
        <w:t>18</w:t>
      </w:r>
    </w:p>
    <w:p>
      <w:pPr>
        <w:sectPr>
          <w:pgSz w:w="11900" w:h="16838" w:orient="portrait"/>
          <w:cols w:equalWidth="0" w:num="1">
            <w:col w:w="10140"/>
          </w:cols>
          <w:pgMar w:left="860" w:top="1052" w:right="899" w:bottom="1440" w:gutter="0" w:footer="0" w:header="0"/>
          <w:type w:val="continuous"/>
        </w:sectPr>
      </w:pPr>
    </w:p>
    <w:bookmarkStart w:id="21" w:name="page22"/>
    <w:bookmarkEnd w:id="21"/>
    <w:p>
      <w:pPr>
        <w:ind w:left="460"/>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Accelerated DXL Openings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140" w:type="dxa"/>
            <w:vAlign w:val="bottom"/>
            <w:vMerge w:val="restart"/>
          </w:tcPr>
          <w:p>
            <w:pPr>
              <w:jc w:val="right"/>
              <w:ind w:right="306"/>
              <w:spacing w:after="0"/>
              <w:rPr>
                <w:sz w:val="20"/>
                <w:szCs w:val="20"/>
                <w:color w:val="auto"/>
              </w:rPr>
            </w:pPr>
            <w:r>
              <w:rPr>
                <w:rFonts w:ascii="Arial" w:cs="Arial" w:eastAsia="Arial" w:hAnsi="Arial"/>
                <w:sz w:val="19"/>
                <w:szCs w:val="19"/>
                <w:b w:val="1"/>
                <w:bCs w:val="1"/>
                <w:color w:val="666699"/>
              </w:rPr>
              <w:t>500</w:t>
            </w:r>
          </w:p>
        </w:tc>
        <w:tc>
          <w:tcPr>
            <w:tcW w:w="9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560" w:type="dxa"/>
            <w:vAlign w:val="bottom"/>
            <w:gridSpan w:val="2"/>
          </w:tcPr>
          <w:p>
            <w:pPr>
              <w:ind w:left="460"/>
              <w:spacing w:after="0"/>
              <w:rPr>
                <w:sz w:val="20"/>
                <w:szCs w:val="20"/>
                <w:color w:val="auto"/>
              </w:rPr>
            </w:pPr>
            <w:r>
              <w:rPr>
                <w:rFonts w:ascii="Arial" w:cs="Arial" w:eastAsia="Arial" w:hAnsi="Arial"/>
                <w:sz w:val="19"/>
                <w:szCs w:val="19"/>
                <w:b w:val="1"/>
                <w:bCs w:val="1"/>
                <w:color w:val="auto"/>
                <w:w w:val="94"/>
              </w:rPr>
              <w:t>2015 Store Count Target</w:t>
            </w:r>
          </w:p>
        </w:tc>
        <w:tc>
          <w:tcPr>
            <w:tcW w:w="0" w:type="dxa"/>
            <w:vAlign w:val="bottom"/>
          </w:tcPr>
          <w:p>
            <w:pPr>
              <w:spacing w:after="0"/>
              <w:rPr>
                <w:sz w:val="1"/>
                <w:szCs w:val="1"/>
                <w:color w:val="auto"/>
              </w:rPr>
            </w:pPr>
          </w:p>
        </w:tc>
      </w:tr>
      <w:tr>
        <w:trPr>
          <w:trHeight w:val="165"/>
        </w:trPr>
        <w:tc>
          <w:tcPr>
            <w:tcW w:w="114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720" w:type="dxa"/>
            <w:vAlign w:val="bottom"/>
            <w:gridSpan w:val="2"/>
            <w:vMerge w:val="restart"/>
          </w:tcPr>
          <w:p>
            <w:pPr>
              <w:jc w:val="center"/>
              <w:ind w:left="546"/>
              <w:spacing w:after="0"/>
              <w:rPr>
                <w:sz w:val="20"/>
                <w:szCs w:val="20"/>
                <w:color w:val="auto"/>
              </w:rPr>
            </w:pPr>
            <w:r>
              <w:rPr>
                <w:rFonts w:ascii="Arial" w:cs="Arial" w:eastAsia="Arial" w:hAnsi="Arial"/>
                <w:sz w:val="19"/>
                <w:szCs w:val="19"/>
                <w:color w:val="auto"/>
                <w:w w:val="91"/>
              </w:rPr>
              <w:t>Destination XL</w:t>
            </w:r>
            <w:r>
              <w:rPr>
                <w:rFonts w:ascii="Arial" w:cs="Arial" w:eastAsia="Arial" w:hAnsi="Arial"/>
                <w:sz w:val="25"/>
                <w:szCs w:val="25"/>
                <w:color w:val="auto"/>
                <w:w w:val="91"/>
                <w:vertAlign w:val="superscript"/>
              </w:rPr>
              <w:t>®</w:t>
            </w:r>
          </w:p>
        </w:tc>
        <w:tc>
          <w:tcPr>
            <w:tcW w:w="9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215-230</w:t>
            </w:r>
          </w:p>
        </w:tc>
        <w:tc>
          <w:tcPr>
            <w:tcW w:w="0" w:type="dxa"/>
            <w:vAlign w:val="bottom"/>
          </w:tcPr>
          <w:p>
            <w:pPr>
              <w:spacing w:after="0"/>
              <w:rPr>
                <w:sz w:val="1"/>
                <w:szCs w:val="1"/>
                <w:color w:val="auto"/>
              </w:rPr>
            </w:pPr>
          </w:p>
        </w:tc>
      </w:tr>
      <w:tr>
        <w:trPr>
          <w:trHeight w:val="343"/>
        </w:trPr>
        <w:tc>
          <w:tcPr>
            <w:tcW w:w="1140" w:type="dxa"/>
            <w:vAlign w:val="bottom"/>
            <w:vMerge w:val="restart"/>
          </w:tcPr>
          <w:p>
            <w:pPr>
              <w:jc w:val="right"/>
              <w:ind w:right="306"/>
              <w:spacing w:after="0"/>
              <w:rPr>
                <w:sz w:val="20"/>
                <w:szCs w:val="20"/>
                <w:color w:val="auto"/>
              </w:rPr>
            </w:pPr>
            <w:r>
              <w:rPr>
                <w:rFonts w:ascii="Arial" w:cs="Arial" w:eastAsia="Arial" w:hAnsi="Arial"/>
                <w:sz w:val="19"/>
                <w:szCs w:val="19"/>
                <w:b w:val="1"/>
                <w:bCs w:val="1"/>
                <w:color w:val="666699"/>
              </w:rPr>
              <w:t>450</w:t>
            </w: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720" w:type="dxa"/>
            <w:vAlign w:val="bottom"/>
            <w:gridSpan w:val="2"/>
            <w:vMerge w:val="continue"/>
          </w:tcPr>
          <w:p>
            <w:pPr>
              <w:spacing w:after="0"/>
              <w:rPr>
                <w:sz w:val="24"/>
                <w:szCs w:val="24"/>
                <w:color w:val="auto"/>
              </w:rPr>
            </w:pPr>
          </w:p>
        </w:tc>
        <w:tc>
          <w:tcPr>
            <w:tcW w:w="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14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40" w:type="dxa"/>
            <w:vAlign w:val="bottom"/>
            <w:vMerge w:val="restart"/>
          </w:tcPr>
          <w:p>
            <w:pPr>
              <w:jc w:val="center"/>
              <w:ind w:right="306"/>
              <w:spacing w:after="0"/>
              <w:rPr>
                <w:sz w:val="20"/>
                <w:szCs w:val="20"/>
                <w:color w:val="auto"/>
              </w:rPr>
            </w:pPr>
            <w:r>
              <w:rPr>
                <w:rFonts w:ascii="Arial" w:cs="Arial" w:eastAsia="Arial" w:hAnsi="Arial"/>
                <w:sz w:val="19"/>
                <w:szCs w:val="19"/>
                <w:color w:val="auto"/>
                <w:w w:val="92"/>
              </w:rPr>
              <w:t>Casual Male XL</w:t>
            </w: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1140" w:type="dxa"/>
            <w:vAlign w:val="bottom"/>
            <w:vMerge w:val="restart"/>
          </w:tcPr>
          <w:p>
            <w:pPr>
              <w:jc w:val="right"/>
              <w:ind w:right="306"/>
              <w:spacing w:after="0"/>
              <w:rPr>
                <w:sz w:val="20"/>
                <w:szCs w:val="20"/>
                <w:color w:val="auto"/>
              </w:rPr>
            </w:pPr>
            <w:r>
              <w:rPr>
                <w:rFonts w:ascii="Arial" w:cs="Arial" w:eastAsia="Arial" w:hAnsi="Arial"/>
                <w:sz w:val="19"/>
                <w:szCs w:val="19"/>
                <w:b w:val="1"/>
                <w:bCs w:val="1"/>
                <w:color w:val="666699"/>
              </w:rPr>
              <w:t>400</w:t>
            </w:r>
          </w:p>
        </w:tc>
        <w:tc>
          <w:tcPr>
            <w:tcW w:w="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920" w:type="dxa"/>
            <w:vAlign w:val="bottom"/>
            <w:vMerge w:val="restart"/>
          </w:tcPr>
          <w:p>
            <w:pPr>
              <w:jc w:val="right"/>
              <w:ind w:right="106"/>
              <w:spacing w:after="0"/>
              <w:rPr>
                <w:sz w:val="20"/>
                <w:szCs w:val="20"/>
                <w:color w:val="auto"/>
              </w:rPr>
            </w:pPr>
            <w:r>
              <w:rPr>
                <w:rFonts w:ascii="Arial" w:cs="Arial" w:eastAsia="Arial" w:hAnsi="Arial"/>
                <w:sz w:val="19"/>
                <w:szCs w:val="19"/>
                <w:b w:val="1"/>
                <w:bCs w:val="1"/>
                <w:color w:val="auto"/>
              </w:rPr>
              <w:t>~60</w:t>
            </w:r>
          </w:p>
        </w:tc>
        <w:tc>
          <w:tcPr>
            <w:tcW w:w="0" w:type="dxa"/>
            <w:vAlign w:val="bottom"/>
          </w:tcPr>
          <w:p>
            <w:pPr>
              <w:spacing w:after="0"/>
              <w:rPr>
                <w:sz w:val="1"/>
                <w:szCs w:val="1"/>
                <w:color w:val="auto"/>
              </w:rPr>
            </w:pPr>
          </w:p>
        </w:tc>
      </w:tr>
      <w:tr>
        <w:trPr>
          <w:trHeight w:val="134"/>
        </w:trPr>
        <w:tc>
          <w:tcPr>
            <w:tcW w:w="114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vMerge w:val="restart"/>
          </w:tcPr>
          <w:p>
            <w:pPr>
              <w:jc w:val="center"/>
              <w:ind w:right="366"/>
              <w:spacing w:after="0"/>
              <w:rPr>
                <w:sz w:val="20"/>
                <w:szCs w:val="20"/>
                <w:color w:val="auto"/>
              </w:rPr>
            </w:pPr>
            <w:r>
              <w:rPr>
                <w:rFonts w:ascii="Arial" w:cs="Arial" w:eastAsia="Arial" w:hAnsi="Arial"/>
                <w:sz w:val="19"/>
                <w:szCs w:val="19"/>
                <w:color w:val="auto"/>
                <w:w w:val="90"/>
              </w:rPr>
              <w:t>Outlet</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0"/>
        </w:trPr>
        <w:tc>
          <w:tcPr>
            <w:tcW w:w="1140" w:type="dxa"/>
            <w:vAlign w:val="bottom"/>
          </w:tcPr>
          <w:p>
            <w:pPr>
              <w:jc w:val="right"/>
              <w:ind w:right="306"/>
              <w:spacing w:after="0"/>
              <w:rPr>
                <w:sz w:val="20"/>
                <w:szCs w:val="20"/>
                <w:color w:val="auto"/>
              </w:rPr>
            </w:pPr>
            <w:r>
              <w:rPr>
                <w:rFonts w:ascii="Arial" w:cs="Arial" w:eastAsia="Arial" w:hAnsi="Arial"/>
                <w:sz w:val="19"/>
                <w:szCs w:val="19"/>
                <w:b w:val="1"/>
                <w:bCs w:val="1"/>
                <w:color w:val="666699"/>
              </w:rPr>
              <w:t>350</w:t>
            </w: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720" w:type="dxa"/>
            <w:vAlign w:val="bottom"/>
            <w:gridSpan w:val="2"/>
          </w:tcPr>
          <w:p>
            <w:pPr>
              <w:jc w:val="center"/>
              <w:ind w:left="566"/>
              <w:spacing w:after="0"/>
              <w:rPr>
                <w:sz w:val="20"/>
                <w:szCs w:val="20"/>
                <w:color w:val="auto"/>
              </w:rPr>
            </w:pPr>
            <w:r>
              <w:rPr>
                <w:rFonts w:ascii="Arial" w:cs="Arial" w:eastAsia="Arial" w:hAnsi="Arial"/>
                <w:sz w:val="19"/>
                <w:szCs w:val="19"/>
                <w:color w:val="auto"/>
                <w:w w:val="90"/>
              </w:rPr>
              <w:t>Rochester Clothing</w:t>
            </w:r>
          </w:p>
        </w:tc>
        <w:tc>
          <w:tcPr>
            <w:tcW w:w="920" w:type="dxa"/>
            <w:vAlign w:val="bottom"/>
          </w:tcPr>
          <w:p>
            <w:pPr>
              <w:jc w:val="right"/>
              <w:ind w:right="106"/>
              <w:spacing w:after="0"/>
              <w:rPr>
                <w:sz w:val="20"/>
                <w:szCs w:val="20"/>
                <w:color w:val="auto"/>
              </w:rPr>
            </w:pPr>
            <w:r>
              <w:rPr>
                <w:rFonts w:ascii="Arial" w:cs="Arial" w:eastAsia="Arial" w:hAnsi="Arial"/>
                <w:sz w:val="19"/>
                <w:szCs w:val="19"/>
                <w:b w:val="1"/>
                <w:bCs w:val="1"/>
                <w:color w:val="auto"/>
              </w:rPr>
              <w:t>3-4</w:t>
            </w:r>
          </w:p>
        </w:tc>
        <w:tc>
          <w:tcPr>
            <w:tcW w:w="0" w:type="dxa"/>
            <w:vAlign w:val="bottom"/>
          </w:tcPr>
          <w:p>
            <w:pPr>
              <w:spacing w:after="0"/>
              <w:rPr>
                <w:sz w:val="1"/>
                <w:szCs w:val="1"/>
                <w:color w:val="auto"/>
              </w:rPr>
            </w:pPr>
          </w:p>
        </w:tc>
      </w:tr>
      <w:tr>
        <w:trPr>
          <w:trHeight w:val="423"/>
        </w:trPr>
        <w:tc>
          <w:tcPr>
            <w:tcW w:w="1140" w:type="dxa"/>
            <w:vAlign w:val="bottom"/>
          </w:tcPr>
          <w:p>
            <w:pPr>
              <w:jc w:val="right"/>
              <w:ind w:right="306"/>
              <w:spacing w:after="0"/>
              <w:rPr>
                <w:sz w:val="20"/>
                <w:szCs w:val="20"/>
                <w:color w:val="auto"/>
              </w:rPr>
            </w:pPr>
            <w:r>
              <w:rPr>
                <w:rFonts w:ascii="Arial" w:cs="Arial" w:eastAsia="Arial" w:hAnsi="Arial"/>
                <w:sz w:val="19"/>
                <w:szCs w:val="19"/>
                <w:b w:val="1"/>
                <w:bCs w:val="1"/>
                <w:color w:val="666699"/>
              </w:rPr>
              <w:t>300</w:t>
            </w: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1140" w:type="dxa"/>
            <w:vAlign w:val="bottom"/>
          </w:tcPr>
          <w:p>
            <w:pPr>
              <w:jc w:val="right"/>
              <w:ind w:right="306"/>
              <w:spacing w:after="0"/>
              <w:rPr>
                <w:sz w:val="20"/>
                <w:szCs w:val="20"/>
                <w:color w:val="auto"/>
              </w:rPr>
            </w:pPr>
            <w:r>
              <w:rPr>
                <w:rFonts w:ascii="Arial" w:cs="Arial" w:eastAsia="Arial" w:hAnsi="Arial"/>
                <w:sz w:val="19"/>
                <w:szCs w:val="19"/>
                <w:b w:val="1"/>
                <w:bCs w:val="1"/>
                <w:color w:val="666699"/>
              </w:rPr>
              <w:t>250</w:t>
            </w: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jc w:val="right"/>
              <w:ind w:right="306"/>
              <w:spacing w:after="0"/>
              <w:rPr>
                <w:sz w:val="20"/>
                <w:szCs w:val="20"/>
                <w:color w:val="auto"/>
              </w:rPr>
            </w:pPr>
            <w:r>
              <w:rPr>
                <w:rFonts w:ascii="Arial" w:cs="Arial" w:eastAsia="Arial" w:hAnsi="Arial"/>
                <w:sz w:val="19"/>
                <w:szCs w:val="19"/>
                <w:b w:val="1"/>
                <w:bCs w:val="1"/>
                <w:color w:val="666699"/>
              </w:rPr>
              <w:t>200</w:t>
            </w: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140" w:type="dxa"/>
            <w:vAlign w:val="bottom"/>
          </w:tcPr>
          <w:p>
            <w:pPr>
              <w:jc w:val="right"/>
              <w:ind w:right="306"/>
              <w:spacing w:after="0"/>
              <w:rPr>
                <w:sz w:val="20"/>
                <w:szCs w:val="20"/>
                <w:color w:val="auto"/>
              </w:rPr>
            </w:pPr>
            <w:r>
              <w:rPr>
                <w:rFonts w:ascii="Arial" w:cs="Arial" w:eastAsia="Arial" w:hAnsi="Arial"/>
                <w:sz w:val="19"/>
                <w:szCs w:val="19"/>
                <w:b w:val="1"/>
                <w:bCs w:val="1"/>
                <w:color w:val="666699"/>
              </w:rPr>
              <w:t>150</w:t>
            </w: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1140" w:type="dxa"/>
            <w:vAlign w:val="bottom"/>
          </w:tcPr>
          <w:p>
            <w:pPr>
              <w:jc w:val="right"/>
              <w:ind w:right="306"/>
              <w:spacing w:after="0"/>
              <w:rPr>
                <w:sz w:val="20"/>
                <w:szCs w:val="20"/>
                <w:color w:val="auto"/>
              </w:rPr>
            </w:pPr>
            <w:r>
              <w:rPr>
                <w:rFonts w:ascii="Arial" w:cs="Arial" w:eastAsia="Arial" w:hAnsi="Arial"/>
                <w:sz w:val="19"/>
                <w:szCs w:val="19"/>
                <w:b w:val="1"/>
                <w:bCs w:val="1"/>
                <w:color w:val="666699"/>
              </w:rPr>
              <w:t>100</w:t>
            </w: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1140" w:type="dxa"/>
            <w:vAlign w:val="bottom"/>
          </w:tcPr>
          <w:p>
            <w:pPr>
              <w:jc w:val="right"/>
              <w:ind w:right="306"/>
              <w:spacing w:after="0"/>
              <w:rPr>
                <w:sz w:val="20"/>
                <w:szCs w:val="20"/>
                <w:color w:val="auto"/>
              </w:rPr>
            </w:pPr>
            <w:r>
              <w:rPr>
                <w:rFonts w:ascii="Arial" w:cs="Arial" w:eastAsia="Arial" w:hAnsi="Arial"/>
                <w:sz w:val="19"/>
                <w:szCs w:val="19"/>
                <w:b w:val="1"/>
                <w:bCs w:val="1"/>
                <w:color w:val="666699"/>
              </w:rPr>
              <w:t>50</w:t>
            </w: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jc w:val="right"/>
              <w:ind w:right="326"/>
              <w:spacing w:after="0"/>
              <w:rPr>
                <w:sz w:val="20"/>
                <w:szCs w:val="20"/>
                <w:color w:val="auto"/>
              </w:rPr>
            </w:pPr>
            <w:r>
              <w:rPr>
                <w:rFonts w:ascii="Arial" w:cs="Arial" w:eastAsia="Arial" w:hAnsi="Arial"/>
                <w:sz w:val="19"/>
                <w:szCs w:val="19"/>
                <w:b w:val="1"/>
                <w:bCs w:val="1"/>
                <w:color w:val="666699"/>
              </w:rPr>
              <w:t>0</w:t>
            </w: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14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Arial" w:cs="Arial" w:eastAsia="Arial" w:hAnsi="Arial"/>
                <w:sz w:val="19"/>
                <w:szCs w:val="19"/>
                <w:b w:val="1"/>
                <w:bCs w:val="1"/>
                <w:color w:val="666699"/>
              </w:rPr>
              <w:t>2010</w:t>
            </w:r>
          </w:p>
        </w:tc>
        <w:tc>
          <w:tcPr>
            <w:tcW w:w="1260" w:type="dxa"/>
            <w:vAlign w:val="bottom"/>
          </w:tcPr>
          <w:p>
            <w:pPr>
              <w:jc w:val="right"/>
              <w:ind w:right="346"/>
              <w:spacing w:after="0"/>
              <w:rPr>
                <w:sz w:val="20"/>
                <w:szCs w:val="20"/>
                <w:color w:val="auto"/>
              </w:rPr>
            </w:pPr>
            <w:r>
              <w:rPr>
                <w:rFonts w:ascii="Arial" w:cs="Arial" w:eastAsia="Arial" w:hAnsi="Arial"/>
                <w:sz w:val="19"/>
                <w:szCs w:val="19"/>
                <w:b w:val="1"/>
                <w:bCs w:val="1"/>
                <w:color w:val="666699"/>
              </w:rPr>
              <w:t>2011</w:t>
            </w:r>
          </w:p>
        </w:tc>
        <w:tc>
          <w:tcPr>
            <w:tcW w:w="1200" w:type="dxa"/>
            <w:vAlign w:val="bottom"/>
          </w:tcPr>
          <w:p>
            <w:pPr>
              <w:jc w:val="right"/>
              <w:ind w:right="346"/>
              <w:spacing w:after="0"/>
              <w:rPr>
                <w:sz w:val="20"/>
                <w:szCs w:val="20"/>
                <w:color w:val="auto"/>
              </w:rPr>
            </w:pPr>
            <w:r>
              <w:rPr>
                <w:rFonts w:ascii="Arial" w:cs="Arial" w:eastAsia="Arial" w:hAnsi="Arial"/>
                <w:sz w:val="19"/>
                <w:szCs w:val="19"/>
                <w:b w:val="1"/>
                <w:bCs w:val="1"/>
                <w:color w:val="666699"/>
              </w:rPr>
              <w:t>2012</w:t>
            </w:r>
          </w:p>
        </w:tc>
        <w:tc>
          <w:tcPr>
            <w:tcW w:w="1320" w:type="dxa"/>
            <w:vAlign w:val="bottom"/>
          </w:tcPr>
          <w:p>
            <w:pPr>
              <w:jc w:val="right"/>
              <w:ind w:right="446"/>
              <w:spacing w:after="0"/>
              <w:rPr>
                <w:sz w:val="20"/>
                <w:szCs w:val="20"/>
                <w:color w:val="auto"/>
              </w:rPr>
            </w:pPr>
            <w:r>
              <w:rPr>
                <w:rFonts w:ascii="Arial" w:cs="Arial" w:eastAsia="Arial" w:hAnsi="Arial"/>
                <w:sz w:val="19"/>
                <w:szCs w:val="19"/>
                <w:b w:val="1"/>
                <w:bCs w:val="1"/>
                <w:color w:val="666699"/>
              </w:rPr>
              <w:t>2013</w:t>
            </w:r>
          </w:p>
        </w:tc>
        <w:tc>
          <w:tcPr>
            <w:tcW w:w="1080" w:type="dxa"/>
            <w:vAlign w:val="bottom"/>
          </w:tcPr>
          <w:p>
            <w:pPr>
              <w:jc w:val="right"/>
              <w:ind w:right="326"/>
              <w:spacing w:after="0"/>
              <w:rPr>
                <w:sz w:val="20"/>
                <w:szCs w:val="20"/>
                <w:color w:val="auto"/>
              </w:rPr>
            </w:pPr>
            <w:r>
              <w:rPr>
                <w:rFonts w:ascii="Arial" w:cs="Arial" w:eastAsia="Arial" w:hAnsi="Arial"/>
                <w:sz w:val="19"/>
                <w:szCs w:val="19"/>
                <w:b w:val="1"/>
                <w:bCs w:val="1"/>
                <w:color w:val="666699"/>
              </w:rPr>
              <w:t>2014</w:t>
            </w:r>
          </w:p>
        </w:tc>
        <w:tc>
          <w:tcPr>
            <w:tcW w:w="1640" w:type="dxa"/>
            <w:vAlign w:val="bottom"/>
          </w:tcPr>
          <w:p>
            <w:pPr>
              <w:jc w:val="right"/>
              <w:ind w:right="826"/>
              <w:spacing w:after="0"/>
              <w:rPr>
                <w:sz w:val="20"/>
                <w:szCs w:val="20"/>
                <w:color w:val="auto"/>
              </w:rPr>
            </w:pPr>
            <w:r>
              <w:rPr>
                <w:rFonts w:ascii="Arial" w:cs="Arial" w:eastAsia="Arial" w:hAnsi="Arial"/>
                <w:sz w:val="19"/>
                <w:szCs w:val="19"/>
                <w:b w:val="1"/>
                <w:bCs w:val="1"/>
                <w:color w:val="666699"/>
              </w:rPr>
              <w:t>2015</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140" w:type="dxa"/>
            <w:vAlign w:val="bottom"/>
          </w:tcPr>
          <w:p>
            <w:pPr>
              <w:jc w:val="right"/>
              <w:ind w:right="86"/>
              <w:spacing w:after="0"/>
              <w:rPr>
                <w:sz w:val="20"/>
                <w:szCs w:val="20"/>
                <w:color w:val="auto"/>
              </w:rPr>
            </w:pPr>
            <w:r>
              <w:rPr>
                <w:rFonts w:ascii="Arial" w:cs="Arial" w:eastAsia="Arial" w:hAnsi="Arial"/>
                <w:sz w:val="19"/>
                <w:szCs w:val="19"/>
                <w:color w:val="auto"/>
                <w:w w:val="87"/>
              </w:rPr>
              <w:t>Total Stores:</w:t>
            </w:r>
          </w:p>
        </w:tc>
        <w:tc>
          <w:tcPr>
            <w:tcW w:w="980" w:type="dxa"/>
            <w:vAlign w:val="bottom"/>
          </w:tcPr>
          <w:p>
            <w:pPr>
              <w:ind w:left="180"/>
              <w:spacing w:after="0"/>
              <w:rPr>
                <w:sz w:val="20"/>
                <w:szCs w:val="20"/>
                <w:color w:val="auto"/>
              </w:rPr>
            </w:pPr>
            <w:r>
              <w:rPr>
                <w:rFonts w:ascii="Arial" w:cs="Arial" w:eastAsia="Arial" w:hAnsi="Arial"/>
                <w:sz w:val="19"/>
                <w:szCs w:val="19"/>
                <w:color w:val="auto"/>
              </w:rPr>
              <w:t>(460)</w:t>
            </w:r>
          </w:p>
        </w:tc>
        <w:tc>
          <w:tcPr>
            <w:tcW w:w="1260" w:type="dxa"/>
            <w:vAlign w:val="bottom"/>
          </w:tcPr>
          <w:p>
            <w:pPr>
              <w:jc w:val="right"/>
              <w:ind w:right="246"/>
              <w:spacing w:after="0"/>
              <w:rPr>
                <w:sz w:val="20"/>
                <w:szCs w:val="20"/>
                <w:color w:val="auto"/>
              </w:rPr>
            </w:pPr>
            <w:r>
              <w:rPr>
                <w:rFonts w:ascii="Arial" w:cs="Arial" w:eastAsia="Arial" w:hAnsi="Arial"/>
                <w:sz w:val="19"/>
                <w:szCs w:val="19"/>
                <w:color w:val="auto"/>
              </w:rPr>
              <w:t>(450)</w:t>
            </w:r>
          </w:p>
        </w:tc>
        <w:tc>
          <w:tcPr>
            <w:tcW w:w="1200" w:type="dxa"/>
            <w:vAlign w:val="bottom"/>
          </w:tcPr>
          <w:p>
            <w:pPr>
              <w:jc w:val="right"/>
              <w:ind w:right="246"/>
              <w:spacing w:after="0"/>
              <w:rPr>
                <w:sz w:val="20"/>
                <w:szCs w:val="20"/>
                <w:color w:val="auto"/>
              </w:rPr>
            </w:pPr>
            <w:r>
              <w:rPr>
                <w:rFonts w:ascii="Arial" w:cs="Arial" w:eastAsia="Arial" w:hAnsi="Arial"/>
                <w:sz w:val="19"/>
                <w:szCs w:val="19"/>
                <w:color w:val="auto"/>
              </w:rPr>
              <w:t>(412)</w:t>
            </w:r>
          </w:p>
        </w:tc>
        <w:tc>
          <w:tcPr>
            <w:tcW w:w="1320" w:type="dxa"/>
            <w:vAlign w:val="bottom"/>
          </w:tcPr>
          <w:p>
            <w:pPr>
              <w:jc w:val="right"/>
              <w:ind w:right="146"/>
              <w:spacing w:after="0"/>
              <w:rPr>
                <w:sz w:val="20"/>
                <w:szCs w:val="20"/>
                <w:color w:val="auto"/>
              </w:rPr>
            </w:pPr>
            <w:r>
              <w:rPr>
                <w:rFonts w:ascii="Arial" w:cs="Arial" w:eastAsia="Arial" w:hAnsi="Arial"/>
                <w:sz w:val="19"/>
                <w:szCs w:val="19"/>
                <w:color w:val="auto"/>
              </w:rPr>
              <w:t>(348-358)</w:t>
            </w:r>
          </w:p>
        </w:tc>
        <w:tc>
          <w:tcPr>
            <w:tcW w:w="1080" w:type="dxa"/>
            <w:vAlign w:val="bottom"/>
          </w:tcPr>
          <w:p>
            <w:pPr>
              <w:jc w:val="right"/>
              <w:spacing w:after="0"/>
              <w:rPr>
                <w:sz w:val="20"/>
                <w:szCs w:val="20"/>
                <w:color w:val="auto"/>
              </w:rPr>
            </w:pPr>
            <w:r>
              <w:rPr>
                <w:rFonts w:ascii="Arial" w:cs="Arial" w:eastAsia="Arial" w:hAnsi="Arial"/>
                <w:sz w:val="19"/>
                <w:szCs w:val="19"/>
                <w:color w:val="auto"/>
              </w:rPr>
              <w:t>(308-318)</w:t>
            </w:r>
          </w:p>
        </w:tc>
        <w:tc>
          <w:tcPr>
            <w:tcW w:w="1640" w:type="dxa"/>
            <w:vAlign w:val="bottom"/>
          </w:tcPr>
          <w:p>
            <w:pPr>
              <w:ind w:left="460"/>
              <w:spacing w:after="0"/>
              <w:rPr>
                <w:sz w:val="20"/>
                <w:szCs w:val="20"/>
                <w:color w:val="auto"/>
              </w:rPr>
            </w:pPr>
            <w:r>
              <w:rPr>
                <w:rFonts w:ascii="Arial" w:cs="Arial" w:eastAsia="Arial" w:hAnsi="Arial"/>
                <w:sz w:val="19"/>
                <w:szCs w:val="19"/>
                <w:color w:val="auto"/>
              </w:rPr>
              <w:t>(283-298)</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700" w:type="dxa"/>
        <w:tblCellMar>
          <w:top w:w="0" w:type="dxa"/>
          <w:left w:w="0" w:type="dxa"/>
          <w:bottom w:w="0" w:type="dxa"/>
          <w:right w:w="0" w:type="dxa"/>
        </w:tblCellMar>
      </w:tblPr>
      <w:tr>
        <w:trPr>
          <w:trHeight w:val="341"/>
        </w:trPr>
        <w:tc>
          <w:tcPr>
            <w:tcW w:w="6340" w:type="dxa"/>
            <w:vAlign w:val="bottom"/>
          </w:tcPr>
          <w:p>
            <w:pPr>
              <w:ind w:left="140"/>
              <w:spacing w:after="0"/>
              <w:rPr>
                <w:sz w:val="20"/>
                <w:szCs w:val="20"/>
                <w:color w:val="auto"/>
              </w:rPr>
            </w:pPr>
            <w:r>
              <w:rPr>
                <w:rFonts w:ascii="Arial" w:cs="Arial" w:eastAsia="Arial" w:hAnsi="Arial"/>
                <w:sz w:val="28"/>
                <w:szCs w:val="28"/>
                <w:color w:val="auto"/>
              </w:rPr>
              <w:t>Accelerated rollout based on</w:t>
            </w:r>
          </w:p>
        </w:tc>
        <w:tc>
          <w:tcPr>
            <w:tcW w:w="3100" w:type="dxa"/>
            <w:vAlign w:val="bottom"/>
          </w:tcPr>
          <w:p>
            <w:pPr>
              <w:spacing w:after="0"/>
              <w:rPr>
                <w:sz w:val="24"/>
                <w:szCs w:val="24"/>
                <w:color w:val="auto"/>
              </w:rPr>
            </w:pPr>
          </w:p>
        </w:tc>
      </w:tr>
      <w:tr>
        <w:trPr>
          <w:trHeight w:val="359"/>
        </w:trPr>
        <w:tc>
          <w:tcPr>
            <w:tcW w:w="6340" w:type="dxa"/>
            <w:vAlign w:val="bottom"/>
          </w:tcPr>
          <w:p>
            <w:pPr>
              <w:spacing w:after="0"/>
              <w:rPr>
                <w:sz w:val="20"/>
                <w:szCs w:val="20"/>
                <w:color w:val="auto"/>
              </w:rPr>
            </w:pPr>
            <w:r>
              <w:rPr>
                <w:rFonts w:ascii="Arial" w:cs="Arial" w:eastAsia="Arial" w:hAnsi="Arial"/>
                <w:sz w:val="28"/>
                <w:szCs w:val="28"/>
                <w:color w:val="auto"/>
              </w:rPr>
              <w:t>success of DXL stores in 2011</w:t>
            </w:r>
          </w:p>
        </w:tc>
        <w:tc>
          <w:tcPr>
            <w:tcW w:w="3100" w:type="dxa"/>
            <w:vAlign w:val="bottom"/>
          </w:tcPr>
          <w:p>
            <w:pPr>
              <w:jc w:val="right"/>
              <w:spacing w:after="0"/>
              <w:rPr>
                <w:sz w:val="20"/>
                <w:szCs w:val="20"/>
                <w:color w:val="auto"/>
              </w:rPr>
            </w:pPr>
            <w:r>
              <w:rPr>
                <w:rFonts w:ascii="Arial" w:cs="Arial" w:eastAsia="Arial" w:hAnsi="Arial"/>
                <w:sz w:val="19"/>
                <w:szCs w:val="19"/>
                <w:color w:val="898989"/>
              </w:rPr>
              <w:t>19</w:t>
            </w:r>
          </w:p>
        </w:tc>
      </w:tr>
    </w:tbl>
    <w:p>
      <w:pPr>
        <w:sectPr>
          <w:pgSz w:w="11900" w:h="16838" w:orient="portrait"/>
          <w:cols w:equalWidth="0" w:num="1">
            <w:col w:w="10140"/>
          </w:cols>
          <w:pgMar w:left="860" w:top="1052" w:right="899" w:bottom="1440" w:gutter="0" w:footer="0" w:header="0"/>
        </w:sectPr>
      </w:pPr>
    </w:p>
    <w:bookmarkStart w:id="22" w:name="page23"/>
    <w:bookmarkEnd w:id="22"/>
    <w:p>
      <w:pPr>
        <w:spacing w:after="0"/>
        <w:rPr>
          <w:sz w:val="20"/>
          <w:szCs w:val="20"/>
          <w:color w:val="auto"/>
        </w:rPr>
      </w:pPr>
      <w:r>
        <w:rPr>
          <w:rFonts w:ascii="Arial" w:cs="Arial" w:eastAsia="Arial" w:hAnsi="Arial"/>
          <w:sz w:val="52"/>
          <w:szCs w:val="52"/>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DXL Sales Increase as % of Total Revenue</w:t>
      </w:r>
    </w:p>
    <w:p>
      <w:pPr>
        <w:spacing w:after="0" w:line="200" w:lineRule="exact"/>
        <w:rPr>
          <w:sz w:val="20"/>
          <w:szCs w:val="20"/>
          <w:color w:val="auto"/>
        </w:rPr>
      </w:pPr>
    </w:p>
    <w:p>
      <w:pPr>
        <w:spacing w:after="0" w:line="30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666699"/>
        </w:rPr>
        <w:t>100%</w:t>
      </w:r>
    </w:p>
    <w:p>
      <w:pPr>
        <w:spacing w:after="0" w:line="55"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666699"/>
        </w:rPr>
        <w:t>89%</w:t>
      </w:r>
    </w:p>
    <w:tbl>
      <w:tblPr>
        <w:tblLayout w:type="fixed"/>
        <w:tblInd w:w="600" w:type="dxa"/>
        <w:tblCellMar>
          <w:top w:w="0" w:type="dxa"/>
          <w:left w:w="0" w:type="dxa"/>
          <w:bottom w:w="0" w:type="dxa"/>
          <w:right w:w="0" w:type="dxa"/>
        </w:tblCellMar>
      </w:tblPr>
      <w:tr>
        <w:trPr>
          <w:trHeight w:val="218"/>
        </w:trPr>
        <w:tc>
          <w:tcPr>
            <w:tcW w:w="1600" w:type="dxa"/>
            <w:vAlign w:val="bottom"/>
          </w:tcPr>
          <w:p>
            <w:pPr>
              <w:jc w:val="right"/>
              <w:ind w:right="1152"/>
              <w:spacing w:after="0"/>
              <w:rPr>
                <w:sz w:val="20"/>
                <w:szCs w:val="20"/>
                <w:color w:val="auto"/>
              </w:rPr>
            </w:pPr>
            <w:r>
              <w:rPr>
                <w:rFonts w:ascii="Arial" w:cs="Arial" w:eastAsia="Arial" w:hAnsi="Arial"/>
                <w:sz w:val="18"/>
                <w:szCs w:val="18"/>
                <w:b w:val="1"/>
                <w:bCs w:val="1"/>
                <w:color w:val="666699"/>
                <w:w w:val="94"/>
              </w:rPr>
              <w:t>90%</w:t>
            </w: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vMerge w:val="restart"/>
          </w:tcPr>
          <w:p>
            <w:pPr>
              <w:ind w:left="380"/>
              <w:spacing w:after="0"/>
              <w:rPr>
                <w:sz w:val="20"/>
                <w:szCs w:val="20"/>
                <w:color w:val="auto"/>
              </w:rPr>
            </w:pPr>
            <w:r>
              <w:rPr>
                <w:rFonts w:ascii="Arial" w:cs="Arial" w:eastAsia="Arial" w:hAnsi="Arial"/>
                <w:sz w:val="18"/>
                <w:szCs w:val="18"/>
                <w:b w:val="1"/>
                <w:bCs w:val="1"/>
                <w:color w:val="666699"/>
              </w:rPr>
              <w:t>84%</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16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3"/>
        </w:trPr>
        <w:tc>
          <w:tcPr>
            <w:tcW w:w="1600" w:type="dxa"/>
            <w:vAlign w:val="bottom"/>
          </w:tcPr>
          <w:p>
            <w:pPr>
              <w:jc w:val="right"/>
              <w:ind w:right="1152"/>
              <w:spacing w:after="0"/>
              <w:rPr>
                <w:sz w:val="20"/>
                <w:szCs w:val="20"/>
                <w:color w:val="auto"/>
              </w:rPr>
            </w:pPr>
            <w:r>
              <w:rPr>
                <w:rFonts w:ascii="Arial" w:cs="Arial" w:eastAsia="Arial" w:hAnsi="Arial"/>
                <w:sz w:val="18"/>
                <w:szCs w:val="18"/>
                <w:b w:val="1"/>
                <w:bCs w:val="1"/>
                <w:color w:val="666699"/>
                <w:w w:val="94"/>
              </w:rPr>
              <w:t>80%</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600" w:type="dxa"/>
            <w:vAlign w:val="bottom"/>
            <w:vMerge w:val="restart"/>
          </w:tcPr>
          <w:p>
            <w:pPr>
              <w:jc w:val="right"/>
              <w:ind w:right="1152"/>
              <w:spacing w:after="0"/>
              <w:rPr>
                <w:sz w:val="20"/>
                <w:szCs w:val="20"/>
                <w:color w:val="auto"/>
              </w:rPr>
            </w:pPr>
            <w:r>
              <w:rPr>
                <w:rFonts w:ascii="Arial" w:cs="Arial" w:eastAsia="Arial" w:hAnsi="Arial"/>
                <w:sz w:val="18"/>
                <w:szCs w:val="18"/>
                <w:b w:val="1"/>
                <w:bCs w:val="1"/>
                <w:color w:val="666699"/>
                <w:w w:val="94"/>
              </w:rPr>
              <w:t>70%</w:t>
            </w:r>
          </w:p>
        </w:tc>
        <w:tc>
          <w:tcPr>
            <w:tcW w:w="1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160" w:type="dxa"/>
            <w:vAlign w:val="bottom"/>
          </w:tcPr>
          <w:p>
            <w:pPr>
              <w:jc w:val="right"/>
              <w:ind w:right="332"/>
              <w:spacing w:after="0"/>
              <w:rPr>
                <w:sz w:val="20"/>
                <w:szCs w:val="20"/>
                <w:color w:val="auto"/>
              </w:rPr>
            </w:pPr>
            <w:r>
              <w:rPr>
                <w:rFonts w:ascii="Arial" w:cs="Arial" w:eastAsia="Arial" w:hAnsi="Arial"/>
                <w:sz w:val="18"/>
                <w:szCs w:val="18"/>
                <w:b w:val="1"/>
                <w:bCs w:val="1"/>
                <w:color w:val="666699"/>
              </w:rPr>
              <w:t>70%</w:t>
            </w:r>
          </w:p>
        </w:tc>
        <w:tc>
          <w:tcPr>
            <w:tcW w:w="1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160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5"/>
        </w:trPr>
        <w:tc>
          <w:tcPr>
            <w:tcW w:w="1600" w:type="dxa"/>
            <w:vAlign w:val="bottom"/>
          </w:tcPr>
          <w:p>
            <w:pPr>
              <w:jc w:val="right"/>
              <w:ind w:right="1152"/>
              <w:spacing w:after="0"/>
              <w:rPr>
                <w:sz w:val="20"/>
                <w:szCs w:val="20"/>
                <w:color w:val="auto"/>
              </w:rPr>
            </w:pPr>
            <w:r>
              <w:rPr>
                <w:rFonts w:ascii="Arial" w:cs="Arial" w:eastAsia="Arial" w:hAnsi="Arial"/>
                <w:sz w:val="18"/>
                <w:szCs w:val="18"/>
                <w:b w:val="1"/>
                <w:bCs w:val="1"/>
                <w:color w:val="666699"/>
                <w:w w:val="94"/>
              </w:rPr>
              <w:t>60%</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1600" w:type="dxa"/>
            <w:vAlign w:val="bottom"/>
            <w:vMerge w:val="restart"/>
          </w:tcPr>
          <w:p>
            <w:pPr>
              <w:jc w:val="right"/>
              <w:ind w:right="1152"/>
              <w:spacing w:after="0"/>
              <w:rPr>
                <w:sz w:val="20"/>
                <w:szCs w:val="20"/>
                <w:color w:val="auto"/>
              </w:rPr>
            </w:pPr>
            <w:r>
              <w:rPr>
                <w:rFonts w:ascii="Arial" w:cs="Arial" w:eastAsia="Arial" w:hAnsi="Arial"/>
                <w:sz w:val="18"/>
                <w:szCs w:val="18"/>
                <w:b w:val="1"/>
                <w:bCs w:val="1"/>
                <w:color w:val="666699"/>
                <w:w w:val="94"/>
              </w:rPr>
              <w:t>50%</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Arial" w:cs="Arial" w:eastAsia="Arial" w:hAnsi="Arial"/>
                <w:sz w:val="18"/>
                <w:szCs w:val="18"/>
                <w:b w:val="1"/>
                <w:bCs w:val="1"/>
                <w:color w:val="666699"/>
              </w:rPr>
              <w:t>48%</w:t>
            </w: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6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5"/>
        </w:trPr>
        <w:tc>
          <w:tcPr>
            <w:tcW w:w="1600" w:type="dxa"/>
            <w:vAlign w:val="bottom"/>
          </w:tcPr>
          <w:p>
            <w:pPr>
              <w:jc w:val="right"/>
              <w:ind w:right="1152"/>
              <w:spacing w:after="0"/>
              <w:rPr>
                <w:sz w:val="20"/>
                <w:szCs w:val="20"/>
                <w:color w:val="auto"/>
              </w:rPr>
            </w:pPr>
            <w:r>
              <w:rPr>
                <w:rFonts w:ascii="Arial" w:cs="Arial" w:eastAsia="Arial" w:hAnsi="Arial"/>
                <w:sz w:val="18"/>
                <w:szCs w:val="18"/>
                <w:b w:val="1"/>
                <w:bCs w:val="1"/>
                <w:color w:val="666699"/>
                <w:w w:val="94"/>
              </w:rPr>
              <w:t>40%</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600" w:type="dxa"/>
            <w:vAlign w:val="bottom"/>
            <w:vMerge w:val="restart"/>
          </w:tcPr>
          <w:p>
            <w:pPr>
              <w:jc w:val="right"/>
              <w:ind w:right="1152"/>
              <w:spacing w:after="0"/>
              <w:rPr>
                <w:sz w:val="20"/>
                <w:szCs w:val="20"/>
                <w:color w:val="auto"/>
              </w:rPr>
            </w:pPr>
            <w:r>
              <w:rPr>
                <w:rFonts w:ascii="Arial" w:cs="Arial" w:eastAsia="Arial" w:hAnsi="Arial"/>
                <w:sz w:val="18"/>
                <w:szCs w:val="18"/>
                <w:b w:val="1"/>
                <w:bCs w:val="1"/>
                <w:color w:val="666699"/>
                <w:w w:val="94"/>
              </w:rPr>
              <w:t>30%</w:t>
            </w:r>
          </w:p>
        </w:tc>
        <w:tc>
          <w:tcPr>
            <w:tcW w:w="1160" w:type="dxa"/>
            <w:vAlign w:val="bottom"/>
          </w:tcPr>
          <w:p>
            <w:pPr>
              <w:spacing w:after="0"/>
              <w:rPr>
                <w:sz w:val="24"/>
                <w:szCs w:val="24"/>
                <w:color w:val="auto"/>
              </w:rPr>
            </w:pPr>
          </w:p>
        </w:tc>
        <w:tc>
          <w:tcPr>
            <w:tcW w:w="1160" w:type="dxa"/>
            <w:vAlign w:val="bottom"/>
          </w:tcPr>
          <w:p>
            <w:pPr>
              <w:jc w:val="right"/>
              <w:ind w:right="312"/>
              <w:spacing w:after="0"/>
              <w:rPr>
                <w:sz w:val="20"/>
                <w:szCs w:val="20"/>
                <w:color w:val="auto"/>
              </w:rPr>
            </w:pPr>
            <w:r>
              <w:rPr>
                <w:rFonts w:ascii="Arial" w:cs="Arial" w:eastAsia="Arial" w:hAnsi="Arial"/>
                <w:sz w:val="18"/>
                <w:szCs w:val="18"/>
                <w:b w:val="1"/>
                <w:bCs w:val="1"/>
                <w:color w:val="666699"/>
              </w:rPr>
              <w:t>28%</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60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3"/>
        </w:trPr>
        <w:tc>
          <w:tcPr>
            <w:tcW w:w="1600" w:type="dxa"/>
            <w:vAlign w:val="bottom"/>
          </w:tcPr>
          <w:p>
            <w:pPr>
              <w:jc w:val="right"/>
              <w:ind w:right="1152"/>
              <w:spacing w:after="0"/>
              <w:rPr>
                <w:sz w:val="20"/>
                <w:szCs w:val="20"/>
                <w:color w:val="auto"/>
              </w:rPr>
            </w:pPr>
            <w:r>
              <w:rPr>
                <w:rFonts w:ascii="Arial" w:cs="Arial" w:eastAsia="Arial" w:hAnsi="Arial"/>
                <w:sz w:val="18"/>
                <w:szCs w:val="18"/>
                <w:b w:val="1"/>
                <w:bCs w:val="1"/>
                <w:color w:val="666699"/>
                <w:w w:val="94"/>
              </w:rPr>
              <w:t>20%</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600" w:type="dxa"/>
            <w:vAlign w:val="bottom"/>
          </w:tcPr>
          <w:p>
            <w:pPr>
              <w:jc w:val="right"/>
              <w:ind w:right="1152"/>
              <w:spacing w:after="0"/>
              <w:rPr>
                <w:sz w:val="20"/>
                <w:szCs w:val="20"/>
                <w:color w:val="auto"/>
              </w:rPr>
            </w:pPr>
            <w:r>
              <w:rPr>
                <w:rFonts w:ascii="Arial" w:cs="Arial" w:eastAsia="Arial" w:hAnsi="Arial"/>
                <w:sz w:val="18"/>
                <w:szCs w:val="18"/>
                <w:b w:val="1"/>
                <w:bCs w:val="1"/>
                <w:color w:val="666699"/>
                <w:w w:val="94"/>
              </w:rPr>
              <w:t>10%</w:t>
            </w:r>
          </w:p>
        </w:tc>
        <w:tc>
          <w:tcPr>
            <w:tcW w:w="1160" w:type="dxa"/>
            <w:vAlign w:val="bottom"/>
          </w:tcPr>
          <w:p>
            <w:pPr>
              <w:jc w:val="right"/>
              <w:ind w:right="372"/>
              <w:spacing w:after="0"/>
              <w:rPr>
                <w:sz w:val="20"/>
                <w:szCs w:val="20"/>
                <w:color w:val="auto"/>
              </w:rPr>
            </w:pPr>
            <w:r>
              <w:rPr>
                <w:rFonts w:ascii="Arial" w:cs="Arial" w:eastAsia="Arial" w:hAnsi="Arial"/>
                <w:sz w:val="18"/>
                <w:szCs w:val="18"/>
                <w:b w:val="1"/>
                <w:bCs w:val="1"/>
                <w:color w:val="666699"/>
              </w:rPr>
              <w:t>5%</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600" w:type="dxa"/>
            <w:vAlign w:val="bottom"/>
          </w:tcPr>
          <w:p>
            <w:pPr>
              <w:jc w:val="right"/>
              <w:ind w:right="332"/>
              <w:spacing w:after="0"/>
              <w:rPr>
                <w:sz w:val="20"/>
                <w:szCs w:val="20"/>
                <w:color w:val="auto"/>
              </w:rPr>
            </w:pPr>
            <w:r>
              <w:rPr>
                <w:rFonts w:ascii="Arial" w:cs="Arial" w:eastAsia="Arial" w:hAnsi="Arial"/>
                <w:sz w:val="18"/>
                <w:szCs w:val="18"/>
                <w:b w:val="1"/>
                <w:bCs w:val="1"/>
                <w:color w:val="666699"/>
              </w:rPr>
              <w:t>1%</w:t>
            </w: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tcPr>
          <w:p>
            <w:pPr>
              <w:jc w:val="right"/>
              <w:ind w:right="1172"/>
              <w:spacing w:after="0"/>
              <w:rPr>
                <w:sz w:val="20"/>
                <w:szCs w:val="20"/>
                <w:color w:val="auto"/>
              </w:rPr>
            </w:pPr>
            <w:r>
              <w:rPr>
                <w:rFonts w:ascii="Arial" w:cs="Arial" w:eastAsia="Arial" w:hAnsi="Arial"/>
                <w:sz w:val="18"/>
                <w:szCs w:val="18"/>
                <w:b w:val="1"/>
                <w:bCs w:val="1"/>
                <w:color w:val="666699"/>
              </w:rPr>
              <w:t>0%</w:t>
            </w:r>
          </w:p>
        </w:tc>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1600" w:type="dxa"/>
            <w:vAlign w:val="bottom"/>
          </w:tcPr>
          <w:p>
            <w:pPr>
              <w:jc w:val="right"/>
              <w:ind w:right="292"/>
              <w:spacing w:after="0"/>
              <w:rPr>
                <w:sz w:val="20"/>
                <w:szCs w:val="20"/>
                <w:color w:val="auto"/>
              </w:rPr>
            </w:pPr>
            <w:r>
              <w:rPr>
                <w:rFonts w:ascii="Arial" w:cs="Arial" w:eastAsia="Arial" w:hAnsi="Arial"/>
                <w:sz w:val="18"/>
                <w:szCs w:val="18"/>
                <w:b w:val="1"/>
                <w:bCs w:val="1"/>
                <w:color w:val="666699"/>
              </w:rPr>
              <w:t>2010</w:t>
            </w:r>
          </w:p>
        </w:tc>
        <w:tc>
          <w:tcPr>
            <w:tcW w:w="1160" w:type="dxa"/>
            <w:vAlign w:val="bottom"/>
          </w:tcPr>
          <w:p>
            <w:pPr>
              <w:jc w:val="right"/>
              <w:ind w:right="292"/>
              <w:spacing w:after="0"/>
              <w:rPr>
                <w:sz w:val="20"/>
                <w:szCs w:val="20"/>
                <w:color w:val="auto"/>
              </w:rPr>
            </w:pPr>
            <w:r>
              <w:rPr>
                <w:rFonts w:ascii="Arial" w:cs="Arial" w:eastAsia="Arial" w:hAnsi="Arial"/>
                <w:sz w:val="18"/>
                <w:szCs w:val="18"/>
                <w:b w:val="1"/>
                <w:bCs w:val="1"/>
                <w:color w:val="666699"/>
              </w:rPr>
              <w:t>2011</w:t>
            </w:r>
          </w:p>
        </w:tc>
        <w:tc>
          <w:tcPr>
            <w:tcW w:w="1160" w:type="dxa"/>
            <w:vAlign w:val="bottom"/>
          </w:tcPr>
          <w:p>
            <w:pPr>
              <w:jc w:val="right"/>
              <w:ind w:right="292"/>
              <w:spacing w:after="0"/>
              <w:rPr>
                <w:sz w:val="20"/>
                <w:szCs w:val="20"/>
                <w:color w:val="auto"/>
              </w:rPr>
            </w:pPr>
            <w:r>
              <w:rPr>
                <w:rFonts w:ascii="Arial" w:cs="Arial" w:eastAsia="Arial" w:hAnsi="Arial"/>
                <w:sz w:val="18"/>
                <w:szCs w:val="18"/>
                <w:b w:val="1"/>
                <w:bCs w:val="1"/>
                <w:color w:val="666699"/>
              </w:rPr>
              <w:t>2012</w:t>
            </w:r>
          </w:p>
        </w:tc>
        <w:tc>
          <w:tcPr>
            <w:tcW w:w="1160" w:type="dxa"/>
            <w:vAlign w:val="bottom"/>
          </w:tcPr>
          <w:p>
            <w:pPr>
              <w:jc w:val="right"/>
              <w:ind w:right="312"/>
              <w:spacing w:after="0"/>
              <w:rPr>
                <w:sz w:val="20"/>
                <w:szCs w:val="20"/>
                <w:color w:val="auto"/>
              </w:rPr>
            </w:pPr>
            <w:r>
              <w:rPr>
                <w:rFonts w:ascii="Arial" w:cs="Arial" w:eastAsia="Arial" w:hAnsi="Arial"/>
                <w:sz w:val="18"/>
                <w:szCs w:val="18"/>
                <w:b w:val="1"/>
                <w:bCs w:val="1"/>
                <w:color w:val="666699"/>
              </w:rPr>
              <w:t>2013</w:t>
            </w:r>
          </w:p>
        </w:tc>
        <w:tc>
          <w:tcPr>
            <w:tcW w:w="1160" w:type="dxa"/>
            <w:vAlign w:val="bottom"/>
          </w:tcPr>
          <w:p>
            <w:pPr>
              <w:jc w:val="right"/>
              <w:ind w:right="312"/>
              <w:spacing w:after="0"/>
              <w:rPr>
                <w:sz w:val="20"/>
                <w:szCs w:val="20"/>
                <w:color w:val="auto"/>
              </w:rPr>
            </w:pPr>
            <w:r>
              <w:rPr>
                <w:rFonts w:ascii="Arial" w:cs="Arial" w:eastAsia="Arial" w:hAnsi="Arial"/>
                <w:sz w:val="18"/>
                <w:szCs w:val="18"/>
                <w:b w:val="1"/>
                <w:bCs w:val="1"/>
                <w:color w:val="666699"/>
              </w:rPr>
              <w:t>2014</w:t>
            </w:r>
          </w:p>
        </w:tc>
        <w:tc>
          <w:tcPr>
            <w:tcW w:w="1140" w:type="dxa"/>
            <w:vAlign w:val="bottom"/>
          </w:tcPr>
          <w:p>
            <w:pPr>
              <w:ind w:left="380"/>
              <w:spacing w:after="0"/>
              <w:rPr>
                <w:sz w:val="20"/>
                <w:szCs w:val="20"/>
                <w:color w:val="auto"/>
              </w:rPr>
            </w:pPr>
            <w:r>
              <w:rPr>
                <w:rFonts w:ascii="Arial" w:cs="Arial" w:eastAsia="Arial" w:hAnsi="Arial"/>
                <w:sz w:val="18"/>
                <w:szCs w:val="18"/>
                <w:b w:val="1"/>
                <w:bCs w:val="1"/>
                <w:color w:val="666699"/>
              </w:rPr>
              <w:t>2015</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666699"/>
              </w:rPr>
              <w:t>2016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380" w:type="dxa"/>
        <w:tblCellMar>
          <w:top w:w="0" w:type="dxa"/>
          <w:left w:w="0" w:type="dxa"/>
          <w:bottom w:w="0" w:type="dxa"/>
          <w:right w:w="0" w:type="dxa"/>
        </w:tblCellMar>
      </w:tblPr>
      <w:tr>
        <w:trPr>
          <w:trHeight w:val="322"/>
        </w:trPr>
        <w:tc>
          <w:tcPr>
            <w:tcW w:w="8040" w:type="dxa"/>
            <w:vAlign w:val="bottom"/>
          </w:tcPr>
          <w:p>
            <w:pPr>
              <w:spacing w:after="0"/>
              <w:rPr>
                <w:sz w:val="20"/>
                <w:szCs w:val="20"/>
                <w:color w:val="auto"/>
              </w:rPr>
            </w:pPr>
            <w:r>
              <w:rPr>
                <w:rFonts w:ascii="Arial" w:cs="Arial" w:eastAsia="Arial" w:hAnsi="Arial"/>
                <w:sz w:val="22"/>
                <w:szCs w:val="22"/>
                <w:color w:val="auto"/>
              </w:rPr>
              <w:t>* DXL sales include direct sales via the DestinationXL.com website.</w:t>
            </w:r>
          </w:p>
        </w:tc>
        <w:tc>
          <w:tcPr>
            <w:tcW w:w="2100" w:type="dxa"/>
            <w:vAlign w:val="bottom"/>
          </w:tcPr>
          <w:p>
            <w:pPr>
              <w:jc w:val="right"/>
              <w:spacing w:after="0"/>
              <w:rPr>
                <w:sz w:val="20"/>
                <w:szCs w:val="20"/>
                <w:color w:val="auto"/>
              </w:rPr>
            </w:pPr>
            <w:r>
              <w:rPr>
                <w:rFonts w:ascii="Arial" w:cs="Arial" w:eastAsia="Arial" w:hAnsi="Arial"/>
                <w:sz w:val="19"/>
                <w:szCs w:val="19"/>
                <w:color w:val="898989"/>
              </w:rPr>
              <w:t>20</w:t>
            </w:r>
          </w:p>
        </w:tc>
      </w:tr>
    </w:tbl>
    <w:p>
      <w:pPr>
        <w:sectPr>
          <w:pgSz w:w="11900" w:h="16838" w:orient="portrait"/>
          <w:cols w:equalWidth="0" w:num="1">
            <w:col w:w="10520"/>
          </w:cols>
          <w:pgMar w:left="480" w:top="1101" w:right="899" w:bottom="1440" w:gutter="0" w:footer="0" w:header="0"/>
        </w:sectPr>
      </w:pPr>
    </w:p>
    <w:bookmarkStart w:id="23" w:name="page24"/>
    <w:bookmarkEnd w:id="23"/>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Accelerated Rollout of DXL</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240"/>
        <w:spacing w:after="0"/>
        <w:rPr>
          <w:sz w:val="20"/>
          <w:szCs w:val="20"/>
          <w:color w:val="auto"/>
        </w:rPr>
      </w:pPr>
      <w:r>
        <w:rPr>
          <w:rFonts w:ascii="Arial" w:cs="Arial" w:eastAsia="Arial" w:hAnsi="Arial"/>
          <w:sz w:val="28"/>
          <w:szCs w:val="28"/>
          <w:b w:val="1"/>
          <w:bCs w:val="1"/>
          <w:color w:val="auto"/>
        </w:rPr>
        <w:t>2012</w:t>
      </w:r>
    </w:p>
    <w:p>
      <w:pPr>
        <w:spacing w:after="0" w:line="124"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Opened </w:t>
      </w:r>
      <w:r>
        <w:rPr>
          <w:rFonts w:ascii="Arial" w:cs="Arial" w:eastAsia="Arial" w:hAnsi="Arial"/>
          <w:sz w:val="22"/>
          <w:szCs w:val="22"/>
          <w:b w:val="1"/>
          <w:bCs w:val="1"/>
          <w:color w:val="auto"/>
        </w:rPr>
        <w:t>32</w:t>
      </w:r>
      <w:r>
        <w:rPr>
          <w:rFonts w:ascii="Arial" w:cs="Arial" w:eastAsia="Arial" w:hAnsi="Arial"/>
          <w:sz w:val="22"/>
          <w:szCs w:val="22"/>
          <w:color w:val="auto"/>
        </w:rPr>
        <w:t xml:space="preserve"> DXL stores / Closed </w:t>
      </w:r>
      <w:r>
        <w:rPr>
          <w:rFonts w:ascii="Arial" w:cs="Arial" w:eastAsia="Arial" w:hAnsi="Arial"/>
          <w:sz w:val="22"/>
          <w:szCs w:val="22"/>
          <w:b w:val="1"/>
          <w:bCs w:val="1"/>
          <w:color w:val="auto"/>
        </w:rPr>
        <w:t>70</w:t>
      </w:r>
      <w:r>
        <w:rPr>
          <w:rFonts w:ascii="Arial" w:cs="Arial" w:eastAsia="Arial" w:hAnsi="Arial"/>
          <w:sz w:val="22"/>
          <w:szCs w:val="22"/>
          <w:color w:val="auto"/>
        </w:rPr>
        <w:t xml:space="preserve"> stores</w:t>
      </w:r>
    </w:p>
    <w:p>
      <w:pPr>
        <w:spacing w:after="0" w:line="123"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Operating margins were approximately</w:t>
      </w:r>
      <w:r>
        <w:rPr>
          <w:rFonts w:ascii="Arial" w:cs="Arial" w:eastAsia="Arial" w:hAnsi="Arial"/>
          <w:sz w:val="22"/>
          <w:szCs w:val="22"/>
          <w:b w:val="1"/>
          <w:bCs w:val="1"/>
          <w:color w:val="auto"/>
        </w:rPr>
        <w:t>3.5%</w:t>
      </w:r>
    </w:p>
    <w:p>
      <w:pPr>
        <w:spacing w:after="0" w:line="123"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CapEx was </w:t>
      </w:r>
      <w:r>
        <w:rPr>
          <w:rFonts w:ascii="Arial" w:cs="Arial" w:eastAsia="Arial" w:hAnsi="Arial"/>
          <w:sz w:val="22"/>
          <w:szCs w:val="22"/>
          <w:b w:val="1"/>
          <w:bCs w:val="1"/>
          <w:color w:val="auto"/>
        </w:rPr>
        <w:t>$32.4M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21</w:t>
      </w:r>
    </w:p>
    <w:p>
      <w:pPr>
        <w:sectPr>
          <w:pgSz w:w="11900" w:h="16838" w:orient="portrait"/>
          <w:cols w:equalWidth="0" w:num="1">
            <w:col w:w="9760"/>
          </w:cols>
          <w:pgMar w:left="1240" w:top="1240" w:right="899" w:bottom="1440" w:gutter="0" w:footer="0" w:header="0"/>
        </w:sectPr>
      </w:pPr>
    </w:p>
    <w:bookmarkStart w:id="24" w:name="page25"/>
    <w:bookmarkEnd w:id="24"/>
    <w:p>
      <w:pPr>
        <w:ind w:left="383"/>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Accelerated Rollout of DXL</w:t>
      </w:r>
    </w:p>
    <w:p>
      <w:pPr>
        <w:spacing w:after="0" w:line="101" w:lineRule="exact"/>
        <w:rPr>
          <w:sz w:val="20"/>
          <w:szCs w:val="20"/>
          <w:color w:val="auto"/>
        </w:rPr>
      </w:pPr>
    </w:p>
    <w:p>
      <w:pPr>
        <w:ind w:left="4623"/>
        <w:spacing w:after="0"/>
        <w:rPr>
          <w:sz w:val="20"/>
          <w:szCs w:val="20"/>
          <w:color w:val="auto"/>
        </w:rPr>
      </w:pPr>
      <w:r>
        <w:rPr>
          <w:rFonts w:ascii="Arial" w:cs="Arial" w:eastAsia="Arial" w:hAnsi="Arial"/>
          <w:sz w:val="28"/>
          <w:szCs w:val="28"/>
          <w:b w:val="1"/>
          <w:bCs w:val="1"/>
          <w:color w:val="auto"/>
        </w:rPr>
        <w:t>2013</w:t>
      </w:r>
    </w:p>
    <w:p>
      <w:pPr>
        <w:spacing w:after="0" w:line="138" w:lineRule="exact"/>
        <w:rPr>
          <w:sz w:val="20"/>
          <w:szCs w:val="20"/>
          <w:color w:val="auto"/>
        </w:rPr>
      </w:pPr>
    </w:p>
    <w:p>
      <w:pPr>
        <w:ind w:left="4623"/>
        <w:spacing w:after="0"/>
        <w:tabs>
          <w:tab w:leader="none" w:pos="8142" w:val="left"/>
        </w:tabs>
        <w:rPr>
          <w:sz w:val="20"/>
          <w:szCs w:val="20"/>
          <w:color w:val="auto"/>
        </w:rPr>
      </w:pPr>
      <w:r>
        <w:rPr>
          <w:rFonts w:ascii="Arial" w:cs="Arial" w:eastAsia="Arial" w:hAnsi="Arial"/>
          <w:sz w:val="20"/>
          <w:szCs w:val="20"/>
          <w:color w:val="auto"/>
        </w:rPr>
        <w:t xml:space="preserve">Open </w:t>
      </w:r>
      <w:r>
        <w:rPr>
          <w:rFonts w:ascii="Arial" w:cs="Arial" w:eastAsia="Arial" w:hAnsi="Arial"/>
          <w:sz w:val="20"/>
          <w:szCs w:val="20"/>
          <w:b w:val="1"/>
          <w:bCs w:val="1"/>
          <w:color w:val="auto"/>
        </w:rPr>
        <w:t>57- 64</w:t>
      </w:r>
      <w:r>
        <w:rPr>
          <w:rFonts w:ascii="Arial" w:cs="Arial" w:eastAsia="Arial" w:hAnsi="Arial"/>
          <w:sz w:val="20"/>
          <w:szCs w:val="20"/>
          <w:color w:val="auto"/>
        </w:rPr>
        <w:t xml:space="preserve"> DXL stores / Close </w:t>
      </w:r>
      <w:r>
        <w:rPr>
          <w:rFonts w:ascii="Arial" w:cs="Arial" w:eastAsia="Arial" w:hAnsi="Arial"/>
          <w:sz w:val="20"/>
          <w:szCs w:val="20"/>
          <w:b w:val="1"/>
          <w:bCs w:val="1"/>
          <w:color w:val="auto"/>
        </w:rPr>
        <w:t>110-119</w:t>
      </w:r>
      <w:r>
        <w:rPr>
          <w:sz w:val="20"/>
          <w:szCs w:val="20"/>
          <w:color w:val="auto"/>
        </w:rPr>
        <w:tab/>
      </w:r>
      <w:r>
        <w:rPr>
          <w:rFonts w:ascii="Arial" w:cs="Arial" w:eastAsia="Arial" w:hAnsi="Arial"/>
          <w:sz w:val="17"/>
          <w:szCs w:val="17"/>
          <w:color w:val="auto"/>
        </w:rPr>
        <w:t>stores</w:t>
      </w:r>
    </w:p>
    <w:p>
      <w:pPr>
        <w:spacing w:after="0" w:line="146" w:lineRule="exact"/>
        <w:rPr>
          <w:sz w:val="20"/>
          <w:szCs w:val="20"/>
          <w:color w:val="auto"/>
        </w:rPr>
      </w:pPr>
    </w:p>
    <w:p>
      <w:pPr>
        <w:ind w:left="4623"/>
        <w:spacing w:after="0"/>
        <w:tabs>
          <w:tab w:leader="none" w:pos="5842" w:val="left"/>
        </w:tabs>
        <w:rPr>
          <w:sz w:val="20"/>
          <w:szCs w:val="20"/>
          <w:color w:val="auto"/>
        </w:rPr>
      </w:pPr>
      <w:r>
        <w:rPr>
          <w:rFonts w:ascii="Arial" w:cs="Arial" w:eastAsia="Arial" w:hAnsi="Arial"/>
          <w:sz w:val="20"/>
          <w:szCs w:val="20"/>
          <w:color w:val="auto"/>
        </w:rPr>
        <w:t xml:space="preserve">Salesof </w:t>
      </w:r>
      <w:r>
        <w:rPr>
          <w:rFonts w:ascii="Arial" w:cs="Arial" w:eastAsia="Arial" w:hAnsi="Arial"/>
          <w:sz w:val="20"/>
          <w:szCs w:val="20"/>
          <w:b w:val="1"/>
          <w:bCs w:val="1"/>
          <w:color w:val="auto"/>
        </w:rPr>
        <w:t>$415</w:t>
      </w:r>
      <w:r>
        <w:rPr>
          <w:sz w:val="20"/>
          <w:szCs w:val="20"/>
          <w:color w:val="auto"/>
        </w:rPr>
        <w:tab/>
      </w:r>
      <w:r>
        <w:rPr>
          <w:rFonts w:ascii="Arial" w:cs="Arial" w:eastAsia="Arial" w:hAnsi="Arial"/>
          <w:sz w:val="20"/>
          <w:szCs w:val="20"/>
          <w:b w:val="1"/>
          <w:bCs w:val="1"/>
          <w:color w:val="auto"/>
        </w:rPr>
        <w:t>- $420M</w:t>
      </w:r>
    </w:p>
    <w:p>
      <w:pPr>
        <w:spacing w:after="0" w:line="146" w:lineRule="exact"/>
        <w:rPr>
          <w:sz w:val="20"/>
          <w:szCs w:val="20"/>
          <w:color w:val="auto"/>
        </w:rPr>
      </w:pPr>
    </w:p>
    <w:p>
      <w:pPr>
        <w:ind w:left="4623"/>
        <w:spacing w:after="0"/>
        <w:tabs>
          <w:tab w:leader="none" w:pos="7382" w:val="left"/>
        </w:tabs>
        <w:rPr>
          <w:sz w:val="20"/>
          <w:szCs w:val="20"/>
          <w:color w:val="auto"/>
        </w:rPr>
      </w:pPr>
      <w:r>
        <w:rPr>
          <w:rFonts w:ascii="Arial" w:cs="Arial" w:eastAsia="Arial" w:hAnsi="Arial"/>
          <w:sz w:val="20"/>
          <w:szCs w:val="20"/>
          <w:color w:val="auto"/>
        </w:rPr>
        <w:t xml:space="preserve">Expected borrowing levelof </w:t>
      </w:r>
      <w:r>
        <w:rPr>
          <w:rFonts w:ascii="Arial" w:cs="Arial" w:eastAsia="Arial" w:hAnsi="Arial"/>
          <w:sz w:val="20"/>
          <w:szCs w:val="20"/>
          <w:b w:val="1"/>
          <w:bCs w:val="1"/>
          <w:color w:val="auto"/>
        </w:rPr>
        <w:t>$10</w:t>
      </w:r>
      <w:r>
        <w:rPr>
          <w:sz w:val="20"/>
          <w:szCs w:val="20"/>
          <w:color w:val="auto"/>
        </w:rPr>
        <w:tab/>
      </w:r>
      <w:r>
        <w:rPr>
          <w:rFonts w:ascii="Arial" w:cs="Arial" w:eastAsia="Arial" w:hAnsi="Arial"/>
          <w:sz w:val="18"/>
          <w:szCs w:val="18"/>
          <w:b w:val="1"/>
          <w:bCs w:val="1"/>
          <w:color w:val="auto"/>
        </w:rPr>
        <w:t xml:space="preserve">- $15M </w:t>
      </w:r>
      <w:r>
        <w:rPr>
          <w:rFonts w:ascii="Arial" w:cs="Arial" w:eastAsia="Arial" w:hAnsi="Arial"/>
          <w:sz w:val="18"/>
          <w:szCs w:val="18"/>
          <w:color w:val="auto"/>
        </w:rPr>
        <w:t>at year end</w:t>
      </w:r>
    </w:p>
    <w:p>
      <w:pPr>
        <w:spacing w:after="0" w:line="146" w:lineRule="exact"/>
        <w:rPr>
          <w:sz w:val="20"/>
          <w:szCs w:val="20"/>
          <w:color w:val="auto"/>
        </w:rPr>
      </w:pPr>
    </w:p>
    <w:p>
      <w:pPr>
        <w:ind w:left="4623"/>
        <w:spacing w:after="0"/>
        <w:rPr>
          <w:sz w:val="20"/>
          <w:szCs w:val="20"/>
          <w:color w:val="auto"/>
        </w:rPr>
      </w:pPr>
      <w:r>
        <w:rPr>
          <w:rFonts w:ascii="Arial" w:cs="Arial" w:eastAsia="Arial" w:hAnsi="Arial"/>
          <w:sz w:val="18"/>
          <w:szCs w:val="18"/>
          <w:color w:val="auto"/>
        </w:rPr>
        <w:t xml:space="preserve">Commence new marketing strategywith incremental </w:t>
      </w:r>
      <w:r>
        <w:rPr>
          <w:rFonts w:ascii="Arial" w:cs="Arial" w:eastAsia="Arial" w:hAnsi="Arial"/>
          <w:sz w:val="18"/>
          <w:szCs w:val="18"/>
          <w:b w:val="1"/>
          <w:bCs w:val="1"/>
          <w:color w:val="auto"/>
        </w:rPr>
        <w:t>$10M</w:t>
      </w:r>
      <w:r>
        <w:rPr>
          <w:rFonts w:ascii="Arial" w:cs="Arial" w:eastAsia="Arial" w:hAnsi="Arial"/>
          <w:sz w:val="18"/>
          <w:szCs w:val="18"/>
          <w:color w:val="auto"/>
        </w:rPr>
        <w:t xml:space="preserve"> spend</w:t>
      </w:r>
    </w:p>
    <w:p>
      <w:pPr>
        <w:spacing w:after="0" w:line="131" w:lineRule="exact"/>
        <w:rPr>
          <w:sz w:val="20"/>
          <w:szCs w:val="20"/>
          <w:color w:val="auto"/>
        </w:rPr>
      </w:pPr>
    </w:p>
    <w:p>
      <w:pPr>
        <w:ind w:left="4623"/>
        <w:spacing w:after="0"/>
        <w:rPr>
          <w:sz w:val="20"/>
          <w:szCs w:val="20"/>
          <w:color w:val="auto"/>
        </w:rPr>
      </w:pPr>
      <w:r>
        <w:rPr>
          <w:rFonts w:ascii="Arial" w:cs="Arial" w:eastAsia="Arial" w:hAnsi="Arial"/>
          <w:sz w:val="20"/>
          <w:szCs w:val="20"/>
          <w:color w:val="auto"/>
        </w:rPr>
        <w:t>Leaseexit and asset impairment charges in the range</w:t>
      </w:r>
    </w:p>
    <w:p>
      <w:pPr>
        <w:ind w:left="4623"/>
        <w:spacing w:after="0"/>
        <w:rPr>
          <w:sz w:val="20"/>
          <w:szCs w:val="20"/>
          <w:color w:val="auto"/>
        </w:rPr>
      </w:pPr>
      <w:r>
        <w:rPr>
          <w:rFonts w:ascii="Arial" w:cs="Arial" w:eastAsia="Arial" w:hAnsi="Arial"/>
          <w:sz w:val="20"/>
          <w:szCs w:val="20"/>
          <w:color w:val="auto"/>
        </w:rPr>
        <w:t xml:space="preserve">of </w:t>
      </w:r>
      <w:r>
        <w:rPr>
          <w:rFonts w:ascii="Arial" w:cs="Arial" w:eastAsia="Arial" w:hAnsi="Arial"/>
          <w:sz w:val="20"/>
          <w:szCs w:val="20"/>
          <w:b w:val="1"/>
          <w:bCs w:val="1"/>
          <w:color w:val="auto"/>
        </w:rPr>
        <w:t>$3-$4M</w:t>
      </w:r>
      <w:r>
        <w:rPr>
          <w:rFonts w:ascii="Arial" w:cs="Arial" w:eastAsia="Arial" w:hAnsi="Arial"/>
          <w:sz w:val="20"/>
          <w:szCs w:val="20"/>
          <w:color w:val="auto"/>
        </w:rPr>
        <w:t xml:space="preserve"> </w:t>
      </w:r>
      <w:r>
        <w:rPr>
          <w:rFonts w:ascii="Arial" w:cs="Arial" w:eastAsia="Arial" w:hAnsi="Arial"/>
          <w:sz w:val="28"/>
          <w:szCs w:val="28"/>
          <w:b w:val="1"/>
          <w:bCs w:val="1"/>
          <w:color w:val="auto"/>
          <w:vertAlign w:val="superscript"/>
        </w:rPr>
        <w:t>1</w:t>
      </w:r>
    </w:p>
    <w:p>
      <w:pPr>
        <w:spacing w:after="0" w:line="50" w:lineRule="exact"/>
        <w:rPr>
          <w:sz w:val="20"/>
          <w:szCs w:val="20"/>
          <w:color w:val="auto"/>
        </w:rPr>
      </w:pPr>
    </w:p>
    <w:p>
      <w:pPr>
        <w:ind w:left="4623"/>
        <w:spacing w:after="0"/>
        <w:rPr>
          <w:sz w:val="20"/>
          <w:szCs w:val="20"/>
          <w:color w:val="auto"/>
        </w:rPr>
      </w:pPr>
      <w:r>
        <w:rPr>
          <w:rFonts w:ascii="Arial" w:cs="Arial" w:eastAsia="Arial" w:hAnsi="Arial"/>
          <w:sz w:val="20"/>
          <w:szCs w:val="20"/>
          <w:color w:val="auto"/>
        </w:rPr>
        <w:t xml:space="preserve">Operating margins of </w:t>
      </w:r>
      <w:r>
        <w:rPr>
          <w:rFonts w:ascii="Arial" w:cs="Arial" w:eastAsia="Arial" w:hAnsi="Arial"/>
          <w:sz w:val="20"/>
          <w:szCs w:val="20"/>
          <w:b w:val="1"/>
          <w:bCs w:val="1"/>
          <w:color w:val="auto"/>
        </w:rPr>
        <w:t>~ breakeven  to 0.5%</w:t>
      </w:r>
    </w:p>
    <w:p>
      <w:pPr>
        <w:spacing w:after="0" w:line="146" w:lineRule="exact"/>
        <w:rPr>
          <w:sz w:val="20"/>
          <w:szCs w:val="20"/>
          <w:color w:val="auto"/>
        </w:rPr>
      </w:pPr>
    </w:p>
    <w:p>
      <w:pPr>
        <w:ind w:left="4623"/>
        <w:spacing w:after="0"/>
        <w:rPr>
          <w:sz w:val="20"/>
          <w:szCs w:val="20"/>
          <w:color w:val="auto"/>
        </w:rPr>
      </w:pPr>
      <w:r>
        <w:rPr>
          <w:rFonts w:ascii="Arial" w:cs="Arial" w:eastAsia="Arial" w:hAnsi="Arial"/>
          <w:sz w:val="20"/>
          <w:szCs w:val="20"/>
          <w:color w:val="auto"/>
        </w:rPr>
        <w:t xml:space="preserve">CapEx expected to </w:t>
      </w:r>
      <w:r>
        <w:rPr>
          <w:rFonts w:ascii="Arial" w:cs="Arial" w:eastAsia="Arial" w:hAnsi="Arial"/>
          <w:sz w:val="20"/>
          <w:szCs w:val="20"/>
          <w:b w:val="1"/>
          <w:bCs w:val="1"/>
          <w:color w:val="auto"/>
        </w:rPr>
        <w:t>peak</w:t>
      </w:r>
      <w:r>
        <w:rPr>
          <w:rFonts w:ascii="Arial" w:cs="Arial" w:eastAsia="Arial" w:hAnsi="Arial"/>
          <w:sz w:val="20"/>
          <w:szCs w:val="20"/>
          <w:color w:val="auto"/>
        </w:rPr>
        <w:t xml:space="preserve"> at </w:t>
      </w:r>
      <w:r>
        <w:rPr>
          <w:rFonts w:ascii="Arial" w:cs="Arial" w:eastAsia="Arial" w:hAnsi="Arial"/>
          <w:sz w:val="20"/>
          <w:szCs w:val="20"/>
          <w:b w:val="1"/>
          <w:bCs w:val="1"/>
          <w:color w:val="auto"/>
        </w:rPr>
        <w:t>$45M</w:t>
      </w:r>
      <w:r>
        <w:rPr>
          <w:rFonts w:ascii="Arial" w:cs="Arial" w:eastAsia="Arial" w:hAnsi="Arial"/>
          <w:sz w:val="20"/>
          <w:szCs w:val="20"/>
          <w:color w:val="auto"/>
        </w:rPr>
        <w:t xml:space="preserve"> </w:t>
      </w:r>
      <w:r>
        <w:rPr>
          <w:rFonts w:ascii="Arial" w:cs="Arial" w:eastAsia="Arial" w:hAnsi="Arial"/>
          <w:sz w:val="28"/>
          <w:szCs w:val="28"/>
          <w:b w:val="1"/>
          <w:bCs w:val="1"/>
          <w:color w:val="auto"/>
          <w:vertAlign w:val="superscript"/>
        </w:rPr>
        <w:t>2</w:t>
      </w:r>
    </w:p>
    <w:p>
      <w:pPr>
        <w:sectPr>
          <w:pgSz w:w="11900" w:h="16838" w:orient="portrait"/>
          <w:cols w:equalWidth="0" w:num="1">
            <w:col w:w="10143"/>
          </w:cols>
          <w:pgMar w:left="857" w:top="124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3" w:hanging="123"/>
        <w:spacing w:after="0"/>
        <w:tabs>
          <w:tab w:leader="none" w:pos="123" w:val="left"/>
        </w:tabs>
        <w:numPr>
          <w:ilvl w:val="0"/>
          <w:numId w:val="3"/>
        </w:numPr>
        <w:rPr>
          <w:rFonts w:ascii="Arial" w:cs="Arial" w:eastAsia="Arial" w:hAnsi="Arial"/>
          <w:sz w:val="14"/>
          <w:szCs w:val="14"/>
          <w:color w:val="auto"/>
        </w:rPr>
      </w:pPr>
      <w:r>
        <w:rPr>
          <w:rFonts w:ascii="Arial" w:cs="Arial" w:eastAsia="Arial" w:hAnsi="Arial"/>
          <w:sz w:val="22"/>
          <w:szCs w:val="22"/>
          <w:color w:val="auto"/>
        </w:rPr>
        <w:t>Net of subleases</w:t>
      </w:r>
    </w:p>
    <w:p>
      <w:pPr>
        <w:spacing w:after="0" w:line="26" w:lineRule="exact"/>
        <w:rPr>
          <w:sz w:val="20"/>
          <w:szCs w:val="20"/>
          <w:color w:val="auto"/>
        </w:rPr>
      </w:pPr>
    </w:p>
    <w:p>
      <w:pPr>
        <w:ind w:left="123" w:hanging="123"/>
        <w:spacing w:after="0"/>
        <w:tabs>
          <w:tab w:leader="none" w:pos="123" w:val="left"/>
        </w:tabs>
        <w:numPr>
          <w:ilvl w:val="0"/>
          <w:numId w:val="4"/>
        </w:numPr>
        <w:rPr>
          <w:rFonts w:ascii="Arial" w:cs="Arial" w:eastAsia="Arial" w:hAnsi="Arial"/>
          <w:sz w:val="13"/>
          <w:szCs w:val="13"/>
          <w:color w:val="auto"/>
        </w:rPr>
      </w:pPr>
      <w:r>
        <w:rPr>
          <w:rFonts w:ascii="Arial" w:cs="Arial" w:eastAsia="Arial" w:hAnsi="Arial"/>
          <w:sz w:val="20"/>
          <w:szCs w:val="20"/>
          <w:color w:val="auto"/>
        </w:rPr>
        <w:t>Net of expected tenant allowances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2014</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Open </w:t>
      </w:r>
      <w:r>
        <w:rPr>
          <w:rFonts w:ascii="Arial" w:cs="Arial" w:eastAsia="Arial" w:hAnsi="Arial"/>
          <w:sz w:val="20"/>
          <w:szCs w:val="20"/>
          <w:b w:val="1"/>
          <w:bCs w:val="1"/>
          <w:color w:val="auto"/>
        </w:rPr>
        <w:t>60</w:t>
      </w:r>
      <w:r>
        <w:rPr>
          <w:rFonts w:ascii="Arial" w:cs="Arial" w:eastAsia="Arial" w:hAnsi="Arial"/>
          <w:sz w:val="20"/>
          <w:szCs w:val="20"/>
          <w:color w:val="auto"/>
        </w:rPr>
        <w:t xml:space="preserve"> DXL stores / Close </w:t>
      </w:r>
      <w:r>
        <w:rPr>
          <w:rFonts w:ascii="Arial" w:cs="Arial" w:eastAsia="Arial" w:hAnsi="Arial"/>
          <w:sz w:val="20"/>
          <w:szCs w:val="20"/>
          <w:b w:val="1"/>
          <w:bCs w:val="1"/>
          <w:color w:val="auto"/>
        </w:rPr>
        <w:t>99</w:t>
      </w:r>
      <w:r>
        <w:rPr>
          <w:rFonts w:ascii="Arial" w:cs="Arial" w:eastAsia="Arial" w:hAnsi="Arial"/>
          <w:sz w:val="20"/>
          <w:szCs w:val="20"/>
          <w:color w:val="auto"/>
        </w:rPr>
        <w:t xml:space="preserve"> stores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Annualsalesgrowth of </w:t>
      </w:r>
      <w:r>
        <w:rPr>
          <w:rFonts w:ascii="Arial" w:cs="Arial" w:eastAsia="Arial" w:hAnsi="Arial"/>
          <w:sz w:val="20"/>
          <w:szCs w:val="20"/>
          <w:b w:val="1"/>
          <w:bCs w:val="1"/>
          <w:color w:val="auto"/>
        </w:rPr>
        <w:t>~ 10% - 15%</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Expected borrowing levelof </w:t>
      </w:r>
      <w:r>
        <w:rPr>
          <w:rFonts w:ascii="Arial" w:cs="Arial" w:eastAsia="Arial" w:hAnsi="Arial"/>
          <w:sz w:val="20"/>
          <w:szCs w:val="20"/>
          <w:b w:val="1"/>
          <w:bCs w:val="1"/>
          <w:color w:val="auto"/>
        </w:rPr>
        <w:t>$10 - $15M</w:t>
      </w:r>
    </w:p>
    <w:p>
      <w:pPr>
        <w:spacing w:after="0"/>
        <w:rPr>
          <w:sz w:val="20"/>
          <w:szCs w:val="20"/>
          <w:color w:val="auto"/>
        </w:rPr>
      </w:pPr>
      <w:r>
        <w:rPr>
          <w:rFonts w:ascii="Arial" w:cs="Arial" w:eastAsia="Arial" w:hAnsi="Arial"/>
          <w:sz w:val="20"/>
          <w:szCs w:val="20"/>
          <w:color w:val="auto"/>
        </w:rPr>
        <w:t>at yearend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r>
              <w:rPr>
                <w:rFonts w:ascii="Arial" w:cs="Arial" w:eastAsia="Arial" w:hAnsi="Arial"/>
                <w:sz w:val="20"/>
                <w:szCs w:val="20"/>
                <w:color w:val="auto"/>
                <w:w w:val="88"/>
              </w:rPr>
              <w:t>Leaseexit and asset impairment</w:t>
            </w:r>
          </w:p>
        </w:tc>
        <w:tc>
          <w:tcPr>
            <w:tcW w:w="3000" w:type="dxa"/>
            <w:vAlign w:val="bottom"/>
            <w:vMerge w:val="restart"/>
          </w:tcPr>
          <w:p>
            <w:pPr>
              <w:jc w:val="right"/>
              <w:ind w:right="2818"/>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60"/>
        </w:trPr>
        <w:tc>
          <w:tcPr>
            <w:tcW w:w="2520" w:type="dxa"/>
            <w:vAlign w:val="bottom"/>
          </w:tcPr>
          <w:p>
            <w:pPr>
              <w:spacing w:after="0"/>
              <w:rPr>
                <w:sz w:val="20"/>
                <w:szCs w:val="20"/>
                <w:color w:val="auto"/>
              </w:rPr>
            </w:pPr>
            <w:r>
              <w:rPr>
                <w:rFonts w:ascii="Arial" w:cs="Arial" w:eastAsia="Arial" w:hAnsi="Arial"/>
                <w:sz w:val="20"/>
                <w:szCs w:val="20"/>
                <w:color w:val="auto"/>
                <w:w w:val="91"/>
              </w:rPr>
              <w:t xml:space="preserve">chargesin the range of </w:t>
            </w:r>
            <w:r>
              <w:rPr>
                <w:rFonts w:ascii="Arial" w:cs="Arial" w:eastAsia="Arial" w:hAnsi="Arial"/>
                <w:sz w:val="20"/>
                <w:szCs w:val="20"/>
                <w:b w:val="1"/>
                <w:bCs w:val="1"/>
                <w:color w:val="auto"/>
                <w:w w:val="91"/>
              </w:rPr>
              <w:t>$3-$4M</w:t>
            </w:r>
          </w:p>
        </w:tc>
        <w:tc>
          <w:tcPr>
            <w:tcW w:w="3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64"/>
        </w:trPr>
        <w:tc>
          <w:tcPr>
            <w:tcW w:w="2520" w:type="dxa"/>
            <w:vAlign w:val="bottom"/>
          </w:tcPr>
          <w:p>
            <w:pPr>
              <w:spacing w:after="0"/>
              <w:rPr>
                <w:sz w:val="20"/>
                <w:szCs w:val="20"/>
                <w:color w:val="auto"/>
              </w:rPr>
            </w:pPr>
            <w:r>
              <w:rPr>
                <w:rFonts w:ascii="Arial" w:cs="Arial" w:eastAsia="Arial" w:hAnsi="Arial"/>
                <w:sz w:val="20"/>
                <w:szCs w:val="20"/>
                <w:color w:val="auto"/>
              </w:rPr>
              <w:t>Operating margins of ~</w:t>
            </w:r>
            <w:r>
              <w:rPr>
                <w:rFonts w:ascii="Arial" w:cs="Arial" w:eastAsia="Arial" w:hAnsi="Arial"/>
                <w:sz w:val="18"/>
                <w:szCs w:val="18"/>
                <w:b w:val="1"/>
                <w:bCs w:val="1"/>
                <w:color w:val="auto"/>
              </w:rPr>
              <w:t>4%</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520" w:type="dxa"/>
            <w:vAlign w:val="bottom"/>
          </w:tcPr>
          <w:p>
            <w:pPr>
              <w:spacing w:after="0"/>
              <w:rPr>
                <w:sz w:val="20"/>
                <w:szCs w:val="20"/>
                <w:color w:val="auto"/>
              </w:rPr>
            </w:pPr>
            <w:r>
              <w:rPr>
                <w:rFonts w:ascii="Arial" w:cs="Arial" w:eastAsia="Arial" w:hAnsi="Arial"/>
                <w:sz w:val="20"/>
                <w:szCs w:val="20"/>
                <w:color w:val="auto"/>
              </w:rPr>
              <w:t>CapEx expected to</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520" w:type="dxa"/>
            <w:vAlign w:val="bottom"/>
          </w:tcPr>
          <w:p>
            <w:pPr>
              <w:spacing w:after="0"/>
              <w:rPr>
                <w:sz w:val="20"/>
                <w:szCs w:val="20"/>
                <w:color w:val="auto"/>
              </w:rPr>
            </w:pPr>
            <w:r>
              <w:rPr>
                <w:rFonts w:ascii="Arial" w:cs="Arial" w:eastAsia="Arial" w:hAnsi="Arial"/>
                <w:sz w:val="20"/>
                <w:szCs w:val="20"/>
                <w:color w:val="auto"/>
              </w:rPr>
              <w:t xml:space="preserve">be </w:t>
            </w:r>
            <w:r>
              <w:rPr>
                <w:rFonts w:ascii="Arial" w:cs="Arial" w:eastAsia="Arial" w:hAnsi="Arial"/>
                <w:sz w:val="20"/>
                <w:szCs w:val="20"/>
                <w:b w:val="1"/>
                <w:bCs w:val="1"/>
                <w:color w:val="auto"/>
              </w:rPr>
              <w:t>$40M</w:t>
            </w:r>
          </w:p>
        </w:tc>
        <w:tc>
          <w:tcPr>
            <w:tcW w:w="3000" w:type="dxa"/>
            <w:vAlign w:val="bottom"/>
          </w:tcPr>
          <w:p>
            <w:pPr>
              <w:jc w:val="right"/>
              <w:spacing w:after="0"/>
              <w:rPr>
                <w:sz w:val="20"/>
                <w:szCs w:val="20"/>
                <w:color w:val="auto"/>
              </w:rPr>
            </w:pPr>
            <w:r>
              <w:rPr>
                <w:rFonts w:ascii="Arial" w:cs="Arial" w:eastAsia="Arial" w:hAnsi="Arial"/>
                <w:sz w:val="19"/>
                <w:szCs w:val="19"/>
                <w:color w:val="898989"/>
              </w:rPr>
              <w:t>22</w:t>
            </w:r>
          </w:p>
        </w:tc>
        <w:tc>
          <w:tcPr>
            <w:tcW w:w="0" w:type="dxa"/>
            <w:vAlign w:val="bottom"/>
          </w:tcPr>
          <w:p>
            <w:pPr>
              <w:spacing w:after="0"/>
              <w:rPr>
                <w:sz w:val="1"/>
                <w:szCs w:val="1"/>
                <w:color w:val="auto"/>
              </w:rPr>
            </w:pPr>
          </w:p>
        </w:tc>
      </w:tr>
    </w:tbl>
    <w:p>
      <w:pPr>
        <w:sectPr>
          <w:pgSz w:w="11900" w:h="16838" w:orient="portrait"/>
          <w:cols w:equalWidth="0" w:num="2">
            <w:col w:w="3903" w:space="720"/>
            <w:col w:w="5520"/>
          </w:cols>
          <w:pgMar w:left="857" w:top="1240" w:right="899" w:bottom="1440" w:gutter="0" w:footer="0" w:header="0"/>
          <w:type w:val="continuous"/>
        </w:sectPr>
      </w:pPr>
    </w:p>
    <w:bookmarkStart w:id="25" w:name="page26"/>
    <w:bookmarkEnd w:id="25"/>
    <w:p>
      <w:pPr>
        <w:ind w:left="380"/>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Accelerated Rollout of DXL</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420"/>
        <w:spacing w:after="0"/>
        <w:rPr>
          <w:sz w:val="20"/>
          <w:szCs w:val="20"/>
          <w:color w:val="auto"/>
        </w:rPr>
      </w:pPr>
      <w:r>
        <w:rPr>
          <w:rFonts w:ascii="Arial" w:cs="Arial" w:eastAsia="Arial" w:hAnsi="Arial"/>
          <w:sz w:val="28"/>
          <w:szCs w:val="28"/>
          <w:b w:val="1"/>
          <w:bCs w:val="1"/>
          <w:color w:val="auto"/>
        </w:rPr>
        <w:t>2015</w:t>
      </w:r>
    </w:p>
    <w:p>
      <w:pPr>
        <w:spacing w:after="0" w:line="45"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Complete rollout with </w:t>
      </w:r>
      <w:r>
        <w:rPr>
          <w:rFonts w:ascii="Arial" w:cs="Arial" w:eastAsia="Arial" w:hAnsi="Arial"/>
          <w:sz w:val="22"/>
          <w:szCs w:val="22"/>
          <w:b w:val="1"/>
          <w:bCs w:val="1"/>
          <w:color w:val="auto"/>
        </w:rPr>
        <w:t>215 - 230</w:t>
      </w:r>
      <w:r>
        <w:rPr>
          <w:rFonts w:ascii="Arial" w:cs="Arial" w:eastAsia="Arial" w:hAnsi="Arial"/>
          <w:sz w:val="22"/>
          <w:szCs w:val="22"/>
          <w:color w:val="auto"/>
        </w:rPr>
        <w:t xml:space="preserve"> opened DXL stores and</w:t>
      </w:r>
    </w:p>
    <w:p>
      <w:pPr>
        <w:spacing w:after="0" w:line="17"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Closure of remaining </w:t>
      </w:r>
      <w:r>
        <w:rPr>
          <w:rFonts w:ascii="Arial" w:cs="Arial" w:eastAsia="Arial" w:hAnsi="Arial"/>
          <w:sz w:val="22"/>
          <w:szCs w:val="22"/>
          <w:b w:val="1"/>
          <w:bCs w:val="1"/>
          <w:color w:val="auto"/>
        </w:rPr>
        <w:t>63</w:t>
      </w:r>
      <w:r>
        <w:rPr>
          <w:rFonts w:ascii="Arial" w:cs="Arial" w:eastAsia="Arial" w:hAnsi="Arial"/>
          <w:sz w:val="22"/>
          <w:szCs w:val="22"/>
          <w:color w:val="auto"/>
        </w:rPr>
        <w:t xml:space="preserve"> Casual Male XL anchor stores</w:t>
      </w:r>
    </w:p>
    <w:p>
      <w:pPr>
        <w:spacing w:after="0" w:line="250"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Annual sales growth of </w:t>
      </w:r>
      <w:r>
        <w:rPr>
          <w:rFonts w:ascii="Arial" w:cs="Arial" w:eastAsia="Arial" w:hAnsi="Arial"/>
          <w:sz w:val="22"/>
          <w:szCs w:val="22"/>
          <w:b w:val="1"/>
          <w:bCs w:val="1"/>
          <w:color w:val="auto"/>
        </w:rPr>
        <w:t>~10% – 15%</w:t>
      </w:r>
    </w:p>
    <w:p>
      <w:pPr>
        <w:spacing w:after="0" w:line="294"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Operating margins gain traction and increase to </w:t>
      </w:r>
      <w:r>
        <w:rPr>
          <w:rFonts w:ascii="Arial" w:cs="Arial" w:eastAsia="Arial" w:hAnsi="Arial"/>
          <w:sz w:val="18"/>
          <w:szCs w:val="18"/>
          <w:b w:val="1"/>
          <w:bCs w:val="1"/>
          <w:color w:val="auto"/>
        </w:rPr>
        <w:t>~8%</w:t>
      </w:r>
    </w:p>
    <w:p>
      <w:pPr>
        <w:spacing w:after="0" w:line="14"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(from 4.2% in ‘11)</w:t>
      </w:r>
    </w:p>
    <w:p>
      <w:pPr>
        <w:spacing w:after="0" w:line="250"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Expected ending cash balance of </w:t>
      </w:r>
      <w:r>
        <w:rPr>
          <w:rFonts w:ascii="Arial" w:cs="Arial" w:eastAsia="Arial" w:hAnsi="Arial"/>
          <w:sz w:val="22"/>
          <w:szCs w:val="22"/>
          <w:b w:val="1"/>
          <w:bCs w:val="1"/>
          <w:color w:val="auto"/>
        </w:rPr>
        <w:t>$5 - $10M</w:t>
      </w:r>
    </w:p>
    <w:p>
      <w:pPr>
        <w:spacing w:after="0" w:line="264"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CapEx expected to be approximately </w:t>
      </w:r>
      <w:r>
        <w:rPr>
          <w:rFonts w:ascii="Arial" w:cs="Arial" w:eastAsia="Arial" w:hAnsi="Arial"/>
          <w:sz w:val="22"/>
          <w:szCs w:val="22"/>
          <w:b w:val="1"/>
          <w:bCs w:val="1"/>
          <w:color w:val="auto"/>
        </w:rPr>
        <w:t>$38M</w:t>
      </w:r>
      <w:r>
        <w:rPr>
          <w:rFonts w:ascii="Arial" w:cs="Arial" w:eastAsia="Arial" w:hAnsi="Arial"/>
          <w:sz w:val="25"/>
          <w:szCs w:val="25"/>
          <w:b w:val="1"/>
          <w:bCs w:val="1"/>
          <w:color w:val="auto"/>
          <w:vertAlign w:val="superscript"/>
        </w:rPr>
        <w:t>2</w:t>
      </w:r>
    </w:p>
    <w:p>
      <w:pPr>
        <w:spacing w:after="0" w:line="259"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Lease exit and asset impairment charges in the range</w:t>
      </w:r>
    </w:p>
    <w:p>
      <w:pPr>
        <w:spacing w:after="0" w:line="14"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of </w:t>
      </w:r>
      <w:r>
        <w:rPr>
          <w:rFonts w:ascii="Arial" w:cs="Arial" w:eastAsia="Arial" w:hAnsi="Arial"/>
          <w:sz w:val="18"/>
          <w:szCs w:val="18"/>
          <w:b w:val="1"/>
          <w:bCs w:val="1"/>
          <w:color w:val="auto"/>
        </w:rPr>
        <w:t>$2-$3M</w:t>
      </w:r>
      <w:r>
        <w:rPr>
          <w:rFonts w:ascii="Arial" w:cs="Arial" w:eastAsia="Arial" w:hAnsi="Arial"/>
          <w:sz w:val="25"/>
          <w:szCs w:val="25"/>
          <w:b w:val="1"/>
          <w:bCs w:val="1"/>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00" w:type="dxa"/>
            <w:vAlign w:val="bottom"/>
          </w:tcPr>
          <w:p>
            <w:pPr>
              <w:jc w:val="right"/>
              <w:spacing w:after="0"/>
              <w:rPr>
                <w:sz w:val="20"/>
                <w:szCs w:val="20"/>
                <w:color w:val="auto"/>
              </w:rPr>
            </w:pPr>
            <w:r>
              <w:rPr>
                <w:rFonts w:ascii="Arial" w:cs="Arial" w:eastAsia="Arial" w:hAnsi="Arial"/>
                <w:sz w:val="10"/>
                <w:szCs w:val="10"/>
                <w:color w:val="auto"/>
                <w:w w:val="71"/>
              </w:rPr>
              <w:t>1</w:t>
            </w:r>
          </w:p>
        </w:tc>
        <w:tc>
          <w:tcPr>
            <w:tcW w:w="6460" w:type="dxa"/>
            <w:vAlign w:val="bottom"/>
          </w:tcPr>
          <w:p>
            <w:pPr>
              <w:ind w:left="20"/>
              <w:spacing w:after="0"/>
              <w:rPr>
                <w:sz w:val="20"/>
                <w:szCs w:val="20"/>
                <w:color w:val="auto"/>
              </w:rPr>
            </w:pPr>
            <w:r>
              <w:rPr>
                <w:rFonts w:ascii="Arial" w:cs="Arial" w:eastAsia="Arial" w:hAnsi="Arial"/>
                <w:sz w:val="22"/>
                <w:szCs w:val="22"/>
                <w:color w:val="auto"/>
              </w:rPr>
              <w:t>Net of subleases</w:t>
            </w:r>
          </w:p>
        </w:tc>
        <w:tc>
          <w:tcPr>
            <w:tcW w:w="3580" w:type="dxa"/>
            <w:vAlign w:val="bottom"/>
            <w:vMerge w:val="restart"/>
          </w:tcPr>
          <w:p>
            <w:pPr>
              <w:jc w:val="right"/>
              <w:spacing w:after="0"/>
              <w:rPr>
                <w:sz w:val="20"/>
                <w:szCs w:val="20"/>
                <w:color w:val="auto"/>
              </w:rPr>
            </w:pPr>
            <w:r>
              <w:rPr>
                <w:rFonts w:ascii="Arial" w:cs="Arial" w:eastAsia="Arial" w:hAnsi="Arial"/>
                <w:sz w:val="19"/>
                <w:szCs w:val="19"/>
                <w:color w:val="898989"/>
              </w:rPr>
              <w:t>23</w:t>
            </w:r>
          </w:p>
        </w:tc>
        <w:tc>
          <w:tcPr>
            <w:tcW w:w="0" w:type="dxa"/>
            <w:vAlign w:val="bottom"/>
          </w:tcPr>
          <w:p>
            <w:pPr>
              <w:spacing w:after="0"/>
              <w:rPr>
                <w:sz w:val="1"/>
                <w:szCs w:val="1"/>
                <w:color w:val="auto"/>
              </w:rPr>
            </w:pPr>
          </w:p>
        </w:tc>
      </w:tr>
      <w:tr>
        <w:trPr>
          <w:trHeight w:val="110"/>
        </w:trPr>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2</w:t>
            </w:r>
          </w:p>
        </w:tc>
        <w:tc>
          <w:tcPr>
            <w:tcW w:w="6460" w:type="dxa"/>
            <w:vAlign w:val="bottom"/>
            <w:vMerge w:val="restart"/>
          </w:tcPr>
          <w:p>
            <w:pPr>
              <w:ind w:left="20"/>
              <w:spacing w:after="0"/>
              <w:rPr>
                <w:sz w:val="20"/>
                <w:szCs w:val="20"/>
                <w:color w:val="auto"/>
              </w:rPr>
            </w:pPr>
            <w:r>
              <w:rPr>
                <w:rFonts w:ascii="Arial" w:cs="Arial" w:eastAsia="Arial" w:hAnsi="Arial"/>
                <w:sz w:val="22"/>
                <w:szCs w:val="22"/>
                <w:color w:val="auto"/>
              </w:rPr>
              <w:t>Net of expected tenant allowances</w:t>
            </w:r>
          </w:p>
        </w:tc>
        <w:tc>
          <w:tcPr>
            <w:tcW w:w="3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100" w:type="dxa"/>
            <w:vAlign w:val="bottom"/>
            <w:vMerge w:val="continue"/>
          </w:tcPr>
          <w:p>
            <w:pPr>
              <w:spacing w:after="0"/>
              <w:rPr>
                <w:sz w:val="15"/>
                <w:szCs w:val="15"/>
                <w:color w:val="auto"/>
              </w:rPr>
            </w:pPr>
          </w:p>
        </w:tc>
        <w:tc>
          <w:tcPr>
            <w:tcW w:w="6460" w:type="dxa"/>
            <w:vAlign w:val="bottom"/>
            <w:vMerge w:val="continue"/>
          </w:tcPr>
          <w:p>
            <w:pPr>
              <w:spacing w:after="0"/>
              <w:rPr>
                <w:sz w:val="15"/>
                <w:szCs w:val="15"/>
                <w:color w:val="auto"/>
              </w:rPr>
            </w:pPr>
          </w:p>
        </w:tc>
        <w:tc>
          <w:tcPr>
            <w:tcW w:w="35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0140"/>
          </w:cols>
          <w:pgMar w:left="860" w:top="1240" w:right="899" w:bottom="1440" w:gutter="0" w:footer="0" w:header="0"/>
        </w:sectPr>
      </w:pPr>
    </w:p>
    <w:bookmarkStart w:id="26" w:name="page27"/>
    <w:bookmarkEnd w:id="26"/>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Accelerated Rollout of DXL</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140"/>
        <w:spacing w:after="0"/>
        <w:rPr>
          <w:sz w:val="20"/>
          <w:szCs w:val="20"/>
          <w:color w:val="auto"/>
        </w:rPr>
      </w:pPr>
      <w:r>
        <w:rPr>
          <w:rFonts w:ascii="Arial" w:cs="Arial" w:eastAsia="Arial" w:hAnsi="Arial"/>
          <w:sz w:val="28"/>
          <w:szCs w:val="28"/>
          <w:b w:val="1"/>
          <w:bCs w:val="1"/>
          <w:color w:val="auto"/>
        </w:rPr>
        <w:t>2016</w:t>
      </w:r>
    </w:p>
    <w:p>
      <w:pPr>
        <w:spacing w:after="0" w:line="41"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Fullbenefit of DXL conceptdrives revenue</w:t>
      </w:r>
      <w:r>
        <w:rPr>
          <w:rFonts w:ascii="Arial" w:cs="Arial" w:eastAsia="Arial" w:hAnsi="Arial"/>
          <w:sz w:val="22"/>
          <w:szCs w:val="22"/>
          <w:b w:val="1"/>
          <w:bCs w:val="1"/>
          <w:color w:val="auto"/>
        </w:rPr>
        <w:t>&gt;$600M</w:t>
      </w:r>
    </w:p>
    <w:p>
      <w:pPr>
        <w:spacing w:after="0" w:line="347"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 xml:space="preserve">Open averageof </w:t>
      </w:r>
      <w:r>
        <w:rPr>
          <w:rFonts w:ascii="Arial" w:cs="Arial" w:eastAsia="Arial" w:hAnsi="Arial"/>
          <w:sz w:val="22"/>
          <w:szCs w:val="22"/>
          <w:b w:val="1"/>
          <w:bCs w:val="1"/>
          <w:color w:val="auto"/>
        </w:rPr>
        <w:t>10</w:t>
      </w:r>
      <w:r>
        <w:rPr>
          <w:rFonts w:ascii="Arial" w:cs="Arial" w:eastAsia="Arial" w:hAnsi="Arial"/>
          <w:sz w:val="22"/>
          <w:szCs w:val="22"/>
          <w:color w:val="auto"/>
        </w:rPr>
        <w:t xml:space="preserve"> DXL stores per year</w:t>
      </w:r>
    </w:p>
    <w:p>
      <w:pPr>
        <w:spacing w:after="0" w:line="311"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Operatingmargins</w:t>
      </w:r>
      <w:r>
        <w:rPr>
          <w:rFonts w:ascii="Arial" w:cs="Arial" w:eastAsia="Arial" w:hAnsi="Arial"/>
          <w:sz w:val="22"/>
          <w:szCs w:val="22"/>
          <w:b w:val="1"/>
          <w:bCs w:val="1"/>
          <w:color w:val="auto"/>
        </w:rPr>
        <w:t>&gt;10%</w:t>
      </w:r>
    </w:p>
    <w:p>
      <w:pPr>
        <w:spacing w:after="0" w:line="259"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 xml:space="preserve">Generating freecash flowin the rangeof </w:t>
      </w:r>
      <w:r>
        <w:rPr>
          <w:rFonts w:ascii="Arial" w:cs="Arial" w:eastAsia="Arial" w:hAnsi="Arial"/>
          <w:sz w:val="22"/>
          <w:szCs w:val="22"/>
          <w:b w:val="1"/>
          <w:bCs w:val="1"/>
          <w:color w:val="auto"/>
        </w:rPr>
        <w:t>$</w:t>
      </w:r>
      <w:r>
        <w:rPr>
          <w:rFonts w:ascii="Arial" w:cs="Arial" w:eastAsia="Arial" w:hAnsi="Arial"/>
          <w:sz w:val="21"/>
          <w:szCs w:val="21"/>
          <w:b w:val="1"/>
          <w:bCs w:val="1"/>
          <w:color w:val="auto"/>
        </w:rPr>
        <w:t>60</w:t>
      </w:r>
      <w:r>
        <w:rPr>
          <w:rFonts w:ascii="Arial" w:cs="Arial" w:eastAsia="Arial" w:hAnsi="Arial"/>
          <w:sz w:val="22"/>
          <w:szCs w:val="22"/>
          <w:color w:val="auto"/>
        </w:rPr>
        <w:t xml:space="preserve"> </w:t>
      </w:r>
      <w:r>
        <w:rPr>
          <w:rFonts w:ascii="Arial" w:cs="Arial" w:eastAsia="Arial" w:hAnsi="Arial"/>
          <w:sz w:val="22"/>
          <w:szCs w:val="22"/>
          <w:b w:val="1"/>
          <w:bCs w:val="1"/>
          <w:color w:val="auto"/>
        </w:rPr>
        <w:t>-</w:t>
      </w:r>
      <w:r>
        <w:rPr>
          <w:rFonts w:ascii="Arial" w:cs="Arial" w:eastAsia="Arial" w:hAnsi="Arial"/>
          <w:sz w:val="22"/>
          <w:szCs w:val="22"/>
          <w:color w:val="auto"/>
        </w:rPr>
        <w:t xml:space="preserve"> </w:t>
      </w:r>
      <w:r>
        <w:rPr>
          <w:rFonts w:ascii="Arial" w:cs="Arial" w:eastAsia="Arial" w:hAnsi="Arial"/>
          <w:sz w:val="22"/>
          <w:szCs w:val="22"/>
          <w:b w:val="1"/>
          <w:bCs w:val="1"/>
          <w:color w:val="auto"/>
        </w:rPr>
        <w:t>$</w:t>
      </w:r>
      <w:r>
        <w:rPr>
          <w:rFonts w:ascii="Arial" w:cs="Arial" w:eastAsia="Arial" w:hAnsi="Arial"/>
          <w:sz w:val="21"/>
          <w:szCs w:val="21"/>
          <w:b w:val="1"/>
          <w:bCs w:val="1"/>
          <w:color w:val="auto"/>
        </w:rPr>
        <w:t>70M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24</w:t>
      </w:r>
    </w:p>
    <w:p>
      <w:pPr>
        <w:sectPr>
          <w:pgSz w:w="11900" w:h="16838" w:orient="portrait"/>
          <w:cols w:equalWidth="0" w:num="1">
            <w:col w:w="9760"/>
          </w:cols>
          <w:pgMar w:left="1240" w:top="1240" w:right="899" w:bottom="1440" w:gutter="0" w:footer="0" w:header="0"/>
        </w:sectPr>
      </w:pPr>
    </w:p>
    <w:bookmarkStart w:id="27" w:name="page28"/>
    <w:bookmarkEnd w:id="27"/>
    <w:p>
      <w:pPr>
        <w:ind w:left="240"/>
        <w:spacing w:after="0"/>
        <w:rPr>
          <w:sz w:val="20"/>
          <w:szCs w:val="20"/>
          <w:color w:val="auto"/>
        </w:rPr>
      </w:pPr>
      <w:r>
        <w:rPr>
          <w:rFonts w:ascii="Arial" w:cs="Arial" w:eastAsia="Arial" w:hAnsi="Arial"/>
          <w:sz w:val="51"/>
          <w:szCs w:val="51"/>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Increased Awareness = Opportunity</w:t>
      </w:r>
    </w:p>
    <w:p>
      <w:pPr>
        <w:sectPr>
          <w:pgSz w:w="11900" w:h="16838" w:orient="portrait"/>
          <w:cols w:equalWidth="0" w:num="1">
            <w:col w:w="10780"/>
          </w:cols>
          <w:pgMar w:left="480" w:top="1077" w:right="639" w:bottom="1440" w:gutter="0" w:footer="0" w:header="0"/>
        </w:sectPr>
      </w:pPr>
    </w:p>
    <w:p>
      <w:pPr>
        <w:spacing w:after="0" w:line="188" w:lineRule="exact"/>
        <w:rPr>
          <w:sz w:val="20"/>
          <w:szCs w:val="20"/>
          <w:color w:val="auto"/>
        </w:rPr>
      </w:pPr>
    </w:p>
    <w:p>
      <w:pPr>
        <w:ind w:left="1420"/>
        <w:spacing w:after="0"/>
        <w:rPr>
          <w:sz w:val="20"/>
          <w:szCs w:val="20"/>
          <w:color w:val="auto"/>
        </w:rPr>
      </w:pPr>
      <w:r>
        <w:rPr>
          <w:rFonts w:ascii="Arial" w:cs="Arial" w:eastAsia="Arial" w:hAnsi="Arial"/>
          <w:sz w:val="25"/>
          <w:szCs w:val="25"/>
          <w:color w:val="auto"/>
        </w:rPr>
        <w:t>DXL Customer Purchase Funnel*</w:t>
      </w:r>
    </w:p>
    <w:p>
      <w:pPr>
        <w:spacing w:after="0" w:line="387" w:lineRule="exact"/>
        <w:rPr>
          <w:sz w:val="20"/>
          <w:szCs w:val="20"/>
          <w:color w:val="auto"/>
        </w:rPr>
      </w:pPr>
    </w:p>
    <w:p>
      <w:pPr>
        <w:ind w:left="2160"/>
        <w:spacing w:after="0"/>
        <w:rPr>
          <w:sz w:val="20"/>
          <w:szCs w:val="20"/>
          <w:color w:val="auto"/>
        </w:rPr>
      </w:pPr>
      <w:r>
        <w:rPr>
          <w:rFonts w:ascii="Arial" w:cs="Arial" w:eastAsia="Arial" w:hAnsi="Arial"/>
          <w:sz w:val="25"/>
          <w:szCs w:val="25"/>
          <w:b w:val="1"/>
          <w:bCs w:val="1"/>
          <w:color w:val="auto"/>
        </w:rPr>
        <w:t>Addressable Population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700"/>
        <w:spacing w:after="0"/>
        <w:rPr>
          <w:sz w:val="20"/>
          <w:szCs w:val="20"/>
          <w:color w:val="auto"/>
        </w:rPr>
      </w:pPr>
      <w:r>
        <w:rPr>
          <w:rFonts w:ascii="Arial" w:cs="Arial" w:eastAsia="Arial" w:hAnsi="Arial"/>
          <w:sz w:val="25"/>
          <w:szCs w:val="25"/>
          <w:b w:val="1"/>
          <w:bCs w:val="1"/>
          <w:color w:val="auto"/>
        </w:rPr>
        <w:t>Aware of DXL</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760"/>
        <w:spacing w:after="0"/>
        <w:rPr>
          <w:sz w:val="20"/>
          <w:szCs w:val="20"/>
          <w:color w:val="auto"/>
        </w:rPr>
      </w:pPr>
      <w:r>
        <w:rPr>
          <w:rFonts w:ascii="Arial" w:cs="Arial" w:eastAsia="Arial" w:hAnsi="Arial"/>
          <w:sz w:val="25"/>
          <w:szCs w:val="25"/>
          <w:b w:val="1"/>
          <w:bCs w:val="1"/>
          <w:color w:val="auto"/>
        </w:rPr>
        <w:t>Visiting DXL</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ind w:right="1140"/>
        <w:spacing w:after="0"/>
        <w:rPr>
          <w:sz w:val="20"/>
          <w:szCs w:val="20"/>
          <w:color w:val="auto"/>
        </w:rPr>
      </w:pPr>
      <w:r>
        <w:rPr>
          <w:rFonts w:ascii="Arial" w:cs="Arial" w:eastAsia="Arial" w:hAnsi="Arial"/>
          <w:sz w:val="25"/>
          <w:szCs w:val="25"/>
          <w:b w:val="1"/>
          <w:bCs w:val="1"/>
          <w:color w:val="auto"/>
        </w:rPr>
        <w:t>Purchasing</w:t>
      </w:r>
    </w:p>
    <w:p>
      <w:pPr>
        <w:spacing w:after="0" w:line="35" w:lineRule="exact"/>
        <w:rPr>
          <w:sz w:val="20"/>
          <w:szCs w:val="20"/>
          <w:color w:val="auto"/>
        </w:rPr>
      </w:pPr>
    </w:p>
    <w:p>
      <w:pPr>
        <w:jc w:val="right"/>
        <w:ind w:right="1140"/>
        <w:spacing w:after="0"/>
        <w:rPr>
          <w:sz w:val="20"/>
          <w:szCs w:val="20"/>
          <w:color w:val="auto"/>
        </w:rPr>
      </w:pPr>
      <w:r>
        <w:rPr>
          <w:rFonts w:ascii="Arial" w:cs="Arial" w:eastAsia="Arial" w:hAnsi="Arial"/>
          <w:sz w:val="25"/>
          <w:szCs w:val="25"/>
          <w:b w:val="1"/>
          <w:bCs w:val="1"/>
          <w:color w:val="auto"/>
        </w:rPr>
        <w:t>from DXL</w:t>
      </w:r>
    </w:p>
    <w:p>
      <w:pPr>
        <w:spacing w:after="0" w:line="200" w:lineRule="exact"/>
        <w:rPr>
          <w:sz w:val="20"/>
          <w:szCs w:val="20"/>
          <w:color w:val="auto"/>
        </w:rPr>
      </w:pPr>
    </w:p>
    <w:p>
      <w:pPr>
        <w:spacing w:after="0" w:line="202" w:lineRule="exact"/>
        <w:rPr>
          <w:sz w:val="20"/>
          <w:szCs w:val="20"/>
          <w:color w:val="auto"/>
        </w:rPr>
      </w:pPr>
    </w:p>
    <w:p>
      <w:pPr>
        <w:ind w:left="3160"/>
        <w:spacing w:after="0"/>
        <w:rPr>
          <w:sz w:val="20"/>
          <w:szCs w:val="20"/>
          <w:color w:val="auto"/>
        </w:rPr>
      </w:pPr>
      <w:r>
        <w:rPr>
          <w:rFonts w:ascii="Arial" w:cs="Arial" w:eastAsia="Arial" w:hAnsi="Arial"/>
          <w:sz w:val="25"/>
          <w:szCs w:val="25"/>
          <w:b w:val="1"/>
          <w:bCs w:val="1"/>
          <w:color w:val="auto"/>
        </w:rPr>
        <w:t>Repeat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DXL’s addressablemarket is primarilymen with over 40” waist</w:t>
      </w:r>
    </w:p>
    <w:p>
      <w:pPr>
        <w:spacing w:after="0" w:line="200" w:lineRule="exact"/>
        <w:rPr>
          <w:sz w:val="20"/>
          <w:szCs w:val="20"/>
          <w:color w:val="auto"/>
        </w:rPr>
      </w:pPr>
    </w:p>
    <w:p>
      <w:pPr>
        <w:spacing w:after="0" w:line="357"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Awareness of DXL is low across its markets, directly impacting ability to attract new customers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Of those aware of DXL, only 8% are visiting the store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73% of those that visit the store make a purchase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9"/>
          <w:szCs w:val="19"/>
          <w:color w:val="auto"/>
        </w:rPr>
        <w:t>89% of those that make a purchase</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intend to return</w:t>
      </w:r>
    </w:p>
    <w:p>
      <w:pPr>
        <w:spacing w:after="0" w:line="200" w:lineRule="exact"/>
        <w:rPr>
          <w:sz w:val="20"/>
          <w:szCs w:val="20"/>
          <w:color w:val="auto"/>
        </w:rPr>
      </w:pPr>
    </w:p>
    <w:p>
      <w:pPr>
        <w:sectPr>
          <w:pgSz w:w="11900" w:h="16838" w:orient="portrait"/>
          <w:cols w:equalWidth="0" w:num="2">
            <w:col w:w="5240" w:space="680"/>
            <w:col w:w="4860"/>
          </w:cols>
          <w:pgMar w:left="480" w:top="1077"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40" w:type="dxa"/>
            <w:vAlign w:val="bottom"/>
          </w:tcPr>
          <w:p>
            <w:pPr>
              <w:spacing w:after="0"/>
              <w:rPr>
                <w:sz w:val="20"/>
                <w:szCs w:val="20"/>
                <w:color w:val="auto"/>
              </w:rPr>
            </w:pPr>
            <w:r>
              <w:rPr>
                <w:rFonts w:ascii="Arial" w:cs="Arial" w:eastAsia="Arial" w:hAnsi="Arial"/>
                <w:sz w:val="19"/>
                <w:szCs w:val="19"/>
                <w:color w:val="auto"/>
              </w:rPr>
              <w:t>*Based on consumers’stated responses per L.E.K’s survey within DXL markets</w:t>
            </w:r>
          </w:p>
        </w:tc>
        <w:tc>
          <w:tcPr>
            <w:tcW w:w="2380" w:type="dxa"/>
            <w:vAlign w:val="bottom"/>
            <w:vMerge w:val="restart"/>
          </w:tcPr>
          <w:p>
            <w:pPr>
              <w:jc w:val="right"/>
              <w:spacing w:after="0"/>
              <w:rPr>
                <w:sz w:val="20"/>
                <w:szCs w:val="20"/>
                <w:color w:val="auto"/>
              </w:rPr>
            </w:pPr>
            <w:r>
              <w:rPr>
                <w:rFonts w:ascii="Arial" w:cs="Arial" w:eastAsia="Arial" w:hAnsi="Arial"/>
                <w:sz w:val="19"/>
                <w:szCs w:val="19"/>
                <w:color w:val="898989"/>
              </w:rPr>
              <w:t>25</w:t>
            </w:r>
          </w:p>
        </w:tc>
        <w:tc>
          <w:tcPr>
            <w:tcW w:w="0" w:type="dxa"/>
            <w:vAlign w:val="bottom"/>
          </w:tcPr>
          <w:p>
            <w:pPr>
              <w:spacing w:after="0"/>
              <w:rPr>
                <w:sz w:val="1"/>
                <w:szCs w:val="1"/>
                <w:color w:val="auto"/>
              </w:rPr>
            </w:pPr>
          </w:p>
        </w:tc>
      </w:tr>
      <w:tr>
        <w:trPr>
          <w:trHeight w:val="110"/>
        </w:trPr>
        <w:tc>
          <w:tcPr>
            <w:tcW w:w="8140" w:type="dxa"/>
            <w:vAlign w:val="bottom"/>
            <w:vMerge w:val="restart"/>
          </w:tcPr>
          <w:p>
            <w:pPr>
              <w:spacing w:after="0"/>
              <w:rPr>
                <w:sz w:val="20"/>
                <w:szCs w:val="20"/>
                <w:color w:val="auto"/>
              </w:rPr>
            </w:pPr>
            <w:r>
              <w:rPr>
                <w:rFonts w:ascii="Arial" w:cs="Arial" w:eastAsia="Arial" w:hAnsi="Arial"/>
                <w:sz w:val="19"/>
                <w:szCs w:val="19"/>
                <w:color w:val="auto"/>
              </w:rPr>
              <w:t>Source: L.E.K analysis</w:t>
            </w:r>
          </w:p>
        </w:tc>
        <w:tc>
          <w:tcPr>
            <w:tcW w:w="2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8140" w:type="dxa"/>
            <w:vAlign w:val="bottom"/>
            <w:vMerge w:val="continue"/>
          </w:tcPr>
          <w:p>
            <w:pPr>
              <w:spacing w:after="0"/>
              <w:rPr>
                <w:sz w:val="11"/>
                <w:szCs w:val="11"/>
                <w:color w:val="auto"/>
              </w:rPr>
            </w:pP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480" w:top="1077" w:right="6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Opportunity to Grow Market Share</w:t>
      </w:r>
    </w:p>
    <w:p>
      <w:pPr>
        <w:spacing w:after="0" w:line="348" w:lineRule="exact"/>
        <w:rPr>
          <w:sz w:val="20"/>
          <w:szCs w:val="20"/>
          <w:color w:val="auto"/>
        </w:rPr>
      </w:pPr>
    </w:p>
    <w:p>
      <w:pPr>
        <w:ind w:left="620"/>
        <w:spacing w:after="0"/>
        <w:rPr>
          <w:sz w:val="20"/>
          <w:szCs w:val="20"/>
          <w:color w:val="auto"/>
        </w:rPr>
      </w:pPr>
      <w:r>
        <w:rPr>
          <w:rFonts w:ascii="Arial" w:cs="Arial" w:eastAsia="Arial" w:hAnsi="Arial"/>
          <w:sz w:val="25"/>
          <w:szCs w:val="25"/>
          <w:b w:val="1"/>
          <w:bCs w:val="1"/>
          <w:color w:val="auto"/>
        </w:rPr>
        <w:t>Addressable Market = 40M Customers</w:t>
      </w:r>
    </w:p>
    <w:p>
      <w:pPr>
        <w:spacing w:after="0" w:line="336" w:lineRule="exact"/>
        <w:rPr>
          <w:sz w:val="20"/>
          <w:szCs w:val="20"/>
          <w:color w:val="auto"/>
        </w:rPr>
      </w:pPr>
    </w:p>
    <w:p>
      <w:pPr>
        <w:ind w:left="620"/>
        <w:spacing w:after="0"/>
        <w:rPr>
          <w:sz w:val="20"/>
          <w:szCs w:val="20"/>
          <w:color w:val="auto"/>
        </w:rPr>
      </w:pPr>
      <w:r>
        <w:rPr>
          <w:rFonts w:ascii="Arial" w:cs="Arial" w:eastAsia="Arial" w:hAnsi="Arial"/>
          <w:sz w:val="25"/>
          <w:szCs w:val="25"/>
          <w:b w:val="1"/>
          <w:bCs w:val="1"/>
          <w:color w:val="auto"/>
        </w:rPr>
        <w:t>1.5M Currently Active Customers</w:t>
      </w:r>
    </w:p>
    <w:p>
      <w:pPr>
        <w:spacing w:after="0" w:line="324" w:lineRule="exact"/>
        <w:rPr>
          <w:sz w:val="20"/>
          <w:szCs w:val="20"/>
          <w:color w:val="auto"/>
        </w:rPr>
      </w:pPr>
    </w:p>
    <w:p>
      <w:pPr>
        <w:ind w:left="620"/>
        <w:spacing w:after="0"/>
        <w:rPr>
          <w:sz w:val="20"/>
          <w:szCs w:val="20"/>
          <w:color w:val="auto"/>
        </w:rPr>
      </w:pPr>
      <w:r>
        <w:rPr>
          <w:rFonts w:ascii="Arial" w:cs="Arial" w:eastAsia="Arial" w:hAnsi="Arial"/>
          <w:sz w:val="25"/>
          <w:szCs w:val="25"/>
          <w:b w:val="1"/>
          <w:bCs w:val="1"/>
          <w:color w:val="auto"/>
        </w:rPr>
        <w:t>Goal = Grow Customers by 40% Over 3 Years</w:t>
      </w:r>
    </w:p>
    <w:p>
      <w:pPr>
        <w:spacing w:after="0" w:line="383" w:lineRule="exact"/>
        <w:rPr>
          <w:sz w:val="20"/>
          <w:szCs w:val="20"/>
          <w:color w:val="auto"/>
        </w:rPr>
      </w:pPr>
    </w:p>
    <w:p>
      <w:pPr>
        <w:ind w:left="4220"/>
        <w:spacing w:after="0"/>
        <w:rPr>
          <w:sz w:val="20"/>
          <w:szCs w:val="20"/>
          <w:color w:val="auto"/>
        </w:rPr>
      </w:pPr>
      <w:r>
        <w:rPr>
          <w:rFonts w:ascii="Arial" w:cs="Arial" w:eastAsia="Arial" w:hAnsi="Arial"/>
          <w:sz w:val="25"/>
          <w:szCs w:val="25"/>
          <w:b w:val="1"/>
          <w:bCs w:val="1"/>
          <w:color w:val="auto"/>
        </w:rPr>
        <w:t>Capture greater wallet share with DXL concept</w:t>
      </w:r>
    </w:p>
    <w:p>
      <w:pPr>
        <w:spacing w:after="0" w:line="200" w:lineRule="exact"/>
        <w:rPr>
          <w:sz w:val="20"/>
          <w:szCs w:val="20"/>
          <w:color w:val="auto"/>
        </w:rPr>
      </w:pPr>
    </w:p>
    <w:p>
      <w:pPr>
        <w:spacing w:after="0" w:line="359" w:lineRule="exact"/>
        <w:rPr>
          <w:sz w:val="20"/>
          <w:szCs w:val="20"/>
          <w:color w:val="auto"/>
        </w:rPr>
      </w:pPr>
    </w:p>
    <w:p>
      <w:pPr>
        <w:ind w:left="2960"/>
        <w:spacing w:after="0"/>
        <w:rPr>
          <w:sz w:val="20"/>
          <w:szCs w:val="20"/>
          <w:color w:val="auto"/>
        </w:rPr>
      </w:pPr>
      <w:r>
        <w:rPr>
          <w:rFonts w:ascii="Arial" w:cs="Arial" w:eastAsia="Arial" w:hAnsi="Arial"/>
          <w:sz w:val="25"/>
          <w:szCs w:val="25"/>
          <w:b w:val="1"/>
          <w:bCs w:val="1"/>
          <w:color w:val="auto"/>
        </w:rPr>
        <w:t>Attract a broader customer audience with one-stop-shop</w:t>
      </w:r>
    </w:p>
    <w:p>
      <w:pPr>
        <w:spacing w:after="0" w:line="200" w:lineRule="exact"/>
        <w:rPr>
          <w:sz w:val="20"/>
          <w:szCs w:val="20"/>
          <w:color w:val="auto"/>
        </w:rPr>
      </w:pPr>
    </w:p>
    <w:p>
      <w:pPr>
        <w:spacing w:after="0" w:line="359"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Target “end-of-rack” customers</w:t>
      </w:r>
    </w:p>
    <w:p>
      <w:pPr>
        <w:spacing w:after="0" w:line="200" w:lineRule="exact"/>
        <w:rPr>
          <w:sz w:val="20"/>
          <w:szCs w:val="20"/>
          <w:color w:val="auto"/>
        </w:rPr>
      </w:pPr>
    </w:p>
    <w:p>
      <w:pPr>
        <w:spacing w:after="0" w:line="359" w:lineRule="exact"/>
        <w:rPr>
          <w:sz w:val="20"/>
          <w:szCs w:val="20"/>
          <w:color w:val="auto"/>
        </w:rPr>
      </w:pPr>
    </w:p>
    <w:p>
      <w:pPr>
        <w:ind w:left="1620"/>
        <w:spacing w:after="0"/>
        <w:rPr>
          <w:sz w:val="20"/>
          <w:szCs w:val="20"/>
          <w:color w:val="auto"/>
        </w:rPr>
      </w:pPr>
      <w:r>
        <w:rPr>
          <w:rFonts w:ascii="Arial" w:cs="Arial" w:eastAsia="Arial" w:hAnsi="Arial"/>
          <w:sz w:val="25"/>
          <w:szCs w:val="25"/>
          <w:b w:val="1"/>
          <w:bCs w:val="1"/>
          <w:color w:val="auto"/>
        </w:rPr>
        <w:t>Paradigm shift in marketing improves awareness</w:t>
      </w:r>
    </w:p>
    <w:p>
      <w:pPr>
        <w:spacing w:after="0" w:line="200" w:lineRule="exact"/>
        <w:rPr>
          <w:sz w:val="20"/>
          <w:szCs w:val="20"/>
          <w:color w:val="auto"/>
        </w:rPr>
      </w:pPr>
    </w:p>
    <w:p>
      <w:pPr>
        <w:spacing w:after="0" w:line="372" w:lineRule="exact"/>
        <w:rPr>
          <w:sz w:val="20"/>
          <w:szCs w:val="20"/>
          <w:color w:val="auto"/>
        </w:rPr>
      </w:pPr>
    </w:p>
    <w:p>
      <w:pPr>
        <w:ind w:left="1420"/>
        <w:spacing w:after="0"/>
        <w:rPr>
          <w:sz w:val="20"/>
          <w:szCs w:val="20"/>
          <w:color w:val="auto"/>
        </w:rPr>
      </w:pPr>
      <w:r>
        <w:rPr>
          <w:rFonts w:ascii="Arial" w:cs="Arial" w:eastAsia="Arial" w:hAnsi="Arial"/>
          <w:sz w:val="24"/>
          <w:szCs w:val="24"/>
          <w:b w:val="1"/>
          <w:bCs w:val="1"/>
          <w:color w:val="auto"/>
        </w:rPr>
        <w:t xml:space="preserve">Grow </w:t>
      </w:r>
      <w:r>
        <w:rPr>
          <w:rFonts w:ascii="Arial" w:cs="Arial" w:eastAsia="Arial" w:hAnsi="Arial"/>
          <w:sz w:val="21"/>
          <w:szCs w:val="21"/>
          <w:b w:val="1"/>
          <w:bCs w:val="1"/>
          <w:color w:val="auto"/>
        </w:rPr>
        <w:t>direct</w:t>
      </w:r>
      <w:r>
        <w:rPr>
          <w:rFonts w:ascii="Arial" w:cs="Arial" w:eastAsia="Arial" w:hAnsi="Arial"/>
          <w:sz w:val="24"/>
          <w:szCs w:val="24"/>
          <w:b w:val="1"/>
          <w:bCs w:val="1"/>
          <w:color w:val="auto"/>
        </w:rPr>
        <w:t xml:space="preserve"> business with new website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26</w:t>
      </w:r>
    </w:p>
    <w:p>
      <w:pPr>
        <w:sectPr>
          <w:pgSz w:w="11900" w:h="16838" w:orient="portrait"/>
          <w:cols w:equalWidth="0" w:num="1">
            <w:col w:w="9960"/>
          </w:cols>
          <w:pgMar w:left="1040" w:top="1052" w:right="89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400"/>
        <w:spacing w:after="0"/>
        <w:rPr>
          <w:sz w:val="20"/>
          <w:szCs w:val="20"/>
          <w:color w:val="auto"/>
        </w:rPr>
      </w:pPr>
      <w:r>
        <w:rPr>
          <w:rFonts w:ascii="Arial" w:cs="Arial" w:eastAsia="Arial" w:hAnsi="Arial"/>
          <w:sz w:val="32"/>
          <w:szCs w:val="32"/>
          <w:b w:val="1"/>
          <w:bCs w:val="1"/>
          <w:color w:val="auto"/>
        </w:rPr>
        <w:t>Launched test campaign in 5 markets:</w:t>
      </w:r>
    </w:p>
    <w:p>
      <w:pPr>
        <w:spacing w:after="0" w:line="44" w:lineRule="exact"/>
        <w:rPr>
          <w:sz w:val="20"/>
          <w:szCs w:val="20"/>
          <w:color w:val="auto"/>
        </w:rPr>
      </w:pPr>
    </w:p>
    <w:p>
      <w:pPr>
        <w:ind w:left="300"/>
        <w:spacing w:after="0"/>
        <w:rPr>
          <w:sz w:val="20"/>
          <w:szCs w:val="20"/>
          <w:color w:val="auto"/>
        </w:rPr>
      </w:pPr>
      <w:r>
        <w:rPr>
          <w:rFonts w:ascii="Arial" w:cs="Arial" w:eastAsia="Arial" w:hAnsi="Arial"/>
          <w:sz w:val="29"/>
          <w:szCs w:val="29"/>
          <w:color w:val="auto"/>
        </w:rPr>
        <w:t>Memphis, Minneapolis, Denver, Atlanta and Oklahoma City</w:t>
      </w:r>
    </w:p>
    <w:p>
      <w:pPr>
        <w:sectPr>
          <w:pgSz w:w="11900" w:h="16838" w:orient="portrait"/>
          <w:cols w:equalWidth="0" w:num="1">
            <w:col w:w="9820"/>
          </w:cols>
          <w:pgMar w:left="1180" w:top="144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20"/>
        <w:spacing w:after="0"/>
        <w:rPr>
          <w:sz w:val="20"/>
          <w:szCs w:val="20"/>
          <w:color w:val="auto"/>
        </w:rPr>
      </w:pPr>
      <w:r>
        <w:rPr>
          <w:rFonts w:ascii="Arial" w:cs="Arial" w:eastAsia="Arial" w:hAnsi="Arial"/>
          <w:sz w:val="26"/>
          <w:szCs w:val="26"/>
          <w:b w:val="1"/>
          <w:bCs w:val="1"/>
          <w:color w:val="auto"/>
        </w:rPr>
        <w:t>Increased awareness by 100%</w:t>
      </w:r>
    </w:p>
    <w:p>
      <w:pPr>
        <w:spacing w:after="0" w:line="85" w:lineRule="exact"/>
        <w:rPr>
          <w:sz w:val="20"/>
          <w:szCs w:val="20"/>
          <w:color w:val="auto"/>
        </w:rPr>
      </w:pPr>
    </w:p>
    <w:p>
      <w:pPr>
        <w:ind w:left="600" w:right="500" w:hanging="316"/>
        <w:spacing w:after="0" w:line="314" w:lineRule="auto"/>
        <w:rPr>
          <w:sz w:val="20"/>
          <w:szCs w:val="20"/>
          <w:color w:val="auto"/>
        </w:rPr>
      </w:pPr>
      <w:r>
        <w:rPr>
          <w:rFonts w:ascii="Arial" w:cs="Arial" w:eastAsia="Arial" w:hAnsi="Arial"/>
          <w:sz w:val="27"/>
          <w:szCs w:val="27"/>
          <w:b w:val="1"/>
          <w:bCs w:val="1"/>
          <w:color w:val="auto"/>
        </w:rPr>
        <w:t>in new markets &amp; 38% in established markets</w:t>
      </w:r>
    </w:p>
    <w:p>
      <w:pPr>
        <w:spacing w:after="0" w:line="379" w:lineRule="exact"/>
        <w:rPr>
          <w:sz w:val="20"/>
          <w:szCs w:val="20"/>
          <w:color w:val="auto"/>
        </w:rPr>
      </w:pPr>
    </w:p>
    <w:p>
      <w:pPr>
        <w:ind w:left="560"/>
        <w:spacing w:after="0"/>
        <w:rPr>
          <w:sz w:val="20"/>
          <w:szCs w:val="20"/>
          <w:color w:val="auto"/>
        </w:rPr>
      </w:pPr>
      <w:r>
        <w:rPr>
          <w:rFonts w:ascii="Arial" w:cs="Arial" w:eastAsia="Arial" w:hAnsi="Arial"/>
          <w:sz w:val="29"/>
          <w:szCs w:val="29"/>
          <w:b w:val="1"/>
          <w:bCs w:val="1"/>
          <w:color w:val="auto"/>
        </w:rPr>
        <w:t>Built Stronger Brand</w:t>
      </w:r>
    </w:p>
    <w:p>
      <w:pPr>
        <w:spacing w:after="0" w:line="50" w:lineRule="exact"/>
        <w:rPr>
          <w:sz w:val="20"/>
          <w:szCs w:val="20"/>
          <w:color w:val="auto"/>
        </w:rPr>
      </w:pPr>
    </w:p>
    <w:p>
      <w:pPr>
        <w:ind w:left="620"/>
        <w:spacing w:after="0"/>
        <w:rPr>
          <w:sz w:val="20"/>
          <w:szCs w:val="20"/>
          <w:color w:val="auto"/>
        </w:rPr>
      </w:pPr>
      <w:r>
        <w:rPr>
          <w:rFonts w:ascii="Arial" w:cs="Arial" w:eastAsia="Arial" w:hAnsi="Arial"/>
          <w:sz w:val="29"/>
          <w:szCs w:val="29"/>
          <w:b w:val="1"/>
          <w:bCs w:val="1"/>
          <w:color w:val="auto"/>
        </w:rPr>
        <w:t>to Attract and Serve</w:t>
      </w:r>
    </w:p>
    <w:p>
      <w:pPr>
        <w:spacing w:after="0" w:line="31" w:lineRule="exact"/>
        <w:rPr>
          <w:sz w:val="20"/>
          <w:szCs w:val="20"/>
          <w:color w:val="auto"/>
        </w:rPr>
      </w:pPr>
    </w:p>
    <w:p>
      <w:pPr>
        <w:ind w:left="1180"/>
        <w:spacing w:after="0"/>
        <w:rPr>
          <w:sz w:val="20"/>
          <w:szCs w:val="20"/>
          <w:color w:val="auto"/>
        </w:rPr>
      </w:pPr>
      <w:r>
        <w:rPr>
          <w:rFonts w:ascii="Arial" w:cs="Arial" w:eastAsia="Arial" w:hAnsi="Arial"/>
          <w:sz w:val="29"/>
          <w:szCs w:val="29"/>
          <w:b w:val="1"/>
          <w:bCs w:val="1"/>
          <w:color w:val="auto"/>
        </w:rPr>
        <w:t>Customers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00" w:right="2120" w:hanging="446"/>
        <w:spacing w:after="0" w:line="338" w:lineRule="auto"/>
        <w:rPr>
          <w:sz w:val="20"/>
          <w:szCs w:val="20"/>
          <w:color w:val="auto"/>
        </w:rPr>
      </w:pPr>
      <w:r>
        <w:rPr>
          <w:rFonts w:ascii="Arial" w:cs="Arial" w:eastAsia="Arial" w:hAnsi="Arial"/>
          <w:sz w:val="27"/>
          <w:szCs w:val="27"/>
          <w:b w:val="1"/>
          <w:bCs w:val="1"/>
          <w:color w:val="auto"/>
        </w:rPr>
        <w:t>“End-of-rack” customer base grew by 38%</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Results Demonstrate</w:t>
      </w:r>
    </w:p>
    <w:p>
      <w:pPr>
        <w:spacing w:after="0" w:line="50" w:lineRule="exact"/>
        <w:rPr>
          <w:sz w:val="20"/>
          <w:szCs w:val="20"/>
          <w:color w:val="auto"/>
        </w:rPr>
      </w:pPr>
    </w:p>
    <w:p>
      <w:pPr>
        <w:ind w:left="380"/>
        <w:spacing w:after="0"/>
        <w:rPr>
          <w:sz w:val="20"/>
          <w:szCs w:val="20"/>
          <w:color w:val="auto"/>
        </w:rPr>
      </w:pPr>
      <w:r>
        <w:rPr>
          <w:rFonts w:ascii="Arial" w:cs="Arial" w:eastAsia="Arial" w:hAnsi="Arial"/>
          <w:sz w:val="29"/>
          <w:szCs w:val="29"/>
          <w:b w:val="1"/>
          <w:bCs w:val="1"/>
          <w:color w:val="auto"/>
        </w:rPr>
        <w:t>Ability to Grow</w:t>
      </w:r>
    </w:p>
    <w:p>
      <w:pPr>
        <w:spacing w:after="0" w:line="31" w:lineRule="exact"/>
        <w:rPr>
          <w:sz w:val="20"/>
          <w:szCs w:val="20"/>
          <w:color w:val="auto"/>
        </w:rPr>
      </w:pPr>
    </w:p>
    <w:p>
      <w:pPr>
        <w:ind w:left="500"/>
        <w:spacing w:after="0"/>
        <w:rPr>
          <w:sz w:val="20"/>
          <w:szCs w:val="20"/>
          <w:color w:val="auto"/>
        </w:rPr>
      </w:pPr>
      <w:r>
        <w:rPr>
          <w:rFonts w:ascii="Arial" w:cs="Arial" w:eastAsia="Arial" w:hAnsi="Arial"/>
          <w:sz w:val="29"/>
          <w:szCs w:val="29"/>
          <w:b w:val="1"/>
          <w:bCs w:val="1"/>
          <w:color w:val="auto"/>
        </w:rPr>
        <w:t>Market Share</w:t>
      </w:r>
    </w:p>
    <w:p>
      <w:pPr>
        <w:spacing w:after="0" w:line="317" w:lineRule="exact"/>
        <w:rPr>
          <w:sz w:val="20"/>
          <w:szCs w:val="20"/>
          <w:color w:val="auto"/>
        </w:rPr>
      </w:pPr>
    </w:p>
    <w:p>
      <w:pPr>
        <w:sectPr>
          <w:pgSz w:w="11900" w:h="16838" w:orient="portrait"/>
          <w:cols w:equalWidth="0" w:num="2">
            <w:col w:w="4000" w:space="720"/>
            <w:col w:w="5100"/>
          </w:cols>
          <w:pgMar w:left="1180" w:top="1440"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9620"/>
        <w:spacing w:after="0"/>
        <w:rPr>
          <w:sz w:val="20"/>
          <w:szCs w:val="20"/>
          <w:color w:val="auto"/>
        </w:rPr>
      </w:pPr>
      <w:r>
        <w:rPr>
          <w:rFonts w:ascii="Arial" w:cs="Arial" w:eastAsia="Arial" w:hAnsi="Arial"/>
          <w:sz w:val="17"/>
          <w:szCs w:val="17"/>
          <w:color w:val="898989"/>
        </w:rPr>
        <w:t>27</w:t>
      </w:r>
    </w:p>
    <w:p>
      <w:pPr>
        <w:sectPr>
          <w:pgSz w:w="11900" w:h="16838" w:orient="portrait"/>
          <w:cols w:equalWidth="0" w:num="1">
            <w:col w:w="9820"/>
          </w:cols>
          <w:pgMar w:left="1180" w:top="1440" w:right="89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56"/>
          <w:szCs w:val="56"/>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Established Effective Marketing Mix</w:t>
      </w:r>
    </w:p>
    <w:p>
      <w:pPr>
        <w:spacing w:after="0" w:line="200" w:lineRule="exact"/>
        <w:rPr>
          <w:sz w:val="20"/>
          <w:szCs w:val="20"/>
          <w:color w:val="auto"/>
        </w:rPr>
      </w:pPr>
    </w:p>
    <w:p>
      <w:pPr>
        <w:spacing w:after="0" w:line="241" w:lineRule="exact"/>
        <w:rPr>
          <w:sz w:val="20"/>
          <w:szCs w:val="20"/>
          <w:color w:val="auto"/>
        </w:rPr>
      </w:pPr>
    </w:p>
    <w:p>
      <w:pPr>
        <w:ind w:left="2180" w:right="2340" w:hanging="787"/>
        <w:spacing w:after="0" w:line="328" w:lineRule="auto"/>
        <w:rPr>
          <w:sz w:val="20"/>
          <w:szCs w:val="20"/>
          <w:color w:val="auto"/>
        </w:rPr>
      </w:pPr>
      <w:r>
        <w:rPr>
          <w:rFonts w:ascii="Arial" w:cs="Arial" w:eastAsia="Arial" w:hAnsi="Arial"/>
          <w:sz w:val="26"/>
          <w:szCs w:val="26"/>
          <w:b w:val="1"/>
          <w:bCs w:val="1"/>
          <w:color w:val="auto"/>
        </w:rPr>
        <w:t>6-Week Test Demonstrated TV, Radio and Digital is Most Effective Marketing Combination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940" w:type="dxa"/>
        <w:tblCellMar>
          <w:top w:w="0" w:type="dxa"/>
          <w:left w:w="0" w:type="dxa"/>
          <w:bottom w:w="0" w:type="dxa"/>
          <w:right w:w="0" w:type="dxa"/>
        </w:tblCellMar>
      </w:tblPr>
      <w:tr>
        <w:trPr>
          <w:trHeight w:val="525"/>
        </w:trPr>
        <w:tc>
          <w:tcPr>
            <w:tcW w:w="2660" w:type="dxa"/>
            <w:vAlign w:val="bottom"/>
          </w:tcPr>
          <w:p>
            <w:pPr>
              <w:spacing w:after="0"/>
              <w:rPr>
                <w:sz w:val="20"/>
                <w:szCs w:val="20"/>
                <w:color w:val="auto"/>
              </w:rPr>
            </w:pPr>
            <w:r>
              <w:rPr>
                <w:rFonts w:ascii="Arial" w:cs="Arial" w:eastAsia="Arial" w:hAnsi="Arial"/>
                <w:sz w:val="44"/>
                <w:szCs w:val="44"/>
                <w:b w:val="1"/>
                <w:bCs w:val="1"/>
                <w:color w:val="auto"/>
              </w:rPr>
              <w:t>15% sales</w:t>
            </w:r>
          </w:p>
        </w:tc>
        <w:tc>
          <w:tcPr>
            <w:tcW w:w="3920" w:type="dxa"/>
            <w:vAlign w:val="bottom"/>
          </w:tcPr>
          <w:p>
            <w:pPr>
              <w:jc w:val="center"/>
              <w:ind w:left="385"/>
              <w:spacing w:after="0"/>
              <w:rPr>
                <w:sz w:val="20"/>
                <w:szCs w:val="20"/>
                <w:color w:val="auto"/>
              </w:rPr>
            </w:pPr>
            <w:r>
              <w:rPr>
                <w:rFonts w:ascii="Arial" w:cs="Arial" w:eastAsia="Arial" w:hAnsi="Arial"/>
                <w:sz w:val="27"/>
                <w:szCs w:val="27"/>
                <w:color w:val="auto"/>
                <w:w w:val="90"/>
              </w:rPr>
              <w:t>Established Market</w:t>
            </w:r>
          </w:p>
        </w:tc>
      </w:tr>
      <w:tr>
        <w:trPr>
          <w:trHeight w:val="345"/>
        </w:trPr>
        <w:tc>
          <w:tcPr>
            <w:tcW w:w="2660" w:type="dxa"/>
            <w:vAlign w:val="bottom"/>
          </w:tcPr>
          <w:p>
            <w:pPr>
              <w:spacing w:after="0"/>
              <w:rPr>
                <w:sz w:val="24"/>
                <w:szCs w:val="24"/>
                <w:color w:val="auto"/>
              </w:rPr>
            </w:pPr>
          </w:p>
        </w:tc>
        <w:tc>
          <w:tcPr>
            <w:tcW w:w="3920" w:type="dxa"/>
            <w:vAlign w:val="bottom"/>
          </w:tcPr>
          <w:p>
            <w:pPr>
              <w:jc w:val="center"/>
              <w:ind w:left="345"/>
              <w:spacing w:after="0"/>
              <w:rPr>
                <w:sz w:val="20"/>
                <w:szCs w:val="20"/>
                <w:color w:val="auto"/>
              </w:rPr>
            </w:pPr>
            <w:r>
              <w:rPr>
                <w:rFonts w:ascii="Arial" w:cs="Arial" w:eastAsia="Arial" w:hAnsi="Arial"/>
                <w:sz w:val="27"/>
                <w:szCs w:val="27"/>
                <w:color w:val="auto"/>
                <w:w w:val="93"/>
              </w:rPr>
              <w:t>Memphis DXL Opened in 2010</w:t>
            </w:r>
          </w:p>
        </w:tc>
      </w:tr>
      <w:tr>
        <w:trPr>
          <w:trHeight w:val="638"/>
        </w:trPr>
        <w:tc>
          <w:tcPr>
            <w:tcW w:w="2660" w:type="dxa"/>
            <w:vAlign w:val="bottom"/>
          </w:tcPr>
          <w:p>
            <w:pPr>
              <w:ind w:left="40"/>
              <w:spacing w:after="0"/>
              <w:rPr>
                <w:sz w:val="20"/>
                <w:szCs w:val="20"/>
                <w:color w:val="auto"/>
              </w:rPr>
            </w:pPr>
            <w:r>
              <w:rPr>
                <w:rFonts w:ascii="Arial" w:cs="Arial" w:eastAsia="Arial" w:hAnsi="Arial"/>
                <w:sz w:val="44"/>
                <w:szCs w:val="44"/>
                <w:b w:val="1"/>
                <w:bCs w:val="1"/>
                <w:color w:val="auto"/>
              </w:rPr>
              <w:t>24% traffic</w:t>
            </w:r>
          </w:p>
        </w:tc>
        <w:tc>
          <w:tcPr>
            <w:tcW w:w="3920" w:type="dxa"/>
            <w:vAlign w:val="bottom"/>
          </w:tcPr>
          <w:p>
            <w:pPr>
              <w:spacing w:after="0"/>
              <w:rPr>
                <w:sz w:val="24"/>
                <w:szCs w:val="24"/>
                <w:color w:val="auto"/>
              </w:rPr>
            </w:pPr>
          </w:p>
        </w:tc>
      </w:tr>
    </w:tbl>
    <w:p>
      <w:pPr>
        <w:spacing w:after="0" w:line="373" w:lineRule="exact"/>
        <w:rPr>
          <w:sz w:val="20"/>
          <w:szCs w:val="20"/>
          <w:color w:val="auto"/>
        </w:rPr>
      </w:pPr>
    </w:p>
    <w:p>
      <w:pPr>
        <w:ind w:left="1020"/>
        <w:spacing w:after="0"/>
        <w:rPr>
          <w:sz w:val="20"/>
          <w:szCs w:val="20"/>
          <w:color w:val="auto"/>
        </w:rPr>
      </w:pPr>
      <w:r>
        <w:rPr>
          <w:rFonts w:ascii="Arial" w:cs="Arial" w:eastAsia="Arial" w:hAnsi="Arial"/>
          <w:sz w:val="44"/>
          <w:szCs w:val="44"/>
          <w:b w:val="1"/>
          <w:bCs w:val="1"/>
          <w:color w:val="auto"/>
        </w:rPr>
        <w:t>64% new customer purchases</w:t>
      </w:r>
    </w:p>
    <w:p>
      <w:pPr>
        <w:spacing w:after="0" w:line="317" w:lineRule="exact"/>
        <w:rPr>
          <w:sz w:val="20"/>
          <w:szCs w:val="20"/>
          <w:color w:val="auto"/>
        </w:rPr>
      </w:pPr>
    </w:p>
    <w:p>
      <w:pPr>
        <w:ind w:left="1040"/>
        <w:spacing w:after="0"/>
        <w:rPr>
          <w:sz w:val="20"/>
          <w:szCs w:val="20"/>
          <w:color w:val="auto"/>
        </w:rPr>
      </w:pPr>
      <w:r>
        <w:rPr>
          <w:rFonts w:ascii="Arial" w:cs="Arial" w:eastAsia="Arial" w:hAnsi="Arial"/>
          <w:sz w:val="44"/>
          <w:szCs w:val="44"/>
          <w:b w:val="1"/>
          <w:bCs w:val="1"/>
          <w:color w:val="auto"/>
        </w:rPr>
        <w:t>38% market awareness</w:t>
      </w:r>
    </w:p>
    <w:p>
      <w:pPr>
        <w:spacing w:after="0" w:line="352" w:lineRule="exact"/>
        <w:rPr>
          <w:sz w:val="20"/>
          <w:szCs w:val="20"/>
          <w:color w:val="auto"/>
        </w:rPr>
      </w:pPr>
    </w:p>
    <w:p>
      <w:pPr>
        <w:ind w:left="1000"/>
        <w:spacing w:after="0"/>
        <w:rPr>
          <w:sz w:val="20"/>
          <w:szCs w:val="20"/>
          <w:color w:val="auto"/>
        </w:rPr>
      </w:pPr>
      <w:r>
        <w:rPr>
          <w:rFonts w:ascii="Arial" w:cs="Arial" w:eastAsia="Arial" w:hAnsi="Arial"/>
          <w:sz w:val="44"/>
          <w:szCs w:val="44"/>
          <w:b w:val="1"/>
          <w:bCs w:val="1"/>
          <w:color w:val="auto"/>
        </w:rPr>
        <w:t>84% web traffic</w:t>
      </w:r>
    </w:p>
    <w:p>
      <w:pPr>
        <w:spacing w:after="0" w:line="349" w:lineRule="exact"/>
        <w:rPr>
          <w:sz w:val="20"/>
          <w:szCs w:val="20"/>
          <w:color w:val="auto"/>
        </w:rPr>
      </w:pPr>
    </w:p>
    <w:p>
      <w:pPr>
        <w:ind w:left="1060"/>
        <w:spacing w:after="0"/>
        <w:rPr>
          <w:sz w:val="20"/>
          <w:szCs w:val="20"/>
          <w:color w:val="auto"/>
        </w:rPr>
      </w:pPr>
      <w:r>
        <w:rPr>
          <w:rFonts w:ascii="Arial" w:cs="Arial" w:eastAsia="Arial" w:hAnsi="Arial"/>
          <w:sz w:val="44"/>
          <w:szCs w:val="44"/>
          <w:b w:val="1"/>
          <w:bCs w:val="1"/>
          <w:color w:val="auto"/>
        </w:rPr>
        <w:t>7% web sales</w:t>
      </w:r>
    </w:p>
    <w:p>
      <w:pPr>
        <w:jc w:val="right"/>
        <w:spacing w:after="0"/>
        <w:rPr>
          <w:sz w:val="20"/>
          <w:szCs w:val="20"/>
          <w:color w:val="auto"/>
        </w:rPr>
      </w:pPr>
      <w:r>
        <w:rPr>
          <w:rFonts w:ascii="Arial" w:cs="Arial" w:eastAsia="Arial" w:hAnsi="Arial"/>
          <w:sz w:val="19"/>
          <w:szCs w:val="19"/>
          <w:color w:val="898989"/>
        </w:rPr>
        <w:t>28</w:t>
      </w:r>
    </w:p>
    <w:p>
      <w:pPr>
        <w:sectPr>
          <w:pgSz w:w="11900" w:h="16838" w:orient="portrait"/>
          <w:cols w:equalWidth="0" w:num="1">
            <w:col w:w="9940"/>
          </w:cols>
          <w:pgMar w:left="1060" w:top="876" w:right="899" w:bottom="1440" w:gutter="0" w:footer="0" w:header="0"/>
        </w:sectPr>
      </w:pPr>
    </w:p>
    <w:bookmarkStart w:id="31" w:name="page32"/>
    <w:bookmarkEnd w:id="31"/>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DXL Test TV Commercial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60"/>
        <w:spacing w:after="0"/>
        <w:rPr>
          <w:sz w:val="20"/>
          <w:szCs w:val="20"/>
          <w:color w:val="auto"/>
        </w:rPr>
      </w:pPr>
      <w:r>
        <w:rPr>
          <w:rFonts w:ascii="Arial" w:cs="Arial" w:eastAsia="Arial" w:hAnsi="Arial"/>
          <w:sz w:val="28"/>
          <w:szCs w:val="28"/>
          <w:color w:val="auto"/>
        </w:rPr>
        <w:t>Marketing to Customers in “No Man’s Land”</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29</w:t>
      </w:r>
    </w:p>
    <w:p>
      <w:pPr>
        <w:sectPr>
          <w:pgSz w:w="11900" w:h="16838" w:orient="portrait"/>
          <w:cols w:equalWidth="0" w:num="1">
            <w:col w:w="9960"/>
          </w:cols>
          <w:pgMar w:left="1040" w:top="1052" w:right="899" w:bottom="1440" w:gutter="0" w:footer="0" w:header="0"/>
        </w:sectPr>
      </w:pPr>
    </w:p>
    <w:bookmarkStart w:id="32" w:name="page33"/>
    <w:bookmarkEnd w:id="32"/>
    <w:p>
      <w:pPr>
        <w:ind w:left="60"/>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2013 Marketing Spend</w:t>
      </w:r>
    </w:p>
    <w:p>
      <w:pPr>
        <w:spacing w:after="0" w:line="289" w:lineRule="exact"/>
        <w:rPr>
          <w:sz w:val="20"/>
          <w:szCs w:val="20"/>
          <w:color w:val="auto"/>
        </w:rPr>
      </w:pPr>
    </w:p>
    <w:p>
      <w:pPr>
        <w:ind w:left="580" w:hanging="421"/>
        <w:spacing w:after="0"/>
        <w:tabs>
          <w:tab w:leader="none" w:pos="580" w:val="left"/>
        </w:tabs>
        <w:numPr>
          <w:ilvl w:val="0"/>
          <w:numId w:val="5"/>
        </w:numPr>
        <w:rPr>
          <w:rFonts w:ascii="Arial" w:cs="Arial" w:eastAsia="Arial" w:hAnsi="Arial"/>
          <w:sz w:val="25"/>
          <w:szCs w:val="25"/>
          <w:color w:val="auto"/>
        </w:rPr>
      </w:pPr>
      <w:r>
        <w:rPr>
          <w:rFonts w:ascii="Arial" w:cs="Arial" w:eastAsia="Arial" w:hAnsi="Arial"/>
          <w:sz w:val="28"/>
          <w:szCs w:val="28"/>
          <w:b w:val="1"/>
          <w:bCs w:val="1"/>
          <w:color w:val="auto"/>
        </w:rPr>
        <w:t>Increase marketing spend as percent of sales from 4.6% to 6.7%</w:t>
      </w:r>
    </w:p>
    <w:p>
      <w:pPr>
        <w:spacing w:after="0" w:line="89" w:lineRule="exact"/>
        <w:rPr>
          <w:rFonts w:ascii="Arial" w:cs="Arial" w:eastAsia="Arial" w:hAnsi="Arial"/>
          <w:sz w:val="25"/>
          <w:szCs w:val="25"/>
          <w:color w:val="auto"/>
        </w:rPr>
      </w:pPr>
    </w:p>
    <w:p>
      <w:pPr>
        <w:ind w:left="580" w:hanging="421"/>
        <w:spacing w:after="0"/>
        <w:tabs>
          <w:tab w:leader="none" w:pos="580" w:val="left"/>
        </w:tabs>
        <w:numPr>
          <w:ilvl w:val="0"/>
          <w:numId w:val="5"/>
        </w:numPr>
        <w:rPr>
          <w:rFonts w:ascii="Arial" w:cs="Arial" w:eastAsia="Arial" w:hAnsi="Arial"/>
          <w:sz w:val="25"/>
          <w:szCs w:val="25"/>
          <w:color w:val="auto"/>
        </w:rPr>
      </w:pPr>
      <w:r>
        <w:rPr>
          <w:rFonts w:ascii="Arial" w:cs="Arial" w:eastAsia="Arial" w:hAnsi="Arial"/>
          <w:sz w:val="28"/>
          <w:szCs w:val="28"/>
          <w:b w:val="1"/>
          <w:bCs w:val="1"/>
          <w:color w:val="auto"/>
        </w:rPr>
        <w:t>Launch national DXL Media marketing campaign in spring 2013</w:t>
      </w: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auto"/>
        </w:rPr>
        <w:t>$M</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9"/>
          <w:szCs w:val="19"/>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Arial" w:cs="Arial" w:eastAsia="Arial" w:hAnsi="Arial"/>
          <w:sz w:val="19"/>
          <w:szCs w:val="19"/>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40"/>
        <w:spacing w:after="0"/>
        <w:rPr>
          <w:sz w:val="20"/>
          <w:szCs w:val="20"/>
          <w:color w:val="auto"/>
        </w:rPr>
      </w:pPr>
      <w:r>
        <w:rPr>
          <w:rFonts w:ascii="Arial" w:cs="Arial" w:eastAsia="Arial" w:hAnsi="Arial"/>
          <w:sz w:val="19"/>
          <w:szCs w:val="19"/>
          <w:color w:val="auto"/>
        </w:rPr>
        <w:t>0</w:t>
      </w:r>
    </w:p>
    <w:p>
      <w:pPr>
        <w:spacing w:after="0" w:line="21" w:lineRule="exact"/>
        <w:rPr>
          <w:sz w:val="20"/>
          <w:szCs w:val="20"/>
          <w:color w:val="auto"/>
        </w:rPr>
      </w:pPr>
    </w:p>
    <w:p>
      <w:pPr>
        <w:ind w:left="620"/>
        <w:spacing w:after="0"/>
        <w:tabs>
          <w:tab w:leader="none" w:pos="2120" w:val="left"/>
          <w:tab w:leader="none" w:pos="3400" w:val="left"/>
          <w:tab w:leader="none" w:pos="4720" w:val="left"/>
          <w:tab w:leader="none" w:pos="5980" w:val="left"/>
          <w:tab w:leader="none" w:pos="7320" w:val="left"/>
        </w:tabs>
        <w:rPr>
          <w:sz w:val="20"/>
          <w:szCs w:val="20"/>
          <w:color w:val="auto"/>
        </w:rPr>
      </w:pPr>
      <w:r>
        <w:rPr>
          <w:rFonts w:ascii="Arial" w:cs="Arial" w:eastAsia="Arial" w:hAnsi="Arial"/>
          <w:sz w:val="19"/>
          <w:szCs w:val="19"/>
          <w:color w:val="auto"/>
        </w:rPr>
        <w:t>DXL Media</w:t>
      </w:r>
      <w:r>
        <w:rPr>
          <w:sz w:val="20"/>
          <w:szCs w:val="20"/>
          <w:color w:val="auto"/>
        </w:rPr>
        <w:tab/>
      </w:r>
      <w:r>
        <w:rPr>
          <w:rFonts w:ascii="Arial" w:cs="Arial" w:eastAsia="Arial" w:hAnsi="Arial"/>
          <w:sz w:val="19"/>
          <w:szCs w:val="19"/>
          <w:color w:val="auto"/>
        </w:rPr>
        <w:t>Direct</w:t>
      </w:r>
      <w:r>
        <w:rPr>
          <w:sz w:val="20"/>
          <w:szCs w:val="20"/>
          <w:color w:val="auto"/>
        </w:rPr>
        <w:tab/>
      </w:r>
      <w:r>
        <w:rPr>
          <w:rFonts w:ascii="Arial" w:cs="Arial" w:eastAsia="Arial" w:hAnsi="Arial"/>
          <w:sz w:val="19"/>
          <w:szCs w:val="19"/>
          <w:color w:val="auto"/>
        </w:rPr>
        <w:t>Digital</w:t>
      </w:r>
      <w:r>
        <w:rPr>
          <w:sz w:val="20"/>
          <w:szCs w:val="20"/>
          <w:color w:val="auto"/>
        </w:rPr>
        <w:tab/>
      </w:r>
      <w:r>
        <w:rPr>
          <w:rFonts w:ascii="Arial" w:cs="Arial" w:eastAsia="Arial" w:hAnsi="Arial"/>
          <w:sz w:val="19"/>
          <w:szCs w:val="19"/>
          <w:color w:val="auto"/>
        </w:rPr>
        <w:t>Visual</w:t>
      </w:r>
      <w:r>
        <w:rPr>
          <w:sz w:val="20"/>
          <w:szCs w:val="20"/>
          <w:color w:val="auto"/>
        </w:rPr>
        <w:tab/>
      </w:r>
      <w:r>
        <w:rPr>
          <w:rFonts w:ascii="Arial" w:cs="Arial" w:eastAsia="Arial" w:hAnsi="Arial"/>
          <w:sz w:val="19"/>
          <w:szCs w:val="19"/>
          <w:color w:val="auto"/>
        </w:rPr>
        <w:t>Loyalty</w:t>
      </w:r>
      <w:r>
        <w:rPr>
          <w:sz w:val="20"/>
          <w:szCs w:val="20"/>
          <w:color w:val="auto"/>
        </w:rPr>
        <w:tab/>
      </w:r>
      <w:r>
        <w:rPr>
          <w:rFonts w:ascii="Arial" w:cs="Arial" w:eastAsia="Arial" w:hAnsi="Arial"/>
          <w:sz w:val="17"/>
          <w:szCs w:val="17"/>
          <w:color w:val="auto"/>
        </w:rPr>
        <w:t>Other</w:t>
      </w:r>
    </w:p>
    <w:p>
      <w:pPr>
        <w:spacing w:after="0" w:line="130" w:lineRule="exact"/>
        <w:rPr>
          <w:sz w:val="20"/>
          <w:szCs w:val="20"/>
          <w:color w:val="auto"/>
        </w:rPr>
      </w:pPr>
    </w:p>
    <w:p>
      <w:pPr>
        <w:ind w:left="3740"/>
        <w:spacing w:after="0"/>
        <w:tabs>
          <w:tab w:leader="none" w:pos="4400" w:val="left"/>
        </w:tabs>
        <w:rPr>
          <w:sz w:val="20"/>
          <w:szCs w:val="20"/>
          <w:color w:val="auto"/>
        </w:rPr>
      </w:pPr>
      <w:r>
        <w:rPr>
          <w:rFonts w:ascii="Arial" w:cs="Arial" w:eastAsia="Arial" w:hAnsi="Arial"/>
          <w:sz w:val="19"/>
          <w:szCs w:val="19"/>
          <w:color w:val="auto"/>
        </w:rPr>
        <w:t>2012</w:t>
      </w:r>
      <w:r>
        <w:rPr>
          <w:sz w:val="20"/>
          <w:szCs w:val="20"/>
          <w:color w:val="auto"/>
        </w:rPr>
        <w:tab/>
      </w:r>
      <w:r>
        <w:rPr>
          <w:rFonts w:ascii="Arial" w:cs="Arial" w:eastAsia="Arial" w:hAnsi="Arial"/>
          <w:sz w:val="19"/>
          <w:szCs w:val="19"/>
          <w:color w:val="auto"/>
        </w:rPr>
        <w:t>2013</w:t>
      </w:r>
    </w:p>
    <w:p>
      <w:pPr>
        <w:spacing w:after="0" w:line="207" w:lineRule="exact"/>
        <w:rPr>
          <w:sz w:val="20"/>
          <w:szCs w:val="20"/>
          <w:color w:val="auto"/>
        </w:rPr>
      </w:pPr>
    </w:p>
    <w:p>
      <w:pPr>
        <w:ind w:left="1400"/>
        <w:spacing w:after="0"/>
        <w:rPr>
          <w:sz w:val="20"/>
          <w:szCs w:val="20"/>
          <w:color w:val="auto"/>
        </w:rPr>
      </w:pPr>
      <w:r>
        <w:rPr>
          <w:rFonts w:ascii="Arial" w:cs="Arial" w:eastAsia="Arial" w:hAnsi="Arial"/>
          <w:sz w:val="28"/>
          <w:szCs w:val="28"/>
          <w:color w:val="auto"/>
        </w:rPr>
        <w:t>Total 50% Increase YOY</w:t>
      </w:r>
    </w:p>
    <w:p>
      <w:pPr>
        <w:ind w:left="1360"/>
        <w:spacing w:after="0" w:line="188" w:lineRule="auto"/>
        <w:rPr>
          <w:sz w:val="20"/>
          <w:szCs w:val="20"/>
          <w:color w:val="auto"/>
        </w:rPr>
      </w:pPr>
      <w:r>
        <w:rPr>
          <w:rFonts w:ascii="Arial" w:cs="Arial" w:eastAsia="Arial" w:hAnsi="Arial"/>
          <w:sz w:val="28"/>
          <w:szCs w:val="28"/>
          <w:color w:val="auto"/>
        </w:rPr>
        <w:t>to Drive DXL Awareness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30</w:t>
      </w:r>
    </w:p>
    <w:p>
      <w:pPr>
        <w:sectPr>
          <w:pgSz w:w="11900" w:h="16838" w:orient="portrait"/>
          <w:cols w:equalWidth="0" w:num="1">
            <w:col w:w="10020"/>
          </w:cols>
          <w:pgMar w:left="980" w:top="1052" w:right="89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80"/>
        <w:spacing w:after="0"/>
        <w:rPr>
          <w:sz w:val="20"/>
          <w:szCs w:val="20"/>
          <w:color w:val="auto"/>
        </w:rPr>
      </w:pPr>
      <w:r>
        <w:rPr>
          <w:rFonts w:ascii="Arial" w:cs="Arial" w:eastAsia="Arial" w:hAnsi="Arial"/>
          <w:sz w:val="69"/>
          <w:szCs w:val="69"/>
          <w:b w:val="1"/>
          <w:bCs w:val="1"/>
          <w:color w:val="5F5F5F"/>
        </w:rPr>
        <w:t>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31</w:t>
      </w:r>
    </w:p>
    <w:p>
      <w:pPr>
        <w:sectPr>
          <w:pgSz w:w="11900" w:h="16838" w:orient="portrait"/>
          <w:cols w:equalWidth="0" w:num="1">
            <w:col w:w="9560"/>
          </w:cols>
          <w:pgMar w:left="1440" w:top="1440" w:right="899" w:bottom="1440" w:gutter="0" w:footer="0" w:header="0"/>
        </w:sectPr>
      </w:pPr>
    </w:p>
    <w:bookmarkStart w:id="34" w:name="page35"/>
    <w:bookmarkEnd w:id="34"/>
    <w:p>
      <w:pPr>
        <w:spacing w:after="0"/>
        <w:rPr>
          <w:sz w:val="20"/>
          <w:szCs w:val="20"/>
          <w:color w:val="auto"/>
        </w:rPr>
      </w:pPr>
      <w:r>
        <w:rPr>
          <w:rFonts w:ascii="Arial" w:cs="Arial" w:eastAsia="Arial" w:hAnsi="Arial"/>
          <w:sz w:val="53"/>
          <w:szCs w:val="53"/>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Q4 2012 Results</w:t>
      </w:r>
    </w:p>
    <w:p>
      <w:pPr>
        <w:sectPr>
          <w:pgSz w:w="11900" w:h="16838" w:orient="portrait"/>
          <w:cols w:equalWidth="0" w:num="1">
            <w:col w:w="9980"/>
          </w:cols>
          <w:pgMar w:left="1040" w:top="1052" w:right="87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8"/>
          <w:szCs w:val="28"/>
          <w:color w:val="5F5F5F"/>
        </w:rPr>
        <w:t>•</w:t>
      </w:r>
    </w:p>
    <w:p>
      <w:pPr>
        <w:spacing w:after="0" w:line="383" w:lineRule="exact"/>
        <w:rPr>
          <w:sz w:val="20"/>
          <w:szCs w:val="20"/>
          <w:color w:val="auto"/>
        </w:rPr>
      </w:pPr>
    </w:p>
    <w:p>
      <w:pPr>
        <w:spacing w:after="0"/>
        <w:rPr>
          <w:sz w:val="20"/>
          <w:szCs w:val="20"/>
          <w:color w:val="auto"/>
        </w:rPr>
      </w:pPr>
      <w:r>
        <w:rPr>
          <w:rFonts w:ascii="Arial" w:cs="Arial" w:eastAsia="Arial" w:hAnsi="Arial"/>
          <w:sz w:val="28"/>
          <w:szCs w:val="28"/>
          <w:color w:val="5F5F5F"/>
        </w:rPr>
        <w:t>•</w:t>
      </w:r>
    </w:p>
    <w:p>
      <w:pPr>
        <w:spacing w:after="0" w:line="383" w:lineRule="exact"/>
        <w:rPr>
          <w:sz w:val="20"/>
          <w:szCs w:val="20"/>
          <w:color w:val="auto"/>
        </w:rPr>
      </w:pPr>
    </w:p>
    <w:p>
      <w:pPr>
        <w:spacing w:after="0"/>
        <w:rPr>
          <w:sz w:val="20"/>
          <w:szCs w:val="20"/>
          <w:color w:val="auto"/>
        </w:rPr>
      </w:pPr>
      <w:r>
        <w:rPr>
          <w:rFonts w:ascii="Arial" w:cs="Arial" w:eastAsia="Arial" w:hAnsi="Arial"/>
          <w:sz w:val="28"/>
          <w:szCs w:val="28"/>
          <w:color w:val="5F5F5F"/>
        </w:rPr>
        <w:t>•</w:t>
      </w:r>
    </w:p>
    <w:p>
      <w:pPr>
        <w:spacing w:after="0" w:line="372" w:lineRule="exact"/>
        <w:rPr>
          <w:sz w:val="20"/>
          <w:szCs w:val="20"/>
          <w:color w:val="auto"/>
        </w:rPr>
      </w:pPr>
    </w:p>
    <w:p>
      <w:pPr>
        <w:spacing w:after="0"/>
        <w:rPr>
          <w:sz w:val="20"/>
          <w:szCs w:val="20"/>
          <w:color w:val="auto"/>
        </w:rPr>
      </w:pPr>
      <w:r>
        <w:rPr>
          <w:rFonts w:ascii="Arial" w:cs="Arial" w:eastAsia="Arial" w:hAnsi="Arial"/>
          <w:sz w:val="28"/>
          <w:szCs w:val="28"/>
          <w:color w:val="5F5F5F"/>
        </w:rPr>
        <w:t>•</w:t>
      </w:r>
    </w:p>
    <w:p>
      <w:pPr>
        <w:spacing w:after="0" w:line="383" w:lineRule="exact"/>
        <w:rPr>
          <w:sz w:val="20"/>
          <w:szCs w:val="20"/>
          <w:color w:val="auto"/>
        </w:rPr>
      </w:pPr>
    </w:p>
    <w:p>
      <w:pPr>
        <w:spacing w:after="0"/>
        <w:rPr>
          <w:sz w:val="20"/>
          <w:szCs w:val="20"/>
          <w:color w:val="auto"/>
        </w:rPr>
      </w:pPr>
      <w:r>
        <w:rPr>
          <w:rFonts w:ascii="Arial" w:cs="Arial" w:eastAsia="Arial" w:hAnsi="Arial"/>
          <w:sz w:val="28"/>
          <w:szCs w:val="28"/>
          <w:color w:val="5F5F5F"/>
        </w:rPr>
        <w:t>•</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Arial" w:cs="Arial" w:eastAsia="Arial" w:hAnsi="Arial"/>
          <w:sz w:val="33"/>
          <w:szCs w:val="33"/>
          <w:color w:val="5F5F5F"/>
        </w:rPr>
        <w:t>Comparable sales increased 0.5% and total sales were $114.9M</w:t>
      </w:r>
    </w:p>
    <w:p>
      <w:pPr>
        <w:spacing w:after="0" w:line="326" w:lineRule="exact"/>
        <w:rPr>
          <w:sz w:val="20"/>
          <w:szCs w:val="20"/>
          <w:color w:val="auto"/>
        </w:rPr>
      </w:pPr>
    </w:p>
    <w:p>
      <w:pPr>
        <w:spacing w:after="0"/>
        <w:rPr>
          <w:sz w:val="20"/>
          <w:szCs w:val="20"/>
          <w:color w:val="auto"/>
        </w:rPr>
      </w:pPr>
      <w:r>
        <w:rPr>
          <w:rFonts w:ascii="Arial" w:cs="Arial" w:eastAsia="Arial" w:hAnsi="Arial"/>
          <w:sz w:val="38"/>
          <w:szCs w:val="38"/>
          <w:color w:val="5F5F5F"/>
        </w:rPr>
        <w:t>DXL stores represented 18% of comparable retail sales</w:t>
      </w:r>
    </w:p>
    <w:p>
      <w:pPr>
        <w:spacing w:after="0" w:line="268" w:lineRule="exact"/>
        <w:rPr>
          <w:sz w:val="20"/>
          <w:szCs w:val="20"/>
          <w:color w:val="auto"/>
        </w:rPr>
      </w:pPr>
    </w:p>
    <w:p>
      <w:pPr>
        <w:spacing w:after="0"/>
        <w:rPr>
          <w:sz w:val="20"/>
          <w:szCs w:val="20"/>
          <w:color w:val="auto"/>
        </w:rPr>
      </w:pPr>
      <w:r>
        <w:rPr>
          <w:rFonts w:ascii="Arial" w:cs="Arial" w:eastAsia="Arial" w:hAnsi="Arial"/>
          <w:sz w:val="38"/>
          <w:szCs w:val="38"/>
          <w:color w:val="5F5F5F"/>
        </w:rPr>
        <w:t>Comp sales for Casual Male XL stores decreased 2.3%</w:t>
      </w:r>
    </w:p>
    <w:p>
      <w:pPr>
        <w:spacing w:after="0" w:line="257" w:lineRule="exact"/>
        <w:rPr>
          <w:sz w:val="20"/>
          <w:szCs w:val="20"/>
          <w:color w:val="auto"/>
        </w:rPr>
      </w:pPr>
    </w:p>
    <w:p>
      <w:pPr>
        <w:spacing w:after="0"/>
        <w:rPr>
          <w:sz w:val="20"/>
          <w:szCs w:val="20"/>
          <w:color w:val="auto"/>
        </w:rPr>
      </w:pPr>
      <w:r>
        <w:rPr>
          <w:rFonts w:ascii="Arial" w:cs="Arial" w:eastAsia="Arial" w:hAnsi="Arial"/>
          <w:sz w:val="38"/>
          <w:szCs w:val="38"/>
          <w:color w:val="5F5F5F"/>
        </w:rPr>
        <w:t>U.S. direct e-commerce sales increased 13%</w:t>
      </w:r>
    </w:p>
    <w:p>
      <w:pPr>
        <w:spacing w:after="0" w:line="268" w:lineRule="exact"/>
        <w:rPr>
          <w:sz w:val="20"/>
          <w:szCs w:val="20"/>
          <w:color w:val="auto"/>
        </w:rPr>
      </w:pPr>
    </w:p>
    <w:p>
      <w:pPr>
        <w:ind w:right="1520"/>
        <w:spacing w:after="0" w:line="268" w:lineRule="auto"/>
        <w:rPr>
          <w:sz w:val="20"/>
          <w:szCs w:val="20"/>
          <w:color w:val="auto"/>
        </w:rPr>
      </w:pPr>
      <w:r>
        <w:rPr>
          <w:rFonts w:ascii="Arial" w:cs="Arial" w:eastAsia="Arial" w:hAnsi="Arial"/>
          <w:sz w:val="38"/>
          <w:szCs w:val="38"/>
          <w:color w:val="5F5F5F"/>
        </w:rPr>
        <w:t>Income from continuing operations was $4.2 million, or $0.09 per diluted share</w:t>
      </w:r>
    </w:p>
    <w:p>
      <w:pPr>
        <w:spacing w:after="0" w:line="200" w:lineRule="exact"/>
        <w:rPr>
          <w:sz w:val="20"/>
          <w:szCs w:val="20"/>
          <w:color w:val="auto"/>
        </w:rPr>
      </w:pPr>
    </w:p>
    <w:p>
      <w:pPr>
        <w:sectPr>
          <w:pgSz w:w="11900" w:h="16838" w:orient="portrait"/>
          <w:cols w:equalWidth="0" w:num="2">
            <w:col w:w="100" w:space="320"/>
            <w:col w:w="9560"/>
          </w:cols>
          <w:pgMar w:left="1040" w:top="1052" w:right="8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9760"/>
        <w:spacing w:after="0"/>
        <w:rPr>
          <w:sz w:val="20"/>
          <w:szCs w:val="20"/>
          <w:color w:val="auto"/>
        </w:rPr>
      </w:pPr>
      <w:r>
        <w:rPr>
          <w:rFonts w:ascii="Arial" w:cs="Arial" w:eastAsia="Arial" w:hAnsi="Arial"/>
          <w:sz w:val="17"/>
          <w:szCs w:val="17"/>
          <w:color w:val="898989"/>
        </w:rPr>
        <w:t>32</w:t>
      </w:r>
    </w:p>
    <w:p>
      <w:pPr>
        <w:sectPr>
          <w:pgSz w:w="11900" w:h="16838" w:orient="portrait"/>
          <w:cols w:equalWidth="0" w:num="1">
            <w:col w:w="9980"/>
          </w:cols>
          <w:pgMar w:left="1040" w:top="1052" w:right="879" w:bottom="1440" w:gutter="0" w:footer="0" w:header="0"/>
          <w:type w:val="continuous"/>
        </w:sectPr>
      </w:pPr>
    </w:p>
    <w:bookmarkStart w:id="35" w:name="page36"/>
    <w:bookmarkEnd w:id="35"/>
    <w:p>
      <w:pPr>
        <w:ind w:left="700"/>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Sales and Gross Margin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220" w:type="dxa"/>
            <w:vAlign w:val="bottom"/>
          </w:tcPr>
          <w:p>
            <w:pPr>
              <w:spacing w:after="0"/>
              <w:rPr>
                <w:sz w:val="20"/>
                <w:szCs w:val="20"/>
                <w:color w:val="auto"/>
              </w:rPr>
            </w:pPr>
            <w:r>
              <w:rPr>
                <w:rFonts w:ascii="Arial" w:cs="Arial" w:eastAsia="Arial" w:hAnsi="Arial"/>
                <w:sz w:val="19"/>
                <w:szCs w:val="19"/>
                <w:b w:val="1"/>
                <w:bCs w:val="1"/>
                <w:color w:val="666699"/>
              </w:rPr>
              <w:t>Revenue ($ mm)</w:t>
            </w:r>
          </w:p>
        </w:tc>
        <w:tc>
          <w:tcPr>
            <w:tcW w:w="16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8"/>
        </w:trPr>
        <w:tc>
          <w:tcPr>
            <w:tcW w:w="2220" w:type="dxa"/>
            <w:vAlign w:val="bottom"/>
          </w:tcPr>
          <w:p>
            <w:pPr>
              <w:ind w:left="20"/>
              <w:spacing w:after="0"/>
              <w:rPr>
                <w:sz w:val="20"/>
                <w:szCs w:val="20"/>
                <w:color w:val="auto"/>
              </w:rPr>
            </w:pPr>
            <w:r>
              <w:rPr>
                <w:rFonts w:ascii="Arial" w:cs="Arial" w:eastAsia="Arial" w:hAnsi="Arial"/>
                <w:sz w:val="19"/>
                <w:szCs w:val="19"/>
                <w:b w:val="1"/>
                <w:bCs w:val="1"/>
                <w:color w:val="666699"/>
              </w:rPr>
              <w:t>$500</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20" w:type="dxa"/>
            <w:vAlign w:val="bottom"/>
          </w:tcPr>
          <w:p>
            <w:pPr>
              <w:jc w:val="right"/>
              <w:ind w:right="446"/>
              <w:spacing w:after="0"/>
              <w:rPr>
                <w:sz w:val="20"/>
                <w:szCs w:val="20"/>
                <w:color w:val="auto"/>
              </w:rPr>
            </w:pPr>
            <w:r>
              <w:rPr>
                <w:rFonts w:ascii="Arial" w:cs="Arial" w:eastAsia="Arial" w:hAnsi="Arial"/>
                <w:sz w:val="19"/>
                <w:szCs w:val="19"/>
                <w:b w:val="1"/>
                <w:bCs w:val="1"/>
                <w:color w:val="333333"/>
              </w:rPr>
              <w:t>$443.9</w:t>
            </w:r>
          </w:p>
        </w:tc>
        <w:tc>
          <w:tcPr>
            <w:tcW w:w="16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8"/>
        </w:trPr>
        <w:tc>
          <w:tcPr>
            <w:tcW w:w="2220" w:type="dxa"/>
            <w:vAlign w:val="bottom"/>
            <w:vMerge w:val="restart"/>
          </w:tcPr>
          <w:p>
            <w:pPr>
              <w:ind w:left="20"/>
              <w:spacing w:after="0"/>
              <w:rPr>
                <w:sz w:val="20"/>
                <w:szCs w:val="20"/>
                <w:color w:val="auto"/>
              </w:rPr>
            </w:pPr>
            <w:r>
              <w:rPr>
                <w:rFonts w:ascii="Arial" w:cs="Arial" w:eastAsia="Arial" w:hAnsi="Arial"/>
                <w:sz w:val="19"/>
                <w:szCs w:val="19"/>
                <w:b w:val="1"/>
                <w:bCs w:val="1"/>
                <w:color w:val="666699"/>
              </w:rPr>
              <w:t>$400</w:t>
            </w:r>
          </w:p>
        </w:tc>
        <w:tc>
          <w:tcPr>
            <w:tcW w:w="1640" w:type="dxa"/>
            <w:vAlign w:val="bottom"/>
          </w:tcPr>
          <w:p>
            <w:pPr>
              <w:jc w:val="right"/>
              <w:ind w:right="446"/>
              <w:spacing w:after="0"/>
              <w:rPr>
                <w:sz w:val="20"/>
                <w:szCs w:val="20"/>
                <w:color w:val="auto"/>
              </w:rPr>
            </w:pPr>
            <w:r>
              <w:rPr>
                <w:rFonts w:ascii="Arial" w:cs="Arial" w:eastAsia="Arial" w:hAnsi="Arial"/>
                <w:sz w:val="19"/>
                <w:szCs w:val="19"/>
                <w:b w:val="1"/>
                <w:bCs w:val="1"/>
                <w:color w:val="333333"/>
              </w:rPr>
              <w:t>$393.9</w:t>
            </w:r>
          </w:p>
        </w:tc>
        <w:tc>
          <w:tcPr>
            <w:tcW w:w="1620" w:type="dxa"/>
            <w:vAlign w:val="bottom"/>
          </w:tcPr>
          <w:p>
            <w:pPr>
              <w:jc w:val="right"/>
              <w:ind w:right="426"/>
              <w:spacing w:after="0"/>
              <w:rPr>
                <w:sz w:val="20"/>
                <w:szCs w:val="20"/>
                <w:color w:val="auto"/>
              </w:rPr>
            </w:pPr>
            <w:r>
              <w:rPr>
                <w:rFonts w:ascii="Arial" w:cs="Arial" w:eastAsia="Arial" w:hAnsi="Arial"/>
                <w:sz w:val="19"/>
                <w:szCs w:val="19"/>
                <w:b w:val="1"/>
                <w:bCs w:val="1"/>
                <w:color w:val="333333"/>
              </w:rPr>
              <w:t>$392.0</w:t>
            </w:r>
          </w:p>
        </w:tc>
        <w:tc>
          <w:tcPr>
            <w:tcW w:w="1640" w:type="dxa"/>
            <w:vAlign w:val="bottom"/>
          </w:tcPr>
          <w:p>
            <w:pPr>
              <w:jc w:val="right"/>
              <w:ind w:right="446"/>
              <w:spacing w:after="0"/>
              <w:rPr>
                <w:sz w:val="20"/>
                <w:szCs w:val="20"/>
                <w:color w:val="auto"/>
              </w:rPr>
            </w:pPr>
            <w:r>
              <w:rPr>
                <w:rFonts w:ascii="Arial" w:cs="Arial" w:eastAsia="Arial" w:hAnsi="Arial"/>
                <w:sz w:val="19"/>
                <w:szCs w:val="19"/>
                <w:b w:val="1"/>
                <w:bCs w:val="1"/>
                <w:color w:val="333333"/>
              </w:rPr>
              <w:t>$395.9</w:t>
            </w:r>
          </w:p>
        </w:tc>
        <w:tc>
          <w:tcPr>
            <w:tcW w:w="1120" w:type="dxa"/>
            <w:vAlign w:val="bottom"/>
          </w:tcPr>
          <w:p>
            <w:pPr>
              <w:jc w:val="right"/>
              <w:spacing w:after="0"/>
              <w:rPr>
                <w:sz w:val="20"/>
                <w:szCs w:val="20"/>
                <w:color w:val="auto"/>
              </w:rPr>
            </w:pPr>
            <w:r>
              <w:rPr>
                <w:rFonts w:ascii="Arial" w:cs="Arial" w:eastAsia="Arial" w:hAnsi="Arial"/>
                <w:sz w:val="19"/>
                <w:szCs w:val="19"/>
                <w:b w:val="1"/>
                <w:bCs w:val="1"/>
                <w:color w:val="333333"/>
              </w:rPr>
              <w:t>$399.6</w:t>
            </w:r>
          </w:p>
        </w:tc>
        <w:tc>
          <w:tcPr>
            <w:tcW w:w="0" w:type="dxa"/>
            <w:vAlign w:val="bottom"/>
          </w:tcPr>
          <w:p>
            <w:pPr>
              <w:spacing w:after="0"/>
              <w:rPr>
                <w:sz w:val="1"/>
                <w:szCs w:val="1"/>
                <w:color w:val="auto"/>
              </w:rPr>
            </w:pPr>
          </w:p>
        </w:tc>
      </w:tr>
      <w:tr>
        <w:trPr>
          <w:trHeight w:val="94"/>
        </w:trPr>
        <w:tc>
          <w:tcPr>
            <w:tcW w:w="2220" w:type="dxa"/>
            <w:vAlign w:val="bottom"/>
            <w:vMerge w:val="continue"/>
          </w:tcPr>
          <w:p>
            <w:pPr>
              <w:spacing w:after="0"/>
              <w:rPr>
                <w:sz w:val="8"/>
                <w:szCs w:val="8"/>
                <w:color w:val="auto"/>
              </w:rPr>
            </w:pPr>
          </w:p>
        </w:tc>
        <w:tc>
          <w:tcPr>
            <w:tcW w:w="16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640" w:type="dxa"/>
            <w:vAlign w:val="bottom"/>
            <w:vMerge w:val="restart"/>
          </w:tcPr>
          <w:p>
            <w:pPr>
              <w:jc w:val="right"/>
              <w:ind w:right="466"/>
              <w:spacing w:after="0"/>
              <w:rPr>
                <w:sz w:val="20"/>
                <w:szCs w:val="20"/>
                <w:color w:val="auto"/>
              </w:rPr>
            </w:pPr>
            <w:r>
              <w:rPr>
                <w:rFonts w:ascii="Arial" w:cs="Arial" w:eastAsia="Arial" w:hAnsi="Arial"/>
                <w:sz w:val="19"/>
                <w:szCs w:val="19"/>
                <w:b w:val="1"/>
                <w:bCs w:val="1"/>
                <w:color w:val="FFFFFF"/>
              </w:rPr>
              <w:t>46.3%</w:t>
            </w: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FFFFFF"/>
              </w:rPr>
              <w:t>46.5%</w:t>
            </w:r>
          </w:p>
        </w:tc>
        <w:tc>
          <w:tcPr>
            <w:tcW w:w="0" w:type="dxa"/>
            <w:vAlign w:val="bottom"/>
          </w:tcPr>
          <w:p>
            <w:pPr>
              <w:spacing w:after="0"/>
              <w:rPr>
                <w:sz w:val="1"/>
                <w:szCs w:val="1"/>
                <w:color w:val="auto"/>
              </w:rPr>
            </w:pPr>
          </w:p>
        </w:tc>
      </w:tr>
      <w:tr>
        <w:trPr>
          <w:trHeight w:val="247"/>
        </w:trPr>
        <w:tc>
          <w:tcPr>
            <w:tcW w:w="22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620" w:type="dxa"/>
            <w:vAlign w:val="bottom"/>
            <w:vMerge w:val="restart"/>
          </w:tcPr>
          <w:p>
            <w:pPr>
              <w:jc w:val="right"/>
              <w:ind w:right="426"/>
              <w:spacing w:after="0"/>
              <w:rPr>
                <w:sz w:val="20"/>
                <w:szCs w:val="20"/>
                <w:color w:val="auto"/>
              </w:rPr>
            </w:pPr>
            <w:r>
              <w:rPr>
                <w:rFonts w:ascii="Arial" w:cs="Arial" w:eastAsia="Arial" w:hAnsi="Arial"/>
                <w:sz w:val="19"/>
                <w:szCs w:val="19"/>
                <w:b w:val="1"/>
                <w:bCs w:val="1"/>
                <w:color w:val="FFFFFF"/>
              </w:rPr>
              <w:t>45.9%</w:t>
            </w:r>
          </w:p>
        </w:tc>
        <w:tc>
          <w:tcPr>
            <w:tcW w:w="164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06"/>
        </w:trPr>
        <w:tc>
          <w:tcPr>
            <w:tcW w:w="2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1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00" w:type="dxa"/>
            <w:vAlign w:val="bottom"/>
          </w:tcPr>
          <w:p>
            <w:pPr>
              <w:jc w:val="right"/>
              <w:ind w:right="286"/>
              <w:spacing w:after="0"/>
              <w:rPr>
                <w:sz w:val="20"/>
                <w:szCs w:val="20"/>
                <w:color w:val="auto"/>
              </w:rPr>
            </w:pPr>
            <w:r>
              <w:rPr>
                <w:rFonts w:ascii="Arial" w:cs="Arial" w:eastAsia="Arial" w:hAnsi="Arial"/>
                <w:sz w:val="19"/>
                <w:szCs w:val="19"/>
                <w:b w:val="1"/>
                <w:bCs w:val="1"/>
                <w:color w:val="666699"/>
                <w:w w:val="94"/>
              </w:rPr>
              <w:t>$300</w:t>
            </w:r>
          </w:p>
        </w:tc>
        <w:tc>
          <w:tcPr>
            <w:tcW w:w="2480" w:type="dxa"/>
            <w:vAlign w:val="bottom"/>
            <w:vMerge w:val="restart"/>
          </w:tcPr>
          <w:p>
            <w:pPr>
              <w:jc w:val="right"/>
              <w:spacing w:after="0"/>
              <w:rPr>
                <w:sz w:val="20"/>
                <w:szCs w:val="20"/>
                <w:color w:val="auto"/>
              </w:rPr>
            </w:pPr>
            <w:r>
              <w:rPr>
                <w:rFonts w:ascii="Arial" w:cs="Arial" w:eastAsia="Arial" w:hAnsi="Arial"/>
                <w:sz w:val="18"/>
                <w:szCs w:val="18"/>
                <w:b w:val="1"/>
                <w:bCs w:val="1"/>
                <w:color w:val="FFFFFF"/>
              </w:rPr>
              <w:t>44.2%</w:t>
            </w:r>
          </w:p>
        </w:tc>
        <w:tc>
          <w:tcPr>
            <w:tcW w:w="0" w:type="dxa"/>
            <w:vAlign w:val="bottom"/>
          </w:tcPr>
          <w:p>
            <w:pPr>
              <w:spacing w:after="0"/>
              <w:rPr>
                <w:sz w:val="1"/>
                <w:szCs w:val="1"/>
                <w:color w:val="auto"/>
              </w:rPr>
            </w:pPr>
          </w:p>
        </w:tc>
      </w:tr>
      <w:tr>
        <w:trPr>
          <w:trHeight w:val="102"/>
        </w:trPr>
        <w:tc>
          <w:tcPr>
            <w:tcW w:w="800" w:type="dxa"/>
            <w:vAlign w:val="bottom"/>
          </w:tcPr>
          <w:p>
            <w:pPr>
              <w:spacing w:after="0"/>
              <w:rPr>
                <w:sz w:val="8"/>
                <w:szCs w:val="8"/>
                <w:color w:val="auto"/>
              </w:rPr>
            </w:pPr>
          </w:p>
        </w:tc>
        <w:tc>
          <w:tcPr>
            <w:tcW w:w="2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59"/>
        </w:trPr>
        <w:tc>
          <w:tcPr>
            <w:tcW w:w="800" w:type="dxa"/>
            <w:vAlign w:val="bottom"/>
            <w:vMerge w:val="restart"/>
          </w:tcPr>
          <w:p>
            <w:pPr>
              <w:jc w:val="right"/>
              <w:ind w:right="286"/>
              <w:spacing w:after="0"/>
              <w:rPr>
                <w:sz w:val="20"/>
                <w:szCs w:val="20"/>
                <w:color w:val="auto"/>
              </w:rPr>
            </w:pPr>
            <w:r>
              <w:rPr>
                <w:rFonts w:ascii="Arial" w:cs="Arial" w:eastAsia="Arial" w:hAnsi="Arial"/>
                <w:sz w:val="19"/>
                <w:szCs w:val="19"/>
                <w:b w:val="1"/>
                <w:bCs w:val="1"/>
                <w:color w:val="666699"/>
                <w:w w:val="94"/>
              </w:rPr>
              <w:t>$200</w:t>
            </w:r>
          </w:p>
        </w:tc>
        <w:tc>
          <w:tcPr>
            <w:tcW w:w="2480" w:type="dxa"/>
            <w:vAlign w:val="bottom"/>
          </w:tcPr>
          <w:p>
            <w:pPr>
              <w:jc w:val="right"/>
              <w:ind w:right="1532"/>
              <w:spacing w:after="0"/>
              <w:rPr>
                <w:sz w:val="20"/>
                <w:szCs w:val="20"/>
                <w:color w:val="auto"/>
              </w:rPr>
            </w:pPr>
            <w:r>
              <w:rPr>
                <w:rFonts w:ascii="Arial" w:cs="Arial" w:eastAsia="Arial" w:hAnsi="Arial"/>
                <w:sz w:val="18"/>
                <w:szCs w:val="18"/>
                <w:b w:val="1"/>
                <w:bCs w:val="1"/>
                <w:color w:val="FFFFFF"/>
              </w:rPr>
              <w:t>42.7%</w:t>
            </w:r>
          </w:p>
        </w:tc>
        <w:tc>
          <w:tcPr>
            <w:tcW w:w="0" w:type="dxa"/>
            <w:vAlign w:val="bottom"/>
          </w:tcPr>
          <w:p>
            <w:pPr>
              <w:spacing w:after="0"/>
              <w:rPr>
                <w:sz w:val="1"/>
                <w:szCs w:val="1"/>
                <w:color w:val="auto"/>
              </w:rPr>
            </w:pPr>
          </w:p>
        </w:tc>
      </w:tr>
      <w:tr>
        <w:trPr>
          <w:trHeight w:val="145"/>
        </w:trPr>
        <w:tc>
          <w:tcPr>
            <w:tcW w:w="800" w:type="dxa"/>
            <w:vAlign w:val="bottom"/>
            <w:vMerge w:val="continue"/>
          </w:tcPr>
          <w:p>
            <w:pPr>
              <w:spacing w:after="0"/>
              <w:rPr>
                <w:sz w:val="12"/>
                <w:szCs w:val="12"/>
                <w:color w:val="auto"/>
              </w:rPr>
            </w:pP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17"/>
        </w:trPr>
        <w:tc>
          <w:tcPr>
            <w:tcW w:w="800" w:type="dxa"/>
            <w:vAlign w:val="bottom"/>
          </w:tcPr>
          <w:p>
            <w:pPr>
              <w:jc w:val="right"/>
              <w:ind w:right="286"/>
              <w:spacing w:after="0"/>
              <w:rPr>
                <w:sz w:val="20"/>
                <w:szCs w:val="20"/>
                <w:color w:val="auto"/>
              </w:rPr>
            </w:pPr>
            <w:r>
              <w:rPr>
                <w:rFonts w:ascii="Arial" w:cs="Arial" w:eastAsia="Arial" w:hAnsi="Arial"/>
                <w:sz w:val="19"/>
                <w:szCs w:val="19"/>
                <w:b w:val="1"/>
                <w:bCs w:val="1"/>
                <w:color w:val="666699"/>
                <w:w w:val="94"/>
              </w:rPr>
              <w:t>$100</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666699"/>
        </w:rPr>
        <w:t>$0</w:t>
      </w:r>
    </w:p>
    <w:p>
      <w:pPr>
        <w:spacing w:after="0" w:line="52" w:lineRule="exact"/>
        <w:rPr>
          <w:sz w:val="20"/>
          <w:szCs w:val="20"/>
          <w:color w:val="auto"/>
        </w:rPr>
      </w:pPr>
    </w:p>
    <w:tbl>
      <w:tblPr>
        <w:tblLayout w:type="fixed"/>
        <w:tblInd w:w="1180" w:type="dxa"/>
        <w:tblCellMar>
          <w:top w:w="0" w:type="dxa"/>
          <w:left w:w="0" w:type="dxa"/>
          <w:bottom w:w="0" w:type="dxa"/>
          <w:right w:w="0" w:type="dxa"/>
        </w:tblCellMar>
      </w:tblPr>
      <w:tr>
        <w:trPr>
          <w:trHeight w:val="262"/>
        </w:trPr>
        <w:tc>
          <w:tcPr>
            <w:tcW w:w="1040" w:type="dxa"/>
            <w:vAlign w:val="bottom"/>
          </w:tcPr>
          <w:p>
            <w:pPr>
              <w:jc w:val="right"/>
              <w:ind w:right="526"/>
              <w:spacing w:after="0"/>
              <w:rPr>
                <w:sz w:val="20"/>
                <w:szCs w:val="20"/>
                <w:color w:val="auto"/>
              </w:rPr>
            </w:pPr>
            <w:r>
              <w:rPr>
                <w:rFonts w:ascii="Arial" w:cs="Arial" w:eastAsia="Arial" w:hAnsi="Arial"/>
                <w:sz w:val="19"/>
                <w:szCs w:val="19"/>
                <w:b w:val="1"/>
                <w:bCs w:val="1"/>
                <w:color w:val="666699"/>
                <w:w w:val="94"/>
              </w:rPr>
              <w:t>2008</w:t>
            </w:r>
          </w:p>
        </w:tc>
        <w:tc>
          <w:tcPr>
            <w:tcW w:w="2100" w:type="dxa"/>
            <w:vAlign w:val="bottom"/>
          </w:tcPr>
          <w:p>
            <w:pPr>
              <w:jc w:val="right"/>
              <w:ind w:right="995"/>
              <w:spacing w:after="0"/>
              <w:rPr>
                <w:sz w:val="20"/>
                <w:szCs w:val="20"/>
                <w:color w:val="auto"/>
              </w:rPr>
            </w:pPr>
            <w:r>
              <w:rPr>
                <w:rFonts w:ascii="Arial" w:cs="Arial" w:eastAsia="Arial" w:hAnsi="Arial"/>
                <w:sz w:val="19"/>
                <w:szCs w:val="19"/>
                <w:b w:val="1"/>
                <w:bCs w:val="1"/>
                <w:color w:val="666699"/>
              </w:rPr>
              <w:t>2009</w:t>
            </w:r>
          </w:p>
        </w:tc>
        <w:tc>
          <w:tcPr>
            <w:tcW w:w="1480" w:type="dxa"/>
            <w:vAlign w:val="bottom"/>
          </w:tcPr>
          <w:p>
            <w:pPr>
              <w:jc w:val="right"/>
              <w:ind w:right="835"/>
              <w:spacing w:after="0"/>
              <w:rPr>
                <w:sz w:val="20"/>
                <w:szCs w:val="20"/>
                <w:color w:val="auto"/>
              </w:rPr>
            </w:pPr>
            <w:r>
              <w:rPr>
                <w:rFonts w:ascii="Arial" w:cs="Arial" w:eastAsia="Arial" w:hAnsi="Arial"/>
                <w:sz w:val="19"/>
                <w:szCs w:val="19"/>
                <w:b w:val="1"/>
                <w:bCs w:val="1"/>
                <w:color w:val="666699"/>
              </w:rPr>
              <w:t>2010</w:t>
            </w:r>
          </w:p>
        </w:tc>
        <w:tc>
          <w:tcPr>
            <w:tcW w:w="1340" w:type="dxa"/>
            <w:vAlign w:val="bottom"/>
          </w:tcPr>
          <w:p>
            <w:pPr>
              <w:jc w:val="right"/>
              <w:ind w:right="526"/>
              <w:spacing w:after="0"/>
              <w:rPr>
                <w:sz w:val="20"/>
                <w:szCs w:val="20"/>
                <w:color w:val="auto"/>
              </w:rPr>
            </w:pPr>
            <w:r>
              <w:rPr>
                <w:rFonts w:ascii="Arial" w:cs="Arial" w:eastAsia="Arial" w:hAnsi="Arial"/>
                <w:sz w:val="19"/>
                <w:szCs w:val="19"/>
                <w:b w:val="1"/>
                <w:bCs w:val="1"/>
                <w:color w:val="666699"/>
              </w:rPr>
              <w:t>2011</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666699"/>
              </w:rPr>
              <w:t>2012</w:t>
            </w:r>
          </w:p>
        </w:tc>
      </w:tr>
      <w:tr>
        <w:trPr>
          <w:trHeight w:val="637"/>
        </w:trPr>
        <w:tc>
          <w:tcPr>
            <w:tcW w:w="1040" w:type="dxa"/>
            <w:vAlign w:val="bottom"/>
          </w:tcPr>
          <w:p>
            <w:pPr>
              <w:spacing w:after="0"/>
              <w:rPr>
                <w:sz w:val="24"/>
                <w:szCs w:val="24"/>
                <w:color w:val="auto"/>
              </w:rPr>
            </w:pPr>
          </w:p>
        </w:tc>
        <w:tc>
          <w:tcPr>
            <w:tcW w:w="2100" w:type="dxa"/>
            <w:vAlign w:val="bottom"/>
          </w:tcPr>
          <w:p>
            <w:pPr>
              <w:jc w:val="right"/>
              <w:ind w:right="55"/>
              <w:spacing w:after="0"/>
              <w:rPr>
                <w:sz w:val="20"/>
                <w:szCs w:val="20"/>
                <w:color w:val="auto"/>
              </w:rPr>
            </w:pPr>
            <w:r>
              <w:rPr>
                <w:rFonts w:ascii="Arial" w:cs="Arial" w:eastAsia="Arial" w:hAnsi="Arial"/>
                <w:sz w:val="15"/>
                <w:szCs w:val="15"/>
                <w:color w:val="auto"/>
              </w:rPr>
              <w:t>Revenue</w:t>
            </w:r>
          </w:p>
        </w:tc>
        <w:tc>
          <w:tcPr>
            <w:tcW w:w="1480" w:type="dxa"/>
            <w:vAlign w:val="bottom"/>
          </w:tcPr>
          <w:p>
            <w:pPr>
              <w:jc w:val="right"/>
              <w:ind w:right="215"/>
              <w:spacing w:after="0"/>
              <w:rPr>
                <w:sz w:val="20"/>
                <w:szCs w:val="20"/>
                <w:color w:val="auto"/>
              </w:rPr>
            </w:pPr>
            <w:r>
              <w:rPr>
                <w:rFonts w:ascii="Arial" w:cs="Arial" w:eastAsia="Arial" w:hAnsi="Arial"/>
                <w:sz w:val="15"/>
                <w:szCs w:val="15"/>
                <w:color w:val="auto"/>
              </w:rPr>
              <w:t>Gross Margin</w:t>
            </w: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66" w:lineRule="exact"/>
        <w:rPr>
          <w:sz w:val="20"/>
          <w:szCs w:val="20"/>
          <w:color w:val="auto"/>
        </w:rPr>
      </w:pPr>
    </w:p>
    <w:p>
      <w:pPr>
        <w:jc w:val="center"/>
        <w:ind w:right="2200"/>
        <w:spacing w:after="0"/>
        <w:rPr>
          <w:sz w:val="20"/>
          <w:szCs w:val="20"/>
          <w:color w:val="auto"/>
        </w:rPr>
      </w:pPr>
      <w:r>
        <w:rPr>
          <w:rFonts w:ascii="Arial" w:cs="Arial" w:eastAsia="Arial" w:hAnsi="Arial"/>
          <w:sz w:val="28"/>
          <w:szCs w:val="28"/>
          <w:color w:val="auto"/>
        </w:rPr>
        <w:t>Strong gross margins provide opportunity for</w:t>
      </w:r>
    </w:p>
    <w:p>
      <w:pPr>
        <w:spacing w:after="0" w:line="37" w:lineRule="exact"/>
        <w:rPr>
          <w:sz w:val="20"/>
          <w:szCs w:val="20"/>
          <w:color w:val="auto"/>
        </w:rPr>
      </w:pPr>
    </w:p>
    <w:p>
      <w:pPr>
        <w:jc w:val="center"/>
        <w:ind w:right="2180"/>
        <w:spacing w:after="0"/>
        <w:rPr>
          <w:sz w:val="20"/>
          <w:szCs w:val="20"/>
          <w:color w:val="auto"/>
        </w:rPr>
      </w:pPr>
      <w:r>
        <w:rPr>
          <w:rFonts w:ascii="Arial" w:cs="Arial" w:eastAsia="Arial" w:hAnsi="Arial"/>
          <w:sz w:val="28"/>
          <w:szCs w:val="28"/>
          <w:color w:val="auto"/>
        </w:rPr>
        <w:t>significant sales leverage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9"/>
          <w:szCs w:val="19"/>
          <w:b w:val="1"/>
          <w:bCs w:val="1"/>
          <w:color w:val="666699"/>
        </w:rPr>
        <w:t>50%</w:t>
      </w:r>
    </w:p>
    <w:p>
      <w:pPr>
        <w:spacing w:after="0" w:line="369" w:lineRule="exact"/>
        <w:rPr>
          <w:sz w:val="20"/>
          <w:szCs w:val="20"/>
          <w:color w:val="auto"/>
        </w:rPr>
      </w:pPr>
    </w:p>
    <w:p>
      <w:pPr>
        <w:spacing w:after="0"/>
        <w:rPr>
          <w:sz w:val="20"/>
          <w:szCs w:val="20"/>
          <w:color w:val="auto"/>
        </w:rPr>
      </w:pPr>
      <w:r>
        <w:rPr>
          <w:rFonts w:ascii="Arial" w:cs="Arial" w:eastAsia="Arial" w:hAnsi="Arial"/>
          <w:sz w:val="19"/>
          <w:szCs w:val="19"/>
          <w:b w:val="1"/>
          <w:bCs w:val="1"/>
          <w:color w:val="666699"/>
        </w:rPr>
        <w:t>48%</w:t>
      </w:r>
    </w:p>
    <w:p>
      <w:pPr>
        <w:spacing w:after="0" w:line="38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666699"/>
        </w:rPr>
        <w:t>46%</w:t>
      </w:r>
    </w:p>
    <w:p>
      <w:pPr>
        <w:spacing w:after="0" w:line="38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666699"/>
        </w:rPr>
        <w:t>44%</w:t>
      </w:r>
    </w:p>
    <w:p>
      <w:pPr>
        <w:spacing w:after="0" w:line="35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666699"/>
        </w:rPr>
        <w:t>42%</w:t>
      </w:r>
    </w:p>
    <w:p>
      <w:pPr>
        <w:spacing w:after="0" w:line="38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666699"/>
        </w:rPr>
        <w:t>40%</w:t>
      </w:r>
    </w:p>
    <w:p>
      <w:pPr>
        <w:spacing w:after="0" w:line="38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666699"/>
        </w:rPr>
        <w:t>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33</w:t>
      </w:r>
    </w:p>
    <w:p>
      <w:pPr>
        <w:sectPr>
          <w:pgSz w:w="11900" w:h="16838" w:orient="portrait"/>
          <w:cols w:equalWidth="0" w:num="2">
            <w:col w:w="8240" w:space="680"/>
            <w:col w:w="1460"/>
          </w:cols>
          <w:pgMar w:left="620" w:top="1052" w:right="899"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55"/>
          <w:szCs w:val="55"/>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Operating Margin &amp; Comparable Sales</w:t>
      </w:r>
    </w:p>
    <w:p>
      <w:pPr>
        <w:spacing w:after="0" w:line="240" w:lineRule="exact"/>
        <w:rPr>
          <w:sz w:val="20"/>
          <w:szCs w:val="20"/>
          <w:color w:val="auto"/>
        </w:rPr>
      </w:pPr>
    </w:p>
    <w:p>
      <w:pPr>
        <w:jc w:val="center"/>
        <w:ind w:right="100"/>
        <w:spacing w:after="0"/>
        <w:rPr>
          <w:sz w:val="20"/>
          <w:szCs w:val="20"/>
          <w:color w:val="auto"/>
        </w:rPr>
      </w:pPr>
      <w:r>
        <w:rPr>
          <w:rFonts w:ascii="Arial" w:cs="Arial" w:eastAsia="Arial" w:hAnsi="Arial"/>
          <w:sz w:val="25"/>
          <w:szCs w:val="25"/>
          <w:b w:val="1"/>
          <w:bCs w:val="1"/>
          <w:color w:val="5F5F5F"/>
        </w:rPr>
        <w:t>(continuing operations)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340" w:type="dxa"/>
            <w:vAlign w:val="bottom"/>
            <w:gridSpan w:val="3"/>
          </w:tcPr>
          <w:p>
            <w:pPr>
              <w:jc w:val="right"/>
              <w:spacing w:after="0"/>
              <w:rPr>
                <w:sz w:val="20"/>
                <w:szCs w:val="20"/>
                <w:color w:val="auto"/>
              </w:rPr>
            </w:pPr>
            <w:r>
              <w:rPr>
                <w:rFonts w:ascii="Arial" w:cs="Arial" w:eastAsia="Arial" w:hAnsi="Arial"/>
                <w:sz w:val="22"/>
                <w:szCs w:val="22"/>
                <w:b w:val="1"/>
                <w:bCs w:val="1"/>
                <w:color w:val="auto"/>
              </w:rPr>
              <w:t>CMRG Annual Historic Operating Margin</w:t>
            </w:r>
          </w:p>
        </w:tc>
        <w:tc>
          <w:tcPr>
            <w:tcW w:w="560" w:type="dxa"/>
            <w:vAlign w:val="bottom"/>
          </w:tcPr>
          <w:p>
            <w:pPr>
              <w:spacing w:after="0"/>
              <w:rPr>
                <w:sz w:val="21"/>
                <w:szCs w:val="21"/>
                <w:color w:val="auto"/>
              </w:rPr>
            </w:pPr>
          </w:p>
        </w:tc>
        <w:tc>
          <w:tcPr>
            <w:tcW w:w="4320" w:type="dxa"/>
            <w:vAlign w:val="bottom"/>
            <w:gridSpan w:val="3"/>
          </w:tcPr>
          <w:p>
            <w:pPr>
              <w:jc w:val="right"/>
              <w:spacing w:after="0"/>
              <w:rPr>
                <w:sz w:val="20"/>
                <w:szCs w:val="20"/>
                <w:color w:val="auto"/>
              </w:rPr>
            </w:pPr>
            <w:r>
              <w:rPr>
                <w:rFonts w:ascii="Arial" w:cs="Arial" w:eastAsia="Arial" w:hAnsi="Arial"/>
                <w:sz w:val="22"/>
                <w:szCs w:val="22"/>
                <w:b w:val="1"/>
                <w:bCs w:val="1"/>
                <w:color w:val="auto"/>
              </w:rPr>
              <w:t>CMRG Historical Annual Comp Sales</w:t>
            </w:r>
          </w:p>
        </w:tc>
        <w:tc>
          <w:tcPr>
            <w:tcW w:w="0" w:type="dxa"/>
            <w:vAlign w:val="bottom"/>
          </w:tcPr>
          <w:p>
            <w:pPr>
              <w:spacing w:after="0"/>
              <w:rPr>
                <w:sz w:val="1"/>
                <w:szCs w:val="1"/>
                <w:color w:val="auto"/>
              </w:rPr>
            </w:pPr>
          </w:p>
        </w:tc>
      </w:tr>
      <w:tr>
        <w:trPr>
          <w:trHeight w:val="268"/>
        </w:trPr>
        <w:tc>
          <w:tcPr>
            <w:tcW w:w="2220" w:type="dxa"/>
            <w:vAlign w:val="bottom"/>
          </w:tcPr>
          <w:p>
            <w:pPr>
              <w:jc w:val="center"/>
              <w:ind w:right="1465"/>
              <w:spacing w:after="0"/>
              <w:rPr>
                <w:sz w:val="20"/>
                <w:szCs w:val="20"/>
                <w:color w:val="auto"/>
              </w:rPr>
            </w:pPr>
            <w:r>
              <w:rPr>
                <w:rFonts w:ascii="Arial" w:cs="Arial" w:eastAsia="Arial" w:hAnsi="Arial"/>
                <w:sz w:val="19"/>
                <w:szCs w:val="19"/>
                <w:b w:val="1"/>
                <w:bCs w:val="1"/>
                <w:color w:val="666699"/>
                <w:w w:val="99"/>
              </w:rPr>
              <w:t>10%</w:t>
            </w:r>
          </w:p>
        </w:tc>
        <w:tc>
          <w:tcPr>
            <w:tcW w:w="78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Arial" w:cs="Arial" w:eastAsia="Arial" w:hAnsi="Arial"/>
                <w:sz w:val="19"/>
                <w:szCs w:val="19"/>
                <w:b w:val="1"/>
                <w:bCs w:val="1"/>
                <w:color w:val="666699"/>
              </w:rPr>
              <w:t>5%</w:t>
            </w:r>
          </w:p>
        </w:tc>
        <w:tc>
          <w:tcPr>
            <w:tcW w:w="2380" w:type="dxa"/>
            <w:vAlign w:val="bottom"/>
            <w:vMerge w:val="restart"/>
          </w:tcPr>
          <w:p>
            <w:pPr>
              <w:jc w:val="right"/>
              <w:ind w:right="119"/>
              <w:spacing w:after="0"/>
              <w:rPr>
                <w:sz w:val="20"/>
                <w:szCs w:val="20"/>
                <w:color w:val="auto"/>
              </w:rPr>
            </w:pPr>
            <w:r>
              <w:rPr>
                <w:rFonts w:ascii="Arial" w:cs="Arial" w:eastAsia="Arial" w:hAnsi="Arial"/>
                <w:sz w:val="18"/>
                <w:szCs w:val="18"/>
                <w:b w:val="1"/>
                <w:bCs w:val="1"/>
                <w:color w:val="auto"/>
              </w:rPr>
              <w:t>1.5%</w:t>
            </w:r>
          </w:p>
        </w:tc>
        <w:tc>
          <w:tcPr>
            <w:tcW w:w="800" w:type="dxa"/>
            <w:vAlign w:val="bottom"/>
            <w:vMerge w:val="restart"/>
          </w:tcPr>
          <w:p>
            <w:pPr>
              <w:jc w:val="right"/>
              <w:ind w:right="109"/>
              <w:spacing w:after="0"/>
              <w:rPr>
                <w:sz w:val="20"/>
                <w:szCs w:val="20"/>
                <w:color w:val="auto"/>
              </w:rPr>
            </w:pPr>
            <w:r>
              <w:rPr>
                <w:rFonts w:ascii="Arial" w:cs="Arial" w:eastAsia="Arial" w:hAnsi="Arial"/>
                <w:sz w:val="18"/>
                <w:szCs w:val="18"/>
                <w:b w:val="1"/>
                <w:bCs w:val="1"/>
                <w:color w:val="auto"/>
              </w:rPr>
              <w:t>2.1%</w:t>
            </w:r>
          </w:p>
        </w:tc>
        <w:tc>
          <w:tcPr>
            <w:tcW w:w="1140" w:type="dxa"/>
            <w:vAlign w:val="bottom"/>
            <w:vMerge w:val="restart"/>
          </w:tcPr>
          <w:p>
            <w:pPr>
              <w:jc w:val="right"/>
              <w:ind w:right="432"/>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172"/>
        </w:trPr>
        <w:tc>
          <w:tcPr>
            <w:tcW w:w="2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2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3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220" w:type="dxa"/>
            <w:vAlign w:val="bottom"/>
          </w:tcPr>
          <w:p>
            <w:pPr>
              <w:jc w:val="center"/>
              <w:ind w:right="1465"/>
              <w:spacing w:after="0"/>
              <w:rPr>
                <w:sz w:val="20"/>
                <w:szCs w:val="20"/>
                <w:color w:val="auto"/>
              </w:rPr>
            </w:pPr>
            <w:r>
              <w:rPr>
                <w:rFonts w:ascii="Arial" w:cs="Arial" w:eastAsia="Arial" w:hAnsi="Arial"/>
                <w:sz w:val="19"/>
                <w:szCs w:val="19"/>
                <w:b w:val="1"/>
                <w:bCs w:val="1"/>
                <w:color w:val="666699"/>
                <w:w w:val="94"/>
              </w:rPr>
              <w:t>5%</w:t>
            </w:r>
          </w:p>
        </w:tc>
        <w:tc>
          <w:tcPr>
            <w:tcW w:w="780" w:type="dxa"/>
            <w:vAlign w:val="bottom"/>
          </w:tcPr>
          <w:p>
            <w:pPr>
              <w:jc w:val="right"/>
              <w:ind w:right="89"/>
              <w:spacing w:after="0"/>
              <w:rPr>
                <w:sz w:val="20"/>
                <w:szCs w:val="20"/>
                <w:color w:val="auto"/>
              </w:rPr>
            </w:pPr>
            <w:r>
              <w:rPr>
                <w:rFonts w:ascii="Arial" w:cs="Arial" w:eastAsia="Arial" w:hAnsi="Arial"/>
                <w:sz w:val="18"/>
                <w:szCs w:val="18"/>
                <w:b w:val="1"/>
                <w:bCs w:val="1"/>
                <w:color w:val="auto"/>
              </w:rPr>
              <w:t>4.6%</w:t>
            </w:r>
          </w:p>
        </w:tc>
        <w:tc>
          <w:tcPr>
            <w:tcW w:w="2340" w:type="dxa"/>
            <w:vAlign w:val="bottom"/>
          </w:tcPr>
          <w:p>
            <w:pPr>
              <w:ind w:left="220"/>
              <w:spacing w:after="0"/>
              <w:rPr>
                <w:sz w:val="20"/>
                <w:szCs w:val="20"/>
                <w:color w:val="auto"/>
              </w:rPr>
            </w:pPr>
            <w:r>
              <w:rPr>
                <w:rFonts w:ascii="Arial" w:cs="Arial" w:eastAsia="Arial" w:hAnsi="Arial"/>
                <w:sz w:val="18"/>
                <w:szCs w:val="18"/>
                <w:b w:val="1"/>
                <w:bCs w:val="1"/>
                <w:color w:val="auto"/>
              </w:rPr>
              <w:t>4.7%</w:t>
            </w:r>
          </w:p>
        </w:tc>
        <w:tc>
          <w:tcPr>
            <w:tcW w:w="560" w:type="dxa"/>
            <w:vAlign w:val="bottom"/>
          </w:tcPr>
          <w:p>
            <w:pPr>
              <w:jc w:val="right"/>
              <w:ind w:right="86"/>
              <w:spacing w:after="0"/>
              <w:rPr>
                <w:sz w:val="20"/>
                <w:szCs w:val="20"/>
                <w:color w:val="auto"/>
              </w:rPr>
            </w:pPr>
            <w:r>
              <w:rPr>
                <w:rFonts w:ascii="Arial" w:cs="Arial" w:eastAsia="Arial" w:hAnsi="Arial"/>
                <w:sz w:val="19"/>
                <w:szCs w:val="19"/>
                <w:b w:val="1"/>
                <w:bCs w:val="1"/>
                <w:color w:val="666699"/>
              </w:rPr>
              <w:t>0%</w:t>
            </w:r>
          </w:p>
        </w:tc>
        <w:tc>
          <w:tcPr>
            <w:tcW w:w="2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2220" w:type="dxa"/>
            <w:vAlign w:val="bottom"/>
            <w:vMerge w:val="restart"/>
          </w:tcPr>
          <w:p>
            <w:pPr>
              <w:jc w:val="right"/>
              <w:ind w:right="125"/>
              <w:spacing w:after="0"/>
              <w:rPr>
                <w:sz w:val="20"/>
                <w:szCs w:val="20"/>
                <w:color w:val="auto"/>
              </w:rPr>
            </w:pPr>
            <w:r>
              <w:rPr>
                <w:rFonts w:ascii="Arial" w:cs="Arial" w:eastAsia="Arial" w:hAnsi="Arial"/>
                <w:sz w:val="18"/>
                <w:szCs w:val="18"/>
                <w:b w:val="1"/>
                <w:bCs w:val="1"/>
                <w:color w:val="auto"/>
              </w:rPr>
              <w:t>2.4%</w:t>
            </w:r>
          </w:p>
        </w:tc>
        <w:tc>
          <w:tcPr>
            <w:tcW w:w="780" w:type="dxa"/>
            <w:vAlign w:val="bottom"/>
          </w:tcPr>
          <w:p>
            <w:pPr>
              <w:spacing w:after="0"/>
              <w:rPr>
                <w:sz w:val="16"/>
                <w:szCs w:val="16"/>
                <w:color w:val="auto"/>
              </w:rPr>
            </w:pPr>
          </w:p>
        </w:tc>
        <w:tc>
          <w:tcPr>
            <w:tcW w:w="2340" w:type="dxa"/>
            <w:vAlign w:val="bottom"/>
          </w:tcPr>
          <w:p>
            <w:pPr>
              <w:jc w:val="right"/>
              <w:ind w:right="828"/>
              <w:spacing w:after="0" w:line="189" w:lineRule="exact"/>
              <w:rPr>
                <w:sz w:val="20"/>
                <w:szCs w:val="20"/>
                <w:color w:val="auto"/>
              </w:rPr>
            </w:pPr>
            <w:r>
              <w:rPr>
                <w:rFonts w:ascii="Arial" w:cs="Arial" w:eastAsia="Arial" w:hAnsi="Arial"/>
                <w:sz w:val="18"/>
                <w:szCs w:val="18"/>
                <w:b w:val="1"/>
                <w:bCs w:val="1"/>
                <w:color w:val="auto"/>
              </w:rPr>
              <w:t>3.5%</w:t>
            </w:r>
          </w:p>
        </w:tc>
        <w:tc>
          <w:tcPr>
            <w:tcW w:w="5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222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2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4"/>
        </w:trPr>
        <w:tc>
          <w:tcPr>
            <w:tcW w:w="2220" w:type="dxa"/>
            <w:vAlign w:val="bottom"/>
          </w:tcPr>
          <w:p>
            <w:pPr>
              <w:jc w:val="center"/>
              <w:ind w:right="1465"/>
              <w:spacing w:after="0"/>
              <w:rPr>
                <w:sz w:val="20"/>
                <w:szCs w:val="20"/>
                <w:color w:val="auto"/>
              </w:rPr>
            </w:pPr>
            <w:r>
              <w:rPr>
                <w:rFonts w:ascii="Arial" w:cs="Arial" w:eastAsia="Arial" w:hAnsi="Arial"/>
                <w:sz w:val="19"/>
                <w:szCs w:val="19"/>
                <w:b w:val="1"/>
                <w:bCs w:val="1"/>
                <w:color w:val="666699"/>
                <w:w w:val="94"/>
              </w:rPr>
              <w:t>0%</w:t>
            </w:r>
          </w:p>
        </w:tc>
        <w:tc>
          <w:tcPr>
            <w:tcW w:w="7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60" w:type="dxa"/>
            <w:vAlign w:val="bottom"/>
          </w:tcPr>
          <w:p>
            <w:pPr>
              <w:jc w:val="right"/>
              <w:ind w:right="26"/>
              <w:spacing w:after="0"/>
              <w:rPr>
                <w:sz w:val="20"/>
                <w:szCs w:val="20"/>
                <w:color w:val="auto"/>
              </w:rPr>
            </w:pPr>
            <w:r>
              <w:rPr>
                <w:rFonts w:ascii="Arial" w:cs="Arial" w:eastAsia="Arial" w:hAnsi="Arial"/>
                <w:sz w:val="19"/>
                <w:szCs w:val="19"/>
                <w:b w:val="1"/>
                <w:bCs w:val="1"/>
                <w:color w:val="666699"/>
              </w:rPr>
              <w:t>(5%)</w:t>
            </w:r>
          </w:p>
        </w:tc>
        <w:tc>
          <w:tcPr>
            <w:tcW w:w="2380" w:type="dxa"/>
            <w:vAlign w:val="bottom"/>
          </w:tcPr>
          <w:p>
            <w:pPr>
              <w:jc w:val="right"/>
              <w:ind w:right="1679"/>
              <w:spacing w:after="0"/>
              <w:rPr>
                <w:sz w:val="20"/>
                <w:szCs w:val="20"/>
                <w:color w:val="auto"/>
              </w:rPr>
            </w:pPr>
            <w:r>
              <w:rPr>
                <w:rFonts w:ascii="Arial" w:cs="Arial" w:eastAsia="Arial" w:hAnsi="Arial"/>
                <w:sz w:val="18"/>
                <w:szCs w:val="18"/>
                <w:b w:val="1"/>
                <w:bCs w:val="1"/>
                <w:color w:val="auto"/>
              </w:rPr>
              <w:t>(4.3)%</w:t>
            </w: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220" w:type="dxa"/>
            <w:vAlign w:val="bottom"/>
          </w:tcPr>
          <w:p>
            <w:pPr>
              <w:jc w:val="right"/>
              <w:ind w:right="825"/>
              <w:spacing w:after="0"/>
              <w:rPr>
                <w:sz w:val="20"/>
                <w:szCs w:val="20"/>
                <w:color w:val="auto"/>
              </w:rPr>
            </w:pPr>
            <w:r>
              <w:rPr>
                <w:rFonts w:ascii="Arial" w:cs="Arial" w:eastAsia="Arial" w:hAnsi="Arial"/>
                <w:sz w:val="18"/>
                <w:szCs w:val="18"/>
                <w:b w:val="1"/>
                <w:bCs w:val="1"/>
                <w:color w:val="auto"/>
              </w:rPr>
              <w:t>(1.1)%</w:t>
            </w:r>
          </w:p>
        </w:tc>
        <w:tc>
          <w:tcPr>
            <w:tcW w:w="780" w:type="dxa"/>
            <w:vAlign w:val="bottom"/>
          </w:tcPr>
          <w:p>
            <w:pPr>
              <w:spacing w:after="0"/>
              <w:rPr>
                <w:sz w:val="24"/>
                <w:szCs w:val="24"/>
                <w:color w:val="auto"/>
              </w:rPr>
            </w:pPr>
          </w:p>
        </w:tc>
        <w:tc>
          <w:tcPr>
            <w:tcW w:w="2900" w:type="dxa"/>
            <w:vAlign w:val="bottom"/>
            <w:gridSpan w:val="2"/>
            <w:vMerge w:val="restart"/>
          </w:tcPr>
          <w:p>
            <w:pPr>
              <w:jc w:val="right"/>
              <w:ind w:right="26"/>
              <w:spacing w:after="0"/>
              <w:rPr>
                <w:sz w:val="20"/>
                <w:szCs w:val="20"/>
                <w:color w:val="auto"/>
              </w:rPr>
            </w:pPr>
            <w:r>
              <w:rPr>
                <w:rFonts w:ascii="Arial" w:cs="Arial" w:eastAsia="Arial" w:hAnsi="Arial"/>
                <w:sz w:val="19"/>
                <w:szCs w:val="19"/>
                <w:b w:val="1"/>
                <w:bCs w:val="1"/>
                <w:color w:val="666699"/>
              </w:rPr>
              <w:t>(10%)</w:t>
            </w:r>
          </w:p>
        </w:tc>
        <w:tc>
          <w:tcPr>
            <w:tcW w:w="2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220" w:type="dxa"/>
            <w:vAlign w:val="bottom"/>
            <w:vMerge w:val="restart"/>
          </w:tcPr>
          <w:p>
            <w:pPr>
              <w:jc w:val="right"/>
              <w:ind w:right="1625"/>
              <w:spacing w:after="0"/>
              <w:rPr>
                <w:sz w:val="20"/>
                <w:szCs w:val="20"/>
                <w:color w:val="auto"/>
              </w:rPr>
            </w:pPr>
            <w:r>
              <w:rPr>
                <w:rFonts w:ascii="Arial" w:cs="Arial" w:eastAsia="Arial" w:hAnsi="Arial"/>
                <w:sz w:val="19"/>
                <w:szCs w:val="19"/>
                <w:b w:val="1"/>
                <w:bCs w:val="1"/>
                <w:color w:val="666699"/>
              </w:rPr>
              <w:t>(5%)</w:t>
            </w:r>
          </w:p>
        </w:tc>
        <w:tc>
          <w:tcPr>
            <w:tcW w:w="78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2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222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2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3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2"/>
        </w:trPr>
        <w:tc>
          <w:tcPr>
            <w:tcW w:w="2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900" w:type="dxa"/>
            <w:vAlign w:val="bottom"/>
            <w:gridSpan w:val="2"/>
            <w:vMerge w:val="restart"/>
          </w:tcPr>
          <w:p>
            <w:pPr>
              <w:jc w:val="right"/>
              <w:ind w:right="26"/>
              <w:spacing w:after="0"/>
              <w:rPr>
                <w:sz w:val="20"/>
                <w:szCs w:val="20"/>
                <w:color w:val="auto"/>
              </w:rPr>
            </w:pPr>
            <w:r>
              <w:rPr>
                <w:rFonts w:ascii="Arial" w:cs="Arial" w:eastAsia="Arial" w:hAnsi="Arial"/>
                <w:sz w:val="19"/>
                <w:szCs w:val="19"/>
                <w:b w:val="1"/>
                <w:bCs w:val="1"/>
                <w:color w:val="666699"/>
              </w:rPr>
              <w:t>(15%)</w:t>
            </w:r>
          </w:p>
        </w:tc>
        <w:tc>
          <w:tcPr>
            <w:tcW w:w="2380" w:type="dxa"/>
            <w:vAlign w:val="bottom"/>
          </w:tcPr>
          <w:p>
            <w:pPr>
              <w:jc w:val="right"/>
              <w:ind w:right="779"/>
              <w:spacing w:after="0"/>
              <w:rPr>
                <w:sz w:val="20"/>
                <w:szCs w:val="20"/>
                <w:color w:val="auto"/>
              </w:rPr>
            </w:pPr>
            <w:r>
              <w:rPr>
                <w:rFonts w:ascii="Arial" w:cs="Arial" w:eastAsia="Arial" w:hAnsi="Arial"/>
                <w:sz w:val="18"/>
                <w:szCs w:val="18"/>
                <w:b w:val="1"/>
                <w:bCs w:val="1"/>
                <w:color w:val="auto"/>
              </w:rPr>
              <w:t>(10.8)%</w:t>
            </w: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220" w:type="dxa"/>
            <w:vAlign w:val="bottom"/>
            <w:vMerge w:val="restart"/>
          </w:tcPr>
          <w:p>
            <w:pPr>
              <w:jc w:val="right"/>
              <w:ind w:right="1625"/>
              <w:spacing w:after="0"/>
              <w:rPr>
                <w:sz w:val="20"/>
                <w:szCs w:val="20"/>
                <w:color w:val="auto"/>
              </w:rPr>
            </w:pPr>
            <w:r>
              <w:rPr>
                <w:rFonts w:ascii="Arial" w:cs="Arial" w:eastAsia="Arial" w:hAnsi="Arial"/>
                <w:sz w:val="19"/>
                <w:szCs w:val="19"/>
                <w:b w:val="1"/>
                <w:bCs w:val="1"/>
                <w:color w:val="666699"/>
                <w:w w:val="94"/>
              </w:rPr>
              <w:t>(10%)</w:t>
            </w:r>
          </w:p>
        </w:tc>
        <w:tc>
          <w:tcPr>
            <w:tcW w:w="780" w:type="dxa"/>
            <w:vAlign w:val="bottom"/>
          </w:tcPr>
          <w:p>
            <w:pPr>
              <w:spacing w:after="0"/>
              <w:rPr>
                <w:sz w:val="17"/>
                <w:szCs w:val="17"/>
                <w:color w:val="auto"/>
              </w:rPr>
            </w:pPr>
          </w:p>
        </w:tc>
        <w:tc>
          <w:tcPr>
            <w:tcW w:w="2900" w:type="dxa"/>
            <w:vAlign w:val="bottom"/>
            <w:gridSpan w:val="2"/>
            <w:vMerge w:val="continue"/>
          </w:tcPr>
          <w:p>
            <w:pPr>
              <w:spacing w:after="0"/>
              <w:rPr>
                <w:sz w:val="17"/>
                <w:szCs w:val="17"/>
                <w:color w:val="auto"/>
              </w:rPr>
            </w:pPr>
          </w:p>
        </w:tc>
        <w:tc>
          <w:tcPr>
            <w:tcW w:w="2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
        </w:trPr>
        <w:tc>
          <w:tcPr>
            <w:tcW w:w="222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2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220" w:type="dxa"/>
            <w:vAlign w:val="bottom"/>
          </w:tcPr>
          <w:p>
            <w:pPr>
              <w:jc w:val="right"/>
              <w:ind w:right="105"/>
              <w:spacing w:after="0"/>
              <w:rPr>
                <w:sz w:val="20"/>
                <w:szCs w:val="20"/>
                <w:color w:val="auto"/>
              </w:rPr>
            </w:pPr>
            <w:r>
              <w:rPr>
                <w:rFonts w:ascii="Arial" w:cs="Arial" w:eastAsia="Arial" w:hAnsi="Arial"/>
                <w:sz w:val="19"/>
                <w:szCs w:val="19"/>
                <w:b w:val="1"/>
                <w:bCs w:val="1"/>
                <w:color w:val="666699"/>
              </w:rPr>
              <w:t>2008    2009</w:t>
            </w:r>
          </w:p>
        </w:tc>
        <w:tc>
          <w:tcPr>
            <w:tcW w:w="780" w:type="dxa"/>
            <w:vAlign w:val="bottom"/>
          </w:tcPr>
          <w:p>
            <w:pPr>
              <w:jc w:val="right"/>
              <w:ind w:right="89"/>
              <w:spacing w:after="0"/>
              <w:rPr>
                <w:sz w:val="20"/>
                <w:szCs w:val="20"/>
                <w:color w:val="auto"/>
              </w:rPr>
            </w:pPr>
            <w:r>
              <w:rPr>
                <w:rFonts w:ascii="Arial" w:cs="Arial" w:eastAsia="Arial" w:hAnsi="Arial"/>
                <w:sz w:val="19"/>
                <w:szCs w:val="19"/>
                <w:b w:val="1"/>
                <w:bCs w:val="1"/>
                <w:color w:val="666699"/>
              </w:rPr>
              <w:t>2010</w:t>
            </w:r>
          </w:p>
        </w:tc>
        <w:tc>
          <w:tcPr>
            <w:tcW w:w="2340" w:type="dxa"/>
            <w:vAlign w:val="bottom"/>
          </w:tcPr>
          <w:p>
            <w:pPr>
              <w:ind w:left="200"/>
              <w:spacing w:after="0"/>
              <w:rPr>
                <w:sz w:val="20"/>
                <w:szCs w:val="20"/>
                <w:color w:val="auto"/>
              </w:rPr>
            </w:pPr>
            <w:r>
              <w:rPr>
                <w:rFonts w:ascii="Arial" w:cs="Arial" w:eastAsia="Arial" w:hAnsi="Arial"/>
                <w:sz w:val="19"/>
                <w:szCs w:val="19"/>
                <w:b w:val="1"/>
                <w:bCs w:val="1"/>
                <w:color w:val="666699"/>
              </w:rPr>
              <w:t>2011*   2012</w:t>
            </w:r>
          </w:p>
        </w:tc>
        <w:tc>
          <w:tcPr>
            <w:tcW w:w="560" w:type="dxa"/>
            <w:vAlign w:val="bottom"/>
          </w:tcPr>
          <w:p>
            <w:pPr>
              <w:spacing w:after="0"/>
              <w:rPr>
                <w:sz w:val="22"/>
                <w:szCs w:val="22"/>
                <w:color w:val="auto"/>
              </w:rPr>
            </w:pPr>
          </w:p>
        </w:tc>
        <w:tc>
          <w:tcPr>
            <w:tcW w:w="2380" w:type="dxa"/>
            <w:vAlign w:val="bottom"/>
          </w:tcPr>
          <w:p>
            <w:pPr>
              <w:jc w:val="right"/>
              <w:ind w:right="119"/>
              <w:spacing w:after="0"/>
              <w:rPr>
                <w:sz w:val="20"/>
                <w:szCs w:val="20"/>
                <w:color w:val="auto"/>
              </w:rPr>
            </w:pPr>
            <w:r>
              <w:rPr>
                <w:rFonts w:ascii="Arial" w:cs="Arial" w:eastAsia="Arial" w:hAnsi="Arial"/>
                <w:sz w:val="19"/>
                <w:szCs w:val="19"/>
                <w:b w:val="1"/>
                <w:bCs w:val="1"/>
                <w:color w:val="666699"/>
                <w:w w:val="99"/>
              </w:rPr>
              <w:t>2008    20092010</w:t>
            </w:r>
          </w:p>
        </w:tc>
        <w:tc>
          <w:tcPr>
            <w:tcW w:w="1940" w:type="dxa"/>
            <w:vAlign w:val="bottom"/>
            <w:gridSpan w:val="2"/>
          </w:tcPr>
          <w:p>
            <w:pPr>
              <w:jc w:val="right"/>
              <w:ind w:right="452"/>
              <w:spacing w:after="0"/>
              <w:rPr>
                <w:sz w:val="20"/>
                <w:szCs w:val="20"/>
                <w:color w:val="auto"/>
              </w:rPr>
            </w:pPr>
            <w:r>
              <w:rPr>
                <w:rFonts w:ascii="Arial" w:cs="Arial" w:eastAsia="Arial" w:hAnsi="Arial"/>
                <w:sz w:val="19"/>
                <w:szCs w:val="19"/>
                <w:b w:val="1"/>
                <w:bCs w:val="1"/>
                <w:color w:val="666699"/>
              </w:rPr>
              <w:t>2011   2012</w:t>
            </w:r>
          </w:p>
        </w:tc>
        <w:tc>
          <w:tcPr>
            <w:tcW w:w="0" w:type="dxa"/>
            <w:vAlign w:val="bottom"/>
          </w:tcPr>
          <w:p>
            <w:pPr>
              <w:spacing w:after="0"/>
              <w:rPr>
                <w:sz w:val="1"/>
                <w:szCs w:val="1"/>
                <w:color w:val="auto"/>
              </w:rPr>
            </w:pPr>
          </w:p>
        </w:tc>
      </w:tr>
    </w:tbl>
    <w:p>
      <w:pPr>
        <w:spacing w:after="0" w:line="336" w:lineRule="exact"/>
        <w:rPr>
          <w:sz w:val="20"/>
          <w:szCs w:val="20"/>
          <w:color w:val="auto"/>
        </w:rPr>
      </w:pPr>
    </w:p>
    <w:p>
      <w:pPr>
        <w:ind w:left="440"/>
        <w:spacing w:after="0"/>
        <w:rPr>
          <w:sz w:val="20"/>
          <w:szCs w:val="20"/>
          <w:color w:val="auto"/>
        </w:rPr>
      </w:pPr>
      <w:r>
        <w:rPr>
          <w:rFonts w:ascii="Arial" w:cs="Arial" w:eastAsia="Arial" w:hAnsi="Arial"/>
          <w:sz w:val="19"/>
          <w:szCs w:val="19"/>
          <w:color w:val="697D88"/>
        </w:rPr>
        <w:t>* Before impairment charge of $23.1m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320"/>
        <w:spacing w:after="0"/>
        <w:rPr>
          <w:sz w:val="20"/>
          <w:szCs w:val="20"/>
          <w:color w:val="auto"/>
        </w:rPr>
      </w:pPr>
      <w:r>
        <w:rPr>
          <w:rFonts w:ascii="Arial" w:cs="Arial" w:eastAsia="Arial" w:hAnsi="Arial"/>
          <w:sz w:val="28"/>
          <w:szCs w:val="28"/>
          <w:color w:val="auto"/>
        </w:rPr>
        <w:t>Focus on improving operating margins</w:t>
      </w:r>
    </w:p>
    <w:p>
      <w:pPr>
        <w:spacing w:after="0" w:line="37" w:lineRule="exact"/>
        <w:rPr>
          <w:sz w:val="20"/>
          <w:szCs w:val="20"/>
          <w:color w:val="auto"/>
        </w:rPr>
      </w:pPr>
    </w:p>
    <w:p>
      <w:pPr>
        <w:jc w:val="center"/>
        <w:ind w:right="3360"/>
        <w:spacing w:after="0"/>
        <w:rPr>
          <w:sz w:val="20"/>
          <w:szCs w:val="20"/>
          <w:color w:val="auto"/>
        </w:rPr>
      </w:pPr>
      <w:r>
        <w:rPr>
          <w:rFonts w:ascii="Arial" w:cs="Arial" w:eastAsia="Arial" w:hAnsi="Arial"/>
          <w:sz w:val="28"/>
          <w:szCs w:val="28"/>
          <w:color w:val="auto"/>
        </w:rPr>
        <w:t>through greater DXL sales</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34</w:t>
      </w:r>
    </w:p>
    <w:p>
      <w:pPr>
        <w:sectPr>
          <w:pgSz w:w="11900" w:h="16838" w:orient="portrait"/>
          <w:cols w:equalWidth="0" w:num="1">
            <w:col w:w="10580"/>
          </w:cols>
          <w:pgMar w:left="420" w:top="1088" w:right="899" w:bottom="1440" w:gutter="0" w:footer="0" w:header="0"/>
        </w:sectPr>
      </w:pPr>
    </w:p>
    <w:bookmarkStart w:id="37" w:name="page38"/>
    <w:bookmarkEnd w:id="37"/>
    <w:p>
      <w:pPr>
        <w:ind w:left="60"/>
        <w:spacing w:after="0"/>
        <w:rPr>
          <w:sz w:val="20"/>
          <w:szCs w:val="20"/>
          <w:color w:val="auto"/>
        </w:rPr>
      </w:pPr>
      <w:r>
        <w:rPr>
          <w:rFonts w:ascii="Arial" w:cs="Arial" w:eastAsia="Arial" w:hAnsi="Arial"/>
          <w:sz w:val="56"/>
          <w:szCs w:val="56"/>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Strict Expense Management</w:t>
      </w:r>
    </w:p>
    <w:p>
      <w:pPr>
        <w:spacing w:after="0" w:line="3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697D88"/>
        </w:rPr>
        <w:t>($ mm)</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697D88"/>
        </w:rPr>
        <w:t>$200</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20" w:type="dxa"/>
            <w:vAlign w:val="bottom"/>
          </w:tcPr>
          <w:p>
            <w:pPr>
              <w:jc w:val="right"/>
              <w:ind w:right="392"/>
              <w:spacing w:after="0"/>
              <w:rPr>
                <w:sz w:val="20"/>
                <w:szCs w:val="20"/>
                <w:color w:val="auto"/>
              </w:rPr>
            </w:pPr>
            <w:r>
              <w:rPr>
                <w:rFonts w:ascii="Arial" w:cs="Arial" w:eastAsia="Arial" w:hAnsi="Arial"/>
                <w:sz w:val="18"/>
                <w:szCs w:val="18"/>
                <w:b w:val="1"/>
                <w:bCs w:val="1"/>
                <w:color w:val="auto"/>
              </w:rPr>
              <w:t>$177.3</w:t>
            </w:r>
          </w:p>
        </w:tc>
        <w:tc>
          <w:tcPr>
            <w:tcW w:w="1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7"/>
        </w:trPr>
        <w:tc>
          <w:tcPr>
            <w:tcW w:w="2020" w:type="dxa"/>
            <w:vAlign w:val="bottom"/>
          </w:tcPr>
          <w:p>
            <w:pPr>
              <w:spacing w:after="0"/>
              <w:rPr>
                <w:sz w:val="24"/>
                <w:szCs w:val="24"/>
                <w:color w:val="auto"/>
              </w:rPr>
            </w:pPr>
          </w:p>
        </w:tc>
        <w:tc>
          <w:tcPr>
            <w:tcW w:w="1260" w:type="dxa"/>
            <w:vAlign w:val="bottom"/>
            <w:vMerge w:val="restart"/>
          </w:tcPr>
          <w:p>
            <w:pPr>
              <w:jc w:val="right"/>
              <w:ind w:right="172"/>
              <w:spacing w:after="0"/>
              <w:rPr>
                <w:sz w:val="20"/>
                <w:szCs w:val="20"/>
                <w:color w:val="auto"/>
              </w:rPr>
            </w:pPr>
            <w:r>
              <w:rPr>
                <w:rFonts w:ascii="Arial" w:cs="Arial" w:eastAsia="Arial" w:hAnsi="Arial"/>
                <w:sz w:val="18"/>
                <w:szCs w:val="18"/>
                <w:b w:val="1"/>
                <w:bCs w:val="1"/>
                <w:color w:val="auto"/>
              </w:rPr>
              <w:t>$149.2</w:t>
            </w:r>
          </w:p>
        </w:tc>
        <w:tc>
          <w:tcPr>
            <w:tcW w:w="1500" w:type="dxa"/>
            <w:vAlign w:val="bottom"/>
            <w:vMerge w:val="restart"/>
          </w:tcPr>
          <w:p>
            <w:pPr>
              <w:jc w:val="right"/>
              <w:ind w:right="212"/>
              <w:spacing w:after="0"/>
              <w:rPr>
                <w:sz w:val="20"/>
                <w:szCs w:val="20"/>
                <w:color w:val="auto"/>
              </w:rPr>
            </w:pPr>
            <w:r>
              <w:rPr>
                <w:rFonts w:ascii="Arial" w:cs="Arial" w:eastAsia="Arial" w:hAnsi="Arial"/>
                <w:sz w:val="18"/>
                <w:szCs w:val="18"/>
                <w:b w:val="1"/>
                <w:bCs w:val="1"/>
                <w:color w:val="auto"/>
              </w:rPr>
              <w:t>$148.4</w:t>
            </w:r>
          </w:p>
        </w:tc>
        <w:tc>
          <w:tcPr>
            <w:tcW w:w="1660" w:type="dxa"/>
            <w:vAlign w:val="bottom"/>
            <w:vMerge w:val="restart"/>
          </w:tcPr>
          <w:p>
            <w:pPr>
              <w:jc w:val="right"/>
              <w:ind w:right="392"/>
              <w:spacing w:after="0"/>
              <w:rPr>
                <w:sz w:val="20"/>
                <w:szCs w:val="20"/>
                <w:color w:val="auto"/>
              </w:rPr>
            </w:pPr>
            <w:r>
              <w:rPr>
                <w:rFonts w:ascii="Arial" w:cs="Arial" w:eastAsia="Arial" w:hAnsi="Arial"/>
                <w:sz w:val="18"/>
                <w:szCs w:val="18"/>
                <w:b w:val="1"/>
                <w:bCs w:val="1"/>
                <w:color w:val="auto"/>
              </w:rPr>
              <w:t>$152.0</w:t>
            </w: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$156.4</w:t>
            </w:r>
          </w:p>
        </w:tc>
        <w:tc>
          <w:tcPr>
            <w:tcW w:w="0" w:type="dxa"/>
            <w:vAlign w:val="bottom"/>
          </w:tcPr>
          <w:p>
            <w:pPr>
              <w:spacing w:after="0"/>
              <w:rPr>
                <w:sz w:val="1"/>
                <w:szCs w:val="1"/>
                <w:color w:val="auto"/>
              </w:rPr>
            </w:pPr>
          </w:p>
        </w:tc>
      </w:tr>
      <w:tr>
        <w:trPr>
          <w:trHeight w:val="106"/>
        </w:trPr>
        <w:tc>
          <w:tcPr>
            <w:tcW w:w="2020" w:type="dxa"/>
            <w:vAlign w:val="bottom"/>
            <w:vMerge w:val="restart"/>
          </w:tcPr>
          <w:p>
            <w:pPr>
              <w:jc w:val="right"/>
              <w:ind w:right="1572"/>
              <w:spacing w:after="0"/>
              <w:rPr>
                <w:sz w:val="20"/>
                <w:szCs w:val="20"/>
                <w:color w:val="auto"/>
              </w:rPr>
            </w:pPr>
            <w:r>
              <w:rPr>
                <w:rFonts w:ascii="Arial" w:cs="Arial" w:eastAsia="Arial" w:hAnsi="Arial"/>
                <w:sz w:val="18"/>
                <w:szCs w:val="18"/>
                <w:b w:val="1"/>
                <w:bCs w:val="1"/>
                <w:color w:val="697D88"/>
                <w:w w:val="84"/>
              </w:rPr>
              <w:t>$150</w:t>
            </w:r>
          </w:p>
        </w:tc>
        <w:tc>
          <w:tcPr>
            <w:tcW w:w="126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202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8"/>
        </w:trPr>
        <w:tc>
          <w:tcPr>
            <w:tcW w:w="2020" w:type="dxa"/>
            <w:vAlign w:val="bottom"/>
          </w:tcPr>
          <w:p>
            <w:pPr>
              <w:jc w:val="right"/>
              <w:ind w:right="412"/>
              <w:spacing w:after="0"/>
              <w:rPr>
                <w:sz w:val="20"/>
                <w:szCs w:val="20"/>
                <w:color w:val="auto"/>
              </w:rPr>
            </w:pPr>
            <w:r>
              <w:rPr>
                <w:rFonts w:ascii="Arial" w:cs="Arial" w:eastAsia="Arial" w:hAnsi="Arial"/>
                <w:sz w:val="18"/>
                <w:szCs w:val="18"/>
                <w:b w:val="1"/>
                <w:bCs w:val="1"/>
                <w:color w:val="FFFFFF"/>
              </w:rPr>
              <w:t>39.9%</w:t>
            </w:r>
          </w:p>
        </w:tc>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20" w:type="dxa"/>
            <w:vAlign w:val="bottom"/>
            <w:vMerge w:val="restart"/>
          </w:tcPr>
          <w:p>
            <w:pPr>
              <w:jc w:val="right"/>
              <w:ind w:right="1572"/>
              <w:spacing w:after="0"/>
              <w:rPr>
                <w:sz w:val="20"/>
                <w:szCs w:val="20"/>
                <w:color w:val="auto"/>
              </w:rPr>
            </w:pPr>
            <w:r>
              <w:rPr>
                <w:rFonts w:ascii="Arial" w:cs="Arial" w:eastAsia="Arial" w:hAnsi="Arial"/>
                <w:sz w:val="18"/>
                <w:szCs w:val="18"/>
                <w:b w:val="1"/>
                <w:bCs w:val="1"/>
                <w:color w:val="697D88"/>
                <w:w w:val="84"/>
              </w:rPr>
              <w:t>$100</w:t>
            </w:r>
          </w:p>
        </w:tc>
        <w:tc>
          <w:tcPr>
            <w:tcW w:w="12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660" w:type="dxa"/>
            <w:vAlign w:val="bottom"/>
            <w:vMerge w:val="restart"/>
          </w:tcPr>
          <w:p>
            <w:pPr>
              <w:ind w:left="700"/>
              <w:spacing w:after="0"/>
              <w:rPr>
                <w:sz w:val="20"/>
                <w:szCs w:val="20"/>
                <w:color w:val="auto"/>
              </w:rPr>
            </w:pPr>
            <w:r>
              <w:rPr>
                <w:rFonts w:ascii="Arial" w:cs="Arial" w:eastAsia="Arial" w:hAnsi="Arial"/>
                <w:sz w:val="18"/>
                <w:szCs w:val="18"/>
                <w:b w:val="1"/>
                <w:bCs w:val="1"/>
                <w:color w:val="FFFFFF"/>
              </w:rPr>
              <w:t>38.4%</w:t>
            </w: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FFFFFF"/>
              </w:rPr>
              <w:t>39.1%</w:t>
            </w:r>
          </w:p>
        </w:tc>
        <w:tc>
          <w:tcPr>
            <w:tcW w:w="0" w:type="dxa"/>
            <w:vAlign w:val="bottom"/>
          </w:tcPr>
          <w:p>
            <w:pPr>
              <w:spacing w:after="0"/>
              <w:rPr>
                <w:sz w:val="1"/>
                <w:szCs w:val="1"/>
                <w:color w:val="auto"/>
              </w:rPr>
            </w:pPr>
          </w:p>
        </w:tc>
      </w:tr>
      <w:tr>
        <w:trPr>
          <w:trHeight w:val="223"/>
        </w:trPr>
        <w:tc>
          <w:tcPr>
            <w:tcW w:w="2020" w:type="dxa"/>
            <w:vAlign w:val="bottom"/>
            <w:vMerge w:val="continue"/>
          </w:tcPr>
          <w:p>
            <w:pPr>
              <w:spacing w:after="0"/>
              <w:rPr>
                <w:sz w:val="19"/>
                <w:szCs w:val="19"/>
                <w:color w:val="auto"/>
              </w:rPr>
            </w:pPr>
          </w:p>
        </w:tc>
        <w:tc>
          <w:tcPr>
            <w:tcW w:w="1260" w:type="dxa"/>
            <w:vAlign w:val="bottom"/>
            <w:vMerge w:val="restart"/>
          </w:tcPr>
          <w:p>
            <w:pPr>
              <w:ind w:left="540"/>
              <w:spacing w:after="0"/>
              <w:rPr>
                <w:sz w:val="20"/>
                <w:szCs w:val="20"/>
                <w:color w:val="auto"/>
              </w:rPr>
            </w:pPr>
            <w:r>
              <w:rPr>
                <w:rFonts w:ascii="Arial" w:cs="Arial" w:eastAsia="Arial" w:hAnsi="Arial"/>
                <w:sz w:val="18"/>
                <w:szCs w:val="18"/>
                <w:b w:val="1"/>
                <w:bCs w:val="1"/>
                <w:color w:val="FFFFFF"/>
              </w:rPr>
              <w:t>37.9%</w:t>
            </w:r>
          </w:p>
        </w:tc>
        <w:tc>
          <w:tcPr>
            <w:tcW w:w="1500" w:type="dxa"/>
            <w:vAlign w:val="bottom"/>
            <w:vMerge w:val="restart"/>
          </w:tcPr>
          <w:p>
            <w:pPr>
              <w:jc w:val="right"/>
              <w:ind w:right="172"/>
              <w:spacing w:after="0"/>
              <w:rPr>
                <w:sz w:val="20"/>
                <w:szCs w:val="20"/>
                <w:color w:val="auto"/>
              </w:rPr>
            </w:pPr>
            <w:r>
              <w:rPr>
                <w:rFonts w:ascii="Arial" w:cs="Arial" w:eastAsia="Arial" w:hAnsi="Arial"/>
                <w:sz w:val="18"/>
                <w:szCs w:val="18"/>
                <w:b w:val="1"/>
                <w:bCs w:val="1"/>
                <w:color w:val="FFFFFF"/>
              </w:rPr>
              <w:t>37.9%</w:t>
            </w:r>
          </w:p>
        </w:tc>
        <w:tc>
          <w:tcPr>
            <w:tcW w:w="166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2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9"/>
        </w:trPr>
        <w:tc>
          <w:tcPr>
            <w:tcW w:w="2020" w:type="dxa"/>
            <w:vAlign w:val="bottom"/>
          </w:tcPr>
          <w:p>
            <w:pPr>
              <w:jc w:val="right"/>
              <w:ind w:right="1572"/>
              <w:spacing w:after="0"/>
              <w:rPr>
                <w:sz w:val="20"/>
                <w:szCs w:val="20"/>
                <w:color w:val="auto"/>
              </w:rPr>
            </w:pPr>
            <w:r>
              <w:rPr>
                <w:rFonts w:ascii="Arial" w:cs="Arial" w:eastAsia="Arial" w:hAnsi="Arial"/>
                <w:sz w:val="18"/>
                <w:szCs w:val="18"/>
                <w:b w:val="1"/>
                <w:bCs w:val="1"/>
                <w:color w:val="697D88"/>
              </w:rPr>
              <w:t>$50</w:t>
            </w:r>
          </w:p>
        </w:tc>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4"/>
        </w:trPr>
        <w:tc>
          <w:tcPr>
            <w:tcW w:w="2020" w:type="dxa"/>
            <w:vAlign w:val="bottom"/>
          </w:tcPr>
          <w:p>
            <w:pPr>
              <w:jc w:val="right"/>
              <w:ind w:right="412"/>
              <w:spacing w:after="0"/>
              <w:rPr>
                <w:sz w:val="20"/>
                <w:szCs w:val="20"/>
                <w:color w:val="auto"/>
              </w:rPr>
            </w:pPr>
            <w:r>
              <w:rPr>
                <w:rFonts w:ascii="Arial" w:cs="Arial" w:eastAsia="Arial" w:hAnsi="Arial"/>
                <w:sz w:val="18"/>
                <w:szCs w:val="18"/>
                <w:b w:val="1"/>
                <w:bCs w:val="1"/>
                <w:color w:val="FFFFFF"/>
              </w:rPr>
              <w:t>$34.1</w:t>
            </w:r>
          </w:p>
        </w:tc>
        <w:tc>
          <w:tcPr>
            <w:tcW w:w="1260" w:type="dxa"/>
            <w:vAlign w:val="bottom"/>
            <w:vMerge w:val="restart"/>
          </w:tcPr>
          <w:p>
            <w:pPr>
              <w:jc w:val="right"/>
              <w:ind w:right="212"/>
              <w:spacing w:after="0"/>
              <w:rPr>
                <w:sz w:val="20"/>
                <w:szCs w:val="20"/>
                <w:color w:val="auto"/>
              </w:rPr>
            </w:pPr>
            <w:r>
              <w:rPr>
                <w:rFonts w:ascii="Arial" w:cs="Arial" w:eastAsia="Arial" w:hAnsi="Arial"/>
                <w:sz w:val="18"/>
                <w:szCs w:val="18"/>
                <w:b w:val="1"/>
                <w:bCs w:val="1"/>
                <w:color w:val="FFFFFF"/>
              </w:rPr>
              <w:t>$19.1</w:t>
            </w:r>
          </w:p>
        </w:tc>
        <w:tc>
          <w:tcPr>
            <w:tcW w:w="1500" w:type="dxa"/>
            <w:vAlign w:val="bottom"/>
            <w:vMerge w:val="restart"/>
          </w:tcPr>
          <w:p>
            <w:pPr>
              <w:jc w:val="right"/>
              <w:ind w:right="232"/>
              <w:spacing w:after="0"/>
              <w:rPr>
                <w:sz w:val="20"/>
                <w:szCs w:val="20"/>
                <w:color w:val="auto"/>
              </w:rPr>
            </w:pPr>
            <w:r>
              <w:rPr>
                <w:rFonts w:ascii="Arial" w:cs="Arial" w:eastAsia="Arial" w:hAnsi="Arial"/>
                <w:sz w:val="18"/>
                <w:szCs w:val="18"/>
                <w:b w:val="1"/>
                <w:bCs w:val="1"/>
                <w:color w:val="FFFFFF"/>
              </w:rPr>
              <w:t>$19.0</w:t>
            </w:r>
          </w:p>
        </w:tc>
        <w:tc>
          <w:tcPr>
            <w:tcW w:w="1660" w:type="dxa"/>
            <w:vAlign w:val="bottom"/>
            <w:vMerge w:val="restart"/>
          </w:tcPr>
          <w:p>
            <w:pPr>
              <w:ind w:left="700"/>
              <w:spacing w:after="0"/>
              <w:rPr>
                <w:sz w:val="20"/>
                <w:szCs w:val="20"/>
                <w:color w:val="auto"/>
              </w:rPr>
            </w:pPr>
            <w:r>
              <w:rPr>
                <w:rFonts w:ascii="Arial" w:cs="Arial" w:eastAsia="Arial" w:hAnsi="Arial"/>
                <w:sz w:val="18"/>
                <w:szCs w:val="18"/>
                <w:b w:val="1"/>
                <w:bCs w:val="1"/>
                <w:color w:val="FFFFFF"/>
              </w:rPr>
              <w:t>$19.6</w:t>
            </w:r>
          </w:p>
        </w:tc>
        <w:tc>
          <w:tcPr>
            <w:tcW w:w="112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FFFFFF"/>
              </w:rPr>
              <w:t>$18.5</w:t>
            </w:r>
          </w:p>
        </w:tc>
        <w:tc>
          <w:tcPr>
            <w:tcW w:w="0" w:type="dxa"/>
            <w:vAlign w:val="bottom"/>
          </w:tcPr>
          <w:p>
            <w:pPr>
              <w:spacing w:after="0"/>
              <w:rPr>
                <w:sz w:val="1"/>
                <w:szCs w:val="1"/>
                <w:color w:val="auto"/>
              </w:rPr>
            </w:pPr>
          </w:p>
        </w:tc>
      </w:tr>
      <w:tr>
        <w:trPr>
          <w:trHeight w:val="188"/>
        </w:trPr>
        <w:tc>
          <w:tcPr>
            <w:tcW w:w="2020" w:type="dxa"/>
            <w:vAlign w:val="bottom"/>
            <w:vMerge w:val="restart"/>
          </w:tcPr>
          <w:p>
            <w:pPr>
              <w:jc w:val="right"/>
              <w:ind w:right="1552"/>
              <w:spacing w:after="0"/>
              <w:rPr>
                <w:sz w:val="20"/>
                <w:szCs w:val="20"/>
                <w:color w:val="auto"/>
              </w:rPr>
            </w:pPr>
            <w:r>
              <w:rPr>
                <w:rFonts w:ascii="Arial" w:cs="Arial" w:eastAsia="Arial" w:hAnsi="Arial"/>
                <w:sz w:val="18"/>
                <w:szCs w:val="18"/>
                <w:b w:val="1"/>
                <w:bCs w:val="1"/>
                <w:color w:val="697D88"/>
              </w:rPr>
              <w:t>$0</w:t>
            </w:r>
          </w:p>
        </w:tc>
        <w:tc>
          <w:tcPr>
            <w:tcW w:w="126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20" w:type="dxa"/>
            <w:vAlign w:val="bottom"/>
            <w:vMerge w:val="continue"/>
          </w:tcPr>
          <w:p>
            <w:pPr>
              <w:spacing w:after="0"/>
              <w:rPr>
                <w:sz w:val="13"/>
                <w:szCs w:val="13"/>
                <w:color w:val="auto"/>
              </w:rPr>
            </w:pPr>
          </w:p>
        </w:tc>
        <w:tc>
          <w:tcPr>
            <w:tcW w:w="1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20" w:type="dxa"/>
            <w:vAlign w:val="bottom"/>
          </w:tcPr>
          <w:p>
            <w:pPr>
              <w:jc w:val="right"/>
              <w:ind w:right="452"/>
              <w:spacing w:after="0"/>
              <w:rPr>
                <w:sz w:val="20"/>
                <w:szCs w:val="20"/>
                <w:color w:val="auto"/>
              </w:rPr>
            </w:pPr>
            <w:r>
              <w:rPr>
                <w:rFonts w:ascii="Arial" w:cs="Arial" w:eastAsia="Arial" w:hAnsi="Arial"/>
                <w:sz w:val="18"/>
                <w:szCs w:val="18"/>
                <w:b w:val="1"/>
                <w:bCs w:val="1"/>
                <w:color w:val="697D88"/>
              </w:rPr>
              <w:t>2008</w:t>
            </w:r>
          </w:p>
        </w:tc>
        <w:tc>
          <w:tcPr>
            <w:tcW w:w="1260" w:type="dxa"/>
            <w:vAlign w:val="bottom"/>
          </w:tcPr>
          <w:p>
            <w:pPr>
              <w:ind w:left="520"/>
              <w:spacing w:after="0"/>
              <w:rPr>
                <w:sz w:val="20"/>
                <w:szCs w:val="20"/>
                <w:color w:val="auto"/>
              </w:rPr>
            </w:pPr>
            <w:r>
              <w:rPr>
                <w:rFonts w:ascii="Arial" w:cs="Arial" w:eastAsia="Arial" w:hAnsi="Arial"/>
                <w:sz w:val="18"/>
                <w:szCs w:val="18"/>
                <w:b w:val="1"/>
                <w:bCs w:val="1"/>
                <w:color w:val="697D88"/>
              </w:rPr>
              <w:t>2009</w:t>
            </w:r>
          </w:p>
        </w:tc>
        <w:tc>
          <w:tcPr>
            <w:tcW w:w="1500" w:type="dxa"/>
            <w:vAlign w:val="bottom"/>
          </w:tcPr>
          <w:p>
            <w:pPr>
              <w:jc w:val="right"/>
              <w:ind w:right="252"/>
              <w:spacing w:after="0"/>
              <w:rPr>
                <w:sz w:val="20"/>
                <w:szCs w:val="20"/>
                <w:color w:val="auto"/>
              </w:rPr>
            </w:pPr>
            <w:r>
              <w:rPr>
                <w:rFonts w:ascii="Arial" w:cs="Arial" w:eastAsia="Arial" w:hAnsi="Arial"/>
                <w:sz w:val="18"/>
                <w:szCs w:val="18"/>
                <w:b w:val="1"/>
                <w:bCs w:val="1"/>
                <w:color w:val="697D88"/>
              </w:rPr>
              <w:t>2010</w:t>
            </w:r>
          </w:p>
        </w:tc>
        <w:tc>
          <w:tcPr>
            <w:tcW w:w="1660" w:type="dxa"/>
            <w:vAlign w:val="bottom"/>
          </w:tcPr>
          <w:p>
            <w:pPr>
              <w:jc w:val="right"/>
              <w:ind w:right="472"/>
              <w:spacing w:after="0"/>
              <w:rPr>
                <w:sz w:val="20"/>
                <w:szCs w:val="20"/>
                <w:color w:val="auto"/>
              </w:rPr>
            </w:pPr>
            <w:r>
              <w:rPr>
                <w:rFonts w:ascii="Arial" w:cs="Arial" w:eastAsia="Arial" w:hAnsi="Arial"/>
                <w:sz w:val="18"/>
                <w:szCs w:val="18"/>
                <w:b w:val="1"/>
                <w:bCs w:val="1"/>
                <w:color w:val="697D88"/>
              </w:rPr>
              <w:t>2011</w:t>
            </w:r>
          </w:p>
        </w:tc>
        <w:tc>
          <w:tcPr>
            <w:tcW w:w="1120" w:type="dxa"/>
            <w:vAlign w:val="bottom"/>
          </w:tcPr>
          <w:p>
            <w:pPr>
              <w:jc w:val="right"/>
              <w:ind w:right="132"/>
              <w:spacing w:after="0"/>
              <w:rPr>
                <w:sz w:val="20"/>
                <w:szCs w:val="20"/>
                <w:color w:val="auto"/>
              </w:rPr>
            </w:pPr>
            <w:r>
              <w:rPr>
                <w:rFonts w:ascii="Arial" w:cs="Arial" w:eastAsia="Arial" w:hAnsi="Arial"/>
                <w:sz w:val="18"/>
                <w:szCs w:val="18"/>
                <w:b w:val="1"/>
                <w:bCs w:val="1"/>
                <w:color w:val="697D88"/>
              </w:rPr>
              <w:t>2012</w:t>
            </w:r>
          </w:p>
        </w:tc>
        <w:tc>
          <w:tcPr>
            <w:tcW w:w="0" w:type="dxa"/>
            <w:vAlign w:val="bottom"/>
          </w:tcPr>
          <w:p>
            <w:pPr>
              <w:spacing w:after="0"/>
              <w:rPr>
                <w:sz w:val="1"/>
                <w:szCs w:val="1"/>
                <w:color w:val="auto"/>
              </w:rPr>
            </w:pPr>
          </w:p>
        </w:tc>
      </w:tr>
      <w:tr>
        <w:trPr>
          <w:trHeight w:val="576"/>
        </w:trPr>
        <w:tc>
          <w:tcPr>
            <w:tcW w:w="3280" w:type="dxa"/>
            <w:vAlign w:val="bottom"/>
            <w:gridSpan w:val="2"/>
          </w:tcPr>
          <w:p>
            <w:pPr>
              <w:ind w:left="1400"/>
              <w:spacing w:after="0"/>
              <w:rPr>
                <w:sz w:val="20"/>
                <w:szCs w:val="20"/>
                <w:color w:val="auto"/>
              </w:rPr>
            </w:pPr>
            <w:r>
              <w:rPr>
                <w:rFonts w:ascii="Arial" w:cs="Arial" w:eastAsia="Arial" w:hAnsi="Arial"/>
                <w:sz w:val="18"/>
                <w:szCs w:val="18"/>
                <w:color w:val="auto"/>
              </w:rPr>
              <w:t>Marketing Expense</w:t>
            </w:r>
          </w:p>
        </w:tc>
        <w:tc>
          <w:tcPr>
            <w:tcW w:w="1500" w:type="dxa"/>
            <w:vAlign w:val="bottom"/>
          </w:tcPr>
          <w:p>
            <w:pPr>
              <w:jc w:val="right"/>
              <w:ind w:right="252"/>
              <w:spacing w:after="0"/>
              <w:rPr>
                <w:sz w:val="20"/>
                <w:szCs w:val="20"/>
                <w:color w:val="auto"/>
              </w:rPr>
            </w:pPr>
            <w:r>
              <w:rPr>
                <w:rFonts w:ascii="Arial" w:cs="Arial" w:eastAsia="Arial" w:hAnsi="Arial"/>
                <w:sz w:val="18"/>
                <w:szCs w:val="18"/>
                <w:color w:val="auto"/>
              </w:rPr>
              <w:t>Total SG&amp;A</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SG&amp;A as a Percentage of Sales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697D88"/>
        </w:rPr>
        <w:t>45%</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697D88"/>
        </w:rPr>
        <w:t>42%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697D88"/>
        </w:rPr>
        <w:t>39%</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697D88"/>
        </w:rPr>
        <w:t>36%</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697D88"/>
        </w:rPr>
        <w:t>33%</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697D88"/>
        </w:rPr>
        <w:t>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35</w:t>
      </w:r>
    </w:p>
    <w:p>
      <w:pPr>
        <w:sectPr>
          <w:pgSz w:w="11900" w:h="16838" w:orient="portrait"/>
          <w:cols w:equalWidth="0" w:num="2">
            <w:col w:w="7560" w:space="480"/>
            <w:col w:w="1980"/>
          </w:cols>
          <w:pgMar w:left="980" w:top="1052" w:right="899" w:bottom="1440" w:gutter="0" w:footer="0" w:header="0"/>
        </w:sectPr>
      </w:pPr>
    </w:p>
    <w:bookmarkStart w:id="38" w:name="page39"/>
    <w:bookmarkEnd w:id="38"/>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Strong Debt-Free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1780" w:type="dxa"/>
        <w:tblCellMar>
          <w:top w:w="0" w:type="dxa"/>
          <w:left w:w="0" w:type="dxa"/>
          <w:bottom w:w="0" w:type="dxa"/>
          <w:right w:w="0" w:type="dxa"/>
        </w:tblCellMar>
      </w:tblPr>
      <w:tr>
        <w:trPr>
          <w:trHeight w:val="413"/>
        </w:trPr>
        <w:tc>
          <w:tcPr>
            <w:tcW w:w="1100" w:type="dxa"/>
            <w:vAlign w:val="bottom"/>
          </w:tcPr>
          <w:p>
            <w:pPr>
              <w:jc w:val="right"/>
              <w:ind w:right="215"/>
              <w:spacing w:after="0"/>
              <w:rPr>
                <w:sz w:val="20"/>
                <w:szCs w:val="20"/>
                <w:color w:val="auto"/>
              </w:rPr>
            </w:pPr>
            <w:r>
              <w:rPr>
                <w:rFonts w:ascii="Arial" w:cs="Arial" w:eastAsia="Arial" w:hAnsi="Arial"/>
                <w:sz w:val="32"/>
                <w:szCs w:val="32"/>
                <w:color w:val="auto"/>
              </w:rPr>
              <w:t>2008</w:t>
            </w:r>
          </w:p>
        </w:tc>
        <w:tc>
          <w:tcPr>
            <w:tcW w:w="1320" w:type="dxa"/>
            <w:vAlign w:val="bottom"/>
          </w:tcPr>
          <w:p>
            <w:pPr>
              <w:jc w:val="right"/>
              <w:ind w:right="215"/>
              <w:spacing w:after="0"/>
              <w:rPr>
                <w:sz w:val="20"/>
                <w:szCs w:val="20"/>
                <w:color w:val="auto"/>
              </w:rPr>
            </w:pPr>
            <w:r>
              <w:rPr>
                <w:rFonts w:ascii="Arial" w:cs="Arial" w:eastAsia="Arial" w:hAnsi="Arial"/>
                <w:sz w:val="32"/>
                <w:szCs w:val="32"/>
                <w:color w:val="auto"/>
              </w:rPr>
              <w:t>2009</w:t>
            </w:r>
          </w:p>
        </w:tc>
        <w:tc>
          <w:tcPr>
            <w:tcW w:w="1280" w:type="dxa"/>
            <w:vAlign w:val="bottom"/>
          </w:tcPr>
          <w:p>
            <w:pPr>
              <w:jc w:val="center"/>
              <w:spacing w:after="0"/>
              <w:rPr>
                <w:sz w:val="20"/>
                <w:szCs w:val="20"/>
                <w:color w:val="auto"/>
              </w:rPr>
            </w:pPr>
            <w:r>
              <w:rPr>
                <w:rFonts w:ascii="Arial" w:cs="Arial" w:eastAsia="Arial" w:hAnsi="Arial"/>
                <w:sz w:val="32"/>
                <w:szCs w:val="32"/>
                <w:color w:val="auto"/>
                <w:w w:val="89"/>
              </w:rPr>
              <w:t>2010</w:t>
            </w:r>
          </w:p>
        </w:tc>
        <w:tc>
          <w:tcPr>
            <w:tcW w:w="1340" w:type="dxa"/>
            <w:vAlign w:val="bottom"/>
          </w:tcPr>
          <w:p>
            <w:pPr>
              <w:jc w:val="center"/>
              <w:spacing w:after="0"/>
              <w:rPr>
                <w:sz w:val="20"/>
                <w:szCs w:val="20"/>
                <w:color w:val="auto"/>
              </w:rPr>
            </w:pPr>
            <w:r>
              <w:rPr>
                <w:rFonts w:ascii="Arial" w:cs="Arial" w:eastAsia="Arial" w:hAnsi="Arial"/>
                <w:sz w:val="32"/>
                <w:szCs w:val="32"/>
                <w:color w:val="auto"/>
                <w:w w:val="87"/>
              </w:rPr>
              <w:t>2011</w:t>
            </w:r>
          </w:p>
        </w:tc>
        <w:tc>
          <w:tcPr>
            <w:tcW w:w="1200" w:type="dxa"/>
            <w:vAlign w:val="bottom"/>
          </w:tcPr>
          <w:p>
            <w:pPr>
              <w:jc w:val="center"/>
              <w:spacing w:after="0"/>
              <w:rPr>
                <w:sz w:val="20"/>
                <w:szCs w:val="20"/>
                <w:color w:val="auto"/>
              </w:rPr>
            </w:pPr>
            <w:r>
              <w:rPr>
                <w:rFonts w:ascii="Arial" w:cs="Arial" w:eastAsia="Arial" w:hAnsi="Arial"/>
                <w:sz w:val="32"/>
                <w:szCs w:val="32"/>
                <w:b w:val="1"/>
                <w:bCs w:val="1"/>
                <w:color w:val="auto"/>
                <w:w w:val="89"/>
              </w:rPr>
              <w:t>2012</w:t>
            </w:r>
          </w:p>
        </w:tc>
      </w:tr>
      <w:tr>
        <w:trPr>
          <w:trHeight w:val="766"/>
        </w:trPr>
        <w:tc>
          <w:tcPr>
            <w:tcW w:w="1100" w:type="dxa"/>
            <w:vAlign w:val="bottom"/>
          </w:tcPr>
          <w:p>
            <w:pPr>
              <w:spacing w:after="0"/>
              <w:rPr>
                <w:sz w:val="20"/>
                <w:szCs w:val="20"/>
                <w:color w:val="auto"/>
              </w:rPr>
            </w:pPr>
            <w:r>
              <w:rPr>
                <w:rFonts w:ascii="Arial" w:cs="Arial" w:eastAsia="Arial" w:hAnsi="Arial"/>
                <w:sz w:val="28"/>
                <w:szCs w:val="28"/>
                <w:color w:val="auto"/>
              </w:rPr>
              <w:t>$98.6M</w:t>
            </w:r>
          </w:p>
        </w:tc>
        <w:tc>
          <w:tcPr>
            <w:tcW w:w="1320" w:type="dxa"/>
            <w:vAlign w:val="bottom"/>
          </w:tcPr>
          <w:p>
            <w:pPr>
              <w:jc w:val="center"/>
              <w:spacing w:after="0"/>
              <w:rPr>
                <w:sz w:val="20"/>
                <w:szCs w:val="20"/>
                <w:color w:val="auto"/>
              </w:rPr>
            </w:pPr>
            <w:r>
              <w:rPr>
                <w:rFonts w:ascii="Arial" w:cs="Arial" w:eastAsia="Arial" w:hAnsi="Arial"/>
                <w:sz w:val="28"/>
                <w:szCs w:val="28"/>
                <w:color w:val="auto"/>
                <w:w w:val="94"/>
              </w:rPr>
              <w:t>$90.0M</w:t>
            </w:r>
          </w:p>
        </w:tc>
        <w:tc>
          <w:tcPr>
            <w:tcW w:w="1280" w:type="dxa"/>
            <w:vAlign w:val="bottom"/>
          </w:tcPr>
          <w:p>
            <w:pPr>
              <w:jc w:val="center"/>
              <w:spacing w:after="0"/>
              <w:rPr>
                <w:sz w:val="20"/>
                <w:szCs w:val="20"/>
                <w:color w:val="auto"/>
              </w:rPr>
            </w:pPr>
            <w:r>
              <w:rPr>
                <w:rFonts w:ascii="Arial" w:cs="Arial" w:eastAsia="Arial" w:hAnsi="Arial"/>
                <w:sz w:val="28"/>
                <w:szCs w:val="28"/>
                <w:color w:val="auto"/>
                <w:w w:val="94"/>
              </w:rPr>
              <w:t>$92.9M</w:t>
            </w:r>
          </w:p>
        </w:tc>
        <w:tc>
          <w:tcPr>
            <w:tcW w:w="1340" w:type="dxa"/>
            <w:vAlign w:val="bottom"/>
          </w:tcPr>
          <w:p>
            <w:pPr>
              <w:jc w:val="center"/>
              <w:spacing w:after="0"/>
              <w:rPr>
                <w:sz w:val="20"/>
                <w:szCs w:val="20"/>
                <w:color w:val="auto"/>
              </w:rPr>
            </w:pPr>
            <w:r>
              <w:rPr>
                <w:rFonts w:ascii="Arial" w:cs="Arial" w:eastAsia="Arial" w:hAnsi="Arial"/>
                <w:sz w:val="28"/>
                <w:szCs w:val="28"/>
                <w:color w:val="auto"/>
                <w:w w:val="93"/>
              </w:rPr>
              <w:t>$104.2M</w:t>
            </w:r>
          </w:p>
        </w:tc>
        <w:tc>
          <w:tcPr>
            <w:tcW w:w="1200" w:type="dxa"/>
            <w:vAlign w:val="bottom"/>
          </w:tcPr>
          <w:p>
            <w:pPr>
              <w:jc w:val="center"/>
              <w:spacing w:after="0"/>
              <w:rPr>
                <w:sz w:val="20"/>
                <w:szCs w:val="20"/>
                <w:color w:val="auto"/>
              </w:rPr>
            </w:pPr>
            <w:r>
              <w:rPr>
                <w:rFonts w:ascii="Arial" w:cs="Arial" w:eastAsia="Arial" w:hAnsi="Arial"/>
                <w:sz w:val="28"/>
                <w:szCs w:val="28"/>
                <w:b w:val="1"/>
                <w:bCs w:val="1"/>
                <w:color w:val="auto"/>
                <w:w w:val="97"/>
              </w:rPr>
              <w:t>$104.2M</w:t>
            </w:r>
          </w:p>
        </w:tc>
      </w:tr>
      <w:tr>
        <w:trPr>
          <w:trHeight w:val="858"/>
        </w:trPr>
        <w:tc>
          <w:tcPr>
            <w:tcW w:w="1100" w:type="dxa"/>
            <w:vAlign w:val="bottom"/>
          </w:tcPr>
          <w:p>
            <w:pPr>
              <w:spacing w:after="0"/>
              <w:rPr>
                <w:sz w:val="20"/>
                <w:szCs w:val="20"/>
                <w:color w:val="auto"/>
              </w:rPr>
            </w:pPr>
            <w:r>
              <w:rPr>
                <w:rFonts w:ascii="Arial" w:cs="Arial" w:eastAsia="Arial" w:hAnsi="Arial"/>
                <w:sz w:val="28"/>
                <w:szCs w:val="28"/>
                <w:color w:val="auto"/>
              </w:rPr>
              <w:t>$38.7M</w:t>
            </w:r>
          </w:p>
        </w:tc>
        <w:tc>
          <w:tcPr>
            <w:tcW w:w="1320" w:type="dxa"/>
            <w:vAlign w:val="bottom"/>
          </w:tcPr>
          <w:p>
            <w:pPr>
              <w:jc w:val="center"/>
              <w:spacing w:after="0"/>
              <w:rPr>
                <w:sz w:val="20"/>
                <w:szCs w:val="20"/>
                <w:color w:val="auto"/>
              </w:rPr>
            </w:pPr>
            <w:r>
              <w:rPr>
                <w:rFonts w:ascii="Arial" w:cs="Arial" w:eastAsia="Arial" w:hAnsi="Arial"/>
                <w:sz w:val="28"/>
                <w:szCs w:val="28"/>
                <w:color w:val="auto"/>
                <w:w w:val="95"/>
              </w:rPr>
              <w:t>$3.5M</w:t>
            </w:r>
          </w:p>
        </w:tc>
        <w:tc>
          <w:tcPr>
            <w:tcW w:w="1280" w:type="dxa"/>
            <w:vAlign w:val="bottom"/>
          </w:tcPr>
          <w:p>
            <w:pPr>
              <w:jc w:val="center"/>
              <w:spacing w:after="0"/>
              <w:rPr>
                <w:sz w:val="20"/>
                <w:szCs w:val="20"/>
                <w:color w:val="auto"/>
              </w:rPr>
            </w:pPr>
            <w:r>
              <w:rPr>
                <w:rFonts w:ascii="Arial" w:cs="Arial" w:eastAsia="Arial" w:hAnsi="Arial"/>
                <w:sz w:val="28"/>
                <w:szCs w:val="28"/>
                <w:color w:val="auto"/>
                <w:w w:val="89"/>
              </w:rPr>
              <w:t>$0</w:t>
            </w:r>
          </w:p>
        </w:tc>
        <w:tc>
          <w:tcPr>
            <w:tcW w:w="1340" w:type="dxa"/>
            <w:vAlign w:val="bottom"/>
          </w:tcPr>
          <w:p>
            <w:pPr>
              <w:jc w:val="center"/>
              <w:spacing w:after="0"/>
              <w:rPr>
                <w:sz w:val="20"/>
                <w:szCs w:val="20"/>
                <w:color w:val="auto"/>
              </w:rPr>
            </w:pPr>
            <w:r>
              <w:rPr>
                <w:rFonts w:ascii="Arial" w:cs="Arial" w:eastAsia="Arial" w:hAnsi="Arial"/>
                <w:sz w:val="28"/>
                <w:szCs w:val="28"/>
                <w:color w:val="auto"/>
                <w:w w:val="89"/>
              </w:rPr>
              <w:t>$0</w:t>
            </w:r>
          </w:p>
        </w:tc>
        <w:tc>
          <w:tcPr>
            <w:tcW w:w="1200" w:type="dxa"/>
            <w:vAlign w:val="bottom"/>
          </w:tcPr>
          <w:p>
            <w:pPr>
              <w:jc w:val="center"/>
              <w:spacing w:after="0"/>
              <w:rPr>
                <w:sz w:val="20"/>
                <w:szCs w:val="20"/>
                <w:color w:val="auto"/>
              </w:rPr>
            </w:pPr>
            <w:r>
              <w:rPr>
                <w:rFonts w:ascii="Arial" w:cs="Arial" w:eastAsia="Arial" w:hAnsi="Arial"/>
                <w:sz w:val="28"/>
                <w:szCs w:val="28"/>
                <w:b w:val="1"/>
                <w:bCs w:val="1"/>
                <w:color w:val="auto"/>
                <w:w w:val="96"/>
              </w:rPr>
              <w:t>$0</w:t>
            </w:r>
          </w:p>
        </w:tc>
      </w:tr>
      <w:tr>
        <w:trPr>
          <w:trHeight w:val="823"/>
        </w:trPr>
        <w:tc>
          <w:tcPr>
            <w:tcW w:w="1100" w:type="dxa"/>
            <w:vAlign w:val="bottom"/>
          </w:tcPr>
          <w:p>
            <w:pPr>
              <w:jc w:val="right"/>
              <w:ind w:right="275"/>
              <w:spacing w:after="0"/>
              <w:rPr>
                <w:sz w:val="20"/>
                <w:szCs w:val="20"/>
                <w:color w:val="auto"/>
              </w:rPr>
            </w:pPr>
            <w:r>
              <w:rPr>
                <w:rFonts w:ascii="Arial" w:cs="Arial" w:eastAsia="Arial" w:hAnsi="Arial"/>
                <w:sz w:val="28"/>
                <w:szCs w:val="28"/>
                <w:color w:val="auto"/>
              </w:rPr>
              <w:t>$5.0</w:t>
            </w:r>
          </w:p>
        </w:tc>
        <w:tc>
          <w:tcPr>
            <w:tcW w:w="1320" w:type="dxa"/>
            <w:vAlign w:val="bottom"/>
          </w:tcPr>
          <w:p>
            <w:pPr>
              <w:jc w:val="right"/>
              <w:ind w:right="295"/>
              <w:spacing w:after="0"/>
              <w:rPr>
                <w:sz w:val="20"/>
                <w:szCs w:val="20"/>
                <w:color w:val="auto"/>
              </w:rPr>
            </w:pPr>
            <w:r>
              <w:rPr>
                <w:rFonts w:ascii="Arial" w:cs="Arial" w:eastAsia="Arial" w:hAnsi="Arial"/>
                <w:sz w:val="28"/>
                <w:szCs w:val="28"/>
                <w:color w:val="auto"/>
              </w:rPr>
              <w:t>$4.3</w:t>
            </w:r>
          </w:p>
        </w:tc>
        <w:tc>
          <w:tcPr>
            <w:tcW w:w="1280" w:type="dxa"/>
            <w:vAlign w:val="bottom"/>
          </w:tcPr>
          <w:p>
            <w:pPr>
              <w:jc w:val="center"/>
              <w:spacing w:after="0"/>
              <w:rPr>
                <w:sz w:val="20"/>
                <w:szCs w:val="20"/>
                <w:color w:val="auto"/>
              </w:rPr>
            </w:pPr>
            <w:r>
              <w:rPr>
                <w:rFonts w:ascii="Arial" w:cs="Arial" w:eastAsia="Arial" w:hAnsi="Arial"/>
                <w:sz w:val="28"/>
                <w:szCs w:val="28"/>
                <w:color w:val="auto"/>
                <w:w w:val="95"/>
              </w:rPr>
              <w:t>$4.1M</w:t>
            </w:r>
          </w:p>
        </w:tc>
        <w:tc>
          <w:tcPr>
            <w:tcW w:w="1340" w:type="dxa"/>
            <w:vAlign w:val="bottom"/>
          </w:tcPr>
          <w:p>
            <w:pPr>
              <w:jc w:val="center"/>
              <w:spacing w:after="0"/>
              <w:rPr>
                <w:sz w:val="20"/>
                <w:szCs w:val="20"/>
                <w:color w:val="auto"/>
              </w:rPr>
            </w:pPr>
            <w:r>
              <w:rPr>
                <w:rFonts w:ascii="Arial" w:cs="Arial" w:eastAsia="Arial" w:hAnsi="Arial"/>
                <w:sz w:val="28"/>
                <w:szCs w:val="28"/>
                <w:color w:val="auto"/>
                <w:w w:val="94"/>
              </w:rPr>
              <w:t>$10.4M</w:t>
            </w:r>
          </w:p>
        </w:tc>
        <w:tc>
          <w:tcPr>
            <w:tcW w:w="1200" w:type="dxa"/>
            <w:vAlign w:val="bottom"/>
          </w:tcPr>
          <w:p>
            <w:pPr>
              <w:jc w:val="center"/>
              <w:spacing w:after="0"/>
              <w:rPr>
                <w:sz w:val="20"/>
                <w:szCs w:val="20"/>
                <w:color w:val="auto"/>
              </w:rPr>
            </w:pPr>
            <w:r>
              <w:rPr>
                <w:rFonts w:ascii="Arial" w:cs="Arial" w:eastAsia="Arial" w:hAnsi="Arial"/>
                <w:sz w:val="28"/>
                <w:szCs w:val="28"/>
                <w:b w:val="1"/>
                <w:bCs w:val="1"/>
                <w:color w:val="auto"/>
              </w:rPr>
              <w:t>$8.2M</w:t>
            </w:r>
          </w:p>
        </w:tc>
      </w:tr>
      <w:tr>
        <w:trPr>
          <w:trHeight w:val="917"/>
        </w:trPr>
        <w:tc>
          <w:tcPr>
            <w:tcW w:w="1100" w:type="dxa"/>
            <w:vAlign w:val="bottom"/>
          </w:tcPr>
          <w:p>
            <w:pPr>
              <w:spacing w:after="0"/>
              <w:rPr>
                <w:sz w:val="20"/>
                <w:szCs w:val="20"/>
                <w:color w:val="auto"/>
              </w:rPr>
            </w:pPr>
            <w:r>
              <w:rPr>
                <w:rFonts w:ascii="Arial" w:cs="Arial" w:eastAsia="Arial" w:hAnsi="Arial"/>
                <w:sz w:val="28"/>
                <w:szCs w:val="28"/>
                <w:color w:val="auto"/>
              </w:rPr>
              <w:t>$12.5M</w:t>
            </w:r>
          </w:p>
        </w:tc>
        <w:tc>
          <w:tcPr>
            <w:tcW w:w="1320" w:type="dxa"/>
            <w:vAlign w:val="bottom"/>
          </w:tcPr>
          <w:p>
            <w:pPr>
              <w:jc w:val="center"/>
              <w:spacing w:after="0"/>
              <w:rPr>
                <w:sz w:val="20"/>
                <w:szCs w:val="20"/>
                <w:color w:val="auto"/>
              </w:rPr>
            </w:pPr>
            <w:r>
              <w:rPr>
                <w:rFonts w:ascii="Arial" w:cs="Arial" w:eastAsia="Arial" w:hAnsi="Arial"/>
                <w:sz w:val="28"/>
                <w:szCs w:val="28"/>
                <w:color w:val="auto"/>
                <w:w w:val="95"/>
              </w:rPr>
              <w:t>$7.6M</w:t>
            </w:r>
          </w:p>
        </w:tc>
        <w:tc>
          <w:tcPr>
            <w:tcW w:w="1280" w:type="dxa"/>
            <w:vAlign w:val="bottom"/>
          </w:tcPr>
          <w:p>
            <w:pPr>
              <w:jc w:val="center"/>
              <w:spacing w:after="0"/>
              <w:rPr>
                <w:sz w:val="20"/>
                <w:szCs w:val="20"/>
                <w:color w:val="auto"/>
              </w:rPr>
            </w:pPr>
            <w:r>
              <w:rPr>
                <w:rFonts w:ascii="Arial" w:cs="Arial" w:eastAsia="Arial" w:hAnsi="Arial"/>
                <w:sz w:val="28"/>
                <w:szCs w:val="28"/>
                <w:color w:val="auto"/>
                <w:w w:val="89"/>
              </w:rPr>
              <w:t>$0</w:t>
            </w:r>
          </w:p>
        </w:tc>
        <w:tc>
          <w:tcPr>
            <w:tcW w:w="1340" w:type="dxa"/>
            <w:vAlign w:val="bottom"/>
          </w:tcPr>
          <w:p>
            <w:pPr>
              <w:jc w:val="center"/>
              <w:spacing w:after="0"/>
              <w:rPr>
                <w:sz w:val="20"/>
                <w:szCs w:val="20"/>
                <w:color w:val="auto"/>
              </w:rPr>
            </w:pPr>
            <w:r>
              <w:rPr>
                <w:rFonts w:ascii="Arial" w:cs="Arial" w:eastAsia="Arial" w:hAnsi="Arial"/>
                <w:sz w:val="28"/>
                <w:szCs w:val="28"/>
                <w:color w:val="auto"/>
                <w:w w:val="89"/>
              </w:rPr>
              <w:t>$0</w:t>
            </w:r>
          </w:p>
        </w:tc>
        <w:tc>
          <w:tcPr>
            <w:tcW w:w="1200" w:type="dxa"/>
            <w:vAlign w:val="bottom"/>
          </w:tcPr>
          <w:p>
            <w:pPr>
              <w:jc w:val="center"/>
              <w:spacing w:after="0"/>
              <w:rPr>
                <w:sz w:val="20"/>
                <w:szCs w:val="20"/>
                <w:color w:val="auto"/>
              </w:rPr>
            </w:pPr>
            <w:r>
              <w:rPr>
                <w:rFonts w:ascii="Arial" w:cs="Arial" w:eastAsia="Arial" w:hAnsi="Arial"/>
                <w:sz w:val="28"/>
                <w:szCs w:val="28"/>
                <w:b w:val="1"/>
                <w:bCs w:val="1"/>
                <w:color w:val="auto"/>
                <w:w w:val="96"/>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36</w:t>
      </w:r>
    </w:p>
    <w:p>
      <w:pPr>
        <w:sectPr>
          <w:pgSz w:w="11900" w:h="16838" w:orient="portrait"/>
          <w:cols w:equalWidth="0" w:num="1">
            <w:col w:w="9960"/>
          </w:cols>
          <w:pgMar w:left="1040" w:top="1052" w:right="899" w:bottom="1440" w:gutter="0" w:footer="0" w:header="0"/>
        </w:sectPr>
      </w:pPr>
    </w:p>
    <w:bookmarkStart w:id="39" w:name="page40"/>
    <w:bookmarkEnd w:id="39"/>
    <w:p>
      <w:pPr>
        <w:spacing w:after="0"/>
        <w:rPr>
          <w:sz w:val="20"/>
          <w:szCs w:val="20"/>
          <w:color w:val="auto"/>
        </w:rPr>
      </w:pPr>
      <w:r>
        <w:rPr>
          <w:rFonts w:ascii="Arial" w:cs="Arial" w:eastAsia="Arial" w:hAnsi="Arial"/>
          <w:sz w:val="58"/>
          <w:szCs w:val="58"/>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Cash Flow and Capital Expenditures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420" w:type="dxa"/>
        <w:tblCellMar>
          <w:top w:w="0" w:type="dxa"/>
          <w:left w:w="0" w:type="dxa"/>
          <w:bottom w:w="0" w:type="dxa"/>
          <w:right w:w="0" w:type="dxa"/>
        </w:tblCellMar>
      </w:tblPr>
      <w:tr>
        <w:trPr>
          <w:trHeight w:val="250"/>
        </w:trPr>
        <w:tc>
          <w:tcPr>
            <w:tcW w:w="1980" w:type="dxa"/>
            <w:vAlign w:val="bottom"/>
          </w:tcPr>
          <w:p>
            <w:pPr>
              <w:spacing w:after="0"/>
              <w:rPr>
                <w:sz w:val="21"/>
                <w:szCs w:val="21"/>
                <w:color w:val="auto"/>
              </w:rPr>
            </w:pPr>
          </w:p>
        </w:tc>
        <w:tc>
          <w:tcPr>
            <w:tcW w:w="3220" w:type="dxa"/>
            <w:vAlign w:val="bottom"/>
            <w:gridSpan w:val="2"/>
          </w:tcPr>
          <w:p>
            <w:pPr>
              <w:jc w:val="right"/>
              <w:ind w:right="806"/>
              <w:spacing w:after="0"/>
              <w:rPr>
                <w:sz w:val="20"/>
                <w:szCs w:val="20"/>
                <w:color w:val="auto"/>
              </w:rPr>
            </w:pPr>
            <w:r>
              <w:rPr>
                <w:rFonts w:ascii="Arial" w:cs="Arial" w:eastAsia="Arial" w:hAnsi="Arial"/>
                <w:sz w:val="19"/>
                <w:szCs w:val="19"/>
                <w:b w:val="1"/>
                <w:bCs w:val="1"/>
                <w:color w:val="666699"/>
              </w:rPr>
              <w:t>($ mm)</w:t>
            </w:r>
          </w:p>
        </w:tc>
        <w:tc>
          <w:tcPr>
            <w:tcW w:w="1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7"/>
        </w:trPr>
        <w:tc>
          <w:tcPr>
            <w:tcW w:w="1980" w:type="dxa"/>
            <w:vAlign w:val="bottom"/>
          </w:tcPr>
          <w:p>
            <w:pPr>
              <w:spacing w:after="0"/>
              <w:rPr>
                <w:sz w:val="20"/>
                <w:szCs w:val="20"/>
                <w:color w:val="auto"/>
              </w:rPr>
            </w:pPr>
            <w:r>
              <w:rPr>
                <w:rFonts w:ascii="Arial" w:cs="Arial" w:eastAsia="Arial" w:hAnsi="Arial"/>
                <w:sz w:val="19"/>
                <w:szCs w:val="19"/>
                <w:b w:val="1"/>
                <w:bCs w:val="1"/>
                <w:color w:val="666699"/>
              </w:rPr>
              <w:t>$40</w:t>
            </w:r>
          </w:p>
        </w:tc>
        <w:tc>
          <w:tcPr>
            <w:tcW w:w="1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9"/>
                <w:szCs w:val="19"/>
                <w:b w:val="1"/>
                <w:bCs w:val="1"/>
                <w:color w:val="666699"/>
              </w:rPr>
              <w:t>$40</w:t>
            </w:r>
          </w:p>
        </w:tc>
        <w:tc>
          <w:tcPr>
            <w:tcW w:w="0" w:type="dxa"/>
            <w:vAlign w:val="bottom"/>
          </w:tcPr>
          <w:p>
            <w:pPr>
              <w:spacing w:after="0"/>
              <w:rPr>
                <w:sz w:val="1"/>
                <w:szCs w:val="1"/>
                <w:color w:val="auto"/>
              </w:rPr>
            </w:pPr>
          </w:p>
        </w:tc>
      </w:tr>
      <w:tr>
        <w:trPr>
          <w:trHeight w:val="376"/>
        </w:trPr>
        <w:tc>
          <w:tcPr>
            <w:tcW w:w="1980" w:type="dxa"/>
            <w:vAlign w:val="bottom"/>
          </w:tcPr>
          <w:p>
            <w:pPr>
              <w:spacing w:after="0"/>
              <w:rPr>
                <w:sz w:val="24"/>
                <w:szCs w:val="24"/>
                <w:color w:val="auto"/>
              </w:rPr>
            </w:pPr>
          </w:p>
        </w:tc>
        <w:tc>
          <w:tcPr>
            <w:tcW w:w="1940" w:type="dxa"/>
            <w:vAlign w:val="bottom"/>
            <w:vMerge w:val="restart"/>
          </w:tcPr>
          <w:p>
            <w:pPr>
              <w:jc w:val="right"/>
              <w:ind w:right="866"/>
              <w:spacing w:after="0"/>
              <w:rPr>
                <w:sz w:val="20"/>
                <w:szCs w:val="20"/>
                <w:color w:val="auto"/>
              </w:rPr>
            </w:pPr>
            <w:r>
              <w:rPr>
                <w:rFonts w:ascii="Arial" w:cs="Arial" w:eastAsia="Arial" w:hAnsi="Arial"/>
                <w:sz w:val="19"/>
                <w:szCs w:val="19"/>
                <w:b w:val="1"/>
                <w:bCs w:val="1"/>
                <w:color w:val="auto"/>
              </w:rPr>
              <w:t>$30.8</w:t>
            </w: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jc w:val="right"/>
              <w:ind w:right="86"/>
              <w:spacing w:after="0"/>
              <w:rPr>
                <w:sz w:val="20"/>
                <w:szCs w:val="20"/>
                <w:color w:val="auto"/>
              </w:rPr>
            </w:pPr>
            <w:r>
              <w:rPr>
                <w:rFonts w:ascii="Arial" w:cs="Arial" w:eastAsia="Arial" w:hAnsi="Arial"/>
                <w:sz w:val="19"/>
                <w:szCs w:val="19"/>
                <w:b w:val="1"/>
                <w:bCs w:val="1"/>
                <w:color w:val="auto"/>
              </w:rPr>
              <w:t>$32.4</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980" w:type="dxa"/>
            <w:vAlign w:val="bottom"/>
            <w:vMerge w:val="restart"/>
          </w:tcPr>
          <w:p>
            <w:pPr>
              <w:ind w:left="20"/>
              <w:spacing w:after="0"/>
              <w:rPr>
                <w:sz w:val="20"/>
                <w:szCs w:val="20"/>
                <w:color w:val="auto"/>
              </w:rPr>
            </w:pPr>
            <w:r>
              <w:rPr>
                <w:rFonts w:ascii="Arial" w:cs="Arial" w:eastAsia="Arial" w:hAnsi="Arial"/>
                <w:sz w:val="19"/>
                <w:szCs w:val="19"/>
                <w:b w:val="1"/>
                <w:bCs w:val="1"/>
                <w:color w:val="666699"/>
              </w:rPr>
              <w:t>$30</w:t>
            </w:r>
          </w:p>
        </w:tc>
        <w:tc>
          <w:tcPr>
            <w:tcW w:w="1940" w:type="dxa"/>
            <w:vAlign w:val="bottom"/>
            <w:vMerge w:val="continue"/>
          </w:tcPr>
          <w:p>
            <w:pPr>
              <w:spacing w:after="0"/>
              <w:rPr>
                <w:sz w:val="22"/>
                <w:szCs w:val="22"/>
                <w:color w:val="auto"/>
              </w:rPr>
            </w:pPr>
          </w:p>
        </w:tc>
        <w:tc>
          <w:tcPr>
            <w:tcW w:w="1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00" w:type="dxa"/>
            <w:vAlign w:val="bottom"/>
          </w:tcPr>
          <w:p>
            <w:pPr>
              <w:ind w:left="480"/>
              <w:spacing w:after="0"/>
              <w:rPr>
                <w:sz w:val="20"/>
                <w:szCs w:val="20"/>
                <w:color w:val="auto"/>
              </w:rPr>
            </w:pPr>
            <w:r>
              <w:rPr>
                <w:rFonts w:ascii="Arial" w:cs="Arial" w:eastAsia="Arial" w:hAnsi="Arial"/>
                <w:sz w:val="19"/>
                <w:szCs w:val="19"/>
                <w:b w:val="1"/>
                <w:bCs w:val="1"/>
                <w:color w:val="auto"/>
              </w:rPr>
              <w:t>$29.9</w:t>
            </w:r>
          </w:p>
        </w:tc>
        <w:tc>
          <w:tcPr>
            <w:tcW w:w="500" w:type="dxa"/>
            <w:vAlign w:val="bottom"/>
            <w:vMerge w:val="restart"/>
          </w:tcPr>
          <w:p>
            <w:pPr>
              <w:jc w:val="right"/>
              <w:spacing w:after="0"/>
              <w:rPr>
                <w:sz w:val="20"/>
                <w:szCs w:val="20"/>
                <w:color w:val="auto"/>
              </w:rPr>
            </w:pPr>
            <w:r>
              <w:rPr>
                <w:rFonts w:ascii="Arial" w:cs="Arial" w:eastAsia="Arial" w:hAnsi="Arial"/>
                <w:sz w:val="19"/>
                <w:szCs w:val="19"/>
                <w:b w:val="1"/>
                <w:bCs w:val="1"/>
                <w:color w:val="666699"/>
              </w:rPr>
              <w:t>$30</w:t>
            </w:r>
          </w:p>
        </w:tc>
        <w:tc>
          <w:tcPr>
            <w:tcW w:w="0" w:type="dxa"/>
            <w:vAlign w:val="bottom"/>
          </w:tcPr>
          <w:p>
            <w:pPr>
              <w:spacing w:after="0"/>
              <w:rPr>
                <w:sz w:val="1"/>
                <w:szCs w:val="1"/>
                <w:color w:val="auto"/>
              </w:rPr>
            </w:pPr>
          </w:p>
        </w:tc>
      </w:tr>
      <w:tr>
        <w:trPr>
          <w:trHeight w:val="94"/>
        </w:trPr>
        <w:tc>
          <w:tcPr>
            <w:tcW w:w="1980" w:type="dxa"/>
            <w:vAlign w:val="bottom"/>
            <w:vMerge w:val="continue"/>
          </w:tcPr>
          <w:p>
            <w:pPr>
              <w:spacing w:after="0"/>
              <w:rPr>
                <w:sz w:val="8"/>
                <w:szCs w:val="8"/>
                <w:color w:val="auto"/>
              </w:rPr>
            </w:pPr>
          </w:p>
        </w:tc>
        <w:tc>
          <w:tcPr>
            <w:tcW w:w="19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6"/>
        </w:trPr>
        <w:tc>
          <w:tcPr>
            <w:tcW w:w="1980" w:type="dxa"/>
            <w:vAlign w:val="bottom"/>
          </w:tcPr>
          <w:p>
            <w:pPr>
              <w:jc w:val="center"/>
              <w:ind w:left="386"/>
              <w:spacing w:after="0"/>
              <w:rPr>
                <w:sz w:val="20"/>
                <w:szCs w:val="20"/>
                <w:color w:val="auto"/>
              </w:rPr>
            </w:pPr>
            <w:r>
              <w:rPr>
                <w:rFonts w:ascii="Arial" w:cs="Arial" w:eastAsia="Arial" w:hAnsi="Arial"/>
                <w:sz w:val="19"/>
                <w:szCs w:val="19"/>
                <w:b w:val="1"/>
                <w:bCs w:val="1"/>
                <w:color w:val="auto"/>
                <w:w w:val="96"/>
              </w:rPr>
              <w:t>$23.2</w:t>
            </w:r>
          </w:p>
        </w:tc>
        <w:tc>
          <w:tcPr>
            <w:tcW w:w="1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ind w:left="240"/>
              <w:spacing w:after="0"/>
              <w:rPr>
                <w:sz w:val="20"/>
                <w:szCs w:val="20"/>
                <w:color w:val="auto"/>
              </w:rPr>
            </w:pPr>
            <w:r>
              <w:rPr>
                <w:rFonts w:ascii="Arial" w:cs="Arial" w:eastAsia="Arial" w:hAnsi="Arial"/>
                <w:sz w:val="19"/>
                <w:szCs w:val="19"/>
                <w:b w:val="1"/>
                <w:bCs w:val="1"/>
                <w:color w:val="auto"/>
              </w:rPr>
              <w:t>$23.4</w:t>
            </w: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1980" w:type="dxa"/>
            <w:vAlign w:val="bottom"/>
          </w:tcPr>
          <w:p>
            <w:pPr>
              <w:spacing w:after="0"/>
              <w:rPr>
                <w:sz w:val="20"/>
                <w:szCs w:val="20"/>
                <w:color w:val="auto"/>
              </w:rPr>
            </w:pPr>
            <w:r>
              <w:rPr>
                <w:rFonts w:ascii="Arial" w:cs="Arial" w:eastAsia="Arial" w:hAnsi="Arial"/>
                <w:sz w:val="19"/>
                <w:szCs w:val="19"/>
                <w:b w:val="1"/>
                <w:bCs w:val="1"/>
                <w:color w:val="666699"/>
              </w:rPr>
              <w:t>$20</w:t>
            </w:r>
          </w:p>
        </w:tc>
        <w:tc>
          <w:tcPr>
            <w:tcW w:w="1940" w:type="dxa"/>
            <w:vAlign w:val="bottom"/>
          </w:tcPr>
          <w:p>
            <w:pPr>
              <w:spacing w:after="0"/>
              <w:rPr>
                <w:sz w:val="24"/>
                <w:szCs w:val="24"/>
                <w:color w:val="auto"/>
              </w:rPr>
            </w:pPr>
          </w:p>
        </w:tc>
        <w:tc>
          <w:tcPr>
            <w:tcW w:w="1280" w:type="dxa"/>
            <w:vAlign w:val="bottom"/>
          </w:tcPr>
          <w:p>
            <w:pPr>
              <w:jc w:val="right"/>
              <w:ind w:right="706"/>
              <w:spacing w:after="0"/>
              <w:rPr>
                <w:sz w:val="20"/>
                <w:szCs w:val="20"/>
                <w:color w:val="auto"/>
              </w:rPr>
            </w:pPr>
            <w:r>
              <w:rPr>
                <w:rFonts w:ascii="Arial" w:cs="Arial" w:eastAsia="Arial" w:hAnsi="Arial"/>
                <w:sz w:val="19"/>
                <w:szCs w:val="19"/>
                <w:b w:val="1"/>
                <w:bCs w:val="1"/>
                <w:color w:val="auto"/>
              </w:rPr>
              <w:t>$7.6</w:t>
            </w: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9"/>
                <w:szCs w:val="19"/>
                <w:b w:val="1"/>
                <w:bCs w:val="1"/>
                <w:color w:val="666699"/>
              </w:rPr>
              <w:t>$20</w:t>
            </w:r>
          </w:p>
        </w:tc>
        <w:tc>
          <w:tcPr>
            <w:tcW w:w="0" w:type="dxa"/>
            <w:vAlign w:val="bottom"/>
          </w:tcPr>
          <w:p>
            <w:pPr>
              <w:spacing w:after="0"/>
              <w:rPr>
                <w:sz w:val="1"/>
                <w:szCs w:val="1"/>
                <w:color w:val="auto"/>
              </w:rPr>
            </w:pPr>
          </w:p>
        </w:tc>
      </w:tr>
      <w:tr>
        <w:trPr>
          <w:trHeight w:val="306"/>
        </w:trPr>
        <w:tc>
          <w:tcPr>
            <w:tcW w:w="1980" w:type="dxa"/>
            <w:vAlign w:val="bottom"/>
            <w:vMerge w:val="restart"/>
          </w:tcPr>
          <w:p>
            <w:pPr>
              <w:jc w:val="center"/>
              <w:ind w:left="386"/>
              <w:spacing w:after="0"/>
              <w:rPr>
                <w:sz w:val="20"/>
                <w:szCs w:val="20"/>
                <w:color w:val="auto"/>
              </w:rPr>
            </w:pPr>
            <w:r>
              <w:rPr>
                <w:rFonts w:ascii="Arial" w:cs="Arial" w:eastAsia="Arial" w:hAnsi="Arial"/>
                <w:sz w:val="19"/>
                <w:szCs w:val="19"/>
                <w:b w:val="1"/>
                <w:bCs w:val="1"/>
                <w:color w:val="FFFFFF"/>
                <w:w w:val="96"/>
              </w:rPr>
              <w:t>$12.6</w:t>
            </w:r>
          </w:p>
        </w:tc>
        <w:tc>
          <w:tcPr>
            <w:tcW w:w="1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jc w:val="right"/>
              <w:ind w:right="386"/>
              <w:spacing w:after="0"/>
              <w:rPr>
                <w:sz w:val="20"/>
                <w:szCs w:val="20"/>
                <w:color w:val="auto"/>
              </w:rPr>
            </w:pPr>
            <w:r>
              <w:rPr>
                <w:rFonts w:ascii="Arial" w:cs="Arial" w:eastAsia="Arial" w:hAnsi="Arial"/>
                <w:sz w:val="19"/>
                <w:szCs w:val="19"/>
                <w:b w:val="1"/>
                <w:bCs w:val="1"/>
                <w:color w:val="FFFFFF"/>
              </w:rPr>
              <w:t>$18.0</w:t>
            </w: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1980" w:type="dxa"/>
            <w:vAlign w:val="bottom"/>
            <w:vMerge w:val="continue"/>
          </w:tcPr>
          <w:p>
            <w:pPr>
              <w:spacing w:after="0"/>
              <w:rPr>
                <w:sz w:val="6"/>
                <w:szCs w:val="6"/>
                <w:color w:val="auto"/>
              </w:rPr>
            </w:pPr>
          </w:p>
        </w:tc>
        <w:tc>
          <w:tcPr>
            <w:tcW w:w="19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3"/>
        </w:trPr>
        <w:tc>
          <w:tcPr>
            <w:tcW w:w="1980" w:type="dxa"/>
            <w:vAlign w:val="bottom"/>
          </w:tcPr>
          <w:p>
            <w:pPr>
              <w:spacing w:after="0"/>
              <w:rPr>
                <w:sz w:val="20"/>
                <w:szCs w:val="20"/>
                <w:color w:val="auto"/>
              </w:rPr>
            </w:pPr>
            <w:r>
              <w:rPr>
                <w:rFonts w:ascii="Arial" w:cs="Arial" w:eastAsia="Arial" w:hAnsi="Arial"/>
                <w:sz w:val="19"/>
                <w:szCs w:val="19"/>
                <w:b w:val="1"/>
                <w:bCs w:val="1"/>
                <w:color w:val="666699"/>
              </w:rPr>
              <w:t>$10</w:t>
            </w:r>
          </w:p>
        </w:tc>
        <w:tc>
          <w:tcPr>
            <w:tcW w:w="1940" w:type="dxa"/>
            <w:vAlign w:val="bottom"/>
            <w:vMerge w:val="restart"/>
          </w:tcPr>
          <w:p>
            <w:pPr>
              <w:jc w:val="right"/>
              <w:ind w:right="926"/>
              <w:spacing w:after="0"/>
              <w:rPr>
                <w:sz w:val="20"/>
                <w:szCs w:val="20"/>
                <w:color w:val="auto"/>
              </w:rPr>
            </w:pPr>
            <w:r>
              <w:rPr>
                <w:rFonts w:ascii="Arial" w:cs="Arial" w:eastAsia="Arial" w:hAnsi="Arial"/>
                <w:sz w:val="19"/>
                <w:szCs w:val="19"/>
                <w:b w:val="1"/>
                <w:bCs w:val="1"/>
                <w:color w:val="FFFFFF"/>
              </w:rPr>
              <w:t>$4.6</w:t>
            </w:r>
          </w:p>
        </w:tc>
        <w:tc>
          <w:tcPr>
            <w:tcW w:w="1280" w:type="dxa"/>
            <w:vAlign w:val="bottom"/>
            <w:vMerge w:val="restart"/>
          </w:tcPr>
          <w:p>
            <w:pPr>
              <w:jc w:val="right"/>
              <w:ind w:right="686"/>
              <w:spacing w:after="0"/>
              <w:rPr>
                <w:sz w:val="20"/>
                <w:szCs w:val="20"/>
                <w:color w:val="auto"/>
              </w:rPr>
            </w:pPr>
            <w:r>
              <w:rPr>
                <w:rFonts w:ascii="Arial" w:cs="Arial" w:eastAsia="Arial" w:hAnsi="Arial"/>
                <w:sz w:val="19"/>
                <w:szCs w:val="19"/>
                <w:b w:val="1"/>
                <w:bCs w:val="1"/>
                <w:color w:val="FFFFFF"/>
              </w:rPr>
              <w:t>$9.0</w:t>
            </w: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9"/>
                <w:szCs w:val="19"/>
                <w:b w:val="1"/>
                <w:bCs w:val="1"/>
                <w:color w:val="666699"/>
              </w:rPr>
              <w:t>$10</w:t>
            </w:r>
          </w:p>
        </w:tc>
        <w:tc>
          <w:tcPr>
            <w:tcW w:w="0" w:type="dxa"/>
            <w:vAlign w:val="bottom"/>
          </w:tcPr>
          <w:p>
            <w:pPr>
              <w:spacing w:after="0"/>
              <w:rPr>
                <w:sz w:val="1"/>
                <w:szCs w:val="1"/>
                <w:color w:val="auto"/>
              </w:rPr>
            </w:pPr>
          </w:p>
        </w:tc>
      </w:tr>
      <w:tr>
        <w:trPr>
          <w:trHeight w:val="212"/>
        </w:trPr>
        <w:tc>
          <w:tcPr>
            <w:tcW w:w="1980" w:type="dxa"/>
            <w:vAlign w:val="bottom"/>
          </w:tcPr>
          <w:p>
            <w:pPr>
              <w:spacing w:after="0"/>
              <w:rPr>
                <w:sz w:val="18"/>
                <w:szCs w:val="18"/>
                <w:color w:val="auto"/>
              </w:rPr>
            </w:pPr>
          </w:p>
        </w:tc>
        <w:tc>
          <w:tcPr>
            <w:tcW w:w="19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7"/>
        </w:trPr>
        <w:tc>
          <w:tcPr>
            <w:tcW w:w="1980" w:type="dxa"/>
            <w:vAlign w:val="bottom"/>
          </w:tcPr>
          <w:p>
            <w:pPr>
              <w:ind w:left="100"/>
              <w:spacing w:after="0"/>
              <w:rPr>
                <w:sz w:val="20"/>
                <w:szCs w:val="20"/>
                <w:color w:val="auto"/>
              </w:rPr>
            </w:pPr>
            <w:r>
              <w:rPr>
                <w:rFonts w:ascii="Arial" w:cs="Arial" w:eastAsia="Arial" w:hAnsi="Arial"/>
                <w:sz w:val="19"/>
                <w:szCs w:val="19"/>
                <w:b w:val="1"/>
                <w:bCs w:val="1"/>
                <w:color w:val="666699"/>
              </w:rPr>
              <w:t>$0</w:t>
            </w:r>
          </w:p>
        </w:tc>
        <w:tc>
          <w:tcPr>
            <w:tcW w:w="1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jc w:val="right"/>
              <w:ind w:right="6"/>
              <w:spacing w:after="0"/>
              <w:rPr>
                <w:sz w:val="20"/>
                <w:szCs w:val="20"/>
                <w:color w:val="auto"/>
              </w:rPr>
            </w:pPr>
            <w:r>
              <w:rPr>
                <w:rFonts w:ascii="Arial" w:cs="Arial" w:eastAsia="Arial" w:hAnsi="Arial"/>
                <w:sz w:val="19"/>
                <w:szCs w:val="19"/>
                <w:b w:val="1"/>
                <w:bCs w:val="1"/>
                <w:color w:val="666699"/>
              </w:rPr>
              <w:t>$0</w:t>
            </w:r>
          </w:p>
        </w:tc>
        <w:tc>
          <w:tcPr>
            <w:tcW w:w="0" w:type="dxa"/>
            <w:vAlign w:val="bottom"/>
          </w:tcPr>
          <w:p>
            <w:pPr>
              <w:spacing w:after="0"/>
              <w:rPr>
                <w:sz w:val="1"/>
                <w:szCs w:val="1"/>
                <w:color w:val="auto"/>
              </w:rPr>
            </w:pPr>
          </w:p>
        </w:tc>
      </w:tr>
      <w:tr>
        <w:trPr>
          <w:trHeight w:val="262"/>
        </w:trPr>
        <w:tc>
          <w:tcPr>
            <w:tcW w:w="1980" w:type="dxa"/>
            <w:vAlign w:val="bottom"/>
          </w:tcPr>
          <w:p>
            <w:pPr>
              <w:jc w:val="center"/>
              <w:ind w:left="386"/>
              <w:spacing w:after="0"/>
              <w:rPr>
                <w:sz w:val="20"/>
                <w:szCs w:val="20"/>
                <w:color w:val="auto"/>
              </w:rPr>
            </w:pPr>
            <w:r>
              <w:rPr>
                <w:rFonts w:ascii="Arial" w:cs="Arial" w:eastAsia="Arial" w:hAnsi="Arial"/>
                <w:sz w:val="19"/>
                <w:szCs w:val="19"/>
                <w:b w:val="1"/>
                <w:bCs w:val="1"/>
                <w:color w:val="666699"/>
                <w:w w:val="99"/>
              </w:rPr>
              <w:t>2008</w:t>
            </w:r>
          </w:p>
        </w:tc>
        <w:tc>
          <w:tcPr>
            <w:tcW w:w="1940" w:type="dxa"/>
            <w:vAlign w:val="bottom"/>
          </w:tcPr>
          <w:p>
            <w:pPr>
              <w:jc w:val="right"/>
              <w:ind w:right="926"/>
              <w:spacing w:after="0"/>
              <w:rPr>
                <w:sz w:val="20"/>
                <w:szCs w:val="20"/>
                <w:color w:val="auto"/>
              </w:rPr>
            </w:pPr>
            <w:r>
              <w:rPr>
                <w:rFonts w:ascii="Arial" w:cs="Arial" w:eastAsia="Arial" w:hAnsi="Arial"/>
                <w:sz w:val="19"/>
                <w:szCs w:val="19"/>
                <w:b w:val="1"/>
                <w:bCs w:val="1"/>
                <w:color w:val="666699"/>
              </w:rPr>
              <w:t>2009</w:t>
            </w:r>
          </w:p>
        </w:tc>
        <w:tc>
          <w:tcPr>
            <w:tcW w:w="1280" w:type="dxa"/>
            <w:vAlign w:val="bottom"/>
          </w:tcPr>
          <w:p>
            <w:pPr>
              <w:jc w:val="right"/>
              <w:ind w:right="706"/>
              <w:spacing w:after="0"/>
              <w:rPr>
                <w:sz w:val="20"/>
                <w:szCs w:val="20"/>
                <w:color w:val="auto"/>
              </w:rPr>
            </w:pPr>
            <w:r>
              <w:rPr>
                <w:rFonts w:ascii="Arial" w:cs="Arial" w:eastAsia="Arial" w:hAnsi="Arial"/>
                <w:sz w:val="19"/>
                <w:szCs w:val="19"/>
                <w:b w:val="1"/>
                <w:bCs w:val="1"/>
                <w:color w:val="666699"/>
              </w:rPr>
              <w:t>2010</w:t>
            </w:r>
          </w:p>
        </w:tc>
        <w:tc>
          <w:tcPr>
            <w:tcW w:w="1240" w:type="dxa"/>
            <w:vAlign w:val="bottom"/>
          </w:tcPr>
          <w:p>
            <w:pPr>
              <w:ind w:left="240"/>
              <w:spacing w:after="0"/>
              <w:rPr>
                <w:sz w:val="20"/>
                <w:szCs w:val="20"/>
                <w:color w:val="auto"/>
              </w:rPr>
            </w:pPr>
            <w:r>
              <w:rPr>
                <w:rFonts w:ascii="Arial" w:cs="Arial" w:eastAsia="Arial" w:hAnsi="Arial"/>
                <w:sz w:val="19"/>
                <w:szCs w:val="19"/>
                <w:b w:val="1"/>
                <w:bCs w:val="1"/>
                <w:color w:val="666699"/>
              </w:rPr>
              <w:t>2011</w:t>
            </w:r>
          </w:p>
        </w:tc>
        <w:tc>
          <w:tcPr>
            <w:tcW w:w="1400" w:type="dxa"/>
            <w:vAlign w:val="bottom"/>
          </w:tcPr>
          <w:p>
            <w:pPr>
              <w:ind w:left="480"/>
              <w:spacing w:after="0"/>
              <w:rPr>
                <w:sz w:val="20"/>
                <w:szCs w:val="20"/>
                <w:color w:val="auto"/>
              </w:rPr>
            </w:pPr>
            <w:r>
              <w:rPr>
                <w:rFonts w:ascii="Arial" w:cs="Arial" w:eastAsia="Arial" w:hAnsi="Arial"/>
                <w:sz w:val="19"/>
                <w:szCs w:val="19"/>
                <w:b w:val="1"/>
                <w:bCs w:val="1"/>
                <w:color w:val="666699"/>
              </w:rPr>
              <w:t>2012</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3"/>
        </w:trPr>
        <w:tc>
          <w:tcPr>
            <w:tcW w:w="198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9"/>
                <w:szCs w:val="19"/>
                <w:color w:val="auto"/>
              </w:rPr>
              <w:t>Cash Flow</w:t>
            </w:r>
          </w:p>
        </w:tc>
        <w:tc>
          <w:tcPr>
            <w:tcW w:w="1280" w:type="dxa"/>
            <w:vAlign w:val="bottom"/>
          </w:tcPr>
          <w:p>
            <w:pPr>
              <w:jc w:val="right"/>
              <w:ind w:right="166"/>
              <w:spacing w:after="0"/>
              <w:rPr>
                <w:sz w:val="20"/>
                <w:szCs w:val="20"/>
                <w:color w:val="auto"/>
              </w:rPr>
            </w:pPr>
            <w:r>
              <w:rPr>
                <w:rFonts w:ascii="Arial" w:cs="Arial" w:eastAsia="Arial" w:hAnsi="Arial"/>
                <w:sz w:val="19"/>
                <w:szCs w:val="19"/>
                <w:color w:val="auto"/>
              </w:rPr>
              <w:t>CAPEX</w:t>
            </w: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37</w:t>
      </w:r>
    </w:p>
    <w:p>
      <w:pPr>
        <w:sectPr>
          <w:pgSz w:w="11900" w:h="16838" w:orient="portrait"/>
          <w:cols w:equalWidth="0" w:num="1">
            <w:col w:w="10180"/>
          </w:cols>
          <w:pgMar w:left="820" w:top="1077" w:right="899" w:bottom="1440" w:gutter="0" w:footer="0" w:header="0"/>
        </w:sectPr>
      </w:pPr>
    </w:p>
    <w:bookmarkStart w:id="40" w:name="page41"/>
    <w:bookmarkEnd w:id="40"/>
    <w:p>
      <w:pPr>
        <w:ind w:left="340"/>
        <w:spacing w:after="0"/>
        <w:rPr>
          <w:sz w:val="20"/>
          <w:szCs w:val="20"/>
          <w:color w:val="auto"/>
        </w:rPr>
      </w:pPr>
      <w:r>
        <w:rPr>
          <w:rFonts w:ascii="Arial" w:cs="Arial" w:eastAsia="Arial" w:hAnsi="Arial"/>
          <w:sz w:val="57"/>
          <w:szCs w:val="57"/>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Why Invest in DXLG?</w:t>
      </w:r>
    </w:p>
    <w:p>
      <w:pPr>
        <w:sectPr>
          <w:pgSz w:w="11900" w:h="16838" w:orient="portrait"/>
          <w:cols w:equalWidth="0" w:num="1">
            <w:col w:w="10300"/>
          </w:cols>
          <w:pgMar w:left="700" w:top="1052"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40"/>
        <w:spacing w:after="0" w:line="321" w:lineRule="auto"/>
        <w:rPr>
          <w:sz w:val="20"/>
          <w:szCs w:val="20"/>
          <w:color w:val="auto"/>
        </w:rPr>
      </w:pPr>
      <w:r>
        <w:rPr>
          <w:rFonts w:ascii="Arial" w:cs="Arial" w:eastAsia="Arial" w:hAnsi="Arial"/>
          <w:sz w:val="26"/>
          <w:szCs w:val="26"/>
          <w:b w:val="1"/>
          <w:bCs w:val="1"/>
          <w:color w:val="auto"/>
        </w:rPr>
        <w:t>Accelerated conversion to DXL concept creates compelling investment opportunity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40"/>
        <w:spacing w:after="0" w:line="276" w:lineRule="auto"/>
        <w:rPr>
          <w:sz w:val="20"/>
          <w:szCs w:val="20"/>
          <w:color w:val="auto"/>
        </w:rPr>
      </w:pPr>
      <w:r>
        <w:rPr>
          <w:rFonts w:ascii="Arial" w:cs="Arial" w:eastAsia="Arial" w:hAnsi="Arial"/>
          <w:sz w:val="29"/>
          <w:szCs w:val="29"/>
          <w:b w:val="1"/>
          <w:bCs w:val="1"/>
          <w:color w:val="auto"/>
        </w:rPr>
        <w:t>Strong gross margins; Ability to greatly improve operating margins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460" w:hanging="693"/>
        <w:spacing w:after="0" w:line="360" w:lineRule="auto"/>
        <w:rPr>
          <w:sz w:val="20"/>
          <w:szCs w:val="20"/>
          <w:color w:val="auto"/>
        </w:rPr>
      </w:pPr>
      <w:r>
        <w:rPr>
          <w:rFonts w:ascii="Arial" w:cs="Arial" w:eastAsia="Arial" w:hAnsi="Arial"/>
          <w:sz w:val="26"/>
          <w:szCs w:val="26"/>
          <w:b w:val="1"/>
          <w:bCs w:val="1"/>
          <w:color w:val="auto"/>
        </w:rPr>
        <w:t>Significant market share/sales growth opportunity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760"/>
        <w:spacing w:after="0"/>
        <w:rPr>
          <w:sz w:val="20"/>
          <w:szCs w:val="20"/>
          <w:color w:val="auto"/>
        </w:rPr>
      </w:pPr>
      <w:r>
        <w:rPr>
          <w:rFonts w:ascii="Arial" w:cs="Arial" w:eastAsia="Arial" w:hAnsi="Arial"/>
          <w:sz w:val="27"/>
          <w:szCs w:val="27"/>
          <w:b w:val="1"/>
          <w:bCs w:val="1"/>
          <w:color w:val="auto"/>
        </w:rPr>
        <w:t>Leader in large and growing</w:t>
      </w:r>
    </w:p>
    <w:p>
      <w:pPr>
        <w:spacing w:after="0" w:line="73" w:lineRule="exact"/>
        <w:rPr>
          <w:sz w:val="20"/>
          <w:szCs w:val="20"/>
          <w:color w:val="auto"/>
        </w:rPr>
      </w:pPr>
    </w:p>
    <w:p>
      <w:pPr>
        <w:jc w:val="center"/>
        <w:ind w:right="1700"/>
        <w:spacing w:after="0"/>
        <w:rPr>
          <w:sz w:val="20"/>
          <w:szCs w:val="20"/>
          <w:color w:val="auto"/>
        </w:rPr>
      </w:pPr>
      <w:r>
        <w:rPr>
          <w:rFonts w:ascii="Arial" w:cs="Arial" w:eastAsia="Arial" w:hAnsi="Arial"/>
          <w:sz w:val="29"/>
          <w:szCs w:val="29"/>
          <w:b w:val="1"/>
          <w:bCs w:val="1"/>
          <w:color w:val="auto"/>
        </w:rPr>
        <w:t>B&amp;T market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0" w:right="1620" w:hanging="70"/>
        <w:spacing w:after="0" w:line="308" w:lineRule="auto"/>
        <w:rPr>
          <w:sz w:val="20"/>
          <w:szCs w:val="20"/>
          <w:color w:val="auto"/>
        </w:rPr>
      </w:pPr>
      <w:r>
        <w:rPr>
          <w:rFonts w:ascii="Arial" w:cs="Arial" w:eastAsia="Arial" w:hAnsi="Arial"/>
          <w:sz w:val="26"/>
          <w:szCs w:val="26"/>
          <w:b w:val="1"/>
          <w:bCs w:val="1"/>
          <w:color w:val="auto"/>
        </w:rPr>
        <w:t>Three-year $150M investment in DXL rollout to be funded primarily by free cash flow and deferred tax benefits</w:t>
      </w:r>
    </w:p>
    <w:p>
      <w:pPr>
        <w:spacing w:after="0" w:line="393" w:lineRule="exact"/>
        <w:rPr>
          <w:sz w:val="20"/>
          <w:szCs w:val="20"/>
          <w:color w:val="auto"/>
        </w:rPr>
      </w:pPr>
    </w:p>
    <w:p>
      <w:pPr>
        <w:ind w:left="280"/>
        <w:spacing w:after="0"/>
        <w:rPr>
          <w:sz w:val="20"/>
          <w:szCs w:val="20"/>
          <w:color w:val="auto"/>
        </w:rPr>
      </w:pPr>
      <w:r>
        <w:rPr>
          <w:rFonts w:ascii="Arial" w:cs="Arial" w:eastAsia="Arial" w:hAnsi="Arial"/>
          <w:sz w:val="29"/>
          <w:szCs w:val="29"/>
          <w:b w:val="1"/>
          <w:bCs w:val="1"/>
          <w:color w:val="auto"/>
        </w:rPr>
        <w:t>Strong balance sheet</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29"/>
          <w:szCs w:val="29"/>
          <w:b w:val="1"/>
          <w:bCs w:val="1"/>
          <w:color w:val="auto"/>
        </w:rPr>
        <w:t>with borrowing capacity</w:t>
      </w:r>
    </w:p>
    <w:p>
      <w:pPr>
        <w:spacing w:after="0" w:line="506" w:lineRule="exact"/>
        <w:rPr>
          <w:sz w:val="20"/>
          <w:szCs w:val="20"/>
          <w:color w:val="auto"/>
        </w:rPr>
      </w:pPr>
    </w:p>
    <w:p>
      <w:pPr>
        <w:sectPr>
          <w:pgSz w:w="11900" w:h="16838" w:orient="portrait"/>
          <w:cols w:equalWidth="0" w:num="2">
            <w:col w:w="4180" w:space="720"/>
            <w:col w:w="5400"/>
          </w:cols>
          <w:pgMar w:left="700" w:top="1052"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0100"/>
        <w:spacing w:after="0"/>
        <w:rPr>
          <w:sz w:val="20"/>
          <w:szCs w:val="20"/>
          <w:color w:val="auto"/>
        </w:rPr>
      </w:pPr>
      <w:r>
        <w:rPr>
          <w:rFonts w:ascii="Arial" w:cs="Arial" w:eastAsia="Arial" w:hAnsi="Arial"/>
          <w:sz w:val="17"/>
          <w:szCs w:val="17"/>
          <w:color w:val="898989"/>
        </w:rPr>
        <w:t>38</w:t>
      </w:r>
    </w:p>
    <w:p>
      <w:pPr>
        <w:sectPr>
          <w:pgSz w:w="11900" w:h="16838" w:orient="portrait"/>
          <w:cols w:equalWidth="0" w:num="1">
            <w:col w:w="10300"/>
          </w:cols>
          <w:pgMar w:left="700" w:top="1052" w:right="899" w:bottom="1440" w:gutter="0" w:footer="0" w:header="0"/>
          <w:type w:val="continuous"/>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0"/>
        <w:spacing w:after="0"/>
        <w:rPr>
          <w:sz w:val="20"/>
          <w:szCs w:val="20"/>
          <w:color w:val="auto"/>
        </w:rPr>
      </w:pPr>
      <w:r>
        <w:rPr>
          <w:rFonts w:ascii="Arial" w:cs="Arial" w:eastAsia="Arial" w:hAnsi="Arial"/>
          <w:sz w:val="38"/>
          <w:szCs w:val="38"/>
          <w:color w:val="5F5F5F"/>
        </w:rPr>
        <w:t>For additional information:</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22"/>
          <w:szCs w:val="22"/>
          <w:color w:val="5F5F5F"/>
        </w:rPr>
        <w:t>Jeffrey Unger</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22"/>
          <w:szCs w:val="22"/>
          <w:color w:val="5F5F5F"/>
        </w:rPr>
        <w:t>Destination XL Group, Inc.</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22"/>
          <w:szCs w:val="22"/>
          <w:color w:val="5F5F5F"/>
        </w:rPr>
        <w:t>V. P. Investor Relations</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22"/>
          <w:szCs w:val="22"/>
          <w:color w:val="5F5F5F"/>
        </w:rPr>
        <w:t>561-482-9715 Office</w:t>
      </w:r>
    </w:p>
    <w:p>
      <w:pPr>
        <w:spacing w:after="0" w:line="53" w:lineRule="exact"/>
        <w:rPr>
          <w:sz w:val="20"/>
          <w:szCs w:val="20"/>
          <w:color w:val="auto"/>
        </w:rPr>
      </w:pPr>
    </w:p>
    <w:p>
      <w:pPr>
        <w:ind w:left="80"/>
        <w:spacing w:after="0"/>
        <w:rPr>
          <w:sz w:val="20"/>
          <w:szCs w:val="20"/>
          <w:color w:val="auto"/>
        </w:rPr>
      </w:pPr>
      <w:r>
        <w:rPr>
          <w:rFonts w:ascii="Arial" w:cs="Arial" w:eastAsia="Arial" w:hAnsi="Arial"/>
          <w:sz w:val="22"/>
          <w:szCs w:val="22"/>
          <w:color w:val="5F5F5F"/>
        </w:rPr>
        <w:t>561-543-9806 Cell</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22"/>
          <w:szCs w:val="22"/>
          <w:color w:val="5F5F5F"/>
        </w:rPr>
        <w:t>jeffunger@usa.net</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22"/>
          <w:szCs w:val="22"/>
          <w:color w:val="5F5F5F"/>
        </w:rPr>
        <w:t>www.destinationxl.com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39</w:t>
      </w:r>
    </w:p>
    <w:sectPr>
      <w:pgSz w:w="11900" w:h="16838" w:orient="portrait"/>
      <w:cols w:equalWidth="0" w:num="1">
        <w:col w:w="9560"/>
      </w:cols>
      <w:pgMar w:left="1440" w:top="1440"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bullet"/>
      <w:start w:val="1"/>
    </w:lvl>
  </w:abstractNum>
  <w:abstractNum w:abstractNumId="3">
    <w:nsid w:val="238E1F29"/>
    <w:multiLevelType w:val="hybridMultilevel"/>
    <w:lvl w:ilvl="0">
      <w:lvlJc w:val="left"/>
      <w:lvlText w:val="2"/>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2019-12-06T00:36:42Z</dcterms:created>
  <dcterms:modified xsi:type="dcterms:W3CDTF">2019-12-06T00:36:42Z</dcterms:modified>
</cp:coreProperties>
</file>