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230" w:right="239" w:bottom="1440" w:gutter="0" w:footer="0" w:header="0"/>
        </w:sectPr>
      </w:pP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August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234950</wp:posOffset>
            </wp:positionV>
            <wp:extent cx="257302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643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Filed Pursuant to Rule 424(b)(5)</w:t>
      </w:r>
    </w:p>
    <w:p>
      <w:pPr>
        <w:spacing w:after="0" w:line="3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Registration No. 333-160379</w:t>
      </w:r>
    </w:p>
    <w:p>
      <w:pPr>
        <w:spacing w:after="0" w:line="200" w:lineRule="exact"/>
        <w:rPr>
          <w:sz w:val="24"/>
          <w:szCs w:val="24"/>
          <w:color w:val="auto"/>
        </w:rPr>
      </w:pPr>
    </w:p>
    <w:p>
      <w:pPr>
        <w:sectPr>
          <w:pgSz w:w="11900" w:h="16838" w:orient="portrait"/>
          <w:cols w:equalWidth="0" w:num="2">
            <w:col w:w="8400" w:space="720"/>
            <w:col w:w="2300"/>
          </w:cols>
          <w:pgMar w:left="240" w:top="23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4,950,000 Shares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200" w:firstLine="456"/>
        <w:spacing w:after="0" w:line="268" w:lineRule="auto"/>
        <w:rPr>
          <w:sz w:val="20"/>
          <w:szCs w:val="20"/>
          <w:color w:val="auto"/>
        </w:rPr>
      </w:pPr>
      <w:r>
        <w:rPr>
          <w:rFonts w:ascii="Arial" w:cs="Arial" w:eastAsia="Arial" w:hAnsi="Arial"/>
          <w:sz w:val="18"/>
          <w:szCs w:val="18"/>
          <w:color w:val="auto"/>
        </w:rPr>
        <w:t>You should read this prospectus supplement and the accompanying prospectus carefully before you invest in our common stock. Both documents contain information you should consider carefully before making your investment decision.</w:t>
      </w:r>
    </w:p>
    <w:p>
      <w:pPr>
        <w:spacing w:after="0" w:line="132"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Pursuant to this prospectus supplement and the accompanying prospectus, we are offering 4,950,000 shares of our common stock directly to institutional investors for a purchase price of $2.75 per share in cash. We expect to receive gross proceeds of approximately $13.6 million from this offering.</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224"/>
        </w:trPr>
        <w:tc>
          <w:tcPr>
            <w:tcW w:w="20" w:type="dxa"/>
            <w:vAlign w:val="bottom"/>
          </w:tcPr>
          <w:p>
            <w:pPr>
              <w:spacing w:after="0"/>
              <w:rPr>
                <w:sz w:val="19"/>
                <w:szCs w:val="19"/>
                <w:color w:val="auto"/>
              </w:rPr>
            </w:pPr>
          </w:p>
        </w:tc>
        <w:tc>
          <w:tcPr>
            <w:tcW w:w="824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5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Offering Price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$2.75</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$13,612,500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Estimated Transaction Costs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r>
      <w:tr>
        <w:trPr>
          <w:trHeight w:val="210"/>
        </w:trPr>
        <w:tc>
          <w:tcPr>
            <w:tcW w:w="8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Estimated Net Proceeds to Casual Male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$2.55</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$12,612,500</w:t>
            </w:r>
          </w:p>
        </w:tc>
      </w:tr>
      <w:tr>
        <w:trPr>
          <w:trHeight w:val="21"/>
        </w:trPr>
        <w:tc>
          <w:tcPr>
            <w:tcW w:w="20" w:type="dxa"/>
            <w:vAlign w:val="bottom"/>
          </w:tcPr>
          <w:p>
            <w:pPr>
              <w:spacing w:after="0" w:line="20" w:lineRule="exact"/>
              <w:rPr>
                <w:sz w:val="1"/>
                <w:szCs w:val="1"/>
                <w:color w:val="auto"/>
              </w:rPr>
            </w:pPr>
          </w:p>
        </w:tc>
        <w:tc>
          <w:tcPr>
            <w:tcW w:w="8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4"/>
          <w:szCs w:val="24"/>
          <w:color w:val="auto"/>
        </w:rPr>
      </w:pPr>
    </w:p>
    <w:p>
      <w:pPr>
        <w:ind w:right="36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“CMRG.” On August 31, 2009, the closing price of our common stock on the NASDAQ Global Select Market was $3.07.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our securities involves certain risks. See “Risk Factors” beginning on page 1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60" w:firstLine="456"/>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57" w:lineRule="exact"/>
        <w:rPr>
          <w:sz w:val="24"/>
          <w:szCs w:val="24"/>
          <w:color w:val="auto"/>
        </w:rPr>
      </w:pPr>
    </w:p>
    <w:p>
      <w:pPr>
        <w:ind w:right="200" w:firstLine="456"/>
        <w:spacing w:after="0" w:line="259" w:lineRule="auto"/>
        <w:rPr>
          <w:sz w:val="20"/>
          <w:szCs w:val="20"/>
          <w:color w:val="auto"/>
        </w:rPr>
      </w:pPr>
      <w:r>
        <w:rPr>
          <w:rFonts w:ascii="Arial" w:cs="Arial" w:eastAsia="Arial" w:hAnsi="Arial"/>
          <w:sz w:val="18"/>
          <w:szCs w:val="18"/>
          <w:color w:val="auto"/>
        </w:rPr>
        <w:t>You should rely only on the information provided or incorporated by reference in this prospectus supplement and the accompanying prospectus. We have not authorized anyone else to provide you with different information. You should not assume that the information in this prospectus supplement and the accompanying prospectus is accurate as of any date other than the date on the front of these documents.</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expect that delivery of the shares of common stock will be made on or about September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September 1, 2009.</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19"/>
                <w:szCs w:val="19"/>
                <w:color w:val="auto"/>
              </w:rPr>
            </w:pPr>
          </w:p>
        </w:tc>
      </w:tr>
      <w:tr>
        <w:trPr>
          <w:trHeight w:val="37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0" w:type="dxa"/>
            <w:vAlign w:val="bottom"/>
            <w:gridSpan w:val="3"/>
          </w:tcPr>
          <w:p>
            <w:pPr>
              <w:jc w:val="center"/>
              <w:ind w:right="3500"/>
              <w:spacing w:after="0"/>
              <w:rPr>
                <w:sz w:val="20"/>
                <w:szCs w:val="20"/>
                <w:color w:val="auto"/>
              </w:rPr>
            </w:pPr>
            <w:r>
              <w:rPr>
                <w:rFonts w:ascii="Arial" w:cs="Arial" w:eastAsia="Arial" w:hAnsi="Arial"/>
                <w:sz w:val="18"/>
                <w:szCs w:val="18"/>
                <w:color w:val="auto"/>
                <w:w w:val="90"/>
              </w:rPr>
              <w:t>PROSPECTUS SUPPLEMENT</w:t>
            </w:r>
          </w:p>
        </w:tc>
        <w:tc>
          <w:tcPr>
            <w:tcW w:w="360" w:type="dxa"/>
            <w:vAlign w:val="bottom"/>
          </w:tcPr>
          <w:p>
            <w:pPr>
              <w:spacing w:after="0"/>
              <w:rPr>
                <w:sz w:val="24"/>
                <w:szCs w:val="24"/>
                <w:color w:val="auto"/>
              </w:rPr>
            </w:pPr>
          </w:p>
        </w:tc>
      </w:tr>
      <w:tr>
        <w:trPr>
          <w:trHeight w:val="41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171"/>
        </w:trPr>
        <w:tc>
          <w:tcPr>
            <w:tcW w:w="2440" w:type="dxa"/>
            <w:vAlign w:val="bottom"/>
            <w:tcBorders>
              <w:bottom w:val="single" w:sz="8" w:color="0000EE"/>
            </w:tcBorders>
            <w:gridSpan w:val="17"/>
          </w:tcPr>
          <w:p>
            <w:pPr>
              <w:spacing w:after="0" w:line="171"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8620" w:type="dxa"/>
            <w:vAlign w:val="bottom"/>
            <w:gridSpan w:val="9"/>
          </w:tcPr>
          <w:p>
            <w:pPr>
              <w:spacing w:after="0"/>
              <w:rPr>
                <w:sz w:val="14"/>
                <w:szCs w:val="14"/>
                <w:color w:val="auto"/>
              </w:rPr>
            </w:pPr>
          </w:p>
        </w:tc>
        <w:tc>
          <w:tcPr>
            <w:tcW w:w="360" w:type="dxa"/>
            <w:vAlign w:val="bottom"/>
          </w:tcPr>
          <w:p>
            <w:pPr>
              <w:jc w:val="right"/>
              <w:spacing w:after="0" w:line="171" w:lineRule="exact"/>
              <w:rPr>
                <w:sz w:val="20"/>
                <w:szCs w:val="20"/>
                <w:color w:val="auto"/>
              </w:rPr>
            </w:pPr>
            <w:r>
              <w:rPr>
                <w:rFonts w:ascii="Arial" w:cs="Arial" w:eastAsia="Arial" w:hAnsi="Arial"/>
                <w:sz w:val="18"/>
                <w:szCs w:val="18"/>
                <w:color w:val="auto"/>
              </w:rPr>
              <w:t>S-ii</w:t>
            </w:r>
          </w:p>
        </w:tc>
      </w:tr>
      <w:tr>
        <w:trPr>
          <w:trHeight w:val="196"/>
        </w:trPr>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868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38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Special Note Regarding Forward-Looking Statements</w:t>
              </w:r>
            </w:hyperlink>
          </w:p>
        </w:tc>
        <w:tc>
          <w:tcPr>
            <w:tcW w:w="72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Dividend Policy</w:t>
              </w:r>
            </w:hyperlink>
          </w:p>
        </w:tc>
        <w:tc>
          <w:tcPr>
            <w:tcW w:w="990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Dilution</w:t>
              </w:r>
            </w:hyperlink>
          </w:p>
        </w:tc>
        <w:tc>
          <w:tcPr>
            <w:tcW w:w="1046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Plan of Distribution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Legal Matters</w:t>
              </w:r>
            </w:hyperlink>
          </w:p>
        </w:tc>
        <w:tc>
          <w:tcPr>
            <w:tcW w:w="966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Incorporation of Certain Information By Reference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397"/>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4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PROSPECTUS</w:t>
            </w:r>
          </w:p>
        </w:tc>
        <w:tc>
          <w:tcPr>
            <w:tcW w:w="360" w:type="dxa"/>
            <w:vAlign w:val="bottom"/>
          </w:tcPr>
          <w:p>
            <w:pPr>
              <w:spacing w:after="0"/>
              <w:rPr>
                <w:sz w:val="24"/>
                <w:szCs w:val="24"/>
                <w:color w:val="auto"/>
              </w:rPr>
            </w:pPr>
          </w:p>
        </w:tc>
      </w:tr>
      <w:tr>
        <w:trPr>
          <w:trHeight w:val="41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171"/>
        </w:trPr>
        <w:tc>
          <w:tcPr>
            <w:tcW w:w="11060" w:type="dxa"/>
            <w:vAlign w:val="bottom"/>
            <w:gridSpan w:val="26"/>
          </w:tcPr>
          <w:p>
            <w:pPr>
              <w:spacing w:after="0" w:line="171" w:lineRule="exact"/>
              <w:rPr>
                <w:rFonts w:ascii="Arial" w:cs="Arial" w:eastAsia="Arial" w:hAnsi="Arial"/>
                <w:sz w:val="18"/>
                <w:szCs w:val="18"/>
                <w:color w:val="0000EE"/>
              </w:rPr>
            </w:pPr>
            <w:hyperlink w:anchor="page11">
              <w:r>
                <w:rPr>
                  <w:rFonts w:ascii="Arial" w:cs="Arial" w:eastAsia="Arial" w:hAnsi="Arial"/>
                  <w:sz w:val="18"/>
                  <w:szCs w:val="18"/>
                  <w:color w:val="0000EE"/>
                </w:rPr>
                <w:t>About this Prospectus</w:t>
              </w:r>
            </w:hyperlink>
          </w:p>
        </w:tc>
        <w:tc>
          <w:tcPr>
            <w:tcW w:w="360" w:type="dxa"/>
            <w:vAlign w:val="bottom"/>
          </w:tcPr>
          <w:p>
            <w:pPr>
              <w:jc w:val="right"/>
              <w:spacing w:after="0" w:line="171"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About Casual Male Retail Group, Inc.</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780" w:type="dxa"/>
            <w:vAlign w:val="bottom"/>
            <w:tcBorders>
              <w:top w:val="single" w:sz="8" w:color="0000EE"/>
            </w:tcBorders>
            <w:gridSpan w:val="15"/>
          </w:tcPr>
          <w:p>
            <w:pPr>
              <w:spacing w:after="0"/>
              <w:rPr>
                <w:sz w:val="17"/>
                <w:szCs w:val="17"/>
                <w:color w:val="auto"/>
              </w:rPr>
            </w:pPr>
          </w:p>
        </w:tc>
        <w:tc>
          <w:tcPr>
            <w:tcW w:w="838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Special Note Regarding Forward-Looking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Ratio of Earnings to Combined Fixed Charges and Preferred Dividends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0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60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The Securities We May Offer</w:t>
              </w:r>
            </w:hyperlink>
          </w:p>
        </w:tc>
        <w:tc>
          <w:tcPr>
            <w:tcW w:w="898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Common Stock</w:t>
              </w:r>
            </w:hyperlink>
          </w:p>
        </w:tc>
        <w:tc>
          <w:tcPr>
            <w:tcW w:w="88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Description of Preferred Stock</w:t>
              </w:r>
            </w:hyperlink>
          </w:p>
        </w:tc>
        <w:tc>
          <w:tcPr>
            <w:tcW w:w="89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Depositary Shares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Warrants</w:t>
              </w:r>
            </w:hyperlink>
          </w:p>
        </w:tc>
        <w:tc>
          <w:tcPr>
            <w:tcW w:w="640" w:type="dxa"/>
            <w:vAlign w:val="bottom"/>
            <w:tcBorders>
              <w:top w:val="single" w:sz="8" w:color="0000EE"/>
            </w:tcBorders>
            <w:gridSpan w:val="4"/>
          </w:tcPr>
          <w:p>
            <w:pPr>
              <w:spacing w:after="0"/>
              <w:rPr>
                <w:sz w:val="17"/>
                <w:szCs w:val="17"/>
                <w:color w:val="auto"/>
              </w:rPr>
            </w:pPr>
          </w:p>
        </w:tc>
        <w:tc>
          <w:tcPr>
            <w:tcW w:w="872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4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Description of Purchase Contracts</w:t>
              </w:r>
            </w:hyperlink>
          </w:p>
        </w:tc>
        <w:tc>
          <w:tcPr>
            <w:tcW w:w="86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5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Description of Rights</w:t>
              </w:r>
            </w:hyperlink>
          </w:p>
        </w:tc>
        <w:tc>
          <w:tcPr>
            <w:tcW w:w="952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Units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40" w:type="dxa"/>
            <w:vAlign w:val="bottom"/>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8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Certain Anti-Takeover and Indemnification Provisions of our Certificate of Incorporation and By-laws, Shareholder Rights Agreement and Delaware Law</w:t>
              </w:r>
            </w:hyperlink>
          </w:p>
        </w:tc>
        <w:tc>
          <w:tcPr>
            <w:tcW w:w="2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Plan of Distribution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966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3020" w:type="dxa"/>
            <w:vAlign w:val="bottom"/>
            <w:gridSpan w:val="19"/>
          </w:tcPr>
          <w:p>
            <w:pPr>
              <w:spacing w:after="0" w:line="20" w:lineRule="exact"/>
              <w:rPr>
                <w:sz w:val="1"/>
                <w:szCs w:val="1"/>
                <w:color w:val="auto"/>
              </w:rPr>
            </w:pPr>
          </w:p>
        </w:tc>
        <w:tc>
          <w:tcPr>
            <w:tcW w:w="75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2580" w:type="dxa"/>
            <w:vAlign w:val="bottom"/>
            <w:gridSpan w:val="16"/>
          </w:tcPr>
          <w:p>
            <w:pPr>
              <w:spacing w:after="0" w:line="20" w:lineRule="exact"/>
              <w:rPr>
                <w:sz w:val="1"/>
                <w:szCs w:val="1"/>
                <w:color w:val="auto"/>
              </w:rPr>
            </w:pPr>
          </w:p>
        </w:tc>
        <w:tc>
          <w:tcPr>
            <w:tcW w:w="75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800" w:type="dxa"/>
            <w:vAlign w:val="bottom"/>
            <w:gridSpan w:val="19"/>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Incorporation of Certain Documents By Reference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40" w:firstLine="456"/>
        <w:spacing w:after="0" w:line="313" w:lineRule="auto"/>
        <w:rPr>
          <w:sz w:val="20"/>
          <w:szCs w:val="20"/>
          <w:color w:val="auto"/>
        </w:rPr>
      </w:pPr>
      <w:r>
        <w:rPr>
          <w:rFonts w:ascii="Arial" w:cs="Arial" w:eastAsia="Arial" w:hAnsi="Arial"/>
          <w:sz w:val="15"/>
          <w:szCs w:val="15"/>
          <w:b w:val="1"/>
          <w:bCs w:val="1"/>
          <w:color w:val="auto"/>
        </w:rPr>
        <w:t>Prospective investors may rely only on the information contained in, or incorporated by reference into, this prospectus supplement and the accompanying prospectus. We have not authorized anyone to provide prospective investors with different or additional information. This prospectus supplement and the accompanying prospectus is not an offer to sell nor is it seeking an offer to buy shares of our common stock in any jurisdiction where the offer or sale is not permitted. The information contained in this prospectus supplement and the accompanying prospectus is correct only as of the date of this prospectus supplement, regardless of the time of the delivery of this prospectus supplement or any sale of these securities. You should not assume that the information contained in, or incorporated by reference into, this document is accurate as of any date after the respective dates of the documents containing the information. Our business, financial condition, results of operations and prospects may have changed since that date.</w:t>
      </w:r>
    </w:p>
    <w:p>
      <w:pPr>
        <w:spacing w:after="0" w:line="10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i w:val="1"/>
          <w:iCs w:val="1"/>
          <w:color w:val="auto"/>
        </w:rPr>
        <w:t>Unless the context otherwise requires, the terms “Casual Male,” “the Company,” “our company,” “we,”, “us,” “our,” and similar names refer collectively to Casual Male Retail Group, Inc. and its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supplement is part of a registration statement that we have filed with the Securities and Exchange Commission, or SEC, utilizing a “shelf” registration process. Under this shelf registration process, we are offering to sell shares of our common stock using this prospectus supplement and the accompanying prospectus. The prospectus supplement describes the specific terms of this offering and certain other matters relating to us and our financial condition. The accompanying prospectus gives more general information about securities we may offer from time to time, some of which may not apply to the common stock we are offering under this prospectus supplement. In addition,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in this prospectus supplement and the accompanying prospectus. Generally, when we refer to “this prospectus,” we are referring to this prospectus supplement and the accompanying prospectus as well as to the information incorporated by reference herein and therein. Before investing in shares of our common stock, you should carefully read this prospectus supplement, the accompanying prospectus and the additional information described under “Where You Can Find More Information.” If the description of the offering contained in this prospectus supplement varies from that contained in the accompanying prospectus, you should rely on the information in this prospectus supplement.</w:t>
      </w:r>
    </w:p>
    <w:p>
      <w:pPr>
        <w:spacing w:after="0" w:line="12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therefore, such representations, warranties, and covenants should not be relied on as accurate representations of the current state of our affairs.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082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082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i w:val="1"/>
          <w:iCs w:val="1"/>
          <w:color w:val="auto"/>
        </w:rPr>
        <w:t>This summary highlights selected information and does not contain all the information that you should consider before investing in our stock. You should carefully read this prospectus supplement, the accompanying prospectus, and the registration statement of which this prospectus supplement and the accompanying prospectus are a part, and the documents incorporated by reference in this prospectus supplement and in the accompanying prospectus in their entirety for information about us and our financial statements.</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ABOUT CASUAL MALE RETAIL GROUP, INC.</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Casual Male Retail Group, Inc., together with its subsidiaries, is the largest specialty retailer of big &amp; tall men’s apparel with retail operations throughout the United States, Canada, and London, England. We operate 467 Casual Male XL retail and outlet stores, 20 Rochester Big &amp; Tall stores, and a direct to consumer business, which includes several catalogs and e-commerce sites.</w:t>
      </w:r>
    </w:p>
    <w:p>
      <w:pPr>
        <w:spacing w:after="0" w:line="14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were incorporated in the State of Delaware in 1976 under the name Designs, Inc. Until fiscal 1995, we operated exclusively Levi Strauss &amp; Co. branded apparel mall and outlet stores. In May 2002, we acquired the Casual Male business from Casual Male Corp. at a bankruptcy court-ordered auction. At the time of the acquisition, Casual Male was the largest retailer of men’s clothing in the big &amp; tall market in the United States. As a result of the acquisition and the significance of it to the growth and future identity of our Company, on August 8, 2002, we changed our name to “Casual Male Retail Group, Inc.”</w:t>
      </w:r>
    </w:p>
    <w:p>
      <w:pPr>
        <w:spacing w:after="0" w:line="143" w:lineRule="exact"/>
        <w:rPr>
          <w:sz w:val="20"/>
          <w:szCs w:val="20"/>
          <w:color w:val="auto"/>
        </w:rPr>
      </w:pPr>
    </w:p>
    <w:p>
      <w:pPr>
        <w:jc w:val="both"/>
        <w:ind w:left="200" w:right="140" w:firstLine="443"/>
        <w:spacing w:after="0" w:line="306" w:lineRule="auto"/>
        <w:rPr>
          <w:sz w:val="20"/>
          <w:szCs w:val="20"/>
          <w:color w:val="auto"/>
        </w:rPr>
      </w:pPr>
      <w:r>
        <w:rPr>
          <w:rFonts w:ascii="Arial" w:cs="Arial" w:eastAsia="Arial" w:hAnsi="Arial"/>
          <w:sz w:val="16"/>
          <w:szCs w:val="16"/>
          <w:color w:val="auto"/>
        </w:rPr>
        <w:t xml:space="preserve">Our principal executive offices are located at 555 Turnpike Street, Canton, Massachusetts 02021, and our telephone number is (781) 828-9300. Our worldwide web address is </w:t>
      </w:r>
      <w:r>
        <w:rPr>
          <w:rFonts w:ascii="Arial" w:cs="Arial" w:eastAsia="Arial" w:hAnsi="Arial"/>
          <w:sz w:val="16"/>
          <w:szCs w:val="16"/>
          <w:i w:val="1"/>
          <w:iCs w:val="1"/>
          <w:color w:val="auto"/>
        </w:rPr>
        <w:t>www.casualmale.com</w:t>
      </w:r>
      <w:r>
        <w:rPr>
          <w:rFonts w:ascii="Arial" w:cs="Arial" w:eastAsia="Arial" w:hAnsi="Arial"/>
          <w:sz w:val="16"/>
          <w:szCs w:val="16"/>
          <w:color w:val="auto"/>
        </w:rPr>
        <w:t>. The information on our web site is not incorporated by reference into this prospectus supplement or the accompanying prospectus and should not be considered to be part of this prospectus supplement or the accompanying prospectus.</w:t>
      </w: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40"/>
          </w:cols>
          <w:pgMar w:left="24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3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837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4,950,000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47,060,170 shares</w:t>
      </w:r>
    </w:p>
    <w:p>
      <w:pPr>
        <w:spacing w:after="0" w:line="211" w:lineRule="exact"/>
        <w:rPr>
          <w:sz w:val="20"/>
          <w:szCs w:val="20"/>
          <w:color w:val="auto"/>
        </w:rPr>
      </w:pPr>
    </w:p>
    <w:p>
      <w:pPr>
        <w:sectPr>
          <w:pgSz w:w="11900" w:h="16838" w:orient="portrait"/>
          <w:cols w:equalWidth="0" w:num="2">
            <w:col w:w="3780" w:space="6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estimate that the net proceeds to us from the sale of 4,950,000 shares of common stock we are offering will be approximately $12.6 million, after deducting expenses related to the offering. We intend to use these net proceeds for working capital and other general corporate purposes, including the repayment of indebtedness.</w:t>
      </w:r>
    </w:p>
    <w:p>
      <w:pPr>
        <w:spacing w:after="0" w:line="11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See “Use of Proceeds” on page S-3.</w:t>
      </w:r>
    </w:p>
    <w:p>
      <w:pPr>
        <w:sectPr>
          <w:pgSz w:w="11900" w:h="16838" w:orient="portrait"/>
          <w:cols w:equalWidth="0" w:num="1">
            <w:col w:w="11240"/>
          </w:cols>
          <w:pgMar w:left="240" w:top="459" w:right="419" w:bottom="1440" w:gutter="0" w:footer="0" w:header="0"/>
          <w:type w:val="continuous"/>
        </w:sect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read the “Risk Factors” included in our Annual Report on Form 10-K, which is incorporated by reference herein, for a discussion of certain factors to consider before deciding to purchase shares of our common stock.</w:t>
      </w:r>
    </w:p>
    <w:p>
      <w:pPr>
        <w:spacing w:after="0" w:line="18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CMRG</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our common stock to be outstanding after this offering is based on 42,110,170 shares outstanding as of August 25, 2009.</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excludes, as of August 25, 2009:</w:t>
      </w:r>
    </w:p>
    <w:p>
      <w:pPr>
        <w:spacing w:after="0" w:line="90" w:lineRule="exact"/>
        <w:rPr>
          <w:sz w:val="20"/>
          <w:szCs w:val="20"/>
          <w:color w:val="auto"/>
        </w:rPr>
      </w:pPr>
    </w:p>
    <w:p>
      <w:pPr>
        <w:ind w:left="1620" w:hanging="437"/>
        <w:spacing w:after="0"/>
        <w:tabs>
          <w:tab w:leader="none" w:pos="1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3,832,551 shares of our common stock subject to outstanding stock options at a weighted average exercise price of $4.71 per share;</w:t>
      </w:r>
    </w:p>
    <w:p>
      <w:pPr>
        <w:spacing w:after="0" w:line="113" w:lineRule="exact"/>
        <w:rPr>
          <w:rFonts w:ascii="Arial" w:cs="Arial" w:eastAsia="Arial" w:hAnsi="Arial"/>
          <w:sz w:val="16"/>
          <w:szCs w:val="16"/>
          <w:color w:val="auto"/>
        </w:rPr>
      </w:pPr>
    </w:p>
    <w:p>
      <w:pPr>
        <w:ind w:left="1620" w:right="100" w:hanging="437"/>
        <w:spacing w:after="0" w:line="268"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1,058,000 shares of our common stock issuable upon exercise of outstanding warrants at a weighted average exercise price of $6.36 per share; and</w:t>
      </w:r>
    </w:p>
    <w:p>
      <w:pPr>
        <w:spacing w:after="0" w:line="50" w:lineRule="exact"/>
        <w:rPr>
          <w:rFonts w:ascii="Arial" w:cs="Arial" w:eastAsia="Arial" w:hAnsi="Arial"/>
          <w:sz w:val="18"/>
          <w:szCs w:val="18"/>
          <w:color w:val="auto"/>
        </w:rPr>
      </w:pPr>
    </w:p>
    <w:p>
      <w:pPr>
        <w:ind w:left="1620" w:hanging="437"/>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1,816,387 shares of our common stock reserved for future issuances under our equity incentive plans.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forward-looking statements that involve risks and uncertainties. These forward-looking statements are not historical facts but rather are based on current expectations, estimates, and projections about our industry, our beliefs, and our assumptions. You should not place undue reliance on these forward-looking statements, which reflect our view only as of the date on which they were made, and we undertake no obligation to update these forward-looking statements in the future. We use words such as “anticipate,” “expect,” “intend,” “plan,” “believe,” “seek,” “estimate,” and variations of these words and similar expressions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incorporated by reference herein and elsewhere in this prospectus supplement, the accompanying prospectus, and the documents incorporated by reference herein and therein.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estimate that the net proceeds to us from the sale of the 4,950,000 shares of common stock we are offering will be approximately $12.6 million. “Net proceeds” is what we expect to receive after we pay the expenses directly related to this offering.</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including the repayment of indebtedness. We will otherwise retain broad direction with respect to the use of the net proceeds from this offering and could use such proceeds for purposes other than those contemplated at the time of this offering.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not paid and do not anticipate paying cash dividends on our common stock. In addition, financial covenants in our loan agreement may restrict dividend payments.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tangible net book value as of August 1, 2009 was $43.8 million or $1.04 per share of common stock. Net tangible book value per share is determined by dividing our tangible net worth, which is tangible assets less liabilities, by the total number of shares of our common stock outstanding. After giving effect to the sale of 4,950,000 shares of our common stock offered hereby at a purchase price of $2.75 per share, our as adjusted net tangible book value at August 1, 2009 would have been $56.4 million, or $1.20 per share. This represents an immediate increase in net tangible book value to our existing stockholders of $0.16 per share and an immediate dilution of $1.55 per share, which is the difference between the purchase price and the net tangible book value per share after the offering, to an investor purchasing common stock at the purchase price. The following table illustrates the per share dilution: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per share</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380" w:type="dxa"/>
            <w:vAlign w:val="bottom"/>
          </w:tcPr>
          <w:p>
            <w:pPr>
              <w:ind w:left="200"/>
              <w:spacing w:after="0"/>
              <w:rPr>
                <w:sz w:val="20"/>
                <w:szCs w:val="20"/>
                <w:color w:val="auto"/>
              </w:rPr>
            </w:pPr>
            <w:r>
              <w:rPr>
                <w:rFonts w:ascii="Arial" w:cs="Arial" w:eastAsia="Arial" w:hAnsi="Arial"/>
                <w:sz w:val="18"/>
                <w:szCs w:val="18"/>
                <w:color w:val="auto"/>
              </w:rPr>
              <w:t>Net tangible book value per share as of August 1, 2009</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net tangible book value per share attributable to the sale of common stock in this offering</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0.16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040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purchasers of common stock in this offering</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0380" w:type="dxa"/>
            <w:vAlign w:val="bottom"/>
          </w:tcPr>
          <w:p>
            <w:pPr>
              <w:ind w:left="5580"/>
              <w:spacing w:after="0"/>
              <w:rPr>
                <w:sz w:val="20"/>
                <w:szCs w:val="20"/>
                <w:color w:val="auto"/>
              </w:rPr>
            </w:pPr>
            <w:r>
              <w:rPr>
                <w:rFonts w:ascii="Arial" w:cs="Arial" w:eastAsia="Arial" w:hAnsi="Arial"/>
                <w:sz w:val="18"/>
                <w:szCs w:val="18"/>
                <w:color w:val="auto"/>
              </w:rPr>
              <w:t>S-3</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shares of common stock being offered hereby are being offered for sale by us directly to certain institutional investors. The price of the shares of common stock offered hereby was determined through negotiations between us and the purchasers. The factors considered in determining the price included, among other items, the recent market price of our common stock. We expect that the shares of common stock sold in this offering will be listed on the NASDAQ Global Select Market. Our common stock is traded on the NASDAQ Global Select Market under the symbol “CMRG.”</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expenses directly related to this offering are estimated to be approximately $1.0 million and will be paid by us. Expenses of the offering include our legal and accounting fees, printing expenses, transfer agent fees, NASDAQ listing fees, payments under existing contractual commitments, and miscellaneous fees.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currently anticipate that the closing of the sale of our common stock under this prospectus supplement will take place on or about September 3, 2009, and we will receive funds in the amount of the aggregate purchase price of approximately $13.6 million. On or about that date, we will issue the shares of common stock to the investor.</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transfer agent for our common stock is American Stock Transfer and Trust Company. Its address is 59 Maiden Lane, Plaza Level, New York, New York 10038, and its telephone number is (800) 937-5449.</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legal matters with respect to the validity of the common stock offered by this prospectus supplement will be passed upon for us by Greenberg Traurig, LLP, Boston, Massachusetts.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Securities and Exchange Commission, or SEC. You may read and copy any documents that we have filed with the SEC at the SEC’s Public Reference Room at 100 F Street, N.E., Washington, D.C. 20549. Please call the SEC at 1-800-SEC-0330 for further information on the public reference room. Our SEC filings are also available to the public at the Securities and Exchange Commission’s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also make available free of charge on or through our website our Annual Reports on Form 10-K, Quarterly Reports on Form 10-Q, Current Reports on Form 8-K and any other reports we file under the Securities Exchange Act of 1934, as amended, as well as Section 16 insider holdings reports on Form 3, Form 4, and Form 5, filed by our executive officers and directors and all amendments to these reports, as soon as reasonably practicable after such material is filed electronically with, or furnished to, the SEC. These reports may be found at </w:t>
      </w:r>
      <w:r>
        <w:rPr>
          <w:rFonts w:ascii="Arial" w:cs="Arial" w:eastAsia="Arial" w:hAnsi="Arial"/>
          <w:sz w:val="16"/>
          <w:szCs w:val="16"/>
          <w:i w:val="1"/>
          <w:iCs w:val="1"/>
          <w:color w:val="auto"/>
        </w:rPr>
        <w:t>http://www.casualmale.com</w:t>
      </w:r>
      <w:r>
        <w:rPr>
          <w:rFonts w:ascii="Arial" w:cs="Arial" w:eastAsia="Arial" w:hAnsi="Arial"/>
          <w:sz w:val="16"/>
          <w:szCs w:val="16"/>
          <w:color w:val="auto"/>
        </w:rPr>
        <w:t>. Additionally, our board committee charters, code of ethics, and other corporate governance documents are available on our website and in print to any stockholder who requests them. Please note that our internet address is included in this prospectus supplement as an inactive textual reference and the information included on our website is not incorporated by reference into this prospectus supplement or the accompanying prospectus and should not be considered part of this prospectus supplement or the accompanying prospectus.</w:t>
      </w:r>
    </w:p>
    <w:p>
      <w:pPr>
        <w:spacing w:after="0" w:line="118"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This prospectus supplement and accompanying prospectus are part of a registration statement that we filed with the SEC. This prospectus supplement and accompanying prospectus do not contain all of the information in the registration statement as permitted by the rules and regulations of the SEC. You can obtain a copy of the registration statement and the exhibits to that registration statement from the SEC at the address listed above or from the SEC’s website listed above.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“incorporating by reference” into this prospectus supplement and the accompanying prospectus certain information we file with the SEC, which means that we are disclosing important information to you by referring you to those documents. The information incorporated by reference is deemed to be part of this prospectus supplement and the accompanying prospectus, except as described below. This prospectus supplement incorporates by reference the documents listed below that we have previously filed with the SEC, other than any portions of such documents that are not deemed “filed” under the Securities Exchange Act of 1934, as amended (the “Exchange Act”), in accordance with the Exchange Act and applicable SEC rules:</w:t>
      </w:r>
    </w:p>
    <w:p>
      <w:pPr>
        <w:spacing w:after="0" w:line="156" w:lineRule="exact"/>
        <w:rPr>
          <w:sz w:val="20"/>
          <w:szCs w:val="20"/>
          <w:color w:val="auto"/>
        </w:rPr>
      </w:pPr>
    </w:p>
    <w:p>
      <w:pPr>
        <w:ind w:left="900" w:right="3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January 31, 2009, filed with the SEC on March 23, 2009, as amended by Amendment No. 1 on Form 10-K/A, filed with the SEC on May 29, 2009;</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definitive proxy statement filed with the SEC on July 30,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May 2, 2009, filed with the SEC on May 22,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August 1, 2009, filed with the SEC on August 25,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3, 2009, June 29, 2009, and August 28, 2009; and</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8-A/A (Amendment No. 1), filed with the SEC on August 28, 2009, including any amendments or reports filed for the purpose of updating that description.</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All documents that we file with the SEC pursuant to Section 13(a), 13(c), 14, or 15(d) of the Exchange Act from the date of this prospectus supplement to the end of the offering of the shares of our common stock pursuant to this prospectus supplement shall also be deemed to be incorporated herein by reference (other than any portions of any such documents that are not deemed “filed” under the Exchange Act in accordance with the Exchange Act and applicable SEC rules) and will automatically update information in this prospectus supplement and the accompanying prospectus.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 statements made in this prospectus supplement and the accompanying prospectus or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supplement and the accompanying prospectus or in any other subsequently filed document that is also incorporated or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or the accompanying prospectus.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Investor Relations Department</w:t>
      </w:r>
    </w:p>
    <w:p>
      <w:pPr>
        <w:spacing w:after="0" w:line="9" w:lineRule="exact"/>
        <w:rPr>
          <w:sz w:val="20"/>
          <w:szCs w:val="20"/>
          <w:color w:val="auto"/>
        </w:rPr>
      </w:pPr>
    </w:p>
    <w:p>
      <w:pPr>
        <w:ind w:left="5600" w:right="5160" w:hanging="435"/>
        <w:spacing w:after="0" w:line="517" w:lineRule="auto"/>
        <w:tabs>
          <w:tab w:leader="none" w:pos="5598" w:val="left"/>
        </w:tabs>
        <w:numPr>
          <w:ilvl w:val="0"/>
          <w:numId w:val="3"/>
        </w:numPr>
        <w:rPr>
          <w:rFonts w:ascii="Arial" w:cs="Arial" w:eastAsia="Arial" w:hAnsi="Arial"/>
          <w:sz w:val="16"/>
          <w:szCs w:val="16"/>
          <w:color w:val="auto"/>
        </w:rPr>
      </w:pPr>
      <w:r>
        <w:rPr>
          <w:rFonts w:ascii="Arial" w:cs="Arial" w:eastAsia="Arial" w:hAnsi="Arial"/>
          <w:sz w:val="16"/>
          <w:szCs w:val="16"/>
          <w:color w:val="auto"/>
        </w:rPr>
        <w:t>828-9300 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Casual Male Retail Group, Inc.</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$100,000,000</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Preferred Stock</w:t>
      </w:r>
    </w:p>
    <w:p>
      <w:pPr>
        <w:jc w:val="center"/>
        <w:ind w:right="-39"/>
        <w:spacing w:after="0" w:line="230" w:lineRule="auto"/>
        <w:rPr>
          <w:sz w:val="20"/>
          <w:szCs w:val="20"/>
          <w:color w:val="auto"/>
        </w:rPr>
      </w:pPr>
      <w:r>
        <w:rPr>
          <w:rFonts w:ascii="Arial" w:cs="Arial" w:eastAsia="Arial" w:hAnsi="Arial"/>
          <w:sz w:val="22"/>
          <w:szCs w:val="22"/>
          <w:b w:val="1"/>
          <w:bCs w:val="1"/>
          <w:color w:val="auto"/>
        </w:rPr>
        <w:t>Warrants</w:t>
      </w:r>
    </w:p>
    <w:p>
      <w:pPr>
        <w:jc w:val="center"/>
        <w:ind w:right="-39"/>
        <w:spacing w:after="0" w:line="231" w:lineRule="auto"/>
        <w:rPr>
          <w:sz w:val="20"/>
          <w:szCs w:val="20"/>
          <w:color w:val="auto"/>
        </w:rPr>
      </w:pPr>
      <w:r>
        <w:rPr>
          <w:rFonts w:ascii="Arial" w:cs="Arial" w:eastAsia="Arial" w:hAnsi="Arial"/>
          <w:sz w:val="22"/>
          <w:szCs w:val="22"/>
          <w:b w:val="1"/>
          <w:bCs w:val="1"/>
          <w:color w:val="auto"/>
        </w:rPr>
        <w:t>Purchase Contracts</w:t>
      </w:r>
    </w:p>
    <w:p>
      <w:pPr>
        <w:jc w:val="center"/>
        <w:ind w:right="-39"/>
        <w:spacing w:after="0" w:line="230" w:lineRule="auto"/>
        <w:rPr>
          <w:sz w:val="20"/>
          <w:szCs w:val="20"/>
          <w:color w:val="auto"/>
        </w:rPr>
      </w:pPr>
      <w:r>
        <w:rPr>
          <w:rFonts w:ascii="Arial" w:cs="Arial" w:eastAsia="Arial" w:hAnsi="Arial"/>
          <w:sz w:val="22"/>
          <w:szCs w:val="22"/>
          <w:b w:val="1"/>
          <w:bCs w:val="1"/>
          <w:color w:val="auto"/>
        </w:rPr>
        <w:t>Depositary Shares</w:t>
      </w:r>
    </w:p>
    <w:p>
      <w:pPr>
        <w:jc w:val="center"/>
        <w:ind w:right="-39"/>
        <w:spacing w:after="0" w:line="231" w:lineRule="auto"/>
        <w:rPr>
          <w:sz w:val="20"/>
          <w:szCs w:val="20"/>
          <w:color w:val="auto"/>
        </w:rPr>
      </w:pPr>
      <w:r>
        <w:rPr>
          <w:rFonts w:ascii="Arial" w:cs="Arial" w:eastAsia="Arial" w:hAnsi="Arial"/>
          <w:sz w:val="22"/>
          <w:szCs w:val="22"/>
          <w:b w:val="1"/>
          <w:bCs w:val="1"/>
          <w:color w:val="auto"/>
        </w:rPr>
        <w:t>Rights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prospectus relates to common stock, preferred stock, warrants, purchase contracts, depositary shares, rights and units that we may sell from time to time in one or more offerings up to a total dollar amount of $100,000,000 on terms to be determined at the time of sale. We will provide specific terms of these securities in supplements to this prospectus. You should read this prospectus and any supplement carefully before you invest. This prospectus may not be used to offer and sell securities unless accompanied by a prospectus supplement for those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“CMRG.”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See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August 3, 2009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80" w:type="dxa"/>
            <w:vAlign w:val="bottom"/>
            <w:gridSpan w:val="3"/>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0"/>
            <w:vMerge w:val="restart"/>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2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About Casual Male Retail Group, Inc.</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780" w:type="dxa"/>
            <w:vAlign w:val="bottom"/>
            <w:tcBorders>
              <w:top w:val="single" w:sz="8" w:color="0000EE"/>
            </w:tcBorders>
            <w:gridSpan w:val="11"/>
          </w:tcPr>
          <w:p>
            <w:pPr>
              <w:spacing w:after="0"/>
              <w:rPr>
                <w:sz w:val="17"/>
                <w:szCs w:val="17"/>
                <w:color w:val="auto"/>
              </w:rPr>
            </w:pPr>
          </w:p>
        </w:tc>
        <w:tc>
          <w:tcPr>
            <w:tcW w:w="846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Special Note Regarding Forward-Looking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Ratio of Earnings to Combined Fixed Charges and Preferred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61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The Securities We May Offer</w:t>
              </w:r>
            </w:hyperlink>
          </w:p>
        </w:tc>
        <w:tc>
          <w:tcPr>
            <w:tcW w:w="9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Common Stock</w:t>
              </w:r>
            </w:hyperlink>
          </w:p>
        </w:tc>
        <w:tc>
          <w:tcPr>
            <w:tcW w:w="896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Description of Preferred Stock</w:t>
              </w:r>
            </w:hyperlink>
          </w:p>
        </w:tc>
        <w:tc>
          <w:tcPr>
            <w:tcW w:w="898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Depositary Shares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Warrants</w:t>
              </w:r>
            </w:hyperlink>
          </w:p>
        </w:tc>
        <w:tc>
          <w:tcPr>
            <w:tcW w:w="640" w:type="dxa"/>
            <w:vAlign w:val="bottom"/>
            <w:tcBorders>
              <w:top w:val="single" w:sz="8" w:color="0000EE"/>
            </w:tcBorders>
            <w:gridSpan w:val="4"/>
          </w:tcPr>
          <w:p>
            <w:pPr>
              <w:spacing w:after="0"/>
              <w:rPr>
                <w:sz w:val="17"/>
                <w:szCs w:val="17"/>
                <w:color w:val="auto"/>
              </w:rPr>
            </w:pPr>
          </w:p>
        </w:tc>
        <w:tc>
          <w:tcPr>
            <w:tcW w:w="880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Description of Purchase Contracts</w:t>
              </w:r>
            </w:hyperlink>
          </w:p>
        </w:tc>
        <w:tc>
          <w:tcPr>
            <w:tcW w:w="87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Description of Rights</w:t>
              </w:r>
            </w:hyperlink>
          </w:p>
        </w:tc>
        <w:tc>
          <w:tcPr>
            <w:tcW w:w="96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Units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Certain Anti-Takeover and Indemnification Provisions of our Certificate of Incorporation and By-laws, Shareholder Rights Agreement and Delaware</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Law</w:t>
              </w:r>
            </w:hyperlink>
          </w:p>
        </w:tc>
        <w:tc>
          <w:tcPr>
            <w:tcW w:w="9940" w:type="dxa"/>
            <w:vAlign w:val="bottom"/>
            <w:tcBorders>
              <w:top w:val="single" w:sz="8" w:color="0000EE"/>
            </w:tcBorders>
            <w:gridSpan w:val="17"/>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97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800" w:type="dxa"/>
            <w:vAlign w:val="bottom"/>
            <w:gridSpan w:val="15"/>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Incorporation of Certain Documents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about the Information Presented in this Prospectus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or any applicable prospectus supplement.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You should not assume that the information appearing in this prospectus or any applicable prospectus supplement is accurate as of any date other than the date on the front cover of this prospectus or the applicable prospectus supplement, or that the information contained in any document incorporated by reference is accurate as of any date other than the date of the document incorporated by reference, regardless of the time of delivery of this prospectus or any prospectus supplement or any sale of a security. Our business, financial condition, results of operations and prospects may have changed since such dates.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up to a total dollar amount of $100,000,000. This prospectus provides you with a general description of the securities we may offer. Each time we sell securities, we will provide a prospectus supplement that will contain specific information about the securities being offered and the terms of that offering. The prospectus supplement may also add to, update or change information contained in this prospectus. You should read both this prospectus and any prospectus supplement together with the additional information described under the heading “Where You Can Find More Information” carefully before making an investment decision.</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context otherwise requires, the terms “Casual Male,” “the Company,” “our company,” “we,” “us,” “our” and similar names refer collectively to Casual Male Retail Group, Inc. and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CASUAL MALE RETAIL GROUP, INC.</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the largest specialty retailer of big and tall men’s apparel with retail operations in the United States and London, England and direct businesses throughout the United States, Canada, and Europe. We operate under the trade names of Casual Male XL, Casual Male XL Outlets, Rochester Clothing, B &amp; T Factory Direct, Shoes XL and Living XL. We operate 401 Casual Male XL retail stores, 65 Casual Male XL outlet stores, and 27 Rochester Clothing stores. Our direct business includes several catalogs and e-commerce sites which support our brands and product extensions.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incorporated in the state of Delaware. Our principal executive offices are located at 555 Turnpike Street, Canton, MA 02021. Our telephone number is (781) 828-9300. Our Internet address is www.casualmaleXL.com. Information contained on our website or that is accessible through our website should not be considered to be part of this prospectus.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Investing in our securities involves significant risks. Please see the risk factors under the heading “Risk Factors” in our most recent Annual Report on Form 10-K, as revised or supplemented by our Quarterly Reports on Form 10-Q filed with the SEC since the filing of our most recent Annual Report on Form 10-K, each of which are on file with the SEC and are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prospectus includes and incorporates forward-looking statements within the meaning of Section 27A of the Securities Act of 1933, as amended (the “Securities Act”), and Section 21E of the Securities Exchange Act of 1934, as amended (the “Exchange Act”). We intend such forward-looking statements to be covered by the safe harbor provisions for forward-looking statements contained in the United States Private Securities Litigation Reform Act of 1995. All statements, other than statements of historical facts, included or incorporated in this prospectus regarding our strategy, future operations, financial position, future revenues, projected costs, prospects, plans and objectives of management are forward-looking statements. The words “anticipates,” “believes,” “estimates,” “expects,” “intends,” “may,” “plans,” “projects,” “will,” “would” and similar expressions are intended to identify forward-looking statements, although not all forward-looking statements contain these identifying words. We cannot guarantee that we actually will achieve the plans, intentions or expectations disclosed in our forward-looking statements and you should not place undue reliance on our forward-looking statements. There are a number of important factors that could cause our actual results to differ materially from those indicated by these forward-looking statements. These important factors include the factors that we identify in the documents we incorporate by reference in this prospectus, as well as other information we include or incorporate by reference in this prospectus and any prospectus supplement. See “Risk Factors.” You should read these factors and other cautionary statements made in this prospectus and any accompanying prospectus supplement, and in the documents we incorporate by reference as being applicable to all related forward-looking statements wherever they appear in the prospectus and any accompanying prospectus supplement, and in the documents incorporated by reference. We do not assume any obligation to update any forward-looking statements made by us.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DIVIDENDS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following table sets forth the ratio of earnings to combined fixed charges and preferred dividends for each of the last five fiscal years and for the three months ended May 2, 2009. In calculating these ratios, earnings include pre-tax income from continuing operations before adjustment for minority interest in consolidated subsidiaries plus fixed charges and exclude equity in net income of our affiliates. Fixed charges include gross interest expense, amortization of deferred financing expenses and an amount equivalent to interest included in rental charges. We have assumed that one-third of rental expense is representative of the interest factor. We have had no shares of preferred stock outstanding since August 2002 and, accordingly, have not paid any dividends on preferred shares during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Fiscal</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10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May 2, 2009</w:t>
            </w:r>
          </w:p>
        </w:tc>
        <w:tc>
          <w:tcPr>
            <w:tcW w:w="2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4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 Preferred Dividends (1)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fiscal year 2008, earnings were not sufficient to cover fixed charges by approximately $79.4 million. Results for fiscal 2008 included non-cash charges totaling approximately $71.4 million for the impairment of goodwill, trademarks and certain fixed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currently intend to use the estimated net proceeds from the sale of these securities for working capital and other general corporate purposes, including, without limitation, repaying debt, and possibly acquisitions of other businesses. Working capital and other general corporate purposes may include repaying debt, making capital expenditures, funding general and administrative expenses and any other purpose that we may specify in any prospectus supplement. We have not yet determined the amount of net proceeds to be used specifically for any of the foregoing purposes. Accordingly, our management will have significant discretion and flexibility in applying the net proceeds from the sale of these securities. Pending any use, as described above, we intend to invest the net proceeds in high-quality, short-term, interest-bearing securities. Our plans to use the estimated net proceeds from the sale of these securities may change, and if they do, we will update this information in a prospectus supplement.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WE MAY OFFER</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from time to time, in one or more offerings:</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depositary shares or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rights to purchase common stock, preferred stock, depositary shares or warrants;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units comprised of common stock, preferred stock, depositary shares, warrants and purchase contracts in any combination.</w:t>
      </w:r>
    </w:p>
    <w:p>
      <w:pPr>
        <w:spacing w:after="0" w:line="17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 this prospectus, we refer to the common stock, preferred stock, depositary shares, warrants, purchase contracts, rights and units collectively as “securities.” The total dollar amount of all securities that we may issue will not exceed $100,000,000.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is a description of the material terms and provisions of our common stock. It may not contain all the information that is important to you. You can access complete information by referring to our restated certificate of incorporation and bylaws, each as amended to date, which we refer to as our “certificate of incorporation” and “bylaws.”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Delaware corporation. Under our certificate of incorporation, we have authority to issue 75,000,000 shares of common stock, par value $0.01 per share. As of May 30, 2009, there were 42,107,670 shares of common stock issued and outstanding. All shares of common stock will, when issued, be duly authorized, fully paid and nonassessable. Accordingly, the full price for the outstanding shares of common stock will have been paid at issuance and any holder of our common stock will not be later required to pay us any additional money for such common stock.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of May 30, 2009:</w:t>
      </w:r>
    </w:p>
    <w:p>
      <w:pPr>
        <w:spacing w:after="0" w:line="90" w:lineRule="exact"/>
        <w:rPr>
          <w:sz w:val="20"/>
          <w:szCs w:val="20"/>
          <w:color w:val="auto"/>
        </w:rPr>
      </w:pPr>
    </w:p>
    <w:p>
      <w:pPr>
        <w:ind w:left="900" w:right="3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outstanding warrants to purchase an aggregate of up to 1,058,000 shares of our common stock at a weighted average exercise price of $6.36 per share;</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an aggregate of 3,838,051 shares of our common stock subject to outstanding stock options at a weighted average exercise price of $4.73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1,062,887 shares of our common stock were reserved for future issuances under our stock option plan;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657,500 shares of unvested restricted stock are subject to outstanding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Subject to the prior rights of any series of preferred stock which may from time to time be outstanding, the holders of our common stock are entitled to receive such dividends, if any, as may be declared from time to time by our board of directors out of legally available funds.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plurality of the votes cast at a meeting of stockholders at which a quorum is present is sufficient to elect a director.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Its address is 59 Maiden Lane, Plaza Level, New York, NY 10038.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“CMRG.”</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240" w:top="459" w:right="5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1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following is a description of the material terms and provisions of our preferred stock. It may not contain all the information that is important to you. You can access complete information by referring to our certificate of incorporation and bylaws and to any applicable amendment to the certificate of incorporation designating terms of a series of preferred stock, including, without limitation, certificates of designation.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our certificate of incorporation, we have authority to issue 1,000,000 shares of preferred stock, par value $.01 per share, of which 50,000 shares have been designated as “Series A Junior Participating Preferred Stock,” as discussed below.</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December 8, 2008, our board of directors adopted a Shareholder Rights Agreement, or the Rights Agreement, under which our board of directors authorized and declared a dividend of one preferred stock purchase right for each share of our common stock. Each right entitles the registered holder to purchase from us one one-thousandth of a share of Series A Junior Participating Preferred Stock at a purchase price of $5.00 per share, subject to adjustment. The rights become exercisable upon the occurrence of certain events and may make the acquisition of our company more difficult and expensive. Under the terms of the original Rights Agreement (prior to the amendment discussed below), in the event a person or group obtains beneficial ownership of 15% or more of our common stock, then under certain circumstances holders of the rights will have the ability to purchase, for the $5.00 purchase price, as adjusted, either (i) a number of shares of our common stock having a market value of twice the purchase price or (ii) in the event of a business combination or sale in which we are not the surviving corporation, a number of shares of common stock of the surviving corporation having a market value of twice the purchase price. The rights will expire at the close of business on December 8, 2009, unless earlier redeemed or exchanged by us.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June 29, 2009, in order to help preserve and maximize the long-term value of our net operating loss carryforwards and related tax benefits, we amended the Rights Agreement to, among other things, reduce the triggering beneficial ownership threshold from 15% of our outstanding common stock to 5% of our securities, as defined therein, and otherwise expand the definition of “Acquiring Person” to include persons or groups that would be considered “5-percent shareholders” under Section 382 of the Internal Revenue Code of 1986, as amended, and the Treasury Regulations thereunder. The amendment is effective until the earlier of (i) the date immediately following the date of our 2009 annual meeting of stockholders and (ii) August 31, 2009. After that date, the triggering threshold would again be 15% of our outstanding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Rights Agreement may delay or prevent an acquisition of us that stockholders may consider favorable, which could decrease the value of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have any shares of preferred stock outstanding as of the date of this prospectus. Shares of preferred stock may be issued from time to time, in one or more series, as authorized by our board of directors. Prior to the issuance of shares of each series, the board of directors is required by the Delaware General Corporation Law and our certificate of incorporation to fix, for each series, the designations, powers and preferences and the relative, participating, optional or other special rights of the shares of each series and any qualifications, limitations and restrictions thereof, as are permitted by Delaware law. Our board of directors could authorize the issuance of shares of preferred stock with terms and conditions that could have the effect of discouraging a takeover or other transactions that holders of common stock might believe to be in their best interests or in which holders of some, or a majority, of the shares of common stock might receive a premium for their shares over the then market price of such shares of common stock. When issued, the preferred stock will be fully paid and nonassessable and will have no preemptive rights.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If we decide to issue any preferred stock pursuant to this prospectus, we will describe in a prospectus supplement the terms of the preferred stock, including, if applicable, the following:</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series and stated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of the series of preferred stock offered, the liquidation preference per share, if applicable, and the offering price;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dividend rate(s) or amount(s), period(s) and payment date(s) or method(s)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from which dividends on the preferred stock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procedures for auction and remarketing;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for a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applicable provision for redemption and the price or prices, terms and conditions on which preferred stock may be redeemed;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securities exchange listing;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voting rights and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applicable, of conversion into shares of our common stock, including the conversion price or rate or manner of calculation thereof;</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relative ranking and preference as to dividend rights and rights upon our liquidation, dissolution or the winding up of our affairs;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stock ranking senior to or on a parity with such series of preferred stock as to dividend rights and rights upon our liquidation, dissolution or the winding up of our affairs;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such series of preferred stock.</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DEPOSITARY SHARES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issue receipts for depositary shares representing fractional shares of preferred stock. The fractional share of the applicable series of preferred stock represented by each depositary share will be set forth in the applicable prospectus supplement.</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shares of any series of preferred stock underlying any depositary shares that we may sell under this prospectus will be deposited under a deposit agreement between us and a depositary selected by us. Subject to the terms of the deposit agreement, each holder of a depositary share will be entitled, in proportion to the applicable fraction of a share of the preferred stock underlying the depositary share, to all of the rights, preferences, and privileges, and will be subject to the qualifications and restrictions, of the preferred stock underlying that depositary share.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depositary shares will be evidenced by depositary receipts issued under the deposit agreement. Depositary receipts will be distributed to the holders of the depositary shares that are sold in the applicable offering. We will incorporate by reference into the registration statement of which this prospectus is a part the form of any deposit agreement, including a form of depositary receipt, that describes the terms of any depositary shares we are offering before the issuance of the related depositary shares. The following summaries of material provisions of the deposit agreement, the depositary shares, and the depositary receipts are subject to, and qualified in their entirety by reference to, all of the provisions of the deposit agreement applicable to a particular offering of depositary shares. We urge you to read the prospectus supplements relating to any depositary shares that are sold under this prospectus, as well as the complete deposit agreement and depositary receipt.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Pending the preparation of definitive depositary receipts, the depositary may, upon our written order, issue temporary depositary receipts substantially identical to the definitive depositary receipts but not in definitive form. These temporary depositary receipts will entitle their holders to all of the rights of definitive depositary receipts. Temporary depositary receipts will then be exchangeable for definitive depositary receipts at our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depositary will distribute all cash dividends or other cash distributions received with respect to the underlying preferred stock to the record holders of depositary shares in proportion to the number of depositary shares owned by those holders.</w:t>
      </w:r>
    </w:p>
    <w:p>
      <w:pPr>
        <w:spacing w:after="0" w:line="132"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If there is a distribution other than in cash, the depositary will distribute property received by it to the record holders of depositary shares in proportion to the number of depositary shares owned by those holders, unless the depositary determines that it is not feasible to do so. If this occurs, the depositary may, with our approval, sell the property and distribute the net proceeds from the sale to those holders in proportion to the number of depositary shares owned by them.</w:t>
      </w:r>
    </w:p>
    <w:p>
      <w:pPr>
        <w:spacing w:after="0" w:line="88"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preferred stock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Underlying Preferred Stock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Except as otherwise provided in a prospectus supplement, holders may surrender depositary receipts at the principal office of the depositary and, upon payment of any unpaid amount due to the depositary, be entitled to receive the number of whole shares of underlying preferred stock and all money and other property represented by the related depositary shares. We will not issue any partial shares of preferred stock. If the holder delivers depositary receipts evidencing a number of depositary shares that represent more than a whole number of shares of preferred stock, the depositary will issue a new depositary receipt evidencing the excess number of depositary shares to the 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preferred stock underlying any depositary shares we may sell under this prospectus is subject to redemption, the depositary shares will be redeemed from the proceeds received by the depositary resulting from any such redemption, in whole or in part, of that underlying preferred stock. The redemption price per depositary share will be equal to the applicable fraction of the redemption price per share payable with respect to the underlying preferred stock. Whenever we redeem shares of underlying preferred stock that are held by the depositary, the depositary will redeem, as of the same redemption date, the number of depositary shares representing the shares of underlying preferred stock so redeemed. If fewer than all of the depositary shares are to be redeemed, the depositary shares to be redeemed will be selected by lot or proportionately, as may be determined by the depositary.</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After the date fixed for redemption, the depositary shares called for redemption will no longer be deemed to be outstanding, and all rights of the holders of the depositary shares will cease, except the right to receive the monies payable and any other property to which the holders were entitled upon the redemption upon surrender to the preferred stock depositary of the depositary receipts evidencing the depositary shares. Any funds deposited by us with the preferred stock depositary for any depositary shares that the holders fail to redeem will be returned to us after a period of two years from the date the funds are deposited.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receipt of notice of any meeting at which holders of the preferred stock underlying any depositary shares that we may sell under this prospectus are entitled to vote, the depositary will mail the information contained in the notice to the record holders of the depositary shares. Each record holder of the depositary shares on the record date, which will be the same date as the record date for the underlying preferred stock, will be entitled to instruct the depositary as to the exercise of the voting rights pertaining to the amount of the underlying preferred stock represented by the holder’s depositary shares. The depositary will then try, as far as practicable, to vote the number of shares of preferred stock underlying those depositary shares in accordance with those instructions, and we will agree to take all reasonable actions which may be deemed necessary by the depositary to enable the depositary to do so. The depositary will not vote the underlying preferred stock to the extent it does not receive specific instructions with respect to the depositary shares representing such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Preferred Stock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the prospectus supplement relating to any depositary shares that we may sell under this prospectus states that the underlying preferred stock is convertible into our common stock or other securities, the following will apply. The depositary shares, as such, will not be convertible into any of our securities. Rather, any holder of the depositary shares may surrender the related depositary receipts to the depositary with written instructions that direct us to cause conversion of the preferred stock represented by the depositary shares into or for whole shares of our common stock or other securities, as applicable. Upon receipt of those instructions and any amounts payable by the holder in connection with the conversion, we will cause the conversion using the same procedures as those provided for conversion of the underlying preferred stock. If only some of a holder’s depositary shares are converted, a new depositary receipt or receipts will be issued to the holder for any depositary shares not converted.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at any time be amended by agreement between us and the depositary. However, any amendment which materially and adversely alters the rights of the holders of depositary shares will not be effective until 90 days after notice of that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amendment has been given to the holders. Each holder of depositary shares at the time any amendment becomes effective shall be deemed to consent and agree to that amendment and to be bound by the deposit agreement as so amended. The deposit agreement may be terminated by us or by the depositary only if all outstanding depositary shares have been redeemed or converted into any other securities into which the underlying preferred stock is convertible or there has been a final distribution, including to holders of depositary receipts, of the underlying preferred stock in connection with our liquidation, dissolution, or winding 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 We will also pay charges of the depositary in connection with the initial deposit of the preferred stock, the initial issuance of the depositary shares, any redemption of the preferred stock, and all withdrawals of preferred stock by owners of depositary shares. Holders of depositary receipts will pay transfer, income, and other taxes and governmental charges and other specified charges as provided in the deposit arrangement for their accounts. If these charges have not been paid, the depositary may refuse to transfer depositary shares, withhold dividends and distributions, and sell the depositary shares evidenced by the depositary receipt.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Neither we nor the depositary will be liable if either of us is prevented or delayed by law or any circumstance beyond our control in performing our respective obligations under the deposit agreement. Our obligations and those of the depositary will be limited to performance of our respective duties under the deposit agreement without, in our case, negligence or bad faith or, in the case of the depositary, negligence or willful misconduct. We and the depositary may rely upon advice of counsel or accountants, or upon information provided by persons presenting the underlying preferred stock for deposit, holders of depositary receipts, or other persons believed by us in good faith to be competent and on documents believed to be genuine.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Trust Office of Preferred Stock Depositary</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preferred stock depositary’s corporate trust office will be set forth in the applicable prospectus supplement relating to a series of depositary shares. The preferred stock depositary will act as transfer agent and registrar for depositary receipts, and, if shares of a series of preferred stock are redeemable, the preferred stock depositary will act as redemption agent for the corresponding depositary receipts.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depositary may resign at any time by delivering notice to us of its election to resign. We may remove the depositary at any time. Any resignation or removal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Holders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will deliver all required reports and communications to holders of the preferred stock to the preferred stock depositary, and it will forward those reports and communications to the holders of depositary shares. Upon request, the preferred stock depositary will provide for inspection to the holders of depositary shares the transfer books of the depositary and the list of holders of receipts; provided that any requesting holder certifies to the preferred stock depositary that such inspection is for a proper purpose reasonably related to such person’s interest as an owner of depositary shares evidenced by the receipts.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may issue warrants for the purchase of common stock, preferred stock, depositary shares or units. Warrants may be issued independently or together with common stock, preferred stock, depositary shares or units, and the warrants may be attached to or separate from such securities. We may issue warrants directly or under a warrant agreement to be entered into between us and a warrant agent. We will name any warrant agent in the applicable prospectus supplement. Any warrant agent will act solely as our agent in connection with the warrants of a particular series and will not assume any obligation or relationship of agency or trust for or with any holders or beneficial owners of warrants.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any applicable warrant agreement, including, where applicable, the following:</w:t>
      </w:r>
    </w:p>
    <w:p>
      <w:pPr>
        <w:spacing w:after="0" w:line="2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designation and terms of the securities with which the warrants are issued and the number of warrants issued with each such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and after which the warrants and the related securities will be separately transferable;</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depositary shares or units, as the case may be, purchasable upon the exercise of one warrant and the price at which these securities may be purchased upon such exercise;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of holding or exercising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issue purchase contracts, including contracts obligating holders to purchase from us, and for us to sell to holders, a specific or varying number of shares of common stock or preferred stock, depositary shares, warrants, or any combination of the above, at a future date or dates. Alternatively, the purchase contracts may obligate us to purchase from holders, and obligate holders to sell to us, a specific or varying number of shares of common stock or preferred stock, depositary shares, warrants, or any combination of the above. The price of the securities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the other securities described in this prospectus or securities of third parties, including U.S. Treasury securities, securing the holder’s obligations under the purchase contract. If we issue a purchase contract as part of a unit, the applicable prospectus supplement will state whether the purchase contract will be separable from the other securities in the unit before the purchase contract settlement date.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 and in certain circumstances, we may deliver newly issued prepaid purchase contracts, often known as prepaid securities, upon release to a holder of any collateral securing such holder’s obligations under the original purchase contract.</w:t>
      </w:r>
    </w:p>
    <w:p>
      <w:pPr>
        <w:spacing w:after="0" w:line="1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51" w:lineRule="exact"/>
        <w:rPr>
          <w:sz w:val="20"/>
          <w:szCs w:val="20"/>
          <w:color w:val="auto"/>
        </w:rPr>
      </w:pPr>
    </w:p>
    <w:p>
      <w:pPr>
        <w:ind w:left="900" w:right="34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purchase contracts will be issued as part of a unit and, if so, the other securities comprising the unit;</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Material U.S. federal income tax consideration applicable to the purchase contracts will also be discussed in the applicable prospectus supplement.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RIGHTS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rights to purchase common stock, preferred stock, depositary shares warrants that we may offer to our securityholders.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number of rights issued and the aggregate number of shares of common stock, preferred stock, depositary shares or warrants purchasable upon exercise of the rights;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applicable federal income tax considerations.</w:t>
      </w:r>
    </w:p>
    <w:p>
      <w:pPr>
        <w:spacing w:after="0" w:line="17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Each right would entitle the holder of the rights to purchase for cash the amount of shares of common stock, preferred stock, depositary shares or warrants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depositary shares and/or warrants offered by any prospectus supplement, and may be attached to or separate from those securities.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issue units consisting of common stock, preferred stock, depositary shares, warrants, or any combination thereof.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90" w:lineRule="exact"/>
        <w:rPr>
          <w:sz w:val="20"/>
          <w:szCs w:val="20"/>
          <w:color w:val="auto"/>
        </w:rPr>
      </w:pPr>
    </w:p>
    <w:p>
      <w:pPr>
        <w:ind w:left="900" w:right="3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provisions described in this section, as well as those described under “Description of Common Stock,” “Description of Preferred Stock,” “Description of Depositary Shares,” “Description of Warrants,” “Description of Purchase Contracts” and “Description of Units” will apply to each unit and to any common stock, preferred stock, depositary share or warrant included in each unit,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without the consent of the related unit agent or the holder of any other unit, may enforce by appropriate legal action its rights as holder under any security included in the unit.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ANTI-TAKEOVER AND INDEMNIFICATION PROVISIONS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CERTIFICATE OF INCORPORATION AND BY-LAWS, SHAREHOLDER RIGHTS AGREEMENT AND DELAWARE LAW</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is a summary of certain anti-takeover and indemnification provisions of Delaware law, our certificate of incorporation and bylaws and our Shareholder Rights Agreement, as amended, which affect us and our stockholders. The description below is intended as only a summary. You can access complete information by referring to Delaware General Corporation Law, our certificate of incorporation and bylaws, and our Shareholder Rights Agreement, as amended, and the following summary is qualified in its entirety by reference to such documents and the applicable provisions of the Delaware General Corporation Law.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by-laws provide that, except as otherwise required by law and subject to the rights, if any, of the holders of any series of preferred stock, only our board of directors may call a special meeting of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Director Nominations and Stockholder Proposals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by-laws include advance notice and informational requirements and time limitations on any director nomination or any new proposal which a stockholder wishes to make at an annual meeting of stockholders. Generally, a stockholder’s notice of a director nomination or proposal will be timely if delivered to our corporate secretary at our principal executive offices not later than the close of business on the 75th day nor earlier than the close of business on the 120th day prior to the first anniversary of the preceding year’s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have shares of preferred stock available for future issuance without stockholder approval, except to the extent holders of preferred stock have a consent right under the terms of their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Purchase Rights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December 8, 2008, our board of directors adopted a Shareholder Rights Agreement, or the Rights Agreement, under which our board of directors authorized and declared a dividend of one preferred stock purchase right for each share of our common stock. Each right entitles the registered holder to purchase from us one one-thousandth of a share of Series A Junior Participating Preferred Stock at a purchase price of $5.00 per share, subject to adjustment. The rights become exercisable upon the occurrence of certain events and may make the acquisition of our company more difficult and expensive. Under the terms of the original Rights Agreement (prior to the amendment discussed below), in the event a person or group obtains beneficial ownership of 15% or more of our common stock, then under certain circumstances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of the rights will have the ability to purchase, for the $5.00 purchase price, as adjusted, either (i) a number of shares of our common stock having a market value of twice the purchase price or (ii) in the event of a business combination or sale in which we are not the surviving corporation, a number of shares of common stock of the surviving corporation having a market value of twice the purchase price. The rights will expire at the close of business on December 8, 2009, unless earlier redeemed or exchanged by us.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June 29, 2009, in order to help preserve and maximize the long-term value of our net operating loss carryforwards and related tax benefits, we amended the Rights Agreement to, among other things, reduce the triggering beneficial ownership threshold from 15% of our outstanding common stock to 5% of our securities, as defined therein, and otherwise expand the definition of “Acquiring Person” to include persons or groups that would be considered “5-percent shareholders” under Section 382 of the Internal Revenue Code of 1986, as amended, and the Treasury Regulations thereunder. The amendment is effective until the earlier of (i) the date immediately following the date of our 2009 annual meeting of stockholders and (ii) August 31, 2009. After that date, the triggering threshold would again be 15% of our outstanding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Rights Agreement may delay or prevent an acquisition of us that stockholders may consider favorable, which could decrease the value of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66" w:lineRule="exact"/>
        <w:rPr>
          <w:sz w:val="20"/>
          <w:szCs w:val="20"/>
          <w:color w:val="auto"/>
        </w:rPr>
      </w:pPr>
    </w:p>
    <w:p>
      <w:pPr>
        <w:ind w:left="900" w:right="3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5"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existence of this provision may have an anti-takeover effect with respect to transactions our board of directors does not approve in advance.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203 may also discourage attempts that might result in a premium over the market price for the shares of common stock held by stockholders.</w:t>
      </w:r>
    </w:p>
    <w:p>
      <w:pPr>
        <w:spacing w:after="0" w:line="18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These provisions of Delaware law and our certificate of incorporation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90"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Section 145 of the Delaware General Corporation Law (“DGCL”) empowers a Delaware corporation to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was an officer or director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officer or director acted in good faith and in a manner he reasonably believed to be in or not opposed to the corporation’s best interests, and, for criminal proceedings, had no reasonable cause to believe his conduct was illegal.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his duty. Where an officer or director is successful on the merits or otherwise in the defense of any action referred to above, the corporation must indemnify him against the expenses which such officer or director actually and reasonably incurred.</w:t>
      </w:r>
    </w:p>
    <w:p>
      <w:pPr>
        <w:spacing w:after="0" w:line="10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certificate of incorporation and bylaws provide that we will indemnify, to the fullest extent permitted by the DGCL, each director or officer of our company, whom we refer to as an “Indemnitee.” Such indemnification includes payment by us, in advance of the final disposition of a civil or criminal action, suit, or proceeding, of expenses incurred by a director or officer in defending such action, suit, or proceeding upon receipt of any undertaking by or on behalf of such director or officer to repay such payment if it is ultimately determined that he or she is not entitled to be indemnified by us.</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Under Delaware law, to the extent that an Indemnitee is successful on the merits in defense of a suit or proceeding brought against him or her by reason of the fact that he or she is or was a director, officer, or agent of our company, or serves or served any other enterprise or organization at the request of our company, we shall indemnify him or her against expenses (including attorneys’ fees) actually and reasonably incurred in connection with such action.</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unsuccessful in defense of a third-party civil suit or a criminal suit, or if such a suit is settled, an Indemnitee may be indemnified under Delaware law against both (i) expenses, including attorney’s fees, and (ii) judgments, fines, and amounts paid in settlement if he or she acted in good faith and in a manner he or she reasonably believed to be in, or not opposed to, the best interests of our company, and, with respect to any criminal action, had no reasonable cause to believe his or her conduct was unlawful.</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unsuccessful in defense of a suit brought by or in the right of our company, where the suit is settled, an Indemnitee may be indemnified under Delaware law only against expenses (including attorneys’ fees) actually and reasonably incurred in the defense or settlement of the suit if he or she acted in good faith and in a manner he or she reasonably believed to be in, or not opposed to, the best interests of our company except that if the Indemnitee is adjudged to be liable for negligence or misconduct in the performance of his or her duty to our company, he or she cannot be made whole even for expenses unless a court determines that he or she is fully and reasonably entitled to indemnification for such expenses.</w:t>
      </w:r>
    </w:p>
    <w:p>
      <w:pPr>
        <w:spacing w:after="0" w:line="11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Also under Delaware law, expenses incurred by an officer or director in defending a civil or criminal action, suit, or proceeding may be paid by our company in advance of the final disposition of the suit, action, or proceeding upon receipt of an undertaking by or on behalf of the officer or director to repay such amount if it is ultimately determined that he or she is not entitled to be indemnified by our company. We may also advance expenses incurred by other employees and agents of our company upon such terms and conditions, if any, that our board of directors of the registrant deems appropriate.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the SEC’s Position on Indemnification for Securities Act Liabilities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by us for liabilities arising under the Securities Act may be permitted to our directors, officers and controlling persons pursuant to the provisions referenced in Item 14 of this registration statement, or otherwise, we have been advised that in the opinion of the Securities and Exchange Commission such indemnification is against public policy as expressed in the Securities Act and is, therefore, unenforceable. If a claim for indemnification against such liabilities (other than the payment by us of expenses incurred or paid by one of our directors, officers, or controlling persons in the successful defense of any action, suit or proceeding) is asserted by a director, officer, or controlling person in connection with the securities being registered hereunder,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being offered hereby in one or more of the following ways from time to time:</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one or more underwriters or dealers for resale to the public or to investors;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to or through a market maker or into an existing trading market, or an exchange or otherwise;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directly to investors in privately negotiated transactions;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that we distribute by any of these methods may be sold, in one or more transactions, at:</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a prospectus supplement the terms of the offering of our securities, including:</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price of our securities being offered and the proceeds we will receive from the sale;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agency fees or underwriting discounts and commissions and other items constituting agents’ or underwriters’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securities exchanges on which such common stock may be listed.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offered if they purchase any of the securities offered. We may change from time to time any initial public offering price and any discounts or concessions the underwriters allow or reallow or pay to dealers. We may use underwriters with whom we have a material relationship. We will describe in the prospectus supplement naming the underwriters the nature of any such relationship.</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principal amount of the securities less the principal amount thereof covered by the contracts. The underwriters and such other agents will not have any responsibility in respect of the validity or performance of such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may designate agents who agree to use their reasonable efforts to solicit purchases for the period of their appointment or to sell securities on a continuing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established trading market, other than our common stock, which is traded on the Nasdaq Capital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Activities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Shorts sales involve the sale by the underwriters of a greater number of securities than they are required to purchase in the offering. “Covered” short sales are sales made in an amount not greater than the underwriters’ option to purchase additional securities from us, if any,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effect the price of the securities to the extent that it discourages resale of the securities. The magnitude or effect of any stabilization or other transactions is uncertain. These transactions may be effected on the Nasdaq Capital Market or otherwise and, if commenced, may be discontinued at any time.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consolidated financial statements of Casual Male Retail Group, Inc. included in our Annual Report on Form 10-K, as amended, for the fiscal year ended January 31, 2009, and the effectiveness of our internal control over financial reporting as of January 31, 2009 have been audited by Ernst &amp; Young LLP, independent registered public accounting firm, as set forth in their reports thereon, included therein, and incorporated herein by reference in this prospectus and elsewhere in the registration statement. Such consolidated financial statements are incorporated herein by reference in reliance upon such reports given on the authority of said firm as experts in accounting and auditing.</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our counsel, Greenberg Traurig, LLP, Boston, Massachusetts. If the securities are distributed in an underwritten offering, certain legal matters will be passed upon for the underwriters by counsel identified in the applicable prospectus supplement.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We file reports, proxy statements and other documents with the SEC. You may read and copy any document we file at the SEC’s public reference room at 100 F Street, N.E., Room 1580, Washington, DC 20549. You should call 1-800-SEC-0330 for more information on the operation of the public reference room. Our SEC filings are also available to you on the SEC’s Internet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The SEC’s Internet site contains reports, proxy and information statements, and other information regarding issuers that file electronically with the SEC.</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 at the address listed above or from the SEC’s Internet site.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Internet address is www.casualmaleXL.com. The information on our Internet website is not incorporated by reference in this prospectus.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In addition, all documents and reports which we file pursuant to Section 13(a), 13(c), 14 or 15(d) of the Exchange Act after the date of this prospectus are incorporated by reference in this prospectus as of the respective filing dates of these documents and reports.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 filing:</w:t>
      </w:r>
    </w:p>
    <w:p>
      <w:pPr>
        <w:spacing w:after="0" w:line="113"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Annual Report on Form 10-K, as amended, for the fiscal year ended January 31,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May 2,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3, 2009 and June 29,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Preliminary Proxy Statement on Schedule 14A filed with the SEC on June 18, 2009;</w:t>
      </w:r>
    </w:p>
    <w:p>
      <w:pPr>
        <w:spacing w:after="0" w:line="90" w:lineRule="exact"/>
        <w:rPr>
          <w:rFonts w:ascii="Arial" w:cs="Arial" w:eastAsia="Arial" w:hAnsi="Arial"/>
          <w:sz w:val="18"/>
          <w:szCs w:val="18"/>
          <w:color w:val="auto"/>
        </w:rPr>
      </w:pPr>
    </w:p>
    <w:p>
      <w:pPr>
        <w:ind w:left="900" w:right="8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filings pursuant to the Exchange Act after the date of filing the initial registration statement and prior to the effectiveness of the registration statement;</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May 27, 1987, and any amendments or reports filed for the purpose of updating that description; and</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preferred stock purchase rights contained in our Registration Statement on Form 8-A filed December 9, 2008, as amended by our Registration Statement on Form 8-A/A filed June 29, 2009, and any further amendments or reports filed for the purpose of updating that description.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documents, which will be provided to you at no cost, by contacting: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(781) 828-9300</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should rely only on the information contained in this prospectus, including information incorporated by reference as described above, or any prospectus supplement that we have specifically referred you to. We have not authorized anyone else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205740</wp:posOffset>
            </wp:positionV>
            <wp:extent cx="3430270" cy="866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3027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4,950,000 Shares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324485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Prospective investors may rely only on the information contained in, or incorporated by reference into, this prospectus supplement and the accompanying prospectus. We have not authorized anyone to provide prospective investors with different or additional information. This prospectus supplement and the accompanying prospectus is not an offer to sell nor is it seeking an offer to buy shares of our common stock in any jurisdiction where the offer or sale is not permitted. The information contained in this prospectus supplement and the accompanying prospectus is correct only as of the date of this prospectus supplement, regardless of the time of the delivery of this prospectus supplement or any sale of these securities. You should not assume that the information contained in, or incorporated by reference into, this document is accurate as of any date after the respective dates of the documents containing the information. Our business, financial condition, results of operations and prospects may have changed since that date.</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78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2019-12-10T07:09:39Z</dcterms:created>
  <dcterms:modified xsi:type="dcterms:W3CDTF">2019-12-10T07:09:39Z</dcterms:modified>
</cp:coreProperties>
</file>