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22,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1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216"/>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3"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4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1" w:lineRule="exact"/>
        <w:rPr>
          <w:sz w:val="24"/>
          <w:szCs w:val="24"/>
          <w:color w:val="auto"/>
        </w:rPr>
      </w:pPr>
    </w:p>
    <w:p>
      <w:pPr>
        <w:ind w:right="20"/>
        <w:spacing w:after="0" w:line="290" w:lineRule="auto"/>
        <w:rPr>
          <w:sz w:val="20"/>
          <w:szCs w:val="20"/>
          <w:color w:val="auto"/>
        </w:rPr>
      </w:pPr>
      <w:r>
        <w:rPr>
          <w:rFonts w:ascii="Arial" w:cs="Arial" w:eastAsia="Arial" w:hAnsi="Arial"/>
          <w:sz w:val="16"/>
          <w:szCs w:val="16"/>
          <w:color w:val="auto"/>
        </w:rPr>
        <w:t>Explanatory Note: The Reporting Person was initially eligible to report its beneficial ownership on Schedule 13G and made filings pursuant thereto. On September 11, 2018, the Reporting Person filed Amendment No. 12 on Schedule 13D/A to report, among other things, his interest in joining the Board of Directors of the Issuer. On September 17, 2018, the Reporting Person filed Amendment No. 13 on Schedule 13D/A to amend and supplement certain information in Amendment No. 12. This Amendment No. 14 to Schedule 13G/A is being filed to disclose that the Reporting Person has advised the Issuer that he has withdrawn his interest in serving on the Board of Directors of the Issuer. Annexed hereto as an exhibit is a letter sent by the Reporting Person to the Board of Directors of the Issuer, dated April 22, 2019, to such effect. The Reporting Person has not acquired the securities with any purpose, or with the effect, of changing or influencing the control of the Issuer, or in connection with or as a participant in any transaction having that purpose or effect, including any transaction subject to § 240.13d-3(b), other than activities solely in connection with a nomination under § 240.14a-11.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183515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620" w:type="dxa"/>
            <w:vAlign w:val="bottom"/>
            <w:gridSpan w:val="2"/>
          </w:tcPr>
          <w:p>
            <w:pPr>
              <w:ind w:left="80"/>
              <w:spacing w:after="0"/>
              <w:rPr>
                <w:sz w:val="20"/>
                <w:szCs w:val="20"/>
                <w:color w:val="auto"/>
              </w:rPr>
            </w:pPr>
            <w:r>
              <w:rPr>
                <w:rFonts w:ascii="Arial" w:cs="Arial" w:eastAsia="Arial" w:hAnsi="Arial"/>
                <w:sz w:val="18"/>
                <w:szCs w:val="18"/>
                <w:b w:val="1"/>
                <w:bCs w:val="1"/>
                <w:color w:val="auto"/>
              </w:rPr>
              <w:t>Names of Reporting Persons</w:t>
            </w:r>
          </w:p>
        </w:tc>
      </w:tr>
      <w:tr>
        <w:trPr>
          <w:trHeight w:val="46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Glenn J. Krevlin</w:t>
            </w:r>
          </w:p>
        </w:tc>
      </w:tr>
      <w:tr>
        <w:trPr>
          <w:trHeight w:val="169"/>
        </w:trPr>
        <w:tc>
          <w:tcPr>
            <w:tcW w:w="40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2</w:t>
            </w:r>
          </w:p>
        </w:tc>
        <w:tc>
          <w:tcPr>
            <w:tcW w:w="10620" w:type="dxa"/>
            <w:vAlign w:val="bottom"/>
            <w:gridSpan w:val="2"/>
          </w:tcPr>
          <w:p>
            <w:pPr>
              <w:ind w:left="80"/>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r>
      <w:tr>
        <w:trPr>
          <w:trHeight w:val="283"/>
        </w:trPr>
        <w:tc>
          <w:tcPr>
            <w:tcW w:w="400" w:type="dxa"/>
            <w:vAlign w:val="bottom"/>
          </w:tcPr>
          <w:p>
            <w:pPr>
              <w:spacing w:after="0"/>
              <w:rPr>
                <w:sz w:val="24"/>
                <w:szCs w:val="24"/>
                <w:color w:val="auto"/>
              </w:rPr>
            </w:pPr>
          </w:p>
        </w:tc>
        <w:tc>
          <w:tcPr>
            <w:tcW w:w="7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2"/>
          </w:tcPr>
          <w:p>
            <w:pPr>
              <w:spacing w:after="0"/>
              <w:rPr>
                <w:sz w:val="20"/>
                <w:szCs w:val="20"/>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620" w:type="dxa"/>
            <w:vAlign w:val="bottom"/>
            <w:gridSpan w:val="2"/>
          </w:tcPr>
          <w:p>
            <w:pPr>
              <w:ind w:left="80"/>
              <w:spacing w:after="0"/>
              <w:rPr>
                <w:sz w:val="20"/>
                <w:szCs w:val="20"/>
                <w:color w:val="auto"/>
              </w:rPr>
            </w:pPr>
            <w:r>
              <w:rPr>
                <w:rFonts w:ascii="Arial" w:cs="Arial" w:eastAsia="Arial" w:hAnsi="Arial"/>
                <w:sz w:val="18"/>
                <w:szCs w:val="18"/>
                <w:b w:val="1"/>
                <w:bCs w:val="1"/>
                <w:color w:val="auto"/>
              </w:rPr>
              <w:t>SEC Use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-1048385</wp:posOffset>
            </wp:positionV>
            <wp:extent cx="7006590" cy="508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085715"/>
                    </a:xfrm>
                    <a:prstGeom prst="rect">
                      <a:avLst/>
                    </a:prstGeom>
                    <a:noFill/>
                  </pic:spPr>
                </pic:pic>
              </a:graphicData>
            </a:graphic>
          </wp:anchor>
        </w:drawing>
      </w:r>
    </w:p>
    <w:p>
      <w:pPr>
        <w:spacing w:after="0" w:line="213" w:lineRule="exact"/>
        <w:rPr>
          <w:sz w:val="20"/>
          <w:szCs w:val="20"/>
          <w:color w:val="auto"/>
        </w:rPr>
      </w:pPr>
    </w:p>
    <w:p>
      <w:pPr>
        <w:ind w:left="500" w:hanging="249"/>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32"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4,104,751 (See Item 4)</w:t>
            </w:r>
          </w:p>
        </w:tc>
        <w:tc>
          <w:tcPr>
            <w:tcW w:w="0" w:type="dxa"/>
            <w:vAlign w:val="bottom"/>
          </w:tcPr>
          <w:p>
            <w:pPr>
              <w:spacing w:after="0"/>
              <w:rPr>
                <w:sz w:val="1"/>
                <w:szCs w:val="1"/>
                <w:color w:val="auto"/>
              </w:rPr>
            </w:pPr>
          </w:p>
        </w:tc>
      </w:tr>
      <w:tr>
        <w:trPr>
          <w:trHeight w:val="232"/>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7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280" w:type="dxa"/>
            <w:vAlign w:val="bottom"/>
          </w:tcPr>
          <w:p>
            <w:pPr>
              <w:spacing w:after="0"/>
              <w:rPr>
                <w:sz w:val="18"/>
                <w:szCs w:val="18"/>
                <w:color w:val="auto"/>
              </w:rPr>
            </w:pPr>
          </w:p>
        </w:tc>
        <w:tc>
          <w:tcPr>
            <w:tcW w:w="97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Owned by</w:t>
            </w:r>
          </w:p>
        </w:tc>
        <w:tc>
          <w:tcPr>
            <w:tcW w:w="280" w:type="dxa"/>
            <w:vAlign w:val="bottom"/>
            <w:tcBorders>
              <w:bottom w:val="single" w:sz="8" w:color="auto"/>
            </w:tcBorders>
          </w:tcPr>
          <w:p>
            <w:pPr>
              <w:spacing w:after="0"/>
              <w:rPr>
                <w:sz w:val="20"/>
                <w:szCs w:val="20"/>
                <w:color w:val="auto"/>
              </w:rPr>
            </w:pPr>
          </w:p>
        </w:tc>
        <w:tc>
          <w:tcPr>
            <w:tcW w:w="9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0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2"/>
              </w:rPr>
              <w:t>E</w:t>
            </w:r>
            <w:r>
              <w:rPr>
                <w:rFonts w:ascii="Arial" w:cs="Arial" w:eastAsia="Arial" w:hAnsi="Arial"/>
                <w:sz w:val="18"/>
                <w:szCs w:val="18"/>
                <w:color w:val="auto"/>
                <w:w w:val="92"/>
              </w:rPr>
              <w:t>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700" w:type="dxa"/>
            <w:vAlign w:val="bottom"/>
          </w:tcPr>
          <w:p>
            <w:pPr>
              <w:ind w:left="6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2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Person</w:t>
            </w:r>
          </w:p>
        </w:tc>
        <w:tc>
          <w:tcPr>
            <w:tcW w:w="280" w:type="dxa"/>
            <w:vAlign w:val="bottom"/>
          </w:tcPr>
          <w:p>
            <w:pPr>
              <w:spacing w:after="0"/>
              <w:rPr>
                <w:sz w:val="19"/>
                <w:szCs w:val="19"/>
                <w:color w:val="auto"/>
              </w:rPr>
            </w:pPr>
          </w:p>
        </w:tc>
        <w:tc>
          <w:tcPr>
            <w:tcW w:w="9700" w:type="dxa"/>
            <w:vAlign w:val="bottom"/>
          </w:tcPr>
          <w:p>
            <w:pPr>
              <w:ind w:left="60"/>
              <w:spacing w:after="0"/>
              <w:rPr>
                <w:sz w:val="20"/>
                <w:szCs w:val="20"/>
                <w:color w:val="auto"/>
              </w:rPr>
            </w:pPr>
            <w:r>
              <w:rPr>
                <w:rFonts w:ascii="Arial" w:cs="Arial" w:eastAsia="Arial" w:hAnsi="Arial"/>
                <w:sz w:val="18"/>
                <w:szCs w:val="18"/>
                <w:color w:val="auto"/>
              </w:rPr>
              <w:t>4,104,751 (See Item 4)</w:t>
            </w:r>
          </w:p>
        </w:tc>
        <w:tc>
          <w:tcPr>
            <w:tcW w:w="0" w:type="dxa"/>
            <w:vAlign w:val="bottom"/>
          </w:tcPr>
          <w:p>
            <w:pPr>
              <w:spacing w:after="0"/>
              <w:rPr>
                <w:sz w:val="1"/>
                <w:szCs w:val="1"/>
                <w:color w:val="auto"/>
              </w:rPr>
            </w:pPr>
          </w:p>
        </w:tc>
      </w:tr>
      <w:tr>
        <w:trPr>
          <w:trHeight w:val="68"/>
        </w:trPr>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0</w:t>
      </w:r>
    </w:p>
    <w:p>
      <w:pPr>
        <w:spacing w:after="0" w:line="32"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Aggregate Amount Beneficially Owned by Each Reporting Person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4,104,751 (See Item 4)</w:t>
      </w:r>
    </w:p>
    <w:p>
      <w:pPr>
        <w:spacing w:after="0" w:line="23" w:lineRule="exact"/>
        <w:rPr>
          <w:sz w:val="20"/>
          <w:szCs w:val="20"/>
          <w:color w:val="auto"/>
        </w:rPr>
      </w:pPr>
    </w:p>
    <w:p>
      <w:pPr>
        <w:ind w:left="500" w:hanging="339"/>
        <w:spacing w:after="0" w:line="207" w:lineRule="exact"/>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7" w:lineRule="exact"/>
        <w:rPr>
          <w:rFonts w:ascii="Arial" w:cs="Arial" w:eastAsia="Arial" w:hAnsi="Arial"/>
          <w:sz w:val="18"/>
          <w:szCs w:val="18"/>
          <w:b w:val="1"/>
          <w:bCs w:val="1"/>
          <w:color w:val="auto"/>
        </w:rPr>
      </w:pPr>
    </w:p>
    <w:p>
      <w:pPr>
        <w:ind w:left="500" w:right="6560" w:hanging="339"/>
        <w:spacing w:after="0" w:line="407"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8.29% (See Item 4)</w:t>
      </w:r>
    </w:p>
    <w:p>
      <w:pPr>
        <w:ind w:left="500" w:hanging="339"/>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ectPr>
          <w:pgSz w:w="11900" w:h="16838" w:orient="portrait"/>
          <w:cols w:equalWidth="0" w:num="1">
            <w:col w:w="11040"/>
          </w:cols>
          <w:pgMar w:left="440" w:top="395" w:right="41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Destination XL Group, Inc. (the “Company”).</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555 Turnpike Street, Canton, Massachusetts 02021</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Glenn J. Krevlin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 Fifth Avenue, 11th Floor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the response(s) to Item 4 on the attached cover page(s).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$0.01 per share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25065K104</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1640" w:hanging="650"/>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30" w:lineRule="exact"/>
        <w:rPr>
          <w:rFonts w:ascii="Arial" w:cs="Arial" w:eastAsia="Arial" w:hAnsi="Arial"/>
          <w:sz w:val="18"/>
          <w:szCs w:val="18"/>
          <w:color w:val="auto"/>
        </w:rPr>
      </w:pPr>
    </w:p>
    <w:p>
      <w:pPr>
        <w:ind w:left="1640" w:hanging="650"/>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660"/>
        <w:spacing w:after="0" w:line="286" w:lineRule="auto"/>
        <w:rPr>
          <w:rFonts w:ascii="Arial" w:cs="Arial" w:eastAsia="Arial" w:hAnsi="Arial"/>
          <w:sz w:val="18"/>
          <w:szCs w:val="18"/>
          <w:color w:val="auto"/>
        </w:rPr>
      </w:pPr>
      <w:r>
        <w:rPr>
          <w:rFonts w:ascii="Arial" w:cs="Arial" w:eastAsia="Arial" w:hAnsi="Arial"/>
          <w:sz w:val="17"/>
          <w:szCs w:val="17"/>
          <w:color w:val="auto"/>
        </w:rPr>
        <w:t>See the response(s) to Item 11 on the attached cover page(s), which was determined by dividing the number of shares beneficially held by the Reporting Person by 49,522,233, the number of shares of Common Stock issued and outstanding as reported in the Issuer’s Form 10-K filed with the Securities and Exchange Commission on March 22, 2019.</w:t>
      </w:r>
    </w:p>
    <w:p>
      <w:pPr>
        <w:sectPr>
          <w:pgSz w:w="11900" w:h="16838" w:orient="portrait"/>
          <w:cols w:equalWidth="0" w:num="1">
            <w:col w:w="11000"/>
          </w:cols>
          <w:pgMar w:left="440" w:top="391" w:right="459" w:bottom="1440" w:gutter="0" w:footer="0" w:header="0"/>
        </w:sectPr>
      </w:pPr>
    </w:p>
    <w:bookmarkStart w:id="3" w:name="page4"/>
    <w:bookmarkEnd w:id="3"/>
    <w:p>
      <w:pPr>
        <w:ind w:left="1640" w:hanging="650"/>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130" w:lineRule="exact"/>
        <w:rPr>
          <w:rFonts w:ascii="Arial" w:cs="Arial" w:eastAsia="Arial" w:hAnsi="Arial"/>
          <w:sz w:val="18"/>
          <w:szCs w:val="18"/>
          <w:color w:val="auto"/>
        </w:rPr>
      </w:pPr>
    </w:p>
    <w:p>
      <w:pPr>
        <w:ind w:left="1640" w:hanging="542"/>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30" w:lineRule="exact"/>
        <w:rPr>
          <w:rFonts w:ascii="Arial" w:cs="Arial" w:eastAsia="Arial" w:hAnsi="Arial"/>
          <w:sz w:val="18"/>
          <w:szCs w:val="18"/>
          <w:color w:val="auto"/>
        </w:rPr>
      </w:pPr>
    </w:p>
    <w:p>
      <w:pPr>
        <w:ind w:left="1640" w:hanging="542"/>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30" w:lineRule="exact"/>
        <w:rPr>
          <w:rFonts w:ascii="Arial" w:cs="Arial" w:eastAsia="Arial" w:hAnsi="Arial"/>
          <w:sz w:val="18"/>
          <w:szCs w:val="18"/>
          <w:color w:val="auto"/>
        </w:rPr>
      </w:pPr>
    </w:p>
    <w:p>
      <w:pPr>
        <w:ind w:left="1640" w:hanging="542"/>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30" w:lineRule="exact"/>
        <w:rPr>
          <w:rFonts w:ascii="Arial" w:cs="Arial" w:eastAsia="Arial" w:hAnsi="Arial"/>
          <w:sz w:val="18"/>
          <w:szCs w:val="18"/>
          <w:color w:val="auto"/>
        </w:rPr>
      </w:pPr>
    </w:p>
    <w:p>
      <w:pPr>
        <w:ind w:left="1640" w:hanging="542"/>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See the response(s) to Item 8 on the attached cover page(s).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right="1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4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1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860"/>
          </w:cols>
          <w:pgMar w:left="440" w:top="274" w:right="59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22,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17145</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Glenn J. Krevlin</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EXHIBIT INDEX</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Letter dated April 22, 2019 from the Reporting Person to the Board of Directors of the Issuer</w:t>
      </w:r>
    </w:p>
    <w:p>
      <w:pPr>
        <w:sectPr>
          <w:pgSz w:w="11900" w:h="16838" w:orient="portrait"/>
          <w:cols w:equalWidth="0" w:num="1">
            <w:col w:w="10460"/>
          </w:cols>
          <w:pgMar w:left="440" w:top="270" w:right="9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 of Directors,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 am very gratified that, notwithstanding the Board’s initial resistance to my recommendations, you ultimately followed my advice and pursued a normalized process for identifying appropriate CEO candidates. As pleased as I am with the current company management, I continue to have considerable misgivings about the failed judgment of many of the board members with respect to the direction of the company and the initial selection process. If Mr. Kanter is to be as effective as I think he might be in delivering the operating results the company has lacked for some time, I believe he needs a supportive board of directors equally dedicated to the company’s success.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believe that Mr. Kanter and John Kyees, the lead independent director, will be important contributors to the company’s success. I also believe that Mr. Kanter should have the opportunity to reshape the board to designate directors with the skills and perspective essential to the company’s future. I therefore suggest that the current members of the board, other than Messrs. Kanter and Kyees, agree to offer to step down voluntarily in order to allow Mr. Kanter this opportunity.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 understand that the company will shortly be publishing its proxy statement for its 2019 annual meeting of stockholders, and suggest that the board consider deferring the publication of the proxy statement until Mr. Kanter has had the opportunity to consider the optimal board composition. To further this effort, I am withdrawing my interest in serving on the board (but will consider serving if requested).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continue to believe in the long term prospects of the company and my current intention is to remain a large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Glenn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Glenn Krevlin</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2019-12-03T08:14:54Z</dcterms:created>
  <dcterms:modified xsi:type="dcterms:W3CDTF">2019-12-03T08:14:54Z</dcterms:modified>
</cp:coreProperties>
</file>