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69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Jones Stacey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02/21/2021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DESTINATION XL GROUP,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DXLG</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691"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37"/>
        <w:spacing w:after="0" w:line="269" w:lineRule="auto"/>
        <w:rPr>
          <w:sz w:val="20"/>
          <w:szCs w:val="20"/>
          <w:color w:val="auto"/>
        </w:rPr>
      </w:pPr>
      <w:r>
        <w:rPr>
          <w:rFonts w:ascii="Arial" w:cs="Arial" w:eastAsia="Arial" w:hAnsi="Arial"/>
          <w:sz w:val="20"/>
          <w:szCs w:val="20"/>
          <w:color w:val="0000FF"/>
        </w:rPr>
        <w:t>C/O DESTINATION XL GROUP,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555 TURNPIKE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CANTON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02021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03"/>
        <w:spacing w:after="0"/>
        <w:rPr>
          <w:sz w:val="20"/>
          <w:szCs w:val="20"/>
          <w:color w:val="auto"/>
        </w:rPr>
      </w:pPr>
      <w:r>
        <w:rPr>
          <w:rFonts w:ascii="Arial" w:cs="Arial" w:eastAsia="Arial" w:hAnsi="Arial"/>
          <w:sz w:val="18"/>
          <w:szCs w:val="18"/>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69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0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0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160" w:type="dxa"/>
            <w:vAlign w:val="bottom"/>
            <w:gridSpan w:val="3"/>
          </w:tcPr>
          <w:p>
            <w:pPr>
              <w:ind w:left="220"/>
              <w:spacing w:after="0"/>
              <w:rPr>
                <w:sz w:val="20"/>
                <w:szCs w:val="20"/>
                <w:color w:val="auto"/>
              </w:rPr>
            </w:pPr>
            <w:r>
              <w:rPr>
                <w:rFonts w:ascii="Arial" w:cs="Arial" w:eastAsia="Arial" w:hAnsi="Arial"/>
                <w:sz w:val="15"/>
                <w:szCs w:val="15"/>
                <w:b w:val="1"/>
                <w:bCs w:val="1"/>
                <w:color w:val="auto"/>
                <w:w w:val="97"/>
              </w:rPr>
              <w:t>3. Ownership</w:t>
            </w:r>
          </w:p>
        </w:tc>
        <w:tc>
          <w:tcPr>
            <w:tcW w:w="3020" w:type="dxa"/>
            <w:vAlign w:val="bottom"/>
            <w:gridSpan w:val="4"/>
          </w:tcPr>
          <w:p>
            <w:pPr>
              <w:ind w:left="240"/>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9"/>
              </w:rPr>
              <w:t>Beneficially Owned (Instr.</w:t>
            </w:r>
          </w:p>
        </w:tc>
        <w:tc>
          <w:tcPr>
            <w:tcW w:w="1160" w:type="dxa"/>
            <w:vAlign w:val="bottom"/>
            <w:gridSpan w:val="3"/>
          </w:tcPr>
          <w:p>
            <w:pPr>
              <w:ind w:left="220"/>
              <w:spacing w:after="0" w:line="165" w:lineRule="exact"/>
              <w:rPr>
                <w:sz w:val="20"/>
                <w:szCs w:val="20"/>
                <w:color w:val="auto"/>
              </w:rPr>
            </w:pPr>
            <w:r>
              <w:rPr>
                <w:rFonts w:ascii="Arial" w:cs="Arial" w:eastAsia="Arial" w:hAnsi="Arial"/>
                <w:sz w:val="15"/>
                <w:szCs w:val="15"/>
                <w:b w:val="1"/>
                <w:bCs w:val="1"/>
                <w:color w:val="auto"/>
              </w:rPr>
              <w:t>Form: Direct</w:t>
            </w:r>
          </w:p>
        </w:tc>
        <w:tc>
          <w:tcPr>
            <w:tcW w:w="3020" w:type="dxa"/>
            <w:vAlign w:val="bottom"/>
            <w:gridSpan w:val="4"/>
          </w:tcPr>
          <w:p>
            <w:pPr>
              <w:ind w:left="24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780" w:type="dxa"/>
            <w:vAlign w:val="bottom"/>
            <w:gridSpan w:val="4"/>
          </w:tcPr>
          <w:p>
            <w:pPr>
              <w:ind w:left="220"/>
              <w:spacing w:after="0" w:line="165" w:lineRule="exact"/>
              <w:rPr>
                <w:sz w:val="20"/>
                <w:szCs w:val="20"/>
                <w:color w:val="auto"/>
              </w:rPr>
            </w:pPr>
            <w:r>
              <w:rPr>
                <w:rFonts w:ascii="Arial" w:cs="Arial" w:eastAsia="Arial" w:hAnsi="Arial"/>
                <w:sz w:val="15"/>
                <w:szCs w:val="15"/>
                <w:b w:val="1"/>
                <w:bCs w:val="1"/>
                <w:color w:val="auto"/>
              </w:rPr>
              <w:t>(D) or Indirect</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60" w:type="dxa"/>
            <w:vAlign w:val="bottom"/>
            <w:gridSpan w:val="3"/>
          </w:tcPr>
          <w:p>
            <w:pPr>
              <w:ind w:left="220"/>
              <w:spacing w:after="0"/>
              <w:rPr>
                <w:sz w:val="20"/>
                <w:szCs w:val="20"/>
                <w:color w:val="auto"/>
              </w:rPr>
            </w:pPr>
            <w:r>
              <w:rPr>
                <w:rFonts w:ascii="Arial" w:cs="Arial" w:eastAsia="Arial" w:hAnsi="Arial"/>
                <w:sz w:val="15"/>
                <w:szCs w:val="15"/>
                <w:b w:val="1"/>
                <w:bCs w:val="1"/>
                <w:color w:val="auto"/>
              </w:rPr>
              <w:t>(I) (Instr. 5)</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00" w:type="dxa"/>
            <w:vAlign w:val="bottom"/>
          </w:tcPr>
          <w:p>
            <w:pPr>
              <w:ind w:left="80"/>
              <w:spacing w:after="0"/>
              <w:rPr>
                <w:sz w:val="20"/>
                <w:szCs w:val="20"/>
                <w:color w:val="auto"/>
              </w:rPr>
            </w:pPr>
            <w:r>
              <w:rPr>
                <w:rFonts w:ascii="Arial" w:cs="Arial" w:eastAsia="Arial" w:hAnsi="Arial"/>
                <w:sz w:val="20"/>
                <w:szCs w:val="20"/>
                <w:color w:val="0000FF"/>
              </w:rPr>
              <w:t>Common Stock, $0.01 par value</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ind w:left="740"/>
              <w:spacing w:after="0"/>
              <w:rPr>
                <w:sz w:val="20"/>
                <w:szCs w:val="20"/>
                <w:color w:val="auto"/>
              </w:rPr>
            </w:pPr>
            <w:r>
              <w:rPr>
                <w:rFonts w:ascii="Arial" w:cs="Arial" w:eastAsia="Arial" w:hAnsi="Arial"/>
                <w:sz w:val="20"/>
                <w:szCs w:val="20"/>
                <w:color w:val="0000FF"/>
              </w:rPr>
              <w:t>55,346</w:t>
            </w:r>
          </w:p>
        </w:tc>
        <w:tc>
          <w:tcPr>
            <w:tcW w:w="840" w:type="dxa"/>
            <w:vAlign w:val="bottom"/>
            <w:gridSpan w:val="2"/>
          </w:tcPr>
          <w:p>
            <w:pPr>
              <w:ind w:left="660"/>
              <w:spacing w:after="0"/>
              <w:rPr>
                <w:sz w:val="20"/>
                <w:szCs w:val="20"/>
                <w:color w:val="auto"/>
              </w:rPr>
            </w:pPr>
            <w:r>
              <w:rPr>
                <w:rFonts w:ascii="Arial" w:cs="Arial" w:eastAsia="Arial" w:hAnsi="Arial"/>
                <w:sz w:val="20"/>
                <w:szCs w:val="20"/>
                <w:color w:val="0000FF"/>
              </w:rPr>
              <w:t>D</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tcPr>
          <w:p>
            <w:pPr>
              <w:spacing w:after="0"/>
              <w:rPr>
                <w:sz w:val="9"/>
                <w:szCs w:val="9"/>
                <w:color w:val="auto"/>
              </w:rPr>
            </w:pPr>
          </w:p>
        </w:tc>
        <w:tc>
          <w:tcPr>
            <w:tcW w:w="454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00" w:type="dxa"/>
            <w:vAlign w:val="bottom"/>
            <w:tcBorders>
              <w:top w:val="single" w:sz="8" w:color="2C2C2C"/>
            </w:tcBorders>
          </w:tcPr>
          <w:p>
            <w:pPr>
              <w:spacing w:after="0"/>
              <w:rPr>
                <w:sz w:val="22"/>
                <w:szCs w:val="22"/>
                <w:color w:val="auto"/>
              </w:rPr>
            </w:pPr>
          </w:p>
        </w:tc>
        <w:tc>
          <w:tcPr>
            <w:tcW w:w="490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6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20" w:type="dxa"/>
            <w:vAlign w:val="bottom"/>
            <w:gridSpan w:val="8"/>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4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900" w:type="dxa"/>
            <w:vAlign w:val="bottom"/>
          </w:tcPr>
          <w:p>
            <w:pPr>
              <w:spacing w:after="0"/>
              <w:rPr>
                <w:sz w:val="14"/>
                <w:szCs w:val="14"/>
                <w:color w:val="auto"/>
              </w:rPr>
            </w:pPr>
          </w:p>
        </w:tc>
        <w:tc>
          <w:tcPr>
            <w:tcW w:w="8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gridSpan w:val="2"/>
          </w:tcPr>
          <w:p>
            <w:pPr>
              <w:ind w:left="40"/>
              <w:spacing w:after="0" w:line="161"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00"/>
              <w:spacing w:after="0"/>
              <w:rPr>
                <w:sz w:val="20"/>
                <w:szCs w:val="20"/>
                <w:color w:val="auto"/>
              </w:rPr>
            </w:pPr>
            <w:r>
              <w:rPr>
                <w:rFonts w:ascii="Arial" w:cs="Arial" w:eastAsia="Arial" w:hAnsi="Arial"/>
                <w:sz w:val="15"/>
                <w:szCs w:val="15"/>
                <w:b w:val="1"/>
                <w:bCs w:val="1"/>
                <w:color w:val="auto"/>
              </w:rPr>
              <w:t>Title</w:t>
            </w: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of Shares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00" w:type="dxa"/>
            <w:vAlign w:val="bottom"/>
          </w:tcPr>
          <w:p>
            <w:pPr>
              <w:ind w:left="80"/>
              <w:spacing w:after="0"/>
              <w:rPr>
                <w:sz w:val="20"/>
                <w:szCs w:val="20"/>
                <w:color w:val="auto"/>
              </w:rPr>
            </w:pPr>
            <w:r>
              <w:rPr>
                <w:rFonts w:ascii="Arial" w:cs="Arial" w:eastAsia="Arial" w:hAnsi="Arial"/>
                <w:sz w:val="20"/>
                <w:szCs w:val="20"/>
                <w:color w:val="0000FF"/>
                <w:w w:val="93"/>
              </w:rPr>
              <w:t>Non-Qualified Stock Options (Right</w:t>
            </w:r>
          </w:p>
        </w:tc>
        <w:tc>
          <w:tcPr>
            <w:tcW w:w="980" w:type="dxa"/>
            <w:vAlign w:val="bottom"/>
            <w:vMerge w:val="restart"/>
          </w:tcPr>
          <w:p>
            <w:pPr>
              <w:ind w:left="140"/>
              <w:spacing w:after="0"/>
              <w:rPr>
                <w:sz w:val="20"/>
                <w:szCs w:val="20"/>
                <w:color w:val="auto"/>
              </w:rPr>
            </w:pPr>
            <w:r>
              <w:rPr>
                <w:rFonts w:ascii="Arial" w:cs="Arial" w:eastAsia="Arial" w:hAnsi="Arial"/>
                <w:sz w:val="15"/>
                <w:szCs w:val="15"/>
                <w:color w:val="0000FF"/>
              </w:rPr>
              <w:t>05/28/2014</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0000FF"/>
                <w:w w:val="93"/>
              </w:rPr>
              <w:t>05/28/2023</w:t>
            </w: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9"/>
              </w:rPr>
              <w:t>Common Stock</w:t>
            </w:r>
          </w:p>
        </w:tc>
        <w:tc>
          <w:tcPr>
            <w:tcW w:w="800" w:type="dxa"/>
            <w:vAlign w:val="bottom"/>
            <w:vMerge w:val="restart"/>
          </w:tcPr>
          <w:p>
            <w:pPr>
              <w:jc w:val="center"/>
              <w:spacing w:after="0"/>
              <w:rPr>
                <w:sz w:val="20"/>
                <w:szCs w:val="20"/>
                <w:color w:val="auto"/>
              </w:rPr>
            </w:pPr>
            <w:r>
              <w:rPr>
                <w:rFonts w:ascii="Arial" w:cs="Arial" w:eastAsia="Arial" w:hAnsi="Arial"/>
                <w:sz w:val="20"/>
                <w:szCs w:val="20"/>
                <w:color w:val="0000FF"/>
                <w:w w:val="88"/>
              </w:rPr>
              <w:t>16,304</w:t>
            </w:r>
          </w:p>
        </w:tc>
        <w:tc>
          <w:tcPr>
            <w:tcW w:w="40" w:type="dxa"/>
            <w:vAlign w:val="bottom"/>
          </w:tcPr>
          <w:p>
            <w:pPr>
              <w:spacing w:after="0"/>
              <w:rPr>
                <w:sz w:val="24"/>
                <w:szCs w:val="2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20"/>
                <w:szCs w:val="20"/>
                <w:color w:val="0000FF"/>
                <w:w w:val="87"/>
              </w:rPr>
              <w:t>5.04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00" w:type="dxa"/>
            <w:vAlign w:val="bottom"/>
            <w:vMerge w:val="restart"/>
          </w:tcPr>
          <w:p>
            <w:pPr>
              <w:ind w:left="80"/>
              <w:spacing w:after="0"/>
              <w:rPr>
                <w:sz w:val="20"/>
                <w:szCs w:val="20"/>
                <w:color w:val="auto"/>
              </w:rPr>
            </w:pPr>
            <w:r>
              <w:rPr>
                <w:rFonts w:ascii="Arial" w:cs="Arial" w:eastAsia="Arial" w:hAnsi="Arial"/>
                <w:sz w:val="20"/>
                <w:szCs w:val="20"/>
                <w:color w:val="0000FF"/>
              </w:rPr>
              <w:t>to Buy)</w:t>
            </w:r>
          </w:p>
        </w:tc>
        <w:tc>
          <w:tcPr>
            <w:tcW w:w="9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00" w:type="dxa"/>
            <w:vAlign w:val="bottom"/>
          </w:tcPr>
          <w:p>
            <w:pPr>
              <w:ind w:left="80"/>
              <w:spacing w:after="0"/>
              <w:rPr>
                <w:sz w:val="20"/>
                <w:szCs w:val="20"/>
                <w:color w:val="auto"/>
              </w:rPr>
            </w:pPr>
            <w:r>
              <w:rPr>
                <w:rFonts w:ascii="Arial" w:cs="Arial" w:eastAsia="Arial" w:hAnsi="Arial"/>
                <w:sz w:val="20"/>
                <w:szCs w:val="20"/>
                <w:color w:val="0000FF"/>
                <w:w w:val="93"/>
              </w:rPr>
              <w:t>Non-Qualified Stock Options (Right</w:t>
            </w:r>
          </w:p>
        </w:tc>
        <w:tc>
          <w:tcPr>
            <w:tcW w:w="980" w:type="dxa"/>
            <w:vAlign w:val="bottom"/>
            <w:vMerge w:val="restart"/>
          </w:tcPr>
          <w:p>
            <w:pPr>
              <w:ind w:left="160"/>
              <w:spacing w:after="0"/>
              <w:rPr>
                <w:sz w:val="20"/>
                <w:szCs w:val="20"/>
                <w:color w:val="auto"/>
              </w:rPr>
            </w:pPr>
            <w:r>
              <w:rPr>
                <w:rFonts w:ascii="Arial" w:cs="Arial" w:eastAsia="Arial" w:hAnsi="Arial"/>
                <w:sz w:val="15"/>
                <w:szCs w:val="15"/>
                <w:color w:val="0000FF"/>
              </w:rPr>
              <w:t>06/11/2021</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0000FF"/>
                <w:w w:val="87"/>
              </w:rPr>
              <w:t>06/11/2030</w:t>
            </w:r>
          </w:p>
        </w:tc>
        <w:tc>
          <w:tcPr>
            <w:tcW w:w="1900" w:type="dxa"/>
            <w:vAlign w:val="bottom"/>
            <w:vMerge w:val="restart"/>
          </w:tcPr>
          <w:p>
            <w:pPr>
              <w:jc w:val="center"/>
              <w:spacing w:after="0"/>
              <w:rPr>
                <w:sz w:val="20"/>
                <w:szCs w:val="20"/>
                <w:color w:val="auto"/>
              </w:rPr>
            </w:pPr>
            <w:r>
              <w:rPr>
                <w:rFonts w:ascii="Arial" w:cs="Arial" w:eastAsia="Arial" w:hAnsi="Arial"/>
                <w:sz w:val="20"/>
                <w:szCs w:val="20"/>
                <w:color w:val="0000FF"/>
                <w:w w:val="89"/>
              </w:rPr>
              <w:t>Common Stock</w:t>
            </w:r>
          </w:p>
        </w:tc>
        <w:tc>
          <w:tcPr>
            <w:tcW w:w="800" w:type="dxa"/>
            <w:vAlign w:val="bottom"/>
            <w:vMerge w:val="restart"/>
          </w:tcPr>
          <w:p>
            <w:pPr>
              <w:jc w:val="center"/>
              <w:spacing w:after="0"/>
              <w:rPr>
                <w:sz w:val="20"/>
                <w:szCs w:val="20"/>
                <w:color w:val="auto"/>
              </w:rPr>
            </w:pPr>
            <w:r>
              <w:rPr>
                <w:rFonts w:ascii="Arial" w:cs="Arial" w:eastAsia="Arial" w:hAnsi="Arial"/>
                <w:sz w:val="20"/>
                <w:szCs w:val="20"/>
                <w:color w:val="0000FF"/>
                <w:w w:val="83"/>
              </w:rPr>
              <w:t>81,788</w:t>
            </w:r>
            <w:r>
              <w:rPr>
                <w:rFonts w:ascii="Arial" w:cs="Arial" w:eastAsia="Arial" w:hAnsi="Arial"/>
                <w:sz w:val="25"/>
                <w:szCs w:val="25"/>
                <w:color w:val="008000"/>
                <w:w w:val="83"/>
                <w:vertAlign w:val="superscript"/>
              </w:rPr>
              <w:t>(1)</w:t>
            </w:r>
          </w:p>
        </w:tc>
        <w:tc>
          <w:tcPr>
            <w:tcW w:w="40" w:type="dxa"/>
            <w:vAlign w:val="bottom"/>
          </w:tcPr>
          <w:p>
            <w:pPr>
              <w:spacing w:after="0"/>
              <w:rPr>
                <w:sz w:val="24"/>
                <w:szCs w:val="2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20"/>
                <w:szCs w:val="20"/>
                <w:color w:val="0000FF"/>
                <w:w w:val="87"/>
              </w:rPr>
              <w:t>0.53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vMerge w:val="restart"/>
          </w:tcPr>
          <w:p>
            <w:pPr>
              <w:ind w:left="80"/>
              <w:spacing w:after="0"/>
              <w:rPr>
                <w:sz w:val="20"/>
                <w:szCs w:val="20"/>
                <w:color w:val="auto"/>
              </w:rPr>
            </w:pPr>
            <w:r>
              <w:rPr>
                <w:rFonts w:ascii="Arial" w:cs="Arial" w:eastAsia="Arial" w:hAnsi="Arial"/>
                <w:sz w:val="20"/>
                <w:szCs w:val="20"/>
                <w:color w:val="0000FF"/>
              </w:rPr>
              <w:t>to Buy)</w:t>
            </w: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0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Borders>
              <w:bottom w:val="single" w:sz="8" w:color="2C2C2C"/>
            </w:tcBorders>
          </w:tcPr>
          <w:p>
            <w:pPr>
              <w:ind w:left="140"/>
              <w:spacing w:after="0"/>
              <w:rPr>
                <w:sz w:val="20"/>
                <w:szCs w:val="20"/>
                <w:color w:val="auto"/>
              </w:rPr>
            </w:pPr>
            <w:r>
              <w:rPr>
                <w:rFonts w:ascii="Arial" w:cs="Arial" w:eastAsia="Arial" w:hAnsi="Arial"/>
                <w:sz w:val="15"/>
                <w:szCs w:val="15"/>
                <w:color w:val="0000FF"/>
              </w:rPr>
              <w:t>04/01/2021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10/24/2028</w:t>
            </w:r>
          </w:p>
        </w:tc>
        <w:tc>
          <w:tcPr>
            <w:tcW w:w="19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9"/>
              </w:rPr>
              <w:t>Common Stock</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2"/>
              </w:rPr>
              <w:t>9,631</w:t>
            </w:r>
            <w:r>
              <w:rPr>
                <w:rFonts w:ascii="Arial" w:cs="Arial" w:eastAsia="Arial" w:hAnsi="Arial"/>
                <w:sz w:val="25"/>
                <w:szCs w:val="25"/>
                <w:color w:val="008000"/>
                <w:w w:val="82"/>
                <w:vertAlign w:val="superscript"/>
              </w:rPr>
              <w:t>(2)</w:t>
            </w: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271"/>
              <w:spacing w:after="0" w:line="359" w:lineRule="exact"/>
              <w:rPr>
                <w:sz w:val="20"/>
                <w:szCs w:val="20"/>
                <w:color w:val="auto"/>
              </w:rPr>
            </w:pPr>
            <w:r>
              <w:rPr>
                <w:rFonts w:ascii="Arial" w:cs="Arial" w:eastAsia="Arial" w:hAnsi="Arial"/>
                <w:sz w:val="39"/>
                <w:szCs w:val="39"/>
                <w:color w:val="0000FF"/>
                <w:w w:val="78"/>
                <w:vertAlign w:val="subscript"/>
              </w:rPr>
              <w:t>0</w:t>
            </w:r>
            <w:r>
              <w:rPr>
                <w:rFonts w:ascii="Arial" w:cs="Arial" w:eastAsia="Arial" w:hAnsi="Arial"/>
                <w:sz w:val="13"/>
                <w:szCs w:val="13"/>
                <w:color w:val="008000"/>
                <w:w w:val="78"/>
              </w:rPr>
              <w:t>(4)</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Borders>
              <w:bottom w:val="single" w:sz="8" w:color="2C2C2C"/>
            </w:tcBorders>
          </w:tcPr>
          <w:p>
            <w:pPr>
              <w:ind w:left="140"/>
              <w:spacing w:after="0"/>
              <w:rPr>
                <w:sz w:val="20"/>
                <w:szCs w:val="20"/>
                <w:color w:val="auto"/>
              </w:rPr>
            </w:pPr>
            <w:r>
              <w:rPr>
                <w:rFonts w:ascii="Arial" w:cs="Arial" w:eastAsia="Arial" w:hAnsi="Arial"/>
                <w:sz w:val="15"/>
                <w:szCs w:val="15"/>
                <w:color w:val="0000FF"/>
              </w:rPr>
              <w:t>04/01/2021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08/07/2029</w:t>
            </w:r>
          </w:p>
        </w:tc>
        <w:tc>
          <w:tcPr>
            <w:tcW w:w="19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9"/>
              </w:rPr>
              <w:t>Common Stock</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12,674</w:t>
            </w:r>
            <w:r>
              <w:rPr>
                <w:rFonts w:ascii="Arial" w:cs="Arial" w:eastAsia="Arial" w:hAnsi="Arial"/>
                <w:sz w:val="25"/>
                <w:szCs w:val="25"/>
                <w:color w:val="008000"/>
                <w:w w:val="83"/>
                <w:vertAlign w:val="superscript"/>
              </w:rPr>
              <w:t>(3)</w:t>
            </w: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271"/>
              <w:spacing w:after="0" w:line="359" w:lineRule="exact"/>
              <w:rPr>
                <w:sz w:val="20"/>
                <w:szCs w:val="20"/>
                <w:color w:val="auto"/>
              </w:rPr>
            </w:pPr>
            <w:r>
              <w:rPr>
                <w:rFonts w:ascii="Arial" w:cs="Arial" w:eastAsia="Arial" w:hAnsi="Arial"/>
                <w:sz w:val="39"/>
                <w:szCs w:val="39"/>
                <w:color w:val="0000FF"/>
                <w:w w:val="78"/>
                <w:vertAlign w:val="subscript"/>
              </w:rPr>
              <w:t>0</w:t>
            </w:r>
            <w:r>
              <w:rPr>
                <w:rFonts w:ascii="Arial" w:cs="Arial" w:eastAsia="Arial" w:hAnsi="Arial"/>
                <w:sz w:val="13"/>
                <w:szCs w:val="13"/>
                <w:color w:val="008000"/>
                <w:w w:val="78"/>
              </w:rPr>
              <w:t>(4)</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-2762250</wp:posOffset>
            </wp:positionV>
            <wp:extent cx="6946900" cy="262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20645"/>
                    </a:xfrm>
                    <a:prstGeom prst="rect">
                      <a:avLst/>
                    </a:prstGeom>
                    <a:noFill/>
                  </pic:spPr>
                </pic:pic>
              </a:graphicData>
            </a:graphic>
          </wp:anchor>
        </w:drawing>
      </w:r>
    </w:p>
    <w:p>
      <w:pPr>
        <w:spacing w:after="0" w:line="15" w:lineRule="exact"/>
        <w:rPr>
          <w:sz w:val="24"/>
          <w:szCs w:val="24"/>
          <w:color w:val="auto"/>
        </w:rPr>
      </w:pPr>
    </w:p>
    <w:p>
      <w:pPr>
        <w:ind w:left="40" w:right="44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non-qualified stock options ("Stock Options") represents the time-based portion of the 2020-2022 Long-Term Incentive Plan award to the Reporting Person. The Stock Options vest in four equal installments on June 11, 2021, April 1, 2022, April 1, 2023 and April 1, 2024. 20,447 options become exercisable on June 11, 2021.</w:t>
      </w:r>
    </w:p>
    <w:p>
      <w:pPr>
        <w:spacing w:after="0" w:line="3" w:lineRule="exact"/>
        <w:rPr>
          <w:rFonts w:ascii="Arial" w:cs="Arial" w:eastAsia="Arial" w:hAnsi="Arial"/>
          <w:sz w:val="14"/>
          <w:szCs w:val="14"/>
          <w:color w:val="008000"/>
        </w:rPr>
      </w:pPr>
    </w:p>
    <w:p>
      <w:pPr>
        <w:ind w:left="40" w:right="3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restricted stock units ("RSUs") represent the time-based portion of the 2018-2020 Long-Term Incentive Plan award to the Reporting Person. The RSUs vest in two equal installments on April 1, 2021 and April 1, 2022. 4,815 RSUs will vest on April 1, 2021.</w:t>
      </w:r>
    </w:p>
    <w:p>
      <w:pPr>
        <w:spacing w:after="0" w:line="26" w:lineRule="exact"/>
        <w:rPr>
          <w:rFonts w:ascii="Arial" w:cs="Arial" w:eastAsia="Arial" w:hAnsi="Arial"/>
          <w:sz w:val="15"/>
          <w:szCs w:val="15"/>
          <w:color w:val="008000"/>
        </w:rPr>
      </w:pPr>
    </w:p>
    <w:p>
      <w:pPr>
        <w:ind w:left="40" w:right="3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RSUs represent the time-based portion of the 2019-2021 Long-Term Incentive Plan award to the Reporting Person. The RSUs vest in three equal installments on April 1, 2021, April 1, 2022 and April 1, 2023. 4,225 RSUs will vest on April 1, 2021.</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RSU, as defined in the Company's 2016 Incentive Compensation Plan, represents a contingent right to receive one share of DXLG common stock.</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1"/>
              </w:rPr>
              <w:t>Stacey Jones</w:t>
            </w:r>
          </w:p>
        </w:tc>
        <w:tc>
          <w:tcPr>
            <w:tcW w:w="11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02/22/2021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6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6467" TargetMode="External"/><Relationship Id="rId11"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2021-02-22T15:48:21Z</dcterms:created>
  <dcterms:modified xsi:type="dcterms:W3CDTF">2021-02-22T15:48:21Z</dcterms:modified>
</cp:coreProperties>
</file>