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064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0646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HUSIC FRANK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331" w:lineRule="auto"/>
        <w:rPr>
          <w:sz w:val="20"/>
          <w:szCs w:val="20"/>
          <w:color w:val="auto"/>
        </w:rPr>
      </w:pPr>
      <w:r>
        <w:rPr>
          <w:rFonts w:ascii="Arial" w:cs="Arial" w:eastAsia="Arial" w:hAnsi="Arial"/>
          <w:sz w:val="18"/>
          <w:szCs w:val="18"/>
          <w:color w:val="0000FF"/>
        </w:rPr>
        <w:t>C/O CASUAL MALE RETAIL GROUP, INC. 555 TURNPIKE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CANTON,</w:t>
            </w:r>
          </w:p>
        </w:tc>
        <w:tc>
          <w:tcPr>
            <w:tcW w:w="1080" w:type="dxa"/>
            <w:vAlign w:val="bottom"/>
          </w:tcPr>
          <w:p>
            <w:pPr>
              <w:ind w:left="24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CASUAL MALE RETAIL GROUP INC </w:t>
              </w:r>
            </w:hyperlink>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900" w:type="dxa"/>
            <w:vAlign w:val="bottom"/>
            <w:gridSpan w:val="2"/>
          </w:tcPr>
          <w:p>
            <w:pPr>
              <w:spacing w:after="0"/>
              <w:rPr>
                <w:sz w:val="3"/>
                <w:szCs w:val="3"/>
                <w:color w:val="auto"/>
              </w:rPr>
            </w:pPr>
          </w:p>
        </w:tc>
        <w:tc>
          <w:tcPr>
            <w:tcW w:w="520" w:type="dxa"/>
            <w:vAlign w:val="bottom"/>
            <w:vMerge w:val="restart"/>
          </w:tcPr>
          <w:p>
            <w:pPr>
              <w:ind w:left="280"/>
              <w:spacing w:after="0" w:line="55" w:lineRule="exact"/>
              <w:rPr>
                <w:sz w:val="20"/>
                <w:szCs w:val="20"/>
                <w:color w:val="auto"/>
              </w:rPr>
            </w:pPr>
            <w:r>
              <w:rPr>
                <w:rFonts w:ascii="Arial" w:cs="Arial" w:eastAsia="Arial" w:hAnsi="Arial"/>
                <w:sz w:val="5"/>
                <w:szCs w:val="5"/>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5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CMRG </w:t>
              </w:r>
              <w:r>
                <w:rPr>
                  <w:rFonts w:ascii="Arial" w:cs="Arial" w:eastAsia="Arial" w:hAnsi="Arial"/>
                  <w:sz w:val="1"/>
                  <w:szCs w:val="1"/>
                  <w:color w:val="000000"/>
                </w:rPr>
                <w:t>]</w:t>
              </w:r>
            </w:hyperlink>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ind w:left="80"/>
              <w:spacing w:after="0"/>
              <w:rPr>
                <w:sz w:val="20"/>
                <w:szCs w:val="20"/>
                <w:color w:val="auto"/>
              </w:rPr>
            </w:pPr>
            <w:r>
              <w:rPr>
                <w:rFonts w:ascii="Arial" w:cs="Arial" w:eastAsia="Arial" w:hAnsi="Arial"/>
                <w:sz w:val="18"/>
                <w:szCs w:val="18"/>
                <w:color w:val="0000FF"/>
              </w:rPr>
              <w:t>07/08/2003</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35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46"/>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07/08/2003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7"/>
              </w:rPr>
              <w:t>24,933</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5.9</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1,566,411</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07/14/2003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8"/>
              </w:rPr>
              <w:t>6,600</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5.19</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1,559,811</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07/15/2003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7"/>
              </w:rPr>
              <w:t>40,800</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4.9886</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1,519,011</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07/22/2003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8"/>
              </w:rPr>
              <w:t>5,520</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5.78</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1,524,531</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07/23/2003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8"/>
              </w:rPr>
              <w:t>6,391</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5.9966</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1,530,922</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07/28/2003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8"/>
              </w:rPr>
              <w:t>4,900</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6.0061</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1,526,022</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07/31/2003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8"/>
              </w:rPr>
              <w:t>6,743</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6.25</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1,519,279</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08/04/2003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88"/>
              </w:rPr>
              <w:t>6,899</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6.0368</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1,526,178</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9"/>
              </w:rPr>
              <w:t>Management</w:t>
            </w:r>
            <w:r>
              <w:rPr>
                <w:rFonts w:ascii="Arial" w:cs="Arial" w:eastAsia="Arial" w:hAnsi="Arial"/>
                <w:sz w:val="22"/>
                <w:szCs w:val="22"/>
                <w:color w:val="008000"/>
                <w:w w:val="89"/>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By Husic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08/08/2003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900" w:type="dxa"/>
            <w:vAlign w:val="bottom"/>
          </w:tcPr>
          <w:p>
            <w:pPr>
              <w:jc w:val="center"/>
              <w:ind w:right="2"/>
              <w:spacing w:after="0"/>
              <w:rPr>
                <w:sz w:val="20"/>
                <w:szCs w:val="20"/>
                <w:color w:val="auto"/>
              </w:rPr>
            </w:pPr>
            <w:r>
              <w:rPr>
                <w:rFonts w:ascii="Arial" w:cs="Arial" w:eastAsia="Arial" w:hAnsi="Arial"/>
                <w:sz w:val="18"/>
                <w:szCs w:val="18"/>
                <w:color w:val="0000FF"/>
                <w:w w:val="86"/>
              </w:rPr>
              <w:t>823</w:t>
            </w:r>
          </w:p>
        </w:tc>
        <w:tc>
          <w:tcPr>
            <w:tcW w:w="440" w:type="dxa"/>
            <w:vAlign w:val="bottom"/>
          </w:tcPr>
          <w:p>
            <w:pPr>
              <w:jc w:val="center"/>
              <w:ind w:right="26"/>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6.21</w:t>
            </w:r>
          </w:p>
        </w:tc>
        <w:tc>
          <w:tcPr>
            <w:tcW w:w="40" w:type="dxa"/>
            <w:vAlign w:val="bottom"/>
          </w:tcPr>
          <w:p>
            <w:pPr>
              <w:spacing w:after="0"/>
              <w:rPr>
                <w:sz w:val="18"/>
                <w:szCs w:val="18"/>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0000FF"/>
              </w:rPr>
              <w:t>1,527,001</w:t>
            </w:r>
          </w:p>
        </w:tc>
        <w:tc>
          <w:tcPr>
            <w:tcW w:w="600" w:type="dxa"/>
            <w:vAlign w:val="bottom"/>
          </w:tcPr>
          <w:p>
            <w:pPr>
              <w:ind w:left="460"/>
              <w:spacing w:after="0"/>
              <w:rPr>
                <w:sz w:val="20"/>
                <w:szCs w:val="20"/>
                <w:color w:val="auto"/>
              </w:rPr>
            </w:pPr>
            <w:r>
              <w:rPr>
                <w:rFonts w:ascii="Arial" w:cs="Arial" w:eastAsia="Arial" w:hAnsi="Arial"/>
                <w:sz w:val="18"/>
                <w:szCs w:val="18"/>
                <w:color w:val="0000FF"/>
              </w:rPr>
              <w:t>I</w:t>
            </w:r>
          </w:p>
        </w:tc>
        <w:tc>
          <w:tcPr>
            <w:tcW w:w="4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w w:val="91"/>
              </w:rPr>
              <w:t>Management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Reporting Person may ultimately, on an indirect basis, have sole voting and dispositive power with respect to these shares of the Issuer's common stock, over which Husic Capital Management, a</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85" w:lineRule="auto"/>
        <w:rPr>
          <w:sz w:val="20"/>
          <w:szCs w:val="20"/>
          <w:color w:val="auto"/>
        </w:rPr>
      </w:pPr>
      <w:r>
        <w:rPr>
          <w:rFonts w:ascii="Arial" w:cs="Arial" w:eastAsia="Arial" w:hAnsi="Arial"/>
          <w:sz w:val="12"/>
          <w:szCs w:val="12"/>
          <w:color w:val="008000"/>
        </w:rPr>
        <w:t>California limited partnership and registered investment adviser, has discretionary authority to buy, sell or vote (the "Investment Adviser"). The Investment Adviser's sole partner is Frank J. Husic and Co., a California corporation (the "General Partner"). Such shares are indirectly beneficially owned by the Reporting Person based on the relationship of the Reporting Person to the Investment Adviser and the General Partner. However, the Reporting Person, the Investment Adviser and the General Partner disclaim any beneficial interest in the subject security except to the extent of their pecuniary interest.</w:t>
      </w: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Frank J. Husic</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08/11/2003</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20" w:firstLine="9"/>
        <w:spacing w:after="0" w:line="35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1822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2019-12-16T22:35:11Z</dcterms:created>
  <dcterms:modified xsi:type="dcterms:W3CDTF">2019-12-16T22:35:11Z</dcterms:modified>
</cp:coreProperties>
</file>