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148711302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3,578,734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3,578,734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3,578,734</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7.38%</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555 Turnpike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564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2021</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148711302</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148711302</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3,578,734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7.38%</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3,578,734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3,578,734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419"/>
        <w:spacing w:after="0" w:line="275" w:lineRule="auto"/>
        <w:rPr>
          <w:sz w:val="20"/>
          <w:szCs w:val="20"/>
          <w:color w:val="auto"/>
        </w:rPr>
      </w:pPr>
      <w:r>
        <w:rPr>
          <w:rFonts w:ascii="Courier New" w:cs="Courier New" w:eastAsia="Courier New" w:hAnsi="Courier New"/>
          <w:sz w:val="16"/>
          <w:szCs w:val="16"/>
          <w:color w:val="auto"/>
        </w:rPr>
        <w:t>The interest of one account, Royce Value Plus Fund an investment company registered under the Investment Company Act of 1940 and managed by Royce &amp; Associates, LLC, amounted to 3,578,734 shares or 7.38%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148711302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09,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2019-12-09T09:07:46Z</dcterms:created>
  <dcterms:modified xsi:type="dcterms:W3CDTF">2019-12-09T09:07:46Z</dcterms:modified>
</cp:coreProperties>
</file>