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40" w:right="1560" w:hanging="3932"/>
        <w:spacing w:after="0" w:line="365" w:lineRule="auto"/>
        <w:tabs>
          <w:tab w:leader="none" w:pos="5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 2025</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40" w:right="1560" w:hanging="4232"/>
        <w:spacing w:after="0" w:line="412" w:lineRule="auto"/>
        <w:tabs>
          <w:tab w:leader="none" w:pos="50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1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1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02021</w:t>
      </w:r>
    </w:p>
    <w:p>
      <w:pPr>
        <w:spacing w:after="0" w:line="27" w:lineRule="exact"/>
        <w:rPr>
          <w:sz w:val="24"/>
          <w:szCs w:val="24"/>
          <w:color w:val="auto"/>
        </w:rPr>
      </w:pPr>
    </w:p>
    <w:p>
      <w:pPr>
        <w:sectPr>
          <w:pgSz w:w="11900" w:h="16838" w:orient="portrait"/>
          <w:cols w:equalWidth="0" w:num="2">
            <w:col w:w="7220" w:space="720"/>
            <w:col w:w="3300"/>
          </w:cols>
          <w:pgMar w:left="320" w:top="1093"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4"/>
        </w:trPr>
        <w:tc>
          <w:tcPr>
            <w:tcW w:w="140" w:type="dxa"/>
            <w:vAlign w:val="bottom"/>
            <w:tcBorders>
              <w:right w:val="single" w:sz="8" w:color="auto"/>
            </w:tcBorders>
          </w:tcPr>
          <w:p>
            <w:pPr>
              <w:spacing w:after="0"/>
              <w:rPr>
                <w:sz w:val="24"/>
                <w:szCs w:val="24"/>
                <w:color w:val="auto"/>
              </w:rPr>
            </w:pP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4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94"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8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40" w:firstLine="599"/>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15, 2025, the registrant had 53,815,004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May 3, 2025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1, 2025</w:t>
            </w:r>
          </w:p>
        </w:tc>
      </w:tr>
      <w:tr>
        <w:trPr>
          <w:trHeight w:val="171"/>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2024)</w:t>
            </w:r>
          </w:p>
        </w:tc>
      </w:tr>
      <w:tr>
        <w:trPr>
          <w:trHeight w:val="142"/>
        </w:trPr>
        <w:tc>
          <w:tcPr>
            <w:tcW w:w="7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8,082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11,901</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36,516</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85,462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75,486</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131,887</w:t>
            </w: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58,946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56,982</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171,084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20,505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19,343</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380,077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30,817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20,754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30,432</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86,230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90,696</w:t>
            </w:r>
          </w:p>
        </w:tc>
      </w:tr>
      <w:tr>
        <w:trPr>
          <w:trHeight w:val="210"/>
        </w:trPr>
        <w:tc>
          <w:tcPr>
            <w:tcW w:w="75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148,695</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153,138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149,036</w:t>
            </w:r>
          </w:p>
        </w:tc>
      </w:tr>
      <w:tr>
        <w:trPr>
          <w:trHeight w:val="210"/>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125,000,000 shares authorized, 79,635,025 and 79,403,349 shares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at May 3, 2025 and February 1, 2025, respectively</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329,684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328,261</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25,908,533 shares at May 3, 2025 and February 1, 2025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(143,985)</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(45,786)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(43,847)</w:t>
            </w:r>
          </w:p>
        </w:tc>
      </w:tr>
      <w:tr>
        <w:trPr>
          <w:trHeight w:val="209"/>
        </w:trPr>
        <w:tc>
          <w:tcPr>
            <w:tcW w:w="7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140,709</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141,223</w:t>
            </w:r>
          </w:p>
        </w:tc>
        <w:tc>
          <w:tcPr>
            <w:tcW w:w="100" w:type="dxa"/>
            <w:vAlign w:val="bottom"/>
            <w:tcBorders>
              <w:top w:val="single" w:sz="8" w:color="CFF0FC"/>
            </w:tcBorders>
          </w:tcPr>
          <w:p>
            <w:pPr>
              <w:spacing w:after="0"/>
              <w:rPr>
                <w:sz w:val="18"/>
                <w:szCs w:val="18"/>
                <w:color w:val="auto"/>
              </w:rPr>
            </w:pPr>
          </w:p>
        </w:tc>
      </w:tr>
      <w:tr>
        <w:trPr>
          <w:trHeight w:val="230"/>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380,077</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-4645660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-3539490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40" w:type="dxa"/>
            <w:vAlign w:val="bottom"/>
            <w:gridSpan w:val="7"/>
          </w:tcPr>
          <w:p>
            <w:pPr>
              <w:ind w:left="128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49"/>
        </w:trPr>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May 3, 2025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May 4, 2024</w:t>
            </w:r>
          </w:p>
        </w:tc>
      </w:tr>
      <w:tr>
        <w:trPr>
          <w:trHeight w:val="171"/>
        </w:trPr>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(Fiscal 2025)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(Fiscal 2024)</w:t>
            </w:r>
          </w:p>
        </w:tc>
      </w:tr>
      <w:tr>
        <w:trPr>
          <w:trHeight w:val="142"/>
        </w:trPr>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270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105,533</w:t>
            </w:r>
          </w:p>
        </w:tc>
        <w:tc>
          <w:tcPr>
            <w:tcW w:w="1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115,489</w:t>
            </w: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13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59,807</w:t>
            </w:r>
          </w:p>
        </w:tc>
        <w:tc>
          <w:tcPr>
            <w:tcW w:w="220" w:type="dxa"/>
            <w:vAlign w:val="bottom"/>
          </w:tcPr>
          <w:p>
            <w:pPr>
              <w:spacing w:after="0"/>
              <w:rPr>
                <w:sz w:val="18"/>
                <w:szCs w:val="18"/>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47,582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47,523</w:t>
            </w:r>
          </w:p>
        </w:tc>
        <w:tc>
          <w:tcPr>
            <w:tcW w:w="220" w:type="dxa"/>
            <w:vAlign w:val="bottom"/>
          </w:tcPr>
          <w:p>
            <w:pPr>
              <w:spacing w:after="0"/>
              <w:rPr>
                <w:sz w:val="18"/>
                <w:szCs w:val="18"/>
                <w:color w:val="auto"/>
              </w:rPr>
            </w:pPr>
          </w:p>
        </w:tc>
      </w:tr>
      <w:tr>
        <w:trPr>
          <w:trHeight w:val="216"/>
        </w:trPr>
        <w:tc>
          <w:tcPr>
            <w:tcW w:w="5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3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50,801</w:t>
            </w:r>
          </w:p>
        </w:tc>
        <w:tc>
          <w:tcPr>
            <w:tcW w:w="220" w:type="dxa"/>
            <w:vAlign w:val="bottom"/>
          </w:tcPr>
          <w:p>
            <w:pPr>
              <w:spacing w:after="0"/>
              <w:rPr>
                <w:sz w:val="18"/>
                <w:szCs w:val="18"/>
                <w:color w:val="auto"/>
              </w:rPr>
            </w:pPr>
          </w:p>
        </w:tc>
      </w:tr>
      <w:tr>
        <w:trPr>
          <w:trHeight w:val="210"/>
        </w:trPr>
        <w:tc>
          <w:tcPr>
            <w:tcW w:w="5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30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8"/>
                <w:szCs w:val="18"/>
                <w:color w:val="auto"/>
              </w:rPr>
            </w:pPr>
          </w:p>
        </w:tc>
      </w:tr>
      <w:tr>
        <w:trPr>
          <w:trHeight w:val="210"/>
        </w:trPr>
        <w:tc>
          <w:tcPr>
            <w:tcW w:w="5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20" w:type="dxa"/>
            <w:vAlign w:val="bottom"/>
            <w:shd w:val="clear" w:color="auto" w:fill="CFF0FC"/>
          </w:tcPr>
          <w:p>
            <w:pPr>
              <w:spacing w:after="0"/>
              <w:rPr>
                <w:sz w:val="18"/>
                <w:szCs w:val="18"/>
                <w:color w:val="auto"/>
              </w:rPr>
            </w:pPr>
          </w:p>
        </w:tc>
      </w:tr>
      <w:tr>
        <w:trPr>
          <w:trHeight w:val="209"/>
        </w:trPr>
        <w:tc>
          <w:tcPr>
            <w:tcW w:w="5500" w:type="dxa"/>
            <w:vAlign w:val="bottom"/>
            <w:tcBorders>
              <w:top w:val="single" w:sz="8" w:color="CFF0FC"/>
            </w:tcBorders>
          </w:tcPr>
          <w:p>
            <w:pPr>
              <w:spacing w:after="0"/>
              <w:rPr>
                <w:sz w:val="18"/>
                <w:szCs w:val="18"/>
                <w:color w:val="auto"/>
              </w:rPr>
            </w:pPr>
          </w:p>
        </w:tc>
        <w:tc>
          <w:tcPr>
            <w:tcW w:w="1300" w:type="dxa"/>
            <w:vAlign w:val="bottom"/>
            <w:tcBorders>
              <w:top w:val="single" w:sz="8" w:color="CFF0F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r>
      <w:tr>
        <w:trPr>
          <w:trHeight w:val="216"/>
        </w:trPr>
        <w:tc>
          <w:tcPr>
            <w:tcW w:w="5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700" w:type="dxa"/>
            <w:vAlign w:val="bottom"/>
            <w:gridSpan w:val="2"/>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2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5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16"/>
        </w:trPr>
        <w:tc>
          <w:tcPr>
            <w:tcW w:w="5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700" w:type="dxa"/>
            <w:vAlign w:val="bottom"/>
            <w:gridSpan w:val="2"/>
            <w:shd w:val="clear" w:color="auto" w:fill="CFF0FC"/>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700" w:type="dxa"/>
            <w:vAlign w:val="bottom"/>
            <w:gridSpan w:val="2"/>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58,036</w:t>
            </w:r>
          </w:p>
        </w:tc>
        <w:tc>
          <w:tcPr>
            <w:tcW w:w="220" w:type="dxa"/>
            <w:vAlign w:val="bottom"/>
            <w:shd w:val="clear" w:color="auto" w:fill="CFF0FC"/>
          </w:tcPr>
          <w:p>
            <w:pPr>
              <w:spacing w:after="0"/>
              <w:rPr>
                <w:sz w:val="18"/>
                <w:szCs w:val="18"/>
                <w:color w:val="auto"/>
              </w:rPr>
            </w:pPr>
          </w:p>
        </w:tc>
      </w:tr>
      <w:tr>
        <w:trPr>
          <w:trHeight w:val="234"/>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60,963</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-2677160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-2677160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-1553845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-1553845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00" w:type="dxa"/>
            <w:vAlign w:val="bottom"/>
          </w:tcPr>
          <w:p>
            <w:pPr>
              <w:spacing w:after="0"/>
              <w:rPr>
                <w:sz w:val="11"/>
                <w:szCs w:val="11"/>
                <w:color w:val="auto"/>
              </w:rPr>
            </w:pPr>
          </w:p>
        </w:tc>
        <w:tc>
          <w:tcPr>
            <w:tcW w:w="1720" w:type="dxa"/>
            <w:vAlign w:val="bottom"/>
            <w:gridSpan w:val="5"/>
          </w:tcPr>
          <w:p>
            <w:pPr>
              <w:jc w:val="right"/>
              <w:ind w:right="381"/>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2080" w:type="dxa"/>
            <w:vAlign w:val="bottom"/>
            <w:gridSpan w:val="6"/>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00" w:type="dxa"/>
            <w:vAlign w:val="bottom"/>
          </w:tcPr>
          <w:p>
            <w:pPr>
              <w:spacing w:after="0"/>
              <w:rPr>
                <w:sz w:val="13"/>
                <w:szCs w:val="13"/>
                <w:color w:val="auto"/>
              </w:rPr>
            </w:pPr>
          </w:p>
        </w:tc>
        <w:tc>
          <w:tcPr>
            <w:tcW w:w="7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3"/>
                <w:szCs w:val="13"/>
                <w:color w:val="auto"/>
              </w:rPr>
              <w:t>Capital</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color w:val="auto"/>
              </w:rPr>
              <w:t>Amounts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3"/>
                <w:szCs w:val="13"/>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328,261</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(43,847)</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141,223</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FF0FC"/>
          </w:tcPr>
          <w:p>
            <w:pPr>
              <w:spacing w:after="0"/>
              <w:rPr>
                <w:sz w:val="17"/>
                <w:szCs w:val="17"/>
                <w:color w:val="auto"/>
              </w:rPr>
            </w:pPr>
          </w:p>
        </w:tc>
      </w:tr>
      <w:tr>
        <w:trPr>
          <w:trHeight w:val="189"/>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(RSUs) granted for achievement</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of performance-based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reclassified from liability to equity</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r>
      <w:tr>
        <w:trPr>
          <w:trHeight w:val="205"/>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(1,939)</w:t>
            </w:r>
          </w:p>
        </w:tc>
      </w:tr>
      <w:tr>
        <w:trPr>
          <w:trHeight w:val="20"/>
        </w:trPr>
        <w:tc>
          <w:tcPr>
            <w:tcW w:w="3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May 3,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79,635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329,684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(45,786)</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140,709</w:t>
            </w:r>
          </w:p>
        </w:tc>
        <w:tc>
          <w:tcPr>
            <w:tcW w:w="100" w:type="dxa"/>
            <w:vAlign w:val="bottom"/>
            <w:shd w:val="clear" w:color="auto" w:fill="CFF0FC"/>
          </w:tcPr>
          <w:p>
            <w:pPr>
              <w:spacing w:after="0"/>
              <w:rPr>
                <w:sz w:val="17"/>
                <w:szCs w:val="17"/>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720" w:type="dxa"/>
            <w:vAlign w:val="bottom"/>
            <w:gridSpan w:val="4"/>
          </w:tcPr>
          <w:p>
            <w:pPr>
              <w:jc w:val="right"/>
              <w:ind w:right="381"/>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2080" w:type="dxa"/>
            <w:vAlign w:val="bottom"/>
            <w:gridSpan w:val="6"/>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February 3, 2024</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3"/>
                <w:szCs w:val="13"/>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color w:val="auto"/>
                <w:w w:val="95"/>
              </w:rPr>
              <w:t>Capital</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Amounts</w:t>
            </w: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Deficit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79,033</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(130,137)</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3"/>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May 4,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79,298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(130,348)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(43,109)</w:t>
            </w:r>
          </w:p>
        </w:tc>
        <w:tc>
          <w:tcPr>
            <w:tcW w:w="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-141605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-141605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-141605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-141605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-141605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-141605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May 3, 2025</w:t>
            </w:r>
          </w:p>
        </w:tc>
        <w:tc>
          <w:tcPr>
            <w:tcW w:w="200" w:type="dxa"/>
            <w:vAlign w:val="bottom"/>
          </w:tcPr>
          <w:p>
            <w:pPr>
              <w:spacing w:after="0"/>
              <w:rPr>
                <w:sz w:val="13"/>
                <w:szCs w:val="13"/>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May 4, 2024</w:t>
            </w:r>
          </w:p>
        </w:tc>
      </w:tr>
      <w:tr>
        <w:trPr>
          <w:trHeight w:val="171"/>
        </w:trPr>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(Fiscal 2025)</w:t>
            </w:r>
          </w:p>
        </w:tc>
        <w:tc>
          <w:tcPr>
            <w:tcW w:w="20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2024)</w:t>
            </w:r>
          </w:p>
        </w:tc>
      </w:tr>
      <w:tr>
        <w:trPr>
          <w:trHeight w:val="20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(1,939)</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for operating activities: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Gain from the sale of equipment</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3,278</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taxes, net of valuation allowance</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(1,162)</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shd w:val="clear" w:color="auto" w:fill="CFF0FC"/>
          </w:tcPr>
          <w:p>
            <w:pPr>
              <w:spacing w:after="0"/>
              <w:rPr>
                <w:sz w:val="17"/>
                <w:szCs w:val="17"/>
                <w:color w:val="auto"/>
              </w:rPr>
            </w:pPr>
          </w:p>
        </w:tc>
      </w:tr>
      <w:tr>
        <w:trPr>
          <w:trHeight w:val="21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r>
      <w:tr>
        <w:trPr>
          <w:trHeight w:val="205"/>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(9,976)</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(10,270)</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(2,644)</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(1,249)</w:t>
            </w: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11,130</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leases, net</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(297)</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(2,783)</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(7,403)</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(10,033)</w:t>
            </w:r>
          </w:p>
        </w:tc>
      </w:tr>
      <w:tr>
        <w:trPr>
          <w:trHeight w:val="20"/>
        </w:trPr>
        <w:tc>
          <w:tcPr>
            <w:tcW w:w="8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cash used for operating activities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(12,030)</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(1,125)</w:t>
            </w:r>
          </w:p>
        </w:tc>
      </w:tr>
      <w:tr>
        <w:trPr>
          <w:trHeight w:val="196"/>
        </w:trPr>
        <w:tc>
          <w:tcPr>
            <w:tcW w:w="80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(6,740)</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(5,863)</w:t>
            </w: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(3,003)</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(10,003)</w:t>
            </w:r>
          </w:p>
        </w:tc>
      </w:tr>
      <w:tr>
        <w:trPr>
          <w:trHeight w:val="203"/>
        </w:trPr>
        <w:tc>
          <w:tcPr>
            <w:tcW w:w="8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(9,954)</w:t>
            </w:r>
          </w:p>
        </w:tc>
      </w:tr>
      <w:tr>
        <w:trPr>
          <w:trHeight w:val="196"/>
        </w:trPr>
        <w:tc>
          <w:tcPr>
            <w:tcW w:w="80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Repurchase of common stock, excluding excise taxes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8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Pr>
          <w:p>
            <w:pPr>
              <w:spacing w:after="0"/>
              <w:rPr>
                <w:sz w:val="17"/>
                <w:szCs w:val="17"/>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(183)</w:t>
            </w:r>
          </w:p>
        </w:tc>
      </w:tr>
      <w:tr>
        <w:trPr>
          <w:trHeight w:val="20"/>
        </w:trPr>
        <w:tc>
          <w:tcPr>
            <w:tcW w:w="8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(3,819)</w:t>
            </w:r>
          </w:p>
        </w:tc>
        <w:tc>
          <w:tcPr>
            <w:tcW w:w="2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(11,262)</w:t>
            </w: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26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10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6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Non-cash activity during the period:</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c>
          <w:tcPr>
            <w:tcW w:w="260" w:type="dxa"/>
            <w:vAlign w:val="bottom"/>
          </w:tcPr>
          <w:p>
            <w:pPr>
              <w:spacing w:after="0"/>
              <w:rPr>
                <w:sz w:val="18"/>
                <w:szCs w:val="18"/>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-3039110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-3039110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-2258695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-2258695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-1470025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-1470025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-938530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ind w:left="426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2025 included in the Company’s Annual Report on Form 10-K, which was filed with the Securities and Exchange Commission ("SEC") on March 20, 2025.</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2025 and fiscal 2024 are both 52-week periods ending on January 31, 2026 and February 1,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two operating segments: its stores and its direct business. The Company considers its stores and direct business operating segments to be similar in terms of economic characteristics, production processes and operations, and has therefore aggregated them into one reportable segment consistent with its integrated commerce business approach. See Note 10, </w:t>
      </w:r>
      <w:r>
        <w:rPr>
          <w:rFonts w:ascii="Times New Roman" w:cs="Times New Roman" w:eastAsia="Times New Roman" w:hAnsi="Times New Roman"/>
          <w:sz w:val="18"/>
          <w:szCs w:val="18"/>
          <w:i w:val="1"/>
          <w:iCs w:val="1"/>
          <w:color w:val="auto"/>
        </w:rPr>
        <w:t>Segment Disclosures.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Short-term investments consist of those investments that have a maturity date, when acquired, that is greater than three months and twelve months or less. </w:t>
      </w:r>
      <w:r>
        <w:rPr>
          <w:rFonts w:ascii="Times New Roman" w:cs="Times New Roman" w:eastAsia="Times New Roman" w:hAnsi="Times New Roman"/>
          <w:sz w:val="18"/>
          <w:szCs w:val="18"/>
          <w:color w:val="212121"/>
        </w:rPr>
        <w:t>These investments are classified as held-to-maturity and are carried at amortized cost, which approximates fair value due to the short period between purchase and maturity.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insurance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ind w:right="320"/>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260" w:right="180"/>
        <w:spacing w:after="0" w:line="312" w:lineRule="auto"/>
        <w:rPr>
          <w:sz w:val="20"/>
          <w:szCs w:val="20"/>
          <w:color w:val="auto"/>
        </w:rPr>
      </w:pPr>
      <w:r>
        <w:rPr>
          <w:rFonts w:ascii="Times New Roman" w:cs="Times New Roman" w:eastAsia="Times New Roman" w:hAnsi="Times New Roman"/>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accounts receivable, accounts payable and accrued expenses approximate fair value because of the short maturity of these instruments. See Note 9,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stock options in the first three months of fiscal 2025 and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("ROU") asset. The amount of impairment, if any, is measured based on projected discounted future cash flows using a discount rate reflecting the Company’s average cost of funds.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or non-cash gains recognized in the first three months of fiscal 2025 and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Advertising expense, which is included in selling, general and administrative expenses, was $6.4 million and $7.3 million for the first three months of fiscal 2025 and fiscal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the inception of a contract.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remaining future minimum lease payments, initial direct costs. Lease incentives are included in the value of the ROU assets. As the interest rate implicit in the Company’s leases is not readily determinable, the Company utilizes its incremental borrowing rate, based 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right="140"/>
        <w:spacing w:after="0" w:line="258" w:lineRule="auto"/>
        <w:rPr>
          <w:sz w:val="20"/>
          <w:szCs w:val="20"/>
          <w:color w:val="auto"/>
        </w:rPr>
      </w:pPr>
      <w:r>
        <w:rPr>
          <w:rFonts w:ascii="Times New Roman" w:cs="Times New Roman" w:eastAsia="Times New Roman" w:hAnsi="Times New Roman"/>
          <w:sz w:val="18"/>
          <w:szCs w:val="18"/>
          <w:color w:val="auto"/>
        </w:rPr>
        <w:t>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May 3, 2025, the Company had no short-term leases.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ASU 2023-06, </w:t>
      </w:r>
      <w:r>
        <w:rPr>
          <w:rFonts w:ascii="Times New Roman" w:cs="Times New Roman" w:eastAsia="Times New Roman" w:hAnsi="Times New Roman"/>
          <w:sz w:val="18"/>
          <w:szCs w:val="18"/>
          <w:i w:val="1"/>
          <w:iCs w:val="1"/>
          <w:color w:val="auto"/>
        </w:rPr>
        <w:t>Disclosure Improvements: Codification Amendment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Response to the SEC</w:t>
      </w:r>
      <w:r>
        <w:rPr>
          <w:rFonts w:ascii="Times New Roman" w:cs="Times New Roman" w:eastAsia="Times New Roman" w:hAnsi="Times New Roman"/>
          <w:sz w:val="18"/>
          <w:szCs w:val="18"/>
          <w:i w:val="1"/>
          <w:iCs w:val="1"/>
          <w:color w:val="212121"/>
        </w:rPr>
        <w:t>’</w:t>
      </w:r>
      <w:r>
        <w:rPr>
          <w:rFonts w:ascii="Times New Roman" w:cs="Times New Roman" w:eastAsia="Times New Roman" w:hAnsi="Times New Roman"/>
          <w:sz w:val="18"/>
          <w:szCs w:val="18"/>
          <w:i w:val="1"/>
          <w:iCs w:val="1"/>
          <w:color w:val="auto"/>
        </w:rPr>
        <w:t>s Disclosure Update and Simplification Initiative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52525"/>
        </w:rPr>
        <w:t>ASU-2023-06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incorporates several disclosure and presentation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 xml:space="preserve">currently residing in SEC Regulations S-X and S-K. The amendments will be applied prospectively and will be effective when the SEC removes the related requirements from Regulations S-X or S-K. Any amendments the SEC does not remove by June 30, 2027 will not be effective. The </w:t>
      </w:r>
      <w:r>
        <w:rPr>
          <w:rFonts w:ascii="Times New Roman" w:cs="Times New Roman" w:eastAsia="Times New Roman" w:hAnsi="Times New Roman"/>
          <w:sz w:val="18"/>
          <w:szCs w:val="18"/>
          <w:color w:val="252525"/>
        </w:rPr>
        <w:t>ASU</w:t>
      </w:r>
      <w:r>
        <w:rPr>
          <w:rFonts w:ascii="Times New Roman" w:cs="Times New Roman" w:eastAsia="Times New Roman" w:hAnsi="Times New Roman"/>
          <w:sz w:val="18"/>
          <w:szCs w:val="18"/>
          <w:color w:val="212121"/>
        </w:rPr>
        <w:t xml:space="preserve"> is not expected to have a material impact on the Company’s Consolidated Financial Statements or related disclosures because the Company is currently subjected to the reporting requirements of Regulations S-X and S-K.</w:t>
      </w:r>
    </w:p>
    <w:p>
      <w:pPr>
        <w:spacing w:after="0" w:line="18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which enhances transparency about income tax information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improvements to income tax disclosures primarily related to the rate reconciliation and income taxes paid and to improve the effectiveness of income tax disclosu</w:t>
      </w:r>
      <w:r>
        <w:rPr>
          <w:rFonts w:ascii="Times New Roman" w:cs="Times New Roman" w:eastAsia="Times New Roman" w:hAnsi="Times New Roman"/>
          <w:sz w:val="18"/>
          <w:szCs w:val="18"/>
          <w:color w:val="000000"/>
        </w:rPr>
        <w:t>res. This ASU will be effective with our annual disclosures for fiscal 2025. The ASU allows for adoption on a prospective basis, with 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retrospective option. We are currently evaluating the impact of adopting this accounting standard on our financial statements or related disclosures.</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w:t>
      </w:r>
      <w:r>
        <w:rPr>
          <w:rFonts w:ascii="Times New Roman" w:cs="Times New Roman" w:eastAsia="Times New Roman" w:hAnsi="Times New Roman"/>
          <w:sz w:val="18"/>
          <w:szCs w:val="18"/>
          <w:color w:val="auto"/>
        </w:rPr>
        <w:t>20-40) ("ASU 2024-03"), which will require disclosure, in the notes to financial statements, of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expenses, including disclosure of amounts for (a) purchases of inventory, (b) employee compensation, (c) depreciation </w:t>
      </w:r>
      <w:r>
        <w:rPr>
          <w:rFonts w:ascii="Times New Roman" w:cs="Times New Roman" w:eastAsia="Times New Roman" w:hAnsi="Times New Roman"/>
          <w:sz w:val="18"/>
          <w:szCs w:val="18"/>
          <w:color w:val="212121"/>
        </w:rPr>
        <w:t>and (d) intangible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amortization, included in each relevant expense caption. I</w:t>
      </w:r>
      <w:r>
        <w:rPr>
          <w:rFonts w:ascii="Times New Roman" w:cs="Times New Roman" w:eastAsia="Times New Roman" w:hAnsi="Times New Roman"/>
          <w:sz w:val="18"/>
          <w:szCs w:val="18"/>
          <w:color w:val="000000"/>
        </w:rPr>
        <w:t>n January 2025, the FASB issued ASU 2025-01</w:t>
      </w:r>
      <w:r>
        <w:rPr>
          <w:rFonts w:ascii="Times New Roman" w:cs="Times New Roman" w:eastAsia="Times New Roman" w:hAnsi="Times New Roman"/>
          <w:sz w:val="18"/>
          <w:szCs w:val="18"/>
          <w:color w:val="1F1F1F"/>
        </w:rPr>
        <w: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Income Statement - Reporting Comprehensive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 xml:space="preserve">Income - Expense Disaggregation Disclosures (Subtopic 220-40): Clarifying the Effective Date </w:t>
      </w:r>
      <w:r>
        <w:rPr>
          <w:rFonts w:ascii="Times New Roman" w:cs="Times New Roman" w:eastAsia="Times New Roman" w:hAnsi="Times New Roman"/>
          <w:sz w:val="18"/>
          <w:szCs w:val="18"/>
          <w:color w:val="000000"/>
        </w:rPr>
        <w:t>(“ASU 2025-01”).</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ASU 2024-03, as clarified by ASU</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2025-01, will be effective for our annual financial statements beginning in fiscal 2027 and interim periods beginning in fiscal 2028. We are currently evaluating the impact of this accounting standard on our financial statement presentation and its related disclosures.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There were no other new accounting pronouncements, issued or effective during the first three months of fiscal 2025, which had or are expected to have a significant impact on the Company’s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and tall men’s clothing, which includes stores and direct. </w:t>
      </w:r>
      <w:r>
        <w:rPr>
          <w:rFonts w:ascii="Times New Roman" w:cs="Times New Roman" w:eastAsia="Times New Roman" w:hAnsi="Times New Roman"/>
          <w:sz w:val="18"/>
          <w:szCs w:val="18"/>
          <w:color w:val="000000"/>
        </w:rPr>
        <w:t>Revenue is recognized by the operating segment that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Times New Roman" w:cs="Times New Roman" w:eastAsia="Times New Roman" w:hAnsi="Times New Roman"/>
          <w:sz w:val="18"/>
          <w:szCs w:val="18"/>
          <w:color w:val="212121"/>
        </w:rPr>
        <w:t>Generally, all revenues are recognized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when 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collected from customers and remitted to taxing authorities is excluded from revenue and is included as part of accrued expenses on the Consolidated Balance Sheets.</w:t>
      </w:r>
    </w:p>
    <w:p>
      <w:pPr>
        <w:spacing w:after="0" w:line="7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$2.6 million and $3.3 million at May 3, 2025 and February 1, 2025, respectively.</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 when the points are expected to be redeemed or expire. The cycle of earning and redeeming loyalty points is generally under one year in duration.</w:t>
      </w:r>
    </w:p>
    <w:p>
      <w:pPr>
        <w:spacing w:after="0" w:line="7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legacy loyalty program ended at the end of fiscal 2024 and all unused loyalty points and certificates were expired. The Company's new loyalty program launched at the start of fiscal 2025. As such, at February 1, 2025 there was no outstanding loyalty accrual. The loyalty accrual, net of breakage, was $0.5 million at May 3, 2025.</w:t>
      </w:r>
    </w:p>
    <w:p>
      <w:pPr>
        <w:spacing w:after="0" w:line="6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1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Company’s business consists of one reportable segment. Substantially all of the Company’s revenue is generated from its stores and direct businesses. Accordingly, the Company has determined that the following sales channels depict the nature, amount, timing, and uncertainty of how revenue and cash flows are affected by economic factors: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May 3, 2025</w:t>
            </w: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72.5%</w:t>
            </w:r>
          </w:p>
        </w:tc>
        <w:tc>
          <w:tcPr>
            <w:tcW w:w="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May 4, 2024</w:t>
            </w:r>
          </w:p>
        </w:tc>
        <w:tc>
          <w:tcPr>
            <w:tcW w:w="13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70.0%</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Store sales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76,471</w:t>
            </w:r>
          </w:p>
        </w:tc>
        <w:tc>
          <w:tcPr>
            <w:tcW w:w="1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80,848</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sales</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104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27.5%</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34,641</w:t>
            </w:r>
          </w:p>
        </w:tc>
        <w:tc>
          <w:tcPr>
            <w:tcW w:w="1300" w:type="dxa"/>
            <w:vAlign w:val="bottom"/>
            <w:tcBorders>
              <w:bottom w:val="single" w:sz="8" w:color="CFF0FC"/>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30.0%</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70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1040" w:type="dxa"/>
            <w:vAlign w:val="bottom"/>
          </w:tcPr>
          <w:p>
            <w:pPr>
              <w:spacing w:after="0"/>
              <w:rPr>
                <w:sz w:val="18"/>
                <w:szCs w:val="18"/>
                <w:color w:val="auto"/>
              </w:rPr>
            </w:pP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Citizens Bank, N.A.</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credit facility with Citizens Bank, N.A, which provides for a $125.0 million secured, asset-based credit facility with a maturity date of October 28, 2026 (the "Credit Facility").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8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ind w:right="220"/>
        <w:spacing w:after="0" w:line="282" w:lineRule="auto"/>
        <w:rPr>
          <w:sz w:val="20"/>
          <w:szCs w:val="20"/>
          <w:color w:val="auto"/>
        </w:rPr>
      </w:pPr>
      <w:r>
        <w:rPr>
          <w:rFonts w:ascii="Times New Roman" w:cs="Times New Roman" w:eastAsia="Times New Roman" w:hAnsi="Times New Roman"/>
          <w:sz w:val="18"/>
          <w:szCs w:val="18"/>
          <w:color w:val="auto"/>
        </w:rPr>
        <w:t>consolidated fixed charge coverage ratio of 1.0:1.0 until such time as availability has exceeded the greater of (1) 10% of the Revolving Loan Cap and (2) $7.5 million for 30 consecutive days.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May 3, 2025, the Company had no borrowings outstanding under the Credit Facility and unused availability was $77.1 million. The Company had no borrowings during the first three months of fiscal 2025, resulting in an average unused excess availability of approximately $68.7 million. Outstanding standby letters of credit were $4.2 million at May 3, 2025. At May 3, 2025, the Company’s prime-based interest rate was 7.75%.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is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7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May 3, 2025, the Company’s operating leases liabilities represent the present value of the remaining future minimum lease payments updated based on concessions and lease modifications.</w:t>
      </w:r>
    </w:p>
    <w:p>
      <w:pPr>
        <w:spacing w:after="0" w:line="7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months ended May 3, 2025 and May 4, 2024: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20" w:type="dxa"/>
            <w:vAlign w:val="bottom"/>
            <w:gridSpan w:val="7"/>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5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May 3, 2025</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May 4, 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tcPr>
          <w:p>
            <w:pPr>
              <w:spacing w:after="0"/>
              <w:rPr>
                <w:sz w:val="18"/>
                <w:szCs w:val="18"/>
                <w:color w:val="auto"/>
              </w:rPr>
            </w:pPr>
          </w:p>
        </w:tc>
      </w:tr>
      <w:tr>
        <w:trPr>
          <w:trHeight w:val="216"/>
        </w:trPr>
        <w:tc>
          <w:tcPr>
            <w:tcW w:w="59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7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w:t>
            </w: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10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Variable lease costs include the cost of property taxes, insurance and common area maintenance fees related to leases.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cash flow and balance sheet information related to leases as of and for the first three months ended May 3, 2025 and May 4, 2024 was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380" w:type="dxa"/>
            <w:vAlign w:val="bottom"/>
            <w:gridSpan w:val="7"/>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175"/>
        </w:trPr>
        <w:tc>
          <w:tcPr>
            <w:tcW w:w="7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May 3, 2025</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3"/>
          </w:tcPr>
          <w:p>
            <w:pPr>
              <w:jc w:val="right"/>
              <w:ind w:right="520"/>
              <w:spacing w:after="0" w:line="176" w:lineRule="exact"/>
              <w:rPr>
                <w:sz w:val="20"/>
                <w:szCs w:val="20"/>
                <w:color w:val="auto"/>
              </w:rPr>
            </w:pPr>
            <w:r>
              <w:rPr>
                <w:rFonts w:ascii="Times New Roman" w:cs="Times New Roman" w:eastAsia="Times New Roman" w:hAnsi="Times New Roman"/>
                <w:sz w:val="18"/>
                <w:szCs w:val="18"/>
                <w:color w:val="auto"/>
                <w:w w:val="98"/>
              </w:rPr>
              <w:t>May 4, 2024</w:t>
            </w: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734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12,966</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26,370</w:t>
            </w:r>
          </w:p>
        </w:tc>
      </w:tr>
      <w:tr>
        <w:trPr>
          <w:trHeight w:val="216"/>
        </w:trPr>
        <w:tc>
          <w:tcPr>
            <w:tcW w:w="7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As of</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May 3, 2025</w:t>
            </w:r>
          </w:p>
        </w:tc>
        <w:tc>
          <w:tcPr>
            <w:tcW w:w="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w w:val="98"/>
              </w:rPr>
              <w:t>May 4, 2024</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yrs.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 yrs.</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gridSpan w:val="4"/>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6.35%</w:t>
            </w:r>
          </w:p>
        </w:tc>
        <w:tc>
          <w:tcPr>
            <w:tcW w:w="36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-281940</wp:posOffset>
            </wp:positionV>
            <wp:extent cx="102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-281940</wp:posOffset>
            </wp:positionV>
            <wp:extent cx="1028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for the first three months of fiscal 2025 and fiscal 2024 included prepaid rent of $4.5 million and $4.3 million, respectively.</w:t>
      </w:r>
    </w:p>
    <w:p>
      <w:pPr>
        <w:spacing w:after="0" w:line="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May 3,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33,259</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47,226</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40,640</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32,172</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24,430</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224,514</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187,337</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May 3, 2025, the Company had entered into 4 ten-year store leases that have not yet commenced with aggregated estimated future lease payments of approximately $6.3 million, which are not included in the above table. The leases are expected to commence during the third quarter of fiscal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2022-2024 LTIP</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performance target for the Company’s 2022-2024 LTIP was approved by the Compensation Committee of the Board of Directors (the "Compensation Committee”) on April 9, 2022, and covered a three-year period performance period, which ended on February 1, 2025. The time-vested portion of the 2022-2024 LTIP vests in four annual installments, with the remaining installment vesting on April 1, 2026.</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19, 2025, the Compensation Committee approved a grant of awards, effective April 1, 2025, equal to $2.4 million for the achievement of the performance target for the 2022-2024 LTIP. The award was granted in a combination of 50% cash and 50% restricted stock units ("RSUs"). All awards are subject to further vesting through August 31, 2025. In connection with the grant of 799,349 RSUs, the Company reclassified $1.0 million of its liability accrual from “Accrued expenses and other current liabilities” to “Additional paid-in capital” in the first quarter of fiscal 2025. See the Consolidated Statement of Changes in Stockholders’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Active LTIPs</w:t>
      </w:r>
    </w:p>
    <w:p>
      <w:pPr>
        <w:spacing w:after="0" w:line="1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May 3, 2025, the Company had three active LTIPs: the 2023-2025 LTIP, the 2024-2026 LTIP and the 2025-2027 LTIP. The time-based awards under each LTIP were granted in a combination of 50% RSUs and 50% cash.</w:t>
      </w:r>
    </w:p>
    <w:p>
      <w:pPr>
        <w:spacing w:after="0" w:line="5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Performance targets for the 2023-2025 LTIP, the 2024-2026 LTIP and the 2025-2027 LTIP were established and approved by the Compensation Committee with an effective date of May 1, 2023, April 1, 2024, and April 1, 2025, respectively. The performance period for each LTIP is three years. Awards for any achievement of performance targets will not be granted until the performance targets are achieved and then will be subject to an additional service requirement through August 31, 2026, August 31, 2027 and August 31, 2028, respectively. The time-based awards under the 2023-2025 LTIP, the 2024-2026 LTIP, and the 2025-2027 LTIP vest in four equal installments through April 1, 2027, April 1, 2028 and April 1, 2029, respectively. Assuming that the Company achieves the performance targets at target levels and all time-based awards vest, the compensation expense associated with the 2023-2025 LTIP, 2024-2026 LTIP and 2025-2027 LTIP is estimated to be approximately $5.0 million, $5.2 million and $5.2 million, respectively. Approximately half of the compensation expense for each LTIP relates to the time-based awards, which are being expensed straight-line over 48 months, 49 months and 49 months, respectively.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880"/>
        <w:spacing w:after="0" w:line="282" w:lineRule="auto"/>
        <w:rPr>
          <w:sz w:val="20"/>
          <w:szCs w:val="20"/>
          <w:color w:val="auto"/>
        </w:rPr>
      </w:pPr>
      <w:r>
        <w:rPr>
          <w:rFonts w:ascii="Times New Roman" w:cs="Times New Roman" w:eastAsia="Times New Roman" w:hAnsi="Times New Roman"/>
          <w:sz w:val="18"/>
          <w:szCs w:val="18"/>
          <w:color w:val="auto"/>
        </w:rPr>
        <w:t>At May 3, 2025, the Company had accrued $0.4 million under the 2024-2026 LTIP for the performance-based award. There was no accrual for performance-based awards under the 2023-2025 LTIP and the 2025-2027 LTIP.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the Company's Annual Meeting of Stockholders held on August 8, 2024, the Company's stockholders approved an increase of 6,150,000 shares authorized for future grant under the 2016 Plan. At May 3, 2025, 21,270,538 shares were authorized under the 2016 Plan, of which 4,385,562 shares remained available for grant.</w:t>
      </w:r>
    </w:p>
    <w:p>
      <w:pPr>
        <w:spacing w:after="0" w:line="7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three months of fiscal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Deferred</w:t>
            </w: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Performance</w:t>
            </w: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Fully-Vested</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Total Number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10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0" w:type="dxa"/>
            <w:vAlign w:val="bottom"/>
            <w:gridSpan w:val="2"/>
          </w:tcPr>
          <w:p>
            <w:pPr>
              <w:jc w:val="right"/>
              <w:ind w:right="34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1140" w:type="dxa"/>
            <w:vAlign w:val="bottom"/>
            <w:gridSpan w:val="2"/>
          </w:tcPr>
          <w:p>
            <w:pPr>
              <w:jc w:val="right"/>
              <w:ind w:right="260"/>
              <w:spacing w:after="0" w:line="175"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114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of Shares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761,081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479,700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1,813,781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granted</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1,714,473</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13,627</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15,224</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1,743,324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(230,102)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(15,224)</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(245,326)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expired</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forfeited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(113,870)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(113,870)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2,131,582</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493,327</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573,000</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3,197,909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60" w:right="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three months of fiscal 2025, grants primarily related to the grant of time-based RSUs under its 2025-2027 LTIP and the grants of awards under the 2022-2024 LTIP in connection with the achievement of the performance target. See Note 5, </w:t>
      </w:r>
      <w:r>
        <w:rPr>
          <w:rFonts w:ascii="Times New Roman" w:cs="Times New Roman" w:eastAsia="Times New Roman" w:hAnsi="Times New Roman"/>
          <w:sz w:val="18"/>
          <w:szCs w:val="18"/>
          <w:i w:val="1"/>
          <w:iCs w:val="1"/>
          <w:color w:val="auto"/>
        </w:rPr>
        <w:t>Long-Term Incentive Plans</w:t>
      </w:r>
      <w:r>
        <w:rPr>
          <w:rFonts w:ascii="Times New Roman" w:cs="Times New Roman" w:eastAsia="Times New Roman" w:hAnsi="Times New Roman"/>
          <w:sz w:val="18"/>
          <w:szCs w:val="18"/>
          <w:color w:val="auto"/>
        </w:rPr>
        <w:t>. As a result of net share settlements, of the 230,102 RSUs that vested, 198,604 shares of common stock were issued.</w:t>
      </w:r>
    </w:p>
    <w:p>
      <w:pPr>
        <w:spacing w:after="0" w:line="6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13,627 shares of deferred stock, with a fair value of $36,246 represent director compensation in lieu of cash, in accordance with the director's irrevocable election. The shares of deferred stock will be issued upon the director's separation from service.</w:t>
      </w:r>
    </w:p>
    <w:p>
      <w:pPr>
        <w:spacing w:after="0" w:line="53" w:lineRule="exact"/>
        <w:rPr>
          <w:rFonts w:ascii="Times New Roman" w:cs="Times New Roman" w:eastAsia="Times New Roman" w:hAnsi="Times New Roman"/>
          <w:sz w:val="18"/>
          <w:szCs w:val="18"/>
          <w:color w:val="auto"/>
        </w:rPr>
      </w:pPr>
    </w:p>
    <w:p>
      <w:pPr>
        <w:ind w:left="760" w:right="20" w:hanging="378"/>
        <w:spacing w:after="0" w:line="254"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Any unvested PSUs will expire on August 11, 2026. The $2.4 million grant-date fair value was expensed over the respective derived service periods of each tranche which ranged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83"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compensation, with a fair value of $40,496,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Weighted-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Per Option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Contractual Term</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(000's)</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2,971,460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2,968,435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 years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2,968,435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 years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granted 14,824 shares of common stock, with a fair value of approximately $39,432, to certain of its non-employee directors as compensation in lieu of cash in the first three months of fiscal 2025.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$0.3 million and $0.9 million for the first three months of fiscal 2025 and fiscal 2024, respectively. The total compensation cost related to awards not yet recognized as of May 3, 2025 was approximately $3.1 million, net of estimated forfeitures, which will be expensed over a weighted average remaining life of 36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660" w:type="dxa"/>
            <w:vAlign w:val="bottom"/>
            <w:gridSpan w:val="4"/>
          </w:tcPr>
          <w:p>
            <w:pPr>
              <w:ind w:left="9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71"/>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680" w:type="dxa"/>
            <w:vAlign w:val="bottom"/>
          </w:tcPr>
          <w:p>
            <w:pPr>
              <w:jc w:val="right"/>
              <w:ind w:right="397"/>
              <w:spacing w:after="0"/>
              <w:rPr>
                <w:sz w:val="20"/>
                <w:szCs w:val="20"/>
                <w:color w:val="auto"/>
              </w:rPr>
            </w:pPr>
            <w:r>
              <w:rPr>
                <w:rFonts w:ascii="Times New Roman" w:cs="Times New Roman" w:eastAsia="Times New Roman" w:hAnsi="Times New Roman"/>
                <w:sz w:val="14"/>
                <w:szCs w:val="14"/>
                <w:color w:val="auto"/>
              </w:rPr>
              <w:t>May 3, 2025</w:t>
            </w:r>
          </w:p>
        </w:tc>
        <w:tc>
          <w:tcPr>
            <w:tcW w:w="220" w:type="dxa"/>
            <w:vAlign w:val="bottom"/>
          </w:tcPr>
          <w:p>
            <w:pPr>
              <w:spacing w:after="0"/>
              <w:rPr>
                <w:sz w:val="14"/>
                <w:szCs w:val="14"/>
                <w:color w:val="auto"/>
              </w:rPr>
            </w:pPr>
          </w:p>
        </w:tc>
        <w:tc>
          <w:tcPr>
            <w:tcW w:w="1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May 4, 2024</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Common stock equivalents – stock options, restricted stock units and deferred stock </w:t>
            </w:r>
            <w:r>
              <w:rPr>
                <w:rFonts w:ascii="Times New Roman" w:cs="Times New Roman" w:eastAsia="Times New Roman" w:hAnsi="Times New Roman"/>
                <w:sz w:val="24"/>
                <w:szCs w:val="24"/>
                <w:color w:val="auto"/>
                <w:vertAlign w:val="superscript"/>
              </w:rPr>
              <w:t>(1)</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-156845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9" w:lineRule="exact"/>
        <w:rPr>
          <w:sz w:val="20"/>
          <w:szCs w:val="20"/>
          <w:color w:val="auto"/>
        </w:rPr>
      </w:pPr>
    </w:p>
    <w:p>
      <w:pPr>
        <w:ind w:left="760" w:hanging="3"/>
        <w:spacing w:after="0" w:line="282" w:lineRule="auto"/>
        <w:tabs>
          <w:tab w:leader="none" w:pos="10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of 2.5 million for the first quarter of fiscal 2025 were excluded from the determination of diluted weighted average common shares outstanding due to the net loss reported for the first quarter of fiscal 2025.</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and restricted stock units had an anti-dilutive effect.</w:t>
      </w:r>
    </w:p>
    <w:p>
      <w:pPr>
        <w:spacing w:after="0" w:line="15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3780" w:type="dxa"/>
            <w:vAlign w:val="bottom"/>
            <w:gridSpan w:val="4"/>
          </w:tcPr>
          <w:p>
            <w:pPr>
              <w:ind w:left="106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0" w:type="dxa"/>
            <w:vAlign w:val="bottom"/>
          </w:tcPr>
          <w:p>
            <w:pPr>
              <w:spacing w:after="0"/>
              <w:rPr>
                <w:sz w:val="1"/>
                <w:szCs w:val="1"/>
                <w:color w:val="auto"/>
              </w:rPr>
            </w:pPr>
          </w:p>
        </w:tc>
      </w:tr>
      <w:tr>
        <w:trPr>
          <w:trHeight w:val="171"/>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7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May 3, 2025</w:t>
            </w:r>
          </w:p>
        </w:tc>
        <w:tc>
          <w:tcPr>
            <w:tcW w:w="240" w:type="dxa"/>
            <w:vAlign w:val="bottom"/>
          </w:tcPr>
          <w:p>
            <w:pPr>
              <w:spacing w:after="0"/>
              <w:rPr>
                <w:sz w:val="14"/>
                <w:szCs w:val="14"/>
                <w:color w:val="auto"/>
              </w:rPr>
            </w:pP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May 4, 2024</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deferred stock</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$1.85-$6.59</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May 3, 2025, expire from September 11, 2026 to March 20, 2033.</w:t>
      </w:r>
    </w:p>
    <w:p>
      <w:pPr>
        <w:spacing w:after="0" w:line="117"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were 573,000 shares for the first three months of fiscal 2025 and fiscal 2024. These performance-based awards will be included in the computation of basic and diluted earnings per share if, and when, the respective performance targets are achieved. In addition, 493,327 shares and 444,281 shares of deferred stock at May 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4" w:name="page15"/>
    <w:bookmarkEnd w:id="14"/>
    <w:p>
      <w:pPr>
        <w:ind w:right="260"/>
        <w:spacing w:after="0" w:line="282" w:lineRule="auto"/>
        <w:rPr>
          <w:sz w:val="20"/>
          <w:szCs w:val="20"/>
          <w:color w:val="auto"/>
        </w:rPr>
      </w:pPr>
      <w:r>
        <w:rPr>
          <w:rFonts w:ascii="Times New Roman" w:cs="Times New Roman" w:eastAsia="Times New Roman" w:hAnsi="Times New Roman"/>
          <w:sz w:val="18"/>
          <w:szCs w:val="18"/>
          <w:color w:val="auto"/>
        </w:rPr>
        <w:t>2025 and May 4, 2024, respectively, were excluded from the computation of basic earnings per share. Shares of deferred stock are not considered issued and outstanding until the vesting date of the deferral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for interim periods is determined using an estimate of its annual effective tax rate, adjusted for discrete items, if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quarter, the Company updates its estimate of the annual effective </w:t>
      </w:r>
      <w:r>
        <w:rPr>
          <w:rFonts w:ascii="Times New Roman" w:cs="Times New Roman" w:eastAsia="Times New Roman" w:hAnsi="Times New Roman"/>
          <w:sz w:val="18"/>
          <w:szCs w:val="18"/>
          <w:color w:val="252525"/>
        </w:rPr>
        <w:t>tax rate</w:t>
      </w:r>
      <w:r>
        <w:rPr>
          <w:rFonts w:ascii="Times New Roman" w:cs="Times New Roman" w:eastAsia="Times New Roman" w:hAnsi="Times New Roman"/>
          <w:sz w:val="18"/>
          <w:szCs w:val="18"/>
          <w:color w:val="auto"/>
        </w:rPr>
        <w:t xml:space="preserve"> and makes a year-to-date adjustment to the provision.</w:t>
      </w:r>
    </w:p>
    <w:p>
      <w:pPr>
        <w:spacing w:after="0" w:line="9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first three months of fiscal 2025 and 2024, the Company’s effective tax rate was 39.7% and 30.4%, respectively. The increase in the effective tax rate for the first quarter of fiscal 2025, as compared to the first quarter of fiscal 2024, was primarily due to permanent book-to-tax differences. While in dollars, these permanent book-to-tax differences are down, the impact as a percentage of our estimated annual pretax income is greater.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3, 2025 and February 1, 2025, the Company held U.S. treasury bills which were classified as held-to maturity and carried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Active</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3)</w:t>
            </w: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May 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240" w:type="dxa"/>
            <w:vAlign w:val="bottom"/>
          </w:tcPr>
          <w:p>
            <w:pPr>
              <w:spacing w:after="0"/>
              <w:rPr>
                <w:sz w:val="18"/>
                <w:szCs w:val="18"/>
                <w:color w:val="auto"/>
              </w:rPr>
            </w:pP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 February 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Disclosures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sells clothing, footwear and accessories to big + tall men through its stores and direct business, which includes its website, mobile app and certain marketplaces. The Company has identified its stores and its direct business as two separate operating segments. Resources are allocated and performance is assessed by our President and Chief Executive Officer, whom we have determined to be our Chief Operating Decision Maker (the "CODM").</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CODM evaluates the performance of the Company's operating segments and allocates resources based on sales performance, merchandise margins and 4-wall contribution, a non-GAAP measure. The accounting policies are the same as those described in the Note A,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included in the Company's consolidated financial statements for the year ended February 1, 2025. The Company defines 4-wall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CODM considers the performance measure for segment profitability, as segment revenues less cost of goods sold, occupancy costs and selling expenses.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aggregate our two operating segments because they are economically similar. Both segments sell the same merchandise, at the same pricing, and share the same customer base, production, advertising spend and distribution. Our distribution channels are available to our customers regardless of how they initiate their transaction. Through our mobile app or website, a customer can initiate a purchase online and that purchase could be filled either by the distribution center or one of our stores. Similarly, a customer also has the option to pick up in store or have the merchandise shipped directly to them. The 4-wall contribution margin for each segment is materially similar, further supporting the economic similarity of these two operating segments and that no additional value would be provided by reporting the segments separately.</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following table is a summary of our segment disclosures and a reconciliation of 4-wall contribution (a non-GAAP measure) to net income, a GAAP measure:</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2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216"/>
        </w:trPr>
        <w:tc>
          <w:tcPr>
            <w:tcW w:w="7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2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May 3, 2025</w:t>
            </w: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May 4, 2024</w:t>
            </w:r>
          </w:p>
        </w:tc>
      </w:tr>
      <w:tr>
        <w:trPr>
          <w:trHeight w:val="209"/>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115,489</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(41,274)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(44,804)</w:t>
            </w: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 costs</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(16,677)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(15,003)</w:t>
            </w: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Store compensation</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(13,649)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(12,909)</w:t>
            </w:r>
          </w:p>
        </w:tc>
      </w:tr>
      <w:tr>
        <w:trPr>
          <w:trHeight w:val="216"/>
        </w:trPr>
        <w:tc>
          <w:tcPr>
            <w:tcW w:w="7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selling expenses</w:t>
            </w: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(6,440)</w:t>
            </w: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4-wall contribution (non-GAAP)</w:t>
            </w:r>
          </w:p>
        </w:tc>
        <w:tc>
          <w:tcPr>
            <w:tcW w:w="30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27,370</w:t>
            </w: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36,333</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(6,418)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(7,314)</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w:t>
            </w: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(12,982)</w:t>
            </w: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Distributing and supporting G&amp;A</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(7,269)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(7,878)</w:t>
            </w: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(3,278)</w:t>
            </w:r>
          </w:p>
        </w:tc>
      </w:tr>
      <w:tr>
        <w:trPr>
          <w:trHeight w:val="216"/>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(3,213)</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18"/>
                <w:szCs w:val="18"/>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FF0FC"/>
          </w:tcPr>
          <w:p>
            <w:pPr>
              <w:spacing w:after="0"/>
              <w:rPr>
                <w:sz w:val="18"/>
                <w:szCs w:val="18"/>
                <w:color w:val="auto"/>
              </w:rPr>
            </w:pPr>
          </w:p>
        </w:tc>
      </w:tr>
      <w:tr>
        <w:trPr>
          <w:trHeight w:val="20"/>
        </w:trPr>
        <w:tc>
          <w:tcPr>
            <w:tcW w:w="70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(GAAP)</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(1,939)</w:t>
            </w: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-2379345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-2379345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-441960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-441960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-159385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does not receive information about assets at the segment level because the Company's assets are managed at a consolidated level by department as opposed to by segment.</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(this “Quarterly Report”)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belief that our performance was due to the challenges present in the current economic downcycle and does not reflect on the opportunity in our total addressable market or the longer-term potential for our brand; our belief that the broader macroeconomic challenges and uncertainty within the apparel industry are impacting consumer sentiment and discretionary spending; our belief that our customers are trading down from national designer brands to our private label brands; our belief that our targeted promotions and the introduction of new value-driven brands have had a positive impact on our store traffic; our belief that our recently implemented initiatives will help to drive enhanced value and affinity for our brand; our belief that the impact of current tariffs on our financial results for fiscal 2025 could be an increase in costs of less than $2.0 million, or approximately 40 basis points as a percentage of sales; our ability to manage inventory; our belief that our FiTMAP technology will enhance customer engagement, attract new customers and establish DXL as a technology leader in men’s big + tall apparel; our expected expansion of FiTMAP to additional stores by the end of fiscal 2025 and the end of fiscal 2027; expected marketing costs; expected capital expenditures in 2025; expected store openings and store conversions for the remainder of fiscal 2025; and our expectations regarding liquidity needs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1, 2025, included in our Annual Report on Form 10-K for the year ended February 1, 2025, as filed with the Securities and Exchange Commission ("SEC") on March 20, 2025 (our “Fiscal 2024 Annual Report”).</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The Company encourages readers to refer to its filings with the SEC that set forth certain risks and uncertainties that may have an impact on future results and direction of our Company, including risks related to changes in consumer spending in response to economic factors, the impact of current tariffs, the impact of any further increases in tariffs, the Company's ability to proactively react to the potential changes in tariffs to minimize risk, rising costs, high interest rates; the impact of ongoing worldwide conflicts on the global economy; and the Company’s ability to execute on its marketing, digital, store and collaboration strategies, ability to grow its market share, predict customer tastes and fashion trends, compete successfully in the United States men’s big + tall apparel market, and the other risks and uncertainties as set forth in the “Risk Factors” section in Part I, Item 1A of our Fiscal 2024 Annual Report.</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Destination XL Group, Inc., together with our consolidated subsidiaries (the “Company”), is the largest specialty retailer of big + tall men’s clothing with retail and direct operations in the United States. We operate under the trade names of Destination XL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DXL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DXL Outlets, Casual Male XL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Casual Male XL Outlets. At May 3, 2025, we operated 251 Destination XL stores, 15 DXL outlet stores, 6 Casual Male XL retail stores, 18 Casual Male XL outlet stores and a digital business, including an e-commerce site at dxl.com and a mobile site, m.destinationXL.com, mobile app and third-party marketplaces.</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January 31, 2026 and February 1, 2025 as "fiscal 2025" and “fiscal 2024,” respectively. Both fiscal years were 52-week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We currently have two operating segments: our stores and our direct business. We consider our stores and direct business segments to be similar in terms of economic characteristics, production processes and operations, and have therefore aggregated them into one reportable segment consistent with our omni-channel business approach.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to fulfill online orders if merchandise is not available in the warehouse. As a result, certain transactions that begin online are ultimately completed at the store level. Similarly, if a customer visits a store and the 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 TARIFFS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U.S. economy continues to encounter considerable disruptions that have directly affected the retail sector and increased uncertainty as it relates to consumer spending. In light of the implications of new tariffs, many companies, including ours, have had to reassess their global sourcing strategy in an effort to minimize the impact of these tariffs. The frequent changes and unpredictability surrounding tariffs and trade policies has resulted in substantial uncertainty for companies’ operational management and their ability to forecast with confidence. This unpredictability has disrupted strategic planning cycles and added complexity to supply chain and cost management efforts. See “Risk Factors” section in Part I, Item 1A of our Fiscal 2024 Annual Report for further disclosure of the risks associated with the imposition of existing and new tariffs.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May 3, 2025</w:t>
            </w:r>
          </w:p>
        </w:tc>
        <w:tc>
          <w:tcPr>
            <w:tcW w:w="228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May 4, 2024</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20" w:type="dxa"/>
            <w:vAlign w:val="bottom"/>
            <w:gridSpan w:val="3"/>
            <w:shd w:val="clear" w:color="auto" w:fill="CFF0FC"/>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170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Sales</w:t>
            </w:r>
          </w:p>
        </w:tc>
        <w:tc>
          <w:tcPr>
            <w:tcW w:w="1700" w:type="dxa"/>
            <w:vAlign w:val="bottom"/>
            <w:tcBorders>
              <w:top w:val="single" w:sz="8" w:color="CFF0FC"/>
            </w:tcBorders>
          </w:tcPr>
          <w:p>
            <w:pPr>
              <w:spacing w:after="0"/>
              <w:rPr>
                <w:sz w:val="12"/>
                <w:szCs w:val="12"/>
                <w:color w:val="auto"/>
              </w:rPr>
            </w:pPr>
          </w:p>
        </w:tc>
        <w:tc>
          <w:tcPr>
            <w:tcW w:w="3000" w:type="dxa"/>
            <w:vAlign w:val="bottom"/>
            <w:tcBorders>
              <w:top w:val="single" w:sz="8" w:color="CFF0FC"/>
            </w:tcBorders>
            <w:gridSpan w:val="2"/>
          </w:tcPr>
          <w:p>
            <w:pPr>
              <w:jc w:val="right"/>
              <w:ind w:right="1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105.5</w:t>
            </w:r>
          </w:p>
        </w:tc>
        <w:tc>
          <w:tcPr>
            <w:tcW w:w="380" w:type="dxa"/>
            <w:vAlign w:val="bottom"/>
            <w:tcBorders>
              <w:top w:val="single" w:sz="8" w:color="CFF0FC"/>
            </w:tcBorders>
          </w:tcPr>
          <w:p>
            <w:pPr>
              <w:spacing w:after="0"/>
              <w:rPr>
                <w:sz w:val="12"/>
                <w:szCs w:val="12"/>
                <w:color w:val="auto"/>
              </w:rPr>
            </w:pPr>
          </w:p>
        </w:tc>
        <w:tc>
          <w:tcPr>
            <w:tcW w:w="1380" w:type="dxa"/>
            <w:vAlign w:val="bottom"/>
            <w:tcBorders>
              <w:top w:val="single" w:sz="8" w:color="CFF0FC"/>
            </w:tcBorders>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115.5</w:t>
            </w:r>
          </w:p>
        </w:tc>
        <w:tc>
          <w:tcPr>
            <w:tcW w:w="4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3000" w:type="dxa"/>
            <w:vAlign w:val="bottom"/>
            <w:gridSpan w:val="2"/>
            <w:shd w:val="clear" w:color="auto" w:fill="CFF0FC"/>
          </w:tcPr>
          <w:p>
            <w:pPr>
              <w:jc w:val="right"/>
              <w:ind w:right="1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380" w:type="dxa"/>
            <w:vAlign w:val="bottom"/>
            <w:shd w:val="clear" w:color="auto" w:fill="CFF0FC"/>
          </w:tcPr>
          <w:p>
            <w:pPr>
              <w:jc w:val="right"/>
              <w:ind w:right="1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3000" w:type="dxa"/>
            <w:vAlign w:val="bottom"/>
            <w:gridSpan w:val="2"/>
          </w:tcPr>
          <w:p>
            <w:pPr>
              <w:jc w:val="right"/>
              <w:ind w:right="1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380" w:type="dxa"/>
            <w:vAlign w:val="bottom"/>
          </w:tcPr>
          <w:p>
            <w:pPr>
              <w:spacing w:after="0"/>
              <w:rPr>
                <w:sz w:val="12"/>
                <w:szCs w:val="12"/>
                <w:color w:val="auto"/>
              </w:rPr>
            </w:pPr>
          </w:p>
        </w:tc>
        <w:tc>
          <w:tcPr>
            <w:tcW w:w="1380" w:type="dxa"/>
            <w:vAlign w:val="bottom"/>
          </w:tcPr>
          <w:p>
            <w:pPr>
              <w:jc w:val="right"/>
              <w:ind w:right="1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Gross margin, as a percentage of sales</w:t>
            </w:r>
          </w:p>
        </w:tc>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3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48"/>
        </w:trPr>
        <w:tc>
          <w:tcPr>
            <w:tcW w:w="512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SG&amp;A expenses, as a percentage of sales</w:t>
            </w:r>
          </w:p>
        </w:tc>
        <w:tc>
          <w:tcPr>
            <w:tcW w:w="17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13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49"/>
        </w:trPr>
        <w:tc>
          <w:tcPr>
            <w:tcW w:w="5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w:t>
            </w:r>
          </w:p>
        </w:tc>
        <w:tc>
          <w:tcPr>
            <w:tcW w:w="17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38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8"/>
        </w:trPr>
        <w:tc>
          <w:tcPr>
            <w:tcW w:w="10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2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Per diluted share:</w:t>
            </w:r>
          </w:p>
        </w:tc>
        <w:tc>
          <w:tcPr>
            <w:tcW w:w="4100" w:type="dxa"/>
            <w:vAlign w:val="bottom"/>
            <w:gridSpan w:val="2"/>
          </w:tcPr>
          <w:p>
            <w:pPr>
              <w:spacing w:after="0"/>
              <w:rPr>
                <w:sz w:val="11"/>
                <w:szCs w:val="11"/>
                <w:color w:val="auto"/>
              </w:rPr>
            </w:pPr>
          </w:p>
        </w:tc>
        <w:tc>
          <w:tcPr>
            <w:tcW w:w="17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2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3000" w:type="dxa"/>
            <w:vAlign w:val="bottom"/>
            <w:gridSpan w:val="2"/>
            <w:shd w:val="clear" w:color="auto" w:fill="CFF0FC"/>
          </w:tcPr>
          <w:p>
            <w:pPr>
              <w:jc w:val="right"/>
              <w:ind w:right="11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(0.04)</w:t>
            </w:r>
          </w:p>
        </w:tc>
        <w:tc>
          <w:tcPr>
            <w:tcW w:w="1380" w:type="dxa"/>
            <w:vAlign w:val="bottom"/>
            <w:shd w:val="clear" w:color="auto" w:fill="CFF0FC"/>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0.06</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currently managing our business through an economic downcycle, and our performance does not reflect the opportunity in our total addressable market or the longer-term potential for our brand. We believe the broader macroeconomic challenges and uncertainty within the apparel industry are further impacting consumer sentiment and discretionary spending. We have observed many customers trading down from national designer brands to our private label brands, which have lower average retail prices but higher margins. Despite these macroeconomic headwinds, we saw a slight improvement in sales over the quarter, largely driven by our stores, which showed improvements in store traffic and conversion versus prior trends.</w:t>
      </w:r>
    </w:p>
    <w:p>
      <w:pPr>
        <w:spacing w:after="0" w:line="10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comparable sales for the first quarter of fiscal 2025 were down 9.4%, but we saw gradual improvement over the course of the quarter with comparable sales down 13.9% in February, down 8.2% in March, and further improving to down 7.2% in April. We remain focused on key initiatives aimed specifically to appeal to our value-driven customers who are more price sensitive and less inclined to shop during this downward economic cycle. In late 2024, we implemented our price match guarantee, and during the first quarter of fiscal 2025, we launched fit exchange, a first responder program and our new loyalty program, all of which we believe is helping to drive affinity for our brand. We are also very excited about our FiTMAP sizing technology program, which allows customers to engage with our brand in a much more personalized manner using full body scanning technology. We have an exclusive license until 2030 for this proprietary FiTMAP Sizing Technology for big + tall men.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right="880"/>
        <w:spacing w:after="0" w:line="282" w:lineRule="auto"/>
        <w:rPr>
          <w:sz w:val="20"/>
          <w:szCs w:val="20"/>
          <w:color w:val="auto"/>
        </w:rPr>
      </w:pPr>
      <w:r>
        <w:rPr>
          <w:rFonts w:ascii="Times New Roman" w:cs="Times New Roman" w:eastAsia="Times New Roman" w:hAnsi="Times New Roman"/>
          <w:sz w:val="18"/>
          <w:szCs w:val="18"/>
          <w:color w:val="auto"/>
        </w:rPr>
        <w:t>Although our overall sales performance was below expectations, we saw some improvement in sales velocity, while still maintaining a healthy merchandise margin and controlling costs. Our net loss for the first quarter was $(0.04) per diluted share, primarily driven by the sales shortfall.</w:t>
      </w:r>
    </w:p>
    <w:p>
      <w:pPr>
        <w:spacing w:after="0" w:line="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situation with tariffs is very fluid and we continue to monitor trade discussions and changes to policy as they develop. We are leaning into relationships with our vendors and suppliers around the world and we are working very hard to mitigate the cost of those tariffs. Our discussions with our private label vendors have been productive. On the domestic side, we are also having dialogue with our national brands as we all try to navigate this environment. Where possible, we also accelerated the receipt of inventory within the quarter, ahead of certain tariffs, to minimize cost and ensure that we are well positioned ahead of Father's Day. Looking forward, we will continue to monitor these evolving trade discussions and look for opportunities to proactively mitigate the potential impact of such tariffs.</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May 3, 2025, we had cash and investments of $29.1 million as compared to $53.2 million at May 4, 2024 with no debt outstanding and unused excess availability of $77.1 million. Since May 4, 2024, we have used $13.6 million of our available cash to repurchase shares of our common stock. Our cash and investments balance also reflects a seasonal inventory build. We continued to maintain our strong financial position, successfully managing our liquidity and our inventory levels, which were down 6.3% to May 4,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months ended May 3, 2025 and May 4,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May 3, 2025</w:t>
            </w: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72.5%</w:t>
            </w:r>
          </w:p>
        </w:tc>
        <w:tc>
          <w:tcPr>
            <w:tcW w:w="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May 4, 2024</w:t>
            </w:r>
          </w:p>
        </w:tc>
        <w:tc>
          <w:tcPr>
            <w:tcW w:w="13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70.0%</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Store sales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76,471</w:t>
            </w:r>
          </w:p>
        </w:tc>
        <w:tc>
          <w:tcPr>
            <w:tcW w:w="1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80,848</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sales</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29,062</w:t>
            </w:r>
          </w:p>
        </w:tc>
        <w:tc>
          <w:tcPr>
            <w:tcW w:w="104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27.5%</w:t>
            </w:r>
          </w:p>
        </w:tc>
        <w:tc>
          <w:tcPr>
            <w:tcW w:w="4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34,641</w:t>
            </w:r>
          </w:p>
        </w:tc>
        <w:tc>
          <w:tcPr>
            <w:tcW w:w="1300" w:type="dxa"/>
            <w:vAlign w:val="bottom"/>
            <w:tcBorders>
              <w:bottom w:val="single" w:sz="8" w:color="CFF0FC"/>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i w:val="1"/>
                <w:iCs w:val="1"/>
                <w:color w:val="auto"/>
              </w:rPr>
              <w:t>30.0%</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70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105,533</w:t>
            </w:r>
          </w:p>
        </w:tc>
        <w:tc>
          <w:tcPr>
            <w:tcW w:w="1040" w:type="dxa"/>
            <w:vAlign w:val="bottom"/>
          </w:tcPr>
          <w:p>
            <w:pPr>
              <w:spacing w:after="0"/>
              <w:rPr>
                <w:sz w:val="18"/>
                <w:szCs w:val="18"/>
                <w:color w:val="auto"/>
              </w:rPr>
            </w:pP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-170815</wp:posOffset>
            </wp:positionV>
            <wp:extent cx="77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Total sales for the first quarter of fiscal 2025 were $105.5 million, as compared to $115.5 million in the first quarter of fiscal 2024. The decrease in total sales was primarily attributable to a decrease in comparable sales for the first quarter of 9.4%, partially offset by an increase in non-comparable sales. Sales trends improved month over month, with comparable sales down 13.9% in February, down 8.2% in March, and down 7.2% in April. Overall, the first quarter decline was consistent with the sales trend in fiscal 2024, as customers are continuing to pull back on discretionary spending. We continued to see customers shift toward our private-label merchandise and value-driven brands.</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first quarter comparable sales decrease of 9.4% consisted of a comparable sales decrease of 6.6% from stores and a comparable decrease of 16.2% from our direct business. While store traffic remained negative for the first quarter of fiscal 2025, there was a gradual improvement over the course of the first quarter. We believe that our targeted promotions, which include our Fit Exchange by DXL, our Hero/First Responder discounts as well as the introduction of new value-driven brands, have had a positive impact on our store traffic. The direct business, which includes our website, app and marketplaces, struggled during the first quarter of fiscal 2025 and was challenged by decreases in online traffic and average order value, while conversion was relatively flat. In addition, in connection with our website conversion, we identified and corrected certain functionalities which we believe likely had a negative impact on sales in the beginning of the first quarter.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first quarter of fiscal 2025, our gross margin rate, inclusive of occupancy costs, was 45.1% as compared to a gross margin rate of 48.2% for the first quarter of fiscal 2024.</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gross margin rate decreased by 310 basis points, which was driven by an increase of 280 basis points in occupancy costs, as a percentage of sales, due to the deleveraging from lower sales and increased rents from new stores and lease extensions. Merchandise margin for the first quarter decreased by 30 basis points, as compared to the first quarter of fiscal 2024, primarily due to an increase in markdown activity and promotional offers associated with our new marketing initiatives, including the new loyalty program, as well as an increase in freight costs associated with the acceleration of inventory receipts. These increases were partially offset by an increase in merchandise margins as a result of a shift in product mix.</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There remains significant uncertainty with respect to evolving trade policies and the enactment of additional tariffs globally. We are proactively taking measures to mitigate the impact of such tariffs and trade restrictions on our business. Given the volatility that currently exists around these trade discussions, it is difficult to determine the potential impact that these tariffs may have on our financial results. However, if currently enacted rates remain in effect throughout this fiscal year, we estimate that the impact on our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financial results for fiscal 2025 could be an increase in costs of less than $2.0 million, or approximately 40 basis points as a percentage of sales. </w:t>
      </w:r>
      <w:r>
        <w:rPr>
          <w:rFonts w:ascii="Times New Roman" w:cs="Times New Roman" w:eastAsia="Times New Roman" w:hAnsi="Times New Roman"/>
          <w:sz w:val="18"/>
          <w:szCs w:val="18"/>
          <w:i w:val="1"/>
          <w:iCs w:val="1"/>
          <w:color w:val="auto"/>
        </w:rPr>
        <w:t>Selling, General and Administrative Expenses</w:t>
      </w:r>
    </w:p>
    <w:p>
      <w:pPr>
        <w:spacing w:after="0" w:line="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expenses for the first quarter of fiscal 2025 were 45.0% as compared to 41.1% for the first quarter of fiscal 2024.</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 dollar basis, SG&amp;A expenses decreased by $0.1 million for the first quarter of fiscal 2025 as compared to the first quarter of fiscal 2024. The decrease was primarily due to a decrease in marketing and incentive-based compensation, partially offset by an increase in store payroll and healthcare costs. On a percentage of sales basis, SG&amp;A expenses increased due to the decrease in sales for the first quarter of fiscal 2025 as compared to the first quarter of fiscal 2024.</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Marketing costs were 6.1% of sales for the first quarter of fiscal 2025 as compared to 6.3% of sales for the first quarter of fiscal 2024. For fiscal 2025, marketing costs are expected to be approximately 5.9%.</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25.2% of sales in the first quarter of fiscal 2025 as compared to 23.0% of sales in the first quarter of fiscal 2024. Corporate Support Costs, which include the distribution center and corporate overhead costs, represented 19.8% of sales in the first quarter of fiscal 2025 as compared to 18.1% of sales in the first quarter of fiscal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first quarter of fiscal 2025 increased slightly to $3.6 million as compared to $3.3 million for the first quarter of fiscal 2024. Our capital expenditures have increased in fiscal 2025 due to the opening of new store locations and investments in certain other infrastructure and technology projects.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interest income for the first quarter of fiscal 2025 was $0.3 million as compared to $0.6 million for the first quarter of fiscal 2024. For both periods, interest income was earned from investments in U.S. government-backed investments and money market accounts. The decrease in interest income was due to the decrease in the average balance of investments during the first quarter of fiscal 2025 as compared to the prior year period. Interest costs for both periods were minimal because we had no outstanding debt and no borrowings under our credit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first quarter of fiscal 2025 and fiscal 2024, our effective tax rate was 39.7% and 30.4%, respectively. The increase in the effective tax rate for the first quarter of fiscal 2025, as compared to the first quarter of fiscal 2024, was primarily due to permanent book-to-tax differences. While in dollars, these permanent book-to-tax differences are down, the impact as a percentage of our estimated annual pretax income is greater.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1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For the first quarter of fiscal 2025, we recorded a net loss of $1.9 million, or $(0.04) per diluted share, as compared to net income of $3.8 million, or $0.06 per diluted share, for the first quarter of fiscal 2024. The decrease in earnings for the first quarter of fiscal 2025 was driven primarily by the decrease in sales.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May 3, 2025, our inventory decreased by approximately $5.8 million to $85.5 million, as compared to $91.2 million at May 4, 2024. We continue to take proactive measures to manage our inventory and adjust our receipt plan given the ongoing macroeconomic factors affecting consumer spending while, at the same time, accelerating certain receipts to avoid the impact of potential tariffs. At May 3, 2025, our clearance inventory was 9.5% of our total inventory, as compared to 9.7% at May 4, 2024. Our inventory position is very strong and our clearance levels are in line with our benchmark of 10% even with the 6.3% decrease in total inventory. Our inventory turnover rate has improved by over 30% from fiscal 2019.</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primary sources of liquidity are our cash and cash equivalents, short-term investments, cash generated from operations and availability under our credit facility, which is discussed below. At May 3, 2025, we had no outstanding debt, including no borrowings under our credit facility during the first three months of fiscal 2025. Cash that is in excess of our forecasted needs may be invested in money market accounts and U.S. government-backed securities.</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may have on consumer spending, including geopolitical conflicts around the world, the imposition of tariffs, inflation and high interest costs. We also believe that cash flows from operating activities and cash on hand will be sufficient to satisfy our current capital requirements and our stock repurchase program. In the longer term, to the extent future capital requirements exceed cash on hand plus cash flows from operating activities, we anticipate that working capital will be financed by our credit facility.</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first three months of fiscal 2025, cash flow from operations was $(12.0) million as compared to $(1.1) million for the first three months of fiscal 2024. The decrease in cash flow from operations was primarily due to a decrease in earnings and the timing of payables associated with the acceleration of inventory receipts during the first quarter of fiscal 2025. We operate in a seasonal business that typically includes greater uses of cash in the first quarter as we build inventory in anticipation of the summer selling season.</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Free cash flow, before capital expenditures for store development, a non-GAAP measure, was $(14.5) million for the first three months of fiscal 2025 as compared to $(4.6) million for the first three months of fiscal 2024. Free cash flow, a non-GAAP measure, was $(18.8) million for the first three months of fiscal 2025 as compared to $(7.0) million for the first three months of fiscal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5"/>
          </w:tcPr>
          <w:p>
            <w:pPr>
              <w:ind w:left="104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3, 2025</w:t>
            </w:r>
          </w:p>
        </w:tc>
        <w:tc>
          <w:tcPr>
            <w:tcW w:w="32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May 4,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ind w:left="1340"/>
              <w:spacing w:after="0" w:line="142" w:lineRule="exact"/>
              <w:rPr>
                <w:sz w:val="20"/>
                <w:szCs w:val="20"/>
                <w:color w:val="auto"/>
              </w:rPr>
            </w:pPr>
            <w:r>
              <w:rPr>
                <w:rFonts w:ascii="Times New Roman" w:cs="Times New Roman" w:eastAsia="Times New Roman" w:hAnsi="Times New Roman"/>
                <w:sz w:val="14"/>
                <w:szCs w:val="14"/>
                <w:color w:val="auto"/>
                <w:w w:val="81"/>
              </w:rPr>
              <w:t>(1.1)</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ind w:left="1340"/>
              <w:spacing w:after="0" w:line="142" w:lineRule="exact"/>
              <w:rPr>
                <w:sz w:val="20"/>
                <w:szCs w:val="20"/>
                <w:color w:val="auto"/>
              </w:rPr>
            </w:pPr>
            <w:r>
              <w:rPr>
                <w:rFonts w:ascii="Times New Roman" w:cs="Times New Roman" w:eastAsia="Times New Roman" w:hAnsi="Times New Roman"/>
                <w:sz w:val="14"/>
                <w:szCs w:val="14"/>
                <w:color w:val="auto"/>
                <w:w w:val="81"/>
              </w:rPr>
              <w:t>(4.6)</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(18.8)</w:t>
            </w:r>
          </w:p>
        </w:tc>
        <w:tc>
          <w:tcPr>
            <w:tcW w:w="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shd w:val="clear" w:color="auto" w:fill="CFF0FC"/>
          </w:tcPr>
          <w:p>
            <w:pPr>
              <w:ind w:left="1340"/>
              <w:spacing w:after="0" w:line="129" w:lineRule="exact"/>
              <w:rPr>
                <w:sz w:val="20"/>
                <w:szCs w:val="20"/>
                <w:color w:val="auto"/>
              </w:rPr>
            </w:pPr>
            <w:r>
              <w:rPr>
                <w:rFonts w:ascii="Times New Roman" w:cs="Times New Roman" w:eastAsia="Times New Roman" w:hAnsi="Times New Roman"/>
                <w:sz w:val="14"/>
                <w:szCs w:val="14"/>
                <w:color w:val="auto"/>
                <w:w w:val="81"/>
              </w:rPr>
              <w:t>(7.0)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flow provided by investing activities was $8.3 million as compared to cash flow used for investing activities of $10.0 million for the first three months of fiscal 2024. The increase in cash flow provided by investing activities of $18.3 million was primarily due to the maturity, net of purchases, of short-term investments, partially offset by an increase in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a $125.0 million revolving credit agreement with Citizens Bank, N.A., with a maturity date of October 28, 2026 (the "Credit Facility"). The Credit Facility includes a sublimit of $20.0 million for commercial and standby letters of credit and a sublimit of up to $15.0 million for swingline loans. 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88"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May 3, 2025 and no borrowings during the first three months of fiscal 2025. At May 3, 2025, outstanding standby letters of credit were $4.2 million. The average unused excess availability during the first three months of fiscal 2025 was approximately $68.7 million and the unused excess availability at May 3, 2025 was $77.1 million.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May 3, 2025 and May 4, 2024, respectively: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color w:val="auto"/>
              </w:rPr>
              <w:t>Number of</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May 3, 2025</w:t>
            </w:r>
          </w:p>
        </w:tc>
        <w:tc>
          <w:tcPr>
            <w:tcW w:w="10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Square</w:t>
            </w:r>
          </w:p>
        </w:tc>
        <w:tc>
          <w:tcPr>
            <w:tcW w:w="166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May 4, 2024</w:t>
            </w:r>
          </w:p>
        </w:tc>
        <w:tc>
          <w:tcPr>
            <w:tcW w:w="10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Square</w:t>
            </w: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Store Concept</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6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Stores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Footage</w:t>
            </w:r>
          </w:p>
        </w:tc>
        <w:tc>
          <w:tcPr>
            <w:tcW w:w="16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Stores</w:t>
            </w: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Footage</w:t>
            </w:r>
          </w:p>
        </w:tc>
        <w:tc>
          <w:tcPr>
            <w:tcW w:w="0" w:type="dxa"/>
            <w:vAlign w:val="bottom"/>
          </w:tcPr>
          <w:p>
            <w:pPr>
              <w:spacing w:after="0"/>
              <w:rPr>
                <w:sz w:val="1"/>
                <w:szCs w:val="1"/>
                <w:color w:val="auto"/>
              </w:rPr>
            </w:pPr>
          </w:p>
        </w:tc>
      </w:tr>
      <w:tr>
        <w:trPr>
          <w:trHeight w:val="186"/>
        </w:trPr>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Retail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251</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DXL Outlets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Casual Male XL Retail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Casual Male Outlets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290</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1,961</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first three months of fiscal 2025, we opened two new DXL stores and converted one Casual Male XL retail store and one Casual Male XL outlet to DXL stores. We expect to open six additional DXL stores during fiscal 2025 and expect our capital expenditures to range from $19.0 million to $21.0 million, net of tenant incentives.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FiTMAP®</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Over the past two years, we have been working with and testing a proprietary FiTMAP Sizing Technology for which we have an exclusive license for big + tall men until 2030. This innovative, contactless, digital scanning technology captures 242 unique measurements and offers custom clothing options for all our customers, and size recommendations across the variety of brands for a great fit. FiTMAP offers a unique experience for our customers, whether selecting from our Ready-to-Wear clothing or opting for custom garments. This technology currently provides recommended sizes in all of our private label brands, as well as 15 of our exclusive national brands. We believe this technology will enhance customer engagement, attract new customers and establish DXL as a technology leader in men's big + tall apparel. To date, we have scanned over 20,000 customers. FiTMAP is currently in 52 DXL retail locations with a plan to end fiscal 2025 with 85 stores and to further expand to as many as 200 stores by the end of fiscal 2027.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critical accounting policies and estimates disclosed in our Fiscal 2024 Annual Report. See Note 1,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to the Consolidated Financial Statements included in this Quarterly Report for information on recent accounting pronouncements and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Free cash flow, free cash flow before capital expenditures for store development, adjusted EBITDA and adjusted EBITDA margin are non-GAAP measures. These non-GAAP measures are not presented in accordance with GAAP and should not be considered superior to or as a substitute for net income (loss), net income (loss) per diluted share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We define free cash flow before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for store development as cash flow from operations activities less all capital expenditures except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Free cash flow excludes the mandatory and discretionary repayment of debt. Free cash flow is a metric that management uses to monitor liquidity. Management believes this metric is important to investors because it demonstrates the Company's ability to strengthen liquidity while supporting its capital projects and new store development. We expect to fund our ongoing capital expenditures with cash flow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gridSpan w:val="5"/>
          </w:tcPr>
          <w:p>
            <w:pPr>
              <w:ind w:left="1040"/>
              <w:spacing w:after="0"/>
              <w:rPr>
                <w:sz w:val="20"/>
                <w:szCs w:val="20"/>
                <w:color w:val="auto"/>
              </w:rPr>
            </w:pPr>
            <w:r>
              <w:rPr>
                <w:rFonts w:ascii="Times New Roman" w:cs="Times New Roman" w:eastAsia="Times New Roman" w:hAnsi="Times New Roman"/>
                <w:sz w:val="14"/>
                <w:szCs w:val="14"/>
                <w:color w:val="auto"/>
              </w:rPr>
              <w:t>For the three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14"/>
                <w:szCs w:val="14"/>
                <w:color w:val="auto"/>
              </w:rPr>
            </w:pPr>
          </w:p>
        </w:tc>
        <w:tc>
          <w:tcPr>
            <w:tcW w:w="17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May 3, 2025</w:t>
            </w:r>
          </w:p>
        </w:tc>
        <w:tc>
          <w:tcPr>
            <w:tcW w:w="32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May 4,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ind w:left="1340"/>
              <w:spacing w:after="0" w:line="142" w:lineRule="exact"/>
              <w:rPr>
                <w:sz w:val="20"/>
                <w:szCs w:val="20"/>
                <w:color w:val="auto"/>
              </w:rPr>
            </w:pPr>
            <w:r>
              <w:rPr>
                <w:rFonts w:ascii="Times New Roman" w:cs="Times New Roman" w:eastAsia="Times New Roman" w:hAnsi="Times New Roman"/>
                <w:sz w:val="14"/>
                <w:szCs w:val="14"/>
                <w:color w:val="auto"/>
                <w:w w:val="81"/>
              </w:rPr>
              <w:t>(1.1)</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80" w:type="dxa"/>
            <w:vAlign w:val="bottom"/>
            <w:tcBorders>
              <w:top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3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ind w:left="1340"/>
              <w:spacing w:after="0" w:line="142" w:lineRule="exact"/>
              <w:rPr>
                <w:sz w:val="20"/>
                <w:szCs w:val="20"/>
                <w:color w:val="auto"/>
              </w:rPr>
            </w:pPr>
            <w:r>
              <w:rPr>
                <w:rFonts w:ascii="Times New Roman" w:cs="Times New Roman" w:eastAsia="Times New Roman" w:hAnsi="Times New Roman"/>
                <w:sz w:val="14"/>
                <w:szCs w:val="14"/>
                <w:color w:val="auto"/>
                <w:w w:val="81"/>
              </w:rPr>
              <w:t>(4.6)</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8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320" w:type="dxa"/>
            <w:vAlign w:val="bottom"/>
          </w:tcPr>
          <w:p>
            <w:pPr>
              <w:spacing w:after="0"/>
              <w:rPr>
                <w:sz w:val="12"/>
                <w:szCs w:val="12"/>
                <w:color w:val="auto"/>
              </w:rPr>
            </w:pPr>
          </w:p>
        </w:tc>
        <w:tc>
          <w:tcPr>
            <w:tcW w:w="1680" w:type="dxa"/>
            <w:vAlign w:val="bottom"/>
            <w:gridSpan w:val="2"/>
          </w:tcPr>
          <w:p>
            <w:pPr>
              <w:ind w:left="1340"/>
              <w:spacing w:after="0" w:line="149" w:lineRule="exact"/>
              <w:rPr>
                <w:sz w:val="20"/>
                <w:szCs w:val="20"/>
                <w:color w:val="auto"/>
              </w:rPr>
            </w:pPr>
            <w:r>
              <w:rPr>
                <w:rFonts w:ascii="Times New Roman" w:cs="Times New Roman" w:eastAsia="Times New Roman" w:hAnsi="Times New Roman"/>
                <w:sz w:val="14"/>
                <w:szCs w:val="14"/>
                <w:color w:val="auto"/>
              </w:rPr>
              <w:t>(2.4)</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80" w:type="dxa"/>
            <w:vAlign w:val="bottom"/>
            <w:tcBorders>
              <w:top w:val="single" w:sz="8" w:color="auto"/>
              <w:bottom w:val="single" w:sz="8" w:color="auto"/>
            </w:tcBorders>
            <w:shd w:val="clear" w:color="auto" w:fill="CFF0FC"/>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(18.8)</w:t>
            </w:r>
          </w:p>
        </w:tc>
        <w:tc>
          <w:tcPr>
            <w:tcW w:w="3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shd w:val="clear" w:color="auto" w:fill="CFF0FC"/>
          </w:tcPr>
          <w:p>
            <w:pPr>
              <w:ind w:left="1340"/>
              <w:spacing w:after="0" w:line="129" w:lineRule="exact"/>
              <w:rPr>
                <w:sz w:val="20"/>
                <w:szCs w:val="20"/>
                <w:color w:val="auto"/>
              </w:rPr>
            </w:pPr>
            <w:r>
              <w:rPr>
                <w:rFonts w:ascii="Times New Roman" w:cs="Times New Roman" w:eastAsia="Times New Roman" w:hAnsi="Times New Roman"/>
                <w:sz w:val="14"/>
                <w:szCs w:val="14"/>
                <w:color w:val="auto"/>
                <w:w w:val="81"/>
              </w:rPr>
              <w:t>(7.0)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 and Adjusted EBITDA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adding back impairment (gain) of assets and accrual for estimated non-recurring legal settlement costs, if any. Adjusted EBITDA margin is calculated as Adjusted EBITDA divided by Sales. We believe that providing adjusted EBITDA and adjusted EBITDA margin is useful to investors in evaluating our performance and are key metrics to measure profitability and economic productivity. The following table reconciles adjusted EBITDA from net income and calculates adjusted EBITDA margin: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5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72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May 3, 2025</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May 4, 2024</w:t>
            </w:r>
          </w:p>
        </w:tc>
        <w:tc>
          <w:tcPr>
            <w:tcW w:w="4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472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2760" w:type="dxa"/>
            <w:vAlign w:val="bottom"/>
            <w:gridSpan w:val="2"/>
            <w:shd w:val="clear" w:color="auto" w:fill="CFF0FC"/>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FF0FC"/>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1380" w:type="dxa"/>
            <w:vAlign w:val="bottom"/>
            <w:shd w:val="clear" w:color="auto" w:fill="CFF0FC"/>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13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38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4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1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3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544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80" w:type="dxa"/>
            <w:vAlign w:val="bottom"/>
            <w:tcBorders>
              <w:bottom w:val="single" w:sz="8" w:color="CFF0FC"/>
            </w:tcBorders>
            <w:shd w:val="clear" w:color="auto" w:fill="CFF0FC"/>
          </w:tcPr>
          <w:p>
            <w:pPr>
              <w:spacing w:after="0"/>
              <w:rPr>
                <w:sz w:val="12"/>
                <w:szCs w:val="12"/>
                <w:color w:val="auto"/>
              </w:rPr>
            </w:pPr>
          </w:p>
        </w:tc>
        <w:tc>
          <w:tcPr>
            <w:tcW w:w="138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4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2760" w:type="dxa"/>
            <w:vAlign w:val="bottom"/>
            <w:gridSpan w:val="2"/>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380" w:type="dxa"/>
            <w:vAlign w:val="bottom"/>
          </w:tcPr>
          <w:p>
            <w:pPr>
              <w:spacing w:after="0"/>
              <w:rPr>
                <w:sz w:val="12"/>
                <w:szCs w:val="12"/>
                <w:color w:val="auto"/>
              </w:rPr>
            </w:pPr>
          </w:p>
        </w:tc>
        <w:tc>
          <w:tcPr>
            <w:tcW w:w="1380" w:type="dxa"/>
            <w:vAlign w:val="bottom"/>
          </w:tcPr>
          <w:p>
            <w:pPr>
              <w:jc w:val="right"/>
              <w:ind w:right="1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shd w:val="clear" w:color="auto" w:fill="CFF0FC"/>
          </w:tcPr>
          <w:p>
            <w:pPr>
              <w:spacing w:after="0"/>
              <w:rPr>
                <w:sz w:val="11"/>
                <w:szCs w:val="11"/>
                <w:color w:val="auto"/>
              </w:rPr>
            </w:pPr>
          </w:p>
        </w:tc>
        <w:tc>
          <w:tcPr>
            <w:tcW w:w="472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2760" w:type="dxa"/>
            <w:vAlign w:val="bottom"/>
            <w:gridSpan w:val="2"/>
          </w:tcPr>
          <w:p>
            <w:pPr>
              <w:jc w:val="right"/>
              <w:ind w:right="12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w:t>
            </w:r>
          </w:p>
        </w:tc>
        <w:tc>
          <w:tcPr>
            <w:tcW w:w="380" w:type="dxa"/>
            <w:vAlign w:val="bottom"/>
          </w:tcPr>
          <w:p>
            <w:pPr>
              <w:spacing w:after="0"/>
              <w:rPr>
                <w:sz w:val="12"/>
                <w:szCs w:val="12"/>
                <w:color w:val="auto"/>
              </w:rPr>
            </w:pPr>
          </w:p>
        </w:tc>
        <w:tc>
          <w:tcPr>
            <w:tcW w:w="1380" w:type="dxa"/>
            <w:vAlign w:val="bottom"/>
          </w:tcPr>
          <w:p>
            <w:pPr>
              <w:jc w:val="right"/>
              <w:ind w:right="12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 as a percentage of sales</w:t>
            </w:r>
          </w:p>
        </w:tc>
        <w:tc>
          <w:tcPr>
            <w:tcW w:w="13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3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-410845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-410845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interest rate previously disclosed in Part II, Item 7A of our Fiscal 2024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3, 2025.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3, 2025, our disclosure controls and procedures were effective.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have not experienced any changes in our internal control over financial reporting (as defined in Rules 13a-15(f) and 15d-15(f) under the Exchange Act) during the three months ended May 3, 2025 that has materially affected, or is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May 3, 2025, none of our directors or officers (as defined in Rule 16a-1(f) of the Securities Exchange Act of 1934, as amended) adopted or terminated a Rule 10b5-1 trading arrangement or non-Rule 10b5-1 trading arrangement (as such terms are defined in Item 408 of Regulation S-K of the Securities Act of 1933, as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the Company pursuant to Rule 13a-14(a) under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gridSpan w:val="3"/>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96"/>
        </w:trPr>
        <w:tc>
          <w:tcPr>
            <w:tcW w:w="960" w:type="dxa"/>
            <w:vAlign w:val="bottom"/>
          </w:tcPr>
          <w:p>
            <w:pPr>
              <w:spacing w:after="0"/>
              <w:rPr>
                <w:sz w:val="17"/>
                <w:szCs w:val="17"/>
                <w:color w:val="auto"/>
              </w:rPr>
            </w:pPr>
          </w:p>
        </w:tc>
        <w:tc>
          <w:tcPr>
            <w:tcW w:w="10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6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Inline XBRL Instance Document. The instance document does not appear in the Interactive Data File because its XBRL tags are embedded</w:t>
            </w:r>
          </w:p>
        </w:tc>
        <w:tc>
          <w:tcPr>
            <w:tcW w:w="2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within the Inline XBRL document.</w:t>
            </w:r>
          </w:p>
        </w:tc>
      </w:tr>
      <w:tr>
        <w:trPr>
          <w:trHeight w:val="20"/>
        </w:trPr>
        <w:tc>
          <w:tcPr>
            <w:tcW w:w="96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Inline XBRL Taxonomy Extension Schema With Embedded Linkbase Document.</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40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hanging="951"/>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81" w:right="47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DESTINATION XL GROUP, INC.</w:t>
            </w:r>
          </w:p>
        </w:tc>
      </w:tr>
      <w:tr>
        <w:trPr>
          <w:trHeight w:val="45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2025</w:t>
            </w:r>
          </w:p>
        </w:tc>
        <w:tc>
          <w:tcPr>
            <w:tcW w:w="30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Cooney</w:t>
            </w:r>
          </w:p>
        </w:tc>
      </w:tr>
      <w:tr>
        <w:trPr>
          <w:trHeight w:val="211"/>
        </w:trPr>
        <w:tc>
          <w:tcPr>
            <w:tcW w:w="37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John F. Cooney</w:t>
            </w:r>
          </w:p>
        </w:tc>
      </w:tr>
    </w:tbl>
    <w:p>
      <w:pPr>
        <w:ind w:left="676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Corporate Controller (Duly Authorized Officer and Chief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May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May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May 3, 2025, as filed with the Securities and Exchange Commission on the date hereof (the “Report”), I, Harvey S. Kanter, Chief Executive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600" w:val="left"/>
          <w:tab w:leader="none" w:pos="6760" w:val="left"/>
          <w:tab w:leader="none" w:pos="8380" w:val="left"/>
        </w:tabs>
        <w:rPr>
          <w:sz w:val="20"/>
          <w:szCs w:val="20"/>
          <w:color w:val="auto"/>
        </w:rPr>
      </w:pPr>
      <w:r>
        <w:rPr>
          <w:rFonts w:ascii="Times New Roman" w:cs="Times New Roman" w:eastAsia="Times New Roman" w:hAnsi="Times New Roman"/>
          <w:sz w:val="18"/>
          <w:szCs w:val="18"/>
          <w:color w:val="auto"/>
        </w:rPr>
        <w:t>Date:</w:t>
        <w:tab/>
        <w:t>May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Harvey S. Kanter</w:t>
      </w:r>
    </w:p>
    <w:p>
      <w:pPr>
        <w:spacing w:after="0" w:line="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9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8" w:name="page29"/>
    <w:bookmarkEnd w:id="2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May 3, 2025,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560" w:val="left"/>
          <w:tab w:leader="none" w:pos="6760" w:val="left"/>
          <w:tab w:leader="none" w:pos="8260" w:val="left"/>
        </w:tabs>
        <w:rPr>
          <w:sz w:val="20"/>
          <w:szCs w:val="20"/>
          <w:color w:val="auto"/>
        </w:rPr>
      </w:pPr>
      <w:r>
        <w:rPr>
          <w:rFonts w:ascii="Times New Roman" w:cs="Times New Roman" w:eastAsia="Times New Roman" w:hAnsi="Times New Roman"/>
          <w:sz w:val="18"/>
          <w:szCs w:val="18"/>
          <w:color w:val="auto"/>
        </w:rPr>
        <w:t>Date:</w:t>
        <w:tab/>
        <w:t>May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Peter H. Stratton, Jr.</w:t>
      </w:r>
    </w:p>
    <w:p>
      <w:pPr>
        <w:spacing w:after="0" w:line="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04"/>
    </w:lvl>
    <w:lvl w:ilvl="1">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2025-05-29T11:26:03Z</dcterms:created>
  <dcterms:modified xsi:type="dcterms:W3CDTF">2025-05-29T11:26:03Z</dcterms:modified>
</cp:coreProperties>
</file>