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148711104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30,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660" w:right="9480" w:hanging="4"/>
        <w:spacing w:after="0" w:line="598" w:lineRule="auto"/>
        <w:tabs>
          <w:tab w:leader="none" w:pos="93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98"/>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148711104</w:t>
            </w:r>
          </w:p>
        </w:tc>
        <w:tc>
          <w:tcPr>
            <w:tcW w:w="3900" w:type="dxa"/>
            <w:vAlign w:val="bottom"/>
            <w:tcBorders>
              <w:right w:val="single" w:sz="8" w:color="auto"/>
            </w:tcBorders>
          </w:tcPr>
          <w:p>
            <w:pPr>
              <w:ind w:left="178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2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449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449060"/>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Chilton Investment Company, LLC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87-0742367</w:t>
      </w:r>
    </w:p>
    <w:p>
      <w:pPr>
        <w:spacing w:after="0" w:line="157" w:lineRule="exact"/>
        <w:rPr>
          <w:sz w:val="20"/>
          <w:szCs w:val="20"/>
          <w:color w:val="auto"/>
        </w:rPr>
      </w:pPr>
    </w:p>
    <w:p>
      <w:pPr>
        <w:ind w:left="640" w:hanging="40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70"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p>
      <w:pPr>
        <w:spacing w:after="0" w:line="20"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x</w:t>
      </w:r>
    </w:p>
    <w:p>
      <w:pPr>
        <w:spacing w:after="0" w:line="85" w:lineRule="exact"/>
        <w:rPr>
          <w:sz w:val="20"/>
          <w:szCs w:val="20"/>
          <w:color w:val="auto"/>
        </w:rPr>
      </w:pPr>
    </w:p>
    <w:p>
      <w:pPr>
        <w:ind w:left="640" w:hanging="40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spacing w:after="0" w:line="1" w:lineRule="exact"/>
        <w:rPr>
          <w:sz w:val="20"/>
          <w:szCs w:val="20"/>
          <w:color w:val="auto"/>
        </w:rPr>
      </w:pPr>
    </w:p>
    <w:p>
      <w:pPr>
        <w:ind w:left="3060" w:hanging="396"/>
        <w:spacing w:after="0"/>
        <w:tabs>
          <w:tab w:leader="none" w:pos="3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6,531,506</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6,531,506</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6,531,506</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47"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141" w:lineRule="exact"/>
        <w:rPr>
          <w:sz w:val="20"/>
          <w:szCs w:val="20"/>
          <w:color w:val="auto"/>
        </w:rPr>
      </w:pPr>
    </w:p>
    <w:p>
      <w:pPr>
        <w:ind w:left="640" w:right="5700" w:hanging="448"/>
        <w:spacing w:after="0" w:line="48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13.8%</w:t>
      </w:r>
    </w:p>
    <w:p>
      <w:pPr>
        <w:ind w:left="640" w:right="8260" w:hanging="452"/>
        <w:spacing w:after="0" w:line="5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260985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09"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98"/>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148711104</w:t>
            </w:r>
          </w:p>
        </w:tc>
        <w:tc>
          <w:tcPr>
            <w:tcW w:w="3900" w:type="dxa"/>
            <w:vAlign w:val="bottom"/>
            <w:tcBorders>
              <w:right w:val="single" w:sz="8" w:color="auto"/>
            </w:tcBorders>
          </w:tcPr>
          <w:p>
            <w:pPr>
              <w:ind w:left="178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3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as amended by Amendment No.1 to the 13D filed on June 9, 2006, Amendment No. 2 to the 13D filed on June 29, 2006, Amendment No. 3 to the 13D filed on April 13, 2006 and Amendment No. 4 to the 13D filed on July 19, 2007, replaced by Amendment No. 2 to the Schedule 13G filed on July 20, 2007, replaced by Amendment No. 5 to the Schedule 13D filed on October 23, 2007, as amended by Amendment No. 6 to the Schedule 13D filed on November 28, 2007 and Amendment No. 7 to the Schedule 13D filed on October 21, 2008, replaced by Amendment No. 3 to the Schedule 13G filed on October 21, 2008 and as amended by Amendment No. 4 to the Schedule 13G filed on February 13, 2009, is hereby amended by this Amendment No. 5 to the Schedule 13G to report a change in the information reported in the Schedule 13G. The Schedule 13G is hereby amended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to read:</w:t>
      </w:r>
    </w:p>
    <w:p>
      <w:pPr>
        <w:spacing w:after="0" w:line="200" w:lineRule="exact"/>
        <w:rPr>
          <w:sz w:val="20"/>
          <w:szCs w:val="20"/>
          <w:color w:val="auto"/>
        </w:rPr>
      </w:pPr>
    </w:p>
    <w:p>
      <w:pPr>
        <w:spacing w:after="0" w:line="2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2300" w:hanging="577"/>
        <w:spacing w:after="0"/>
        <w:tabs>
          <w:tab w:leader="none" w:pos="2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r>
        <w:rPr>
          <w:rFonts w:ascii="Arial" w:cs="Arial" w:eastAsia="Arial" w:hAnsi="Arial"/>
          <w:sz w:val="18"/>
          <w:szCs w:val="18"/>
          <w:color w:val="FF0000"/>
        </w:rPr>
        <w:t>:</w:t>
      </w:r>
      <w:r>
        <w:rPr>
          <w:rFonts w:ascii="Arial" w:cs="Arial" w:eastAsia="Arial" w:hAnsi="Arial"/>
          <w:sz w:val="18"/>
          <w:szCs w:val="18"/>
          <w:color w:val="auto"/>
        </w:rPr>
        <w:t xml:space="preserve"> 6,531,506 shares</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13.8%</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6,531,506</w:t>
      </w:r>
    </w:p>
    <w:p>
      <w:pPr>
        <w:spacing w:after="0" w:line="23"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6,531,506</w:t>
      </w:r>
    </w:p>
    <w:p>
      <w:pPr>
        <w:spacing w:after="0" w:line="9" w:lineRule="exact"/>
        <w:rPr>
          <w:rFonts w:ascii="Arial" w:cs="Arial" w:eastAsia="Arial" w:hAnsi="Arial"/>
          <w:sz w:val="18"/>
          <w:szCs w:val="18"/>
          <w:color w:val="auto"/>
        </w:rPr>
      </w:pPr>
    </w:p>
    <w:p>
      <w:pPr>
        <w:ind w:left="2880" w:hanging="576"/>
        <w:spacing w:after="0"/>
        <w:tabs>
          <w:tab w:leader="none" w:pos="2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2009</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Chilton Investment Company, LLC</w:t>
      </w:r>
    </w:p>
    <w:p>
      <w:pPr>
        <w:spacing w:after="0" w:line="200" w:lineRule="exact"/>
        <w:rPr>
          <w:sz w:val="20"/>
          <w:szCs w:val="20"/>
          <w:color w:val="auto"/>
        </w:rPr>
      </w:pPr>
    </w:p>
    <w:p>
      <w:pPr>
        <w:spacing w:after="0" w:line="241"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1127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James Steinthal</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2019-12-10T07:47:00Z</dcterms:created>
  <dcterms:modified xsi:type="dcterms:W3CDTF">2019-12-10T07:47:00Z</dcterms:modified>
</cp:coreProperties>
</file>