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ind w:left="3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-234315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1"/>
        </w:trPr>
        <w:tc>
          <w:tcPr>
            <w:tcW w:w="626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9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97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5255260</wp:posOffset>
            </wp:positionH>
            <wp:positionV relativeFrom="paragraph">
              <wp:posOffset>-619125</wp:posOffset>
            </wp:positionV>
            <wp:extent cx="57785" cy="6324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2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3968115</wp:posOffset>
            </wp:positionH>
            <wp:positionV relativeFrom="paragraph">
              <wp:posOffset>-619125</wp:posOffset>
            </wp:positionV>
            <wp:extent cx="57785" cy="6324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2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-1649095</wp:posOffset>
            </wp:positionH>
            <wp:positionV relativeFrom="paragraph">
              <wp:posOffset>13970</wp:posOffset>
            </wp:positionV>
            <wp:extent cx="7047230" cy="44373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437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40"/>
            <w:col w:w="8500"/>
          </w:cols>
          <w:pgMar w:left="460" w:top="220" w:right="359" w:bottom="1440" w:gutter="0" w:footer="0" w:header="0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Surette Allison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DESTINATION XL GROUP, INC.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555 TURNPIKE STREET</w:t>
      </w:r>
    </w:p>
    <w:p>
      <w:pPr>
        <w:spacing w:after="0" w:line="28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CANTON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02021</w:t>
            </w: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200" w:lineRule="exact"/>
              <w:rPr>
                <w:rFonts w:ascii="Arial" w:cs="Arial" w:eastAsia="Arial" w:hAnsi="Arial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0"/>
                <w:szCs w:val="20"/>
                <w:color w:val="000000"/>
              </w:rPr>
              <w:t>[</w:t>
            </w:r>
            <w:r>
              <w:rPr>
                <w:rFonts w:ascii="Arial" w:cs="Arial" w:eastAsia="Arial" w:hAnsi="Arial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DXLG</w:t>
            </w:r>
            <w:r>
              <w:rPr>
                <w:rFonts w:ascii="Arial" w:cs="Arial" w:eastAsia="Arial" w:hAnsi="Arial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0"/>
                <w:szCs w:val="20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Chief Merchandising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03/23/2023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2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14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20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9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Common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14,442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68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1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03/23/2023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14,442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03/23/2033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14,442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60"/>
        <w:spacing w:after="0" w:line="244" w:lineRule="auto"/>
        <w:tabs>
          <w:tab w:leader="none" w:pos="16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Restricted Stock Units ("RSUs") for performance-based compensation granted to the Reporting Person based on the Company's performance over the applicable performance period under the 2020-2022 Long-Term Incentive Plan. The RSU's vest August 31, 2023.</w:t>
      </w:r>
    </w:p>
    <w:p>
      <w:pPr>
        <w:spacing w:after="0" w:line="2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RSU, as defined in the Company's 2016 Incentive Compensation Plan, represents a contingent right to receive one share of DXLG common stock.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Allison Surette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03/27/2023</w:t>
            </w:r>
          </w:p>
        </w:tc>
      </w:tr>
      <w:tr>
        <w:trPr>
          <w:trHeight w:val="222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/>
        <w:spacing w:after="0" w:line="32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41394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2023-03-27T15:54:57Z</dcterms:created>
  <dcterms:modified xsi:type="dcterms:W3CDTF">2023-03-27T15:54:57Z</dcterms:modified>
</cp:coreProperties>
</file>