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2)</w:t>
      </w:r>
    </w:p>
    <w:p>
      <w:pPr>
        <w:spacing w:after="0" w:line="143"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4280" w:type="dxa"/>
            <w:vAlign w:val="bottom"/>
          </w:tcPr>
          <w:p>
            <w:pPr>
              <w:jc w:val="center"/>
              <w:ind w:right="1662"/>
              <w:spacing w:after="0"/>
              <w:rPr>
                <w:sz w:val="20"/>
                <w:szCs w:val="20"/>
                <w:color w:val="auto"/>
              </w:rPr>
            </w:pPr>
            <w:r>
              <w:rPr>
                <w:rFonts w:ascii="Arial" w:cs="Arial" w:eastAsia="Arial" w:hAnsi="Arial"/>
                <w:sz w:val="18"/>
                <w:szCs w:val="18"/>
                <w:b w:val="1"/>
                <w:bCs w:val="1"/>
                <w:color w:val="auto"/>
                <w:w w:val="88"/>
              </w:rPr>
              <w:t>Delaware</w:t>
            </w:r>
          </w:p>
        </w:tc>
        <w:tc>
          <w:tcPr>
            <w:tcW w:w="3840" w:type="dxa"/>
            <w:vAlign w:val="bottom"/>
          </w:tcPr>
          <w:p>
            <w:pPr>
              <w:jc w:val="right"/>
              <w:ind w:right="542"/>
              <w:spacing w:after="0"/>
              <w:rPr>
                <w:sz w:val="20"/>
                <w:szCs w:val="20"/>
                <w:color w:val="auto"/>
              </w:rPr>
            </w:pPr>
            <w:r>
              <w:rPr>
                <w:rFonts w:ascii="Arial" w:cs="Arial" w:eastAsia="Arial" w:hAnsi="Arial"/>
                <w:sz w:val="18"/>
                <w:szCs w:val="18"/>
                <w:b w:val="1"/>
                <w:bCs w:val="1"/>
                <w:color w:val="auto"/>
              </w:rPr>
              <w:t>04-2623104</w:t>
            </w:r>
          </w:p>
        </w:tc>
      </w:tr>
      <w:tr>
        <w:trPr>
          <w:trHeight w:val="174"/>
        </w:trPr>
        <w:tc>
          <w:tcPr>
            <w:tcW w:w="4280" w:type="dxa"/>
            <w:vAlign w:val="bottom"/>
          </w:tcPr>
          <w:p>
            <w:pPr>
              <w:jc w:val="center"/>
              <w:ind w:right="1682"/>
              <w:spacing w:after="0"/>
              <w:rPr>
                <w:sz w:val="20"/>
                <w:szCs w:val="20"/>
                <w:color w:val="auto"/>
              </w:rPr>
            </w:pPr>
            <w:r>
              <w:rPr>
                <w:rFonts w:ascii="Arial" w:cs="Arial" w:eastAsia="Arial" w:hAnsi="Arial"/>
                <w:sz w:val="14"/>
                <w:szCs w:val="14"/>
                <w:b w:val="1"/>
                <w:bCs w:val="1"/>
                <w:color w:val="auto"/>
                <w:w w:val="87"/>
              </w:rPr>
              <w:t>(State of incorporation or organization)</w:t>
            </w:r>
          </w:p>
        </w:tc>
        <w:tc>
          <w:tcPr>
            <w:tcW w:w="3840" w:type="dxa"/>
            <w:vAlign w:val="bottom"/>
          </w:tcPr>
          <w:p>
            <w:pPr>
              <w:jc w:val="center"/>
              <w:ind w:left="170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4280" w:type="dxa"/>
            <w:vAlign w:val="bottom"/>
          </w:tcPr>
          <w:p>
            <w:pPr>
              <w:jc w:val="center"/>
              <w:ind w:right="1682"/>
              <w:spacing w:after="0"/>
              <w:rPr>
                <w:sz w:val="20"/>
                <w:szCs w:val="20"/>
                <w:color w:val="auto"/>
              </w:rPr>
            </w:pPr>
            <w:r>
              <w:rPr>
                <w:rFonts w:ascii="Arial" w:cs="Arial" w:eastAsia="Arial" w:hAnsi="Arial"/>
                <w:sz w:val="18"/>
                <w:szCs w:val="18"/>
                <w:b w:val="1"/>
                <w:bCs w:val="1"/>
                <w:color w:val="auto"/>
                <w:w w:val="90"/>
              </w:rPr>
              <w:t>555 Turnpike Street, Canton, MA</w:t>
            </w:r>
          </w:p>
        </w:tc>
        <w:tc>
          <w:tcPr>
            <w:tcW w:w="3840" w:type="dxa"/>
            <w:vAlign w:val="bottom"/>
          </w:tcPr>
          <w:p>
            <w:pPr>
              <w:jc w:val="right"/>
              <w:ind w:right="742"/>
              <w:spacing w:after="0"/>
              <w:rPr>
                <w:sz w:val="20"/>
                <w:szCs w:val="20"/>
                <w:color w:val="auto"/>
              </w:rPr>
            </w:pPr>
            <w:r>
              <w:rPr>
                <w:rFonts w:ascii="Arial" w:cs="Arial" w:eastAsia="Arial" w:hAnsi="Arial"/>
                <w:sz w:val="18"/>
                <w:szCs w:val="18"/>
                <w:b w:val="1"/>
                <w:bCs w:val="1"/>
                <w:color w:val="auto"/>
              </w:rPr>
              <w:t>02021</w:t>
            </w:r>
          </w:p>
        </w:tc>
      </w:tr>
      <w:tr>
        <w:trPr>
          <w:trHeight w:val="174"/>
        </w:trPr>
        <w:tc>
          <w:tcPr>
            <w:tcW w:w="4280" w:type="dxa"/>
            <w:vAlign w:val="bottom"/>
          </w:tcPr>
          <w:p>
            <w:pPr>
              <w:jc w:val="center"/>
              <w:ind w:right="16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840" w:type="dxa"/>
            <w:vAlign w:val="bottom"/>
          </w:tcPr>
          <w:p>
            <w:pPr>
              <w:jc w:val="center"/>
              <w:ind w:left="1702"/>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ind w:right="120" w:firstLine="456"/>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120" w:firstLine="456"/>
        <w:spacing w:after="0" w:line="229"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8"/>
          <w:szCs w:val="18"/>
          <w:color w:val="auto"/>
        </w:rPr>
        <w:t>☐</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N/A</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 on Which</w:t>
            </w:r>
          </w:p>
        </w:tc>
      </w:tr>
      <w:tr>
        <w:trPr>
          <w:trHeight w:val="175"/>
        </w:trPr>
        <w:tc>
          <w:tcPr>
            <w:tcW w:w="1700" w:type="dxa"/>
            <w:vAlign w:val="bottom"/>
          </w:tcPr>
          <w:p>
            <w:pPr>
              <w:spacing w:after="0"/>
              <w:rPr>
                <w:sz w:val="15"/>
                <w:szCs w:val="15"/>
                <w:color w:val="auto"/>
              </w:rPr>
            </w:pPr>
          </w:p>
        </w:tc>
        <w:tc>
          <w:tcPr>
            <w:tcW w:w="426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85"/>
              </w:rPr>
              <w:t>Title of Each Class to be so Registered</w:t>
            </w: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84"/>
              </w:rPr>
              <w:t>Each Class is to be Registered</w:t>
            </w:r>
          </w:p>
        </w:tc>
      </w:tr>
      <w:tr>
        <w:trPr>
          <w:trHeight w:val="216"/>
        </w:trPr>
        <w:tc>
          <w:tcPr>
            <w:tcW w:w="1700" w:type="dxa"/>
            <w:vAlign w:val="bottom"/>
          </w:tcPr>
          <w:p>
            <w:pPr>
              <w:spacing w:after="0"/>
              <w:rPr>
                <w:sz w:val="18"/>
                <w:szCs w:val="18"/>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Preferred Stock Purchase Rights</w:t>
            </w:r>
          </w:p>
        </w:tc>
        <w:tc>
          <w:tcPr>
            <w:tcW w:w="1920" w:type="dxa"/>
            <w:vAlign w:val="bottom"/>
          </w:tcPr>
          <w:p>
            <w:pPr>
              <w:spacing w:after="0"/>
              <w:rPr>
                <w:sz w:val="18"/>
                <w:szCs w:val="18"/>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r>
      <w:tr>
        <w:trPr>
          <w:trHeight w:val="370"/>
        </w:trPr>
        <w:tc>
          <w:tcPr>
            <w:tcW w:w="596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12(g) of the Act: N/A</w:t>
            </w:r>
          </w:p>
        </w:tc>
        <w:tc>
          <w:tcPr>
            <w:tcW w:w="5460" w:type="dxa"/>
            <w:vAlign w:val="bottom"/>
          </w:tcPr>
          <w:p>
            <w:pPr>
              <w:spacing w:after="0"/>
              <w:rPr>
                <w:sz w:val="24"/>
                <w:szCs w:val="24"/>
                <w:color w:val="auto"/>
              </w:rPr>
            </w:pPr>
          </w:p>
        </w:tc>
      </w:tr>
      <w:tr>
        <w:trPr>
          <w:trHeight w:val="191"/>
        </w:trPr>
        <w:tc>
          <w:tcPr>
            <w:tcW w:w="17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spacing w:after="0"/>
              <w:rPr>
                <w:sz w:val="16"/>
                <w:szCs w:val="16"/>
                <w:color w:val="auto"/>
              </w:rPr>
            </w:pPr>
          </w:p>
        </w:tc>
      </w:tr>
      <w:tr>
        <w:trPr>
          <w:trHeight w:val="34"/>
        </w:trPr>
        <w:tc>
          <w:tcPr>
            <w:tcW w:w="17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8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Casual Male Retail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amends Items 1 and 2 of its Registration Statement on Form 8-A, as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December 9, 2008, as amended by Amendment No. 1 dated June 29, 2009 (the “</w:t>
      </w:r>
      <w:r>
        <w:rPr>
          <w:rFonts w:ascii="Arial" w:cs="Arial" w:eastAsia="Arial" w:hAnsi="Arial"/>
          <w:sz w:val="18"/>
          <w:szCs w:val="18"/>
          <w:u w:val="single" w:color="auto"/>
          <w:color w:val="auto"/>
        </w:rPr>
        <w:t>Form 8-A</w:t>
      </w:r>
      <w:r>
        <w:rPr>
          <w:rFonts w:ascii="Arial" w:cs="Arial" w:eastAsia="Arial" w:hAnsi="Arial"/>
          <w:sz w:val="18"/>
          <w:szCs w:val="18"/>
          <w:color w:val="auto"/>
        </w:rPr>
        <w:t>”) as follows: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December 7, 2009, the Company entered into an Amendment No. 2 to the Rights Agreement, dated as of December 8, 2008, as amended on June 29, 2009 (as amended,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between the Company and American Stock Transfer &amp; Trust Company, LLC, a New York limited liability company, as Rights Agent.</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amendment to the Rights Agreement, the expiration date of the preferred stock purchase rights (the “</w:t>
      </w:r>
      <w:r>
        <w:rPr>
          <w:rFonts w:ascii="Arial" w:cs="Arial" w:eastAsia="Arial" w:hAnsi="Arial"/>
          <w:sz w:val="18"/>
          <w:szCs w:val="18"/>
          <w:u w:val="single" w:color="auto"/>
          <w:color w:val="auto"/>
        </w:rPr>
        <w:t>Rights</w:t>
      </w:r>
      <w:r>
        <w:rPr>
          <w:rFonts w:ascii="Arial" w:cs="Arial" w:eastAsia="Arial" w:hAnsi="Arial"/>
          <w:sz w:val="18"/>
          <w:szCs w:val="18"/>
          <w:color w:val="auto"/>
        </w:rPr>
        <w:t>”) issued pursuant to the Rights Agreement was extended. Following the amendment to the Rights Agreement, the Rights will expire at 12:00 midnight at the end of the day on June 1, 2010, unless the Rights are earlier exchanged or redeemed by the Board of Directors of the Company.</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Rights issued pursuant to the Rights Agreement are in all respects subject to and governed by the provisions of the Rights Agreement, as amended. Copies of the Rights Agreement and the amendment are available free of charge from the Company. A copy of the Rights Agreement was previously filed as Exhibit 4.1 to the Company’s Current Report on Form 8-K filed on December 9, 2008. A copy of Amendment No. 1 to the Rights Agreement was previously filed as Exhibit 4.1 to the Company’s Current Report on Form 8-K filed on June 29, 2009. A copy of Amendment No. 2 to the Rights Agreement has been filed as Exhibit 4.1 to the Company’s Current Report on Form 8-K filed on December 8, 2009. The foregoing descriptions of the Rights Agreement, as amended, and Amendment No. 2 to the Rights Agreement do not purport to be complete and are qualified in their entirety by reference to the full text of such exhibits and to the Company’s Registration Statement on Form 8-A filed on December 9, 2008, which are incorporated by reference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Number</w:t>
            </w:r>
          </w:p>
        </w:tc>
        <w:tc>
          <w:tcPr>
            <w:tcW w:w="840" w:type="dxa"/>
            <w:vAlign w:val="bottom"/>
          </w:tcPr>
          <w:p>
            <w:pPr>
              <w:spacing w:after="0"/>
              <w:rPr>
                <w:sz w:val="15"/>
                <w:szCs w:val="15"/>
                <w:color w:val="auto"/>
              </w:rPr>
            </w:pPr>
          </w:p>
        </w:tc>
        <w:tc>
          <w:tcPr>
            <w:tcW w:w="9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2"/>
              </w:rPr>
              <w:t>Rights Agreement, dated as of December 8, 2008, by and between Casual Male Retail Group, Inc. and American Stock Transfer &amp;</w:t>
            </w: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3"/>
              </w:rPr>
              <w:t>Trust Company, LLC, as rights agent, which includes as Exhibits thereto the Form of Certificate of Designation, the Form of Right</w:t>
            </w: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88"/>
              </w:rPr>
              <w:t>Certificate and the Summary of Terms attached thereto as Exhibits A, B and C, respectively (incorporated herein by reference to Exhibit</w:t>
            </w:r>
          </w:p>
        </w:tc>
      </w:tr>
      <w:tr>
        <w:trPr>
          <w:trHeight w:val="222"/>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4.1 to the Company’s Current Report on Form 8-K filed on December 9, 2008).</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0"/>
              </w:rPr>
              <w:t>Amendment No. 1, dated as of June 29, 2009, to the Rights Agreement, dated as of December 8, 2008, between Casual Male Retail</w:t>
            </w: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0"/>
              </w:rPr>
              <w:t>Group, Inc. and American Stock Transfer &amp; Trust Company, LLC, as Rights Agent (incorporated herein by reference to Exhibit 4.1 to</w:t>
            </w:r>
          </w:p>
        </w:tc>
      </w:tr>
      <w:tr>
        <w:trPr>
          <w:trHeight w:val="222"/>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the Company’s Current Report on Form 8-K filed on June 29, 2009).</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87"/>
              </w:rPr>
              <w:t>Amendment No. 2, dated as of December 7, 2009, to the Rights Agreement, dated as of December 8, 2008, between Casual Male Retail</w:t>
            </w: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0"/>
              </w:rPr>
              <w:t>Group, Inc. and American Stock Transfer &amp; Trust Company, LLC, as Rights Agent (incorporated herein by reference to Exhibit 4.1 to</w:t>
            </w:r>
          </w:p>
        </w:tc>
      </w:tr>
      <w:tr>
        <w:trPr>
          <w:trHeight w:val="222"/>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the Company’s Current Report on Form 8-K filed on December 8, 2009).</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tcPr>
          <w:p>
            <w:pPr>
              <w:spacing w:after="0"/>
              <w:rPr>
                <w:sz w:val="19"/>
                <w:szCs w:val="19"/>
                <w:color w:val="auto"/>
              </w:rPr>
            </w:pPr>
          </w:p>
        </w:tc>
        <w:tc>
          <w:tcPr>
            <w:tcW w:w="7500" w:type="dxa"/>
            <w:vAlign w:val="bottom"/>
            <w:gridSpan w:val="2"/>
          </w:tcPr>
          <w:p>
            <w:pPr>
              <w:ind w:left="2200"/>
              <w:spacing w:after="0"/>
              <w:rPr>
                <w:sz w:val="20"/>
                <w:szCs w:val="20"/>
                <w:color w:val="auto"/>
              </w:rPr>
            </w:pPr>
            <w:r>
              <w:rPr>
                <w:rFonts w:ascii="Arial" w:cs="Arial" w:eastAsia="Arial" w:hAnsi="Arial"/>
                <w:sz w:val="18"/>
                <w:szCs w:val="18"/>
                <w:color w:val="auto"/>
              </w:rPr>
              <w:t>CASUAL MALE RETAIL GROUP, INC.</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 December 8, 2009</w:t>
            </w:r>
          </w:p>
        </w:tc>
        <w:tc>
          <w:tcPr>
            <w:tcW w:w="2580" w:type="dxa"/>
            <w:vAlign w:val="bottom"/>
          </w:tcPr>
          <w:p>
            <w:pPr>
              <w:ind w:left="22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r>
      <w:tr>
        <w:trPr>
          <w:trHeight w:val="131"/>
        </w:trPr>
        <w:tc>
          <w:tcPr>
            <w:tcW w:w="3920" w:type="dxa"/>
            <w:vAlign w:val="bottom"/>
          </w:tcPr>
          <w:p>
            <w:pPr>
              <w:spacing w:after="0"/>
              <w:rPr>
                <w:sz w:val="11"/>
                <w:szCs w:val="11"/>
                <w:color w:val="auto"/>
              </w:rPr>
            </w:pPr>
          </w:p>
        </w:tc>
        <w:tc>
          <w:tcPr>
            <w:tcW w:w="2580" w:type="dxa"/>
            <w:vAlign w:val="bottom"/>
          </w:tcPr>
          <w:p>
            <w:pPr>
              <w:ind w:left="2200"/>
              <w:spacing w:after="0" w:line="131" w:lineRule="exact"/>
              <w:rPr>
                <w:sz w:val="20"/>
                <w:szCs w:val="20"/>
                <w:color w:val="auto"/>
              </w:rPr>
            </w:pPr>
            <w:r>
              <w:rPr>
                <w:rFonts w:ascii="Arial" w:cs="Arial" w:eastAsia="Arial" w:hAnsi="Arial"/>
                <w:sz w:val="14"/>
                <w:szCs w:val="14"/>
                <w:color w:val="auto"/>
                <w:w w:val="87"/>
              </w:rPr>
              <w:t>Name:</w:t>
            </w:r>
          </w:p>
        </w:tc>
        <w:tc>
          <w:tcPr>
            <w:tcW w:w="4920" w:type="dxa"/>
            <w:vAlign w:val="bottom"/>
          </w:tcPr>
          <w:p>
            <w:pPr>
              <w:jc w:val="center"/>
              <w:ind w:left="27"/>
              <w:spacing w:after="0" w:line="131" w:lineRule="exact"/>
              <w:rPr>
                <w:sz w:val="20"/>
                <w:szCs w:val="20"/>
                <w:color w:val="auto"/>
              </w:rPr>
            </w:pPr>
            <w:r>
              <w:rPr>
                <w:rFonts w:ascii="Arial" w:cs="Arial" w:eastAsia="Arial" w:hAnsi="Arial"/>
                <w:sz w:val="14"/>
                <w:szCs w:val="14"/>
                <w:b w:val="1"/>
                <w:bCs w:val="1"/>
                <w:color w:val="auto"/>
                <w:w w:val="88"/>
              </w:rPr>
              <w:t>Dennis R. Hernreich</w:t>
            </w:r>
          </w:p>
        </w:tc>
      </w:tr>
      <w:tr>
        <w:trPr>
          <w:trHeight w:val="149"/>
        </w:trPr>
        <w:tc>
          <w:tcPr>
            <w:tcW w:w="3920" w:type="dxa"/>
            <w:vAlign w:val="bottom"/>
          </w:tcPr>
          <w:p>
            <w:pPr>
              <w:spacing w:after="0"/>
              <w:rPr>
                <w:sz w:val="12"/>
                <w:szCs w:val="12"/>
                <w:color w:val="auto"/>
              </w:rPr>
            </w:pPr>
          </w:p>
        </w:tc>
        <w:tc>
          <w:tcPr>
            <w:tcW w:w="2580" w:type="dxa"/>
            <w:vAlign w:val="bottom"/>
          </w:tcPr>
          <w:p>
            <w:pPr>
              <w:ind w:left="2200"/>
              <w:spacing w:after="0" w:line="149" w:lineRule="exact"/>
              <w:rPr>
                <w:sz w:val="20"/>
                <w:szCs w:val="20"/>
                <w:color w:val="auto"/>
              </w:rPr>
            </w:pPr>
            <w:r>
              <w:rPr>
                <w:rFonts w:ascii="Arial" w:cs="Arial" w:eastAsia="Arial" w:hAnsi="Arial"/>
                <w:sz w:val="14"/>
                <w:szCs w:val="14"/>
                <w:color w:val="auto"/>
              </w:rPr>
              <w:t>Title:</w:t>
            </w:r>
          </w:p>
        </w:tc>
        <w:tc>
          <w:tcPr>
            <w:tcW w:w="4920" w:type="dxa"/>
            <w:vAlign w:val="bottom"/>
          </w:tcPr>
          <w:p>
            <w:pPr>
              <w:jc w:val="center"/>
              <w:ind w:left="27"/>
              <w:spacing w:after="0" w:line="149" w:lineRule="exact"/>
              <w:rPr>
                <w:sz w:val="20"/>
                <w:szCs w:val="20"/>
                <w:color w:val="auto"/>
              </w:rPr>
            </w:pPr>
            <w:r>
              <w:rPr>
                <w:rFonts w:ascii="Arial" w:cs="Arial" w:eastAsia="Arial" w:hAnsi="Arial"/>
                <w:sz w:val="14"/>
                <w:szCs w:val="14"/>
                <w:b w:val="1"/>
                <w:bCs w:val="1"/>
                <w:color w:val="auto"/>
                <w:w w:val="88"/>
              </w:rPr>
              <w:t>Executive Vice President, Chief Operating Officer, Chief Financial Officer,</w:t>
            </w:r>
          </w:p>
        </w:tc>
      </w:tr>
      <w:tr>
        <w:trPr>
          <w:trHeight w:val="174"/>
        </w:trPr>
        <w:tc>
          <w:tcPr>
            <w:tcW w:w="39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920" w:type="dxa"/>
            <w:vAlign w:val="bottom"/>
          </w:tcPr>
          <w:p>
            <w:pPr>
              <w:jc w:val="center"/>
              <w:ind w:left="27"/>
              <w:spacing w:after="0"/>
              <w:rPr>
                <w:sz w:val="20"/>
                <w:szCs w:val="20"/>
                <w:color w:val="auto"/>
              </w:rPr>
            </w:pPr>
            <w:r>
              <w:rPr>
                <w:rFonts w:ascii="Arial" w:cs="Arial" w:eastAsia="Arial" w:hAnsi="Arial"/>
                <w:sz w:val="14"/>
                <w:szCs w:val="14"/>
                <w:b w:val="1"/>
                <w:bCs w:val="1"/>
                <w:color w:val="auto"/>
                <w:w w:val="88"/>
              </w:rPr>
              <w:t>Treasurer and Secretary</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580" w:type="dxa"/>
            <w:vAlign w:val="bottom"/>
          </w:tcPr>
          <w:p>
            <w:pPr>
              <w:ind w:left="3000"/>
              <w:spacing w:after="0"/>
              <w:rPr>
                <w:sz w:val="20"/>
                <w:szCs w:val="20"/>
                <w:color w:val="auto"/>
              </w:rPr>
            </w:pPr>
            <w:r>
              <w:rPr>
                <w:rFonts w:ascii="Arial" w:cs="Arial" w:eastAsia="Arial" w:hAnsi="Arial"/>
                <w:sz w:val="18"/>
                <w:szCs w:val="18"/>
                <w:b w:val="1"/>
                <w:bCs w:val="1"/>
                <w:color w:val="auto"/>
              </w:rPr>
              <w:t>INDEX TO EXHIBITS</w:t>
            </w:r>
          </w:p>
        </w:tc>
      </w:tr>
      <w:tr>
        <w:trPr>
          <w:trHeight w:val="367"/>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Number</w:t>
            </w:r>
          </w:p>
        </w:tc>
        <w:tc>
          <w:tcPr>
            <w:tcW w:w="840" w:type="dxa"/>
            <w:vAlign w:val="bottom"/>
          </w:tcPr>
          <w:p>
            <w:pPr>
              <w:spacing w:after="0"/>
              <w:rPr>
                <w:sz w:val="24"/>
                <w:szCs w:val="24"/>
                <w:color w:val="auto"/>
              </w:rPr>
            </w:pPr>
          </w:p>
        </w:tc>
        <w:tc>
          <w:tcPr>
            <w:tcW w:w="9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3"/>
              </w:rPr>
              <w:t>Rights Agreement, dated as of December 8, 2008, between Casual Male Retail Group, Inc. and American Stock Transfer &amp; Trust</w:t>
            </w: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6"/>
              </w:rPr>
              <w:t>Company, LLC, as Rights Agent, which includes as Exhibits thereto the Form of Certificate of Designation, the Form of Right</w:t>
            </w: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88"/>
              </w:rPr>
              <w:t>Certificate and the Summary of Terms attached thereto as Exhibits A, B and C, respectively (incorporated herein by reference to Exhibit</w:t>
            </w:r>
          </w:p>
        </w:tc>
      </w:tr>
      <w:tr>
        <w:trPr>
          <w:trHeight w:val="222"/>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4.1 to the Company’s Current Report on Form 8-K filed on December 9, 2008).</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0"/>
              </w:rPr>
              <w:t>Amendment No. 1, dated as of June 29, 2009, to the Rights Agreement, dated as of December 8, 2008, between Casual Male Retail</w:t>
            </w: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0"/>
              </w:rPr>
              <w:t>Group, Inc. and American Stock Transfer &amp; Trust Company, LLC, as Rights Agent (incorporated herein by reference to Exhibit 4.1 to</w:t>
            </w:r>
          </w:p>
        </w:tc>
      </w:tr>
      <w:tr>
        <w:trPr>
          <w:trHeight w:val="222"/>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the Company’s Current Report on Form 8-K filed on June 29, 2009).</w:t>
            </w: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87"/>
              </w:rPr>
              <w:t>Amendment No. 2, dated as of December 7, 2009, to the Rights Agreement, dated as of December 8, 2008, between Casual Male Retail</w:t>
            </w: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w w:val="90"/>
              </w:rPr>
              <w:t>Group, Inc. and American Stock Transfer &amp; Trust Company, LLC, as Rights Agent (incorporated herein by reference to Exhibit 4.1 to</w:t>
            </w:r>
          </w:p>
        </w:tc>
      </w:tr>
      <w:tr>
        <w:trPr>
          <w:trHeight w:val="222"/>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the Company’s Current Report on Form 8-K filed on December 8, 2009).</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2019-12-10T07:27:01Z</dcterms:created>
  <dcterms:modified xsi:type="dcterms:W3CDTF">2019-12-10T07:27:01Z</dcterms:modified>
</cp:coreProperties>
</file>