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175260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186690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8"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437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74"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437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8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4528" w:right="4480" w:hanging="4528"/>
        <w:spacing w:after="0" w:line="403" w:lineRule="auto"/>
        <w:tabs>
          <w:tab w:leader="none" w:pos="416"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QUARTERLY REPORT PURSUANT TO SECTION 13 OR 15(d) OF THE SECURITIES EXCHANGE ACT OF 1934 For the quarterly period ended May 2, 2020</w:t>
      </w:r>
    </w:p>
    <w:p>
      <w:pPr>
        <w:ind w:left="5568"/>
        <w:spacing w:after="0"/>
        <w:rPr>
          <w:rFonts w:ascii="MS PGothic" w:cs="MS PGothic" w:eastAsia="MS PGothic" w:hAnsi="MS PGothic"/>
          <w:sz w:val="11"/>
          <w:szCs w:val="11"/>
          <w:color w:val="auto"/>
        </w:rPr>
      </w:pPr>
      <w:r>
        <w:rPr>
          <w:rFonts w:ascii="Arial" w:cs="Arial" w:eastAsia="Arial" w:hAnsi="Arial"/>
          <w:sz w:val="12"/>
          <w:szCs w:val="12"/>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58420" cy="59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20" cy="59055"/>
                    </a:xfrm>
                    <a:prstGeom prst="rect">
                      <a:avLst/>
                    </a:prstGeom>
                    <a:noFill/>
                  </pic:spPr>
                </pic:pic>
              </a:graphicData>
            </a:graphic>
          </wp:anchor>
        </w:drawing>
      </w:r>
    </w:p>
    <w:p>
      <w:pPr>
        <w:spacing w:after="0" w:line="59" w:lineRule="exact"/>
        <w:rPr>
          <w:sz w:val="24"/>
          <w:szCs w:val="24"/>
          <w:color w:val="auto"/>
        </w:rPr>
      </w:pPr>
    </w:p>
    <w:p>
      <w:pPr>
        <w:jc w:val="right"/>
        <w:ind w:left="4728" w:right="4680" w:hanging="4728"/>
        <w:spacing w:after="0" w:line="471" w:lineRule="auto"/>
        <w:tabs>
          <w:tab w:leader="none" w:pos="413"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3810</wp:posOffset>
            </wp:positionV>
            <wp:extent cx="14376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64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-296545</wp:posOffset>
            </wp:positionV>
            <wp:extent cx="58420" cy="59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20" cy="59055"/>
                    </a:xfrm>
                    <a:prstGeom prst="rect">
                      <a:avLst/>
                    </a:prstGeom>
                    <a:noFill/>
                  </pic:spPr>
                </pic:pic>
              </a:graphicData>
            </a:graphic>
          </wp:anchor>
        </w:drawing>
      </w:r>
    </w:p>
    <w:p>
      <w:pPr>
        <w:spacing w:after="0" w:line="112" w:lineRule="exact"/>
        <w:rPr>
          <w:sz w:val="24"/>
          <w:szCs w:val="24"/>
          <w:color w:val="auto"/>
        </w:rPr>
      </w:pPr>
    </w:p>
    <w:tbl>
      <w:tblPr>
        <w:tblLayout w:type="fixed"/>
        <w:tblInd w:w="18" w:type="dxa"/>
        <w:tblCellMar>
          <w:top w:w="0" w:type="dxa"/>
          <w:left w:w="0" w:type="dxa"/>
          <w:bottom w:w="0" w:type="dxa"/>
          <w:right w:w="0" w:type="dxa"/>
        </w:tblCellMar>
      </w:tblPr>
      <w:tr>
        <w:trPr>
          <w:trHeight w:val="350"/>
        </w:trPr>
        <w:tc>
          <w:tcPr>
            <w:tcW w:w="3420" w:type="dxa"/>
            <w:vAlign w:val="bottom"/>
          </w:tcPr>
          <w:p>
            <w:pPr>
              <w:spacing w:after="0"/>
              <w:rPr>
                <w:sz w:val="24"/>
                <w:szCs w:val="24"/>
                <w:color w:val="auto"/>
              </w:rPr>
            </w:pPr>
          </w:p>
        </w:tc>
        <w:tc>
          <w:tcPr>
            <w:tcW w:w="4380" w:type="dxa"/>
            <w:vAlign w:val="bottom"/>
            <w:gridSpan w:val="5"/>
          </w:tcPr>
          <w:p>
            <w:pPr>
              <w:jc w:val="center"/>
              <w:spacing w:after="0"/>
              <w:rPr>
                <w:sz w:val="20"/>
                <w:szCs w:val="20"/>
                <w:color w:val="auto"/>
              </w:rPr>
            </w:pPr>
            <w:r>
              <w:rPr>
                <w:rFonts w:ascii="Arial" w:cs="Arial" w:eastAsia="Arial" w:hAnsi="Arial"/>
                <w:sz w:val="29"/>
                <w:szCs w:val="29"/>
                <w:b w:val="1"/>
                <w:bCs w:val="1"/>
                <w:color w:val="auto"/>
              </w:rPr>
              <w:t>DESTINATION XL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438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(Exact Name of Registrant as Specified in its Charter)</w:t>
            </w: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420" w:type="dxa"/>
            <w:vAlign w:val="bottom"/>
            <w:vMerge w:val="restart"/>
          </w:tcPr>
          <w:p>
            <w:pPr>
              <w:jc w:val="center"/>
              <w:ind w:left="2168"/>
              <w:spacing w:after="0"/>
              <w:rPr>
                <w:sz w:val="20"/>
                <w:szCs w:val="20"/>
                <w:color w:val="auto"/>
              </w:rPr>
            </w:pPr>
            <w:r>
              <w:rPr>
                <w:rFonts w:ascii="Arial" w:cs="Arial" w:eastAsia="Arial" w:hAnsi="Arial"/>
                <w:sz w:val="12"/>
                <w:szCs w:val="12"/>
                <w:b w:val="1"/>
                <w:bCs w:val="1"/>
                <w:color w:val="auto"/>
                <w:w w:val="91"/>
              </w:rPr>
              <w:t>Delaware</w:t>
            </w:r>
          </w:p>
        </w:tc>
        <w:tc>
          <w:tcPr>
            <w:tcW w:w="1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340" w:type="dxa"/>
            <w:vAlign w:val="bottom"/>
            <w:vMerge w:val="restart"/>
          </w:tcPr>
          <w:p>
            <w:pPr>
              <w:jc w:val="right"/>
              <w:ind w:right="2329"/>
              <w:spacing w:after="0"/>
              <w:rPr>
                <w:sz w:val="20"/>
                <w:szCs w:val="20"/>
                <w:color w:val="auto"/>
              </w:rPr>
            </w:pPr>
            <w:r>
              <w:rPr>
                <w:rFonts w:ascii="Arial" w:cs="Arial" w:eastAsia="Arial" w:hAnsi="Arial"/>
                <w:sz w:val="12"/>
                <w:szCs w:val="12"/>
                <w:b w:val="1"/>
                <w:bCs w:val="1"/>
                <w:color w:val="auto"/>
              </w:rPr>
              <w:t>04-2623104</w:t>
            </w:r>
          </w:p>
        </w:tc>
        <w:tc>
          <w:tcPr>
            <w:tcW w:w="0" w:type="dxa"/>
            <w:vAlign w:val="bottom"/>
          </w:tcPr>
          <w:p>
            <w:pPr>
              <w:spacing w:after="0"/>
              <w:rPr>
                <w:sz w:val="1"/>
                <w:szCs w:val="1"/>
                <w:color w:val="auto"/>
              </w:rPr>
            </w:pPr>
          </w:p>
        </w:tc>
      </w:tr>
      <w:tr>
        <w:trPr>
          <w:trHeight w:val="331"/>
        </w:trPr>
        <w:tc>
          <w:tcPr>
            <w:tcW w:w="3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420" w:type="dxa"/>
            <w:vAlign w:val="bottom"/>
          </w:tcPr>
          <w:p>
            <w:pPr>
              <w:jc w:val="center"/>
              <w:ind w:left="2168"/>
              <w:spacing w:after="0" w:line="91" w:lineRule="exact"/>
              <w:rPr>
                <w:sz w:val="20"/>
                <w:szCs w:val="20"/>
                <w:color w:val="auto"/>
              </w:rPr>
            </w:pPr>
            <w:r>
              <w:rPr>
                <w:rFonts w:ascii="Arial" w:cs="Arial" w:eastAsia="Arial" w:hAnsi="Arial"/>
                <w:sz w:val="8"/>
                <w:szCs w:val="8"/>
                <w:b w:val="1"/>
                <w:bCs w:val="1"/>
                <w:color w:val="auto"/>
                <w:w w:val="94"/>
              </w:rPr>
              <w:t>(State or other jurisdiction of</w:t>
            </w: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340" w:type="dxa"/>
            <w:vAlign w:val="bottom"/>
          </w:tcPr>
          <w:p>
            <w:pPr>
              <w:jc w:val="center"/>
              <w:ind w:right="1949"/>
              <w:spacing w:after="0" w:line="91" w:lineRule="exact"/>
              <w:rPr>
                <w:sz w:val="20"/>
                <w:szCs w:val="20"/>
                <w:color w:val="auto"/>
              </w:rPr>
            </w:pPr>
            <w:r>
              <w:rPr>
                <w:rFonts w:ascii="Arial" w:cs="Arial" w:eastAsia="Arial" w:hAnsi="Arial"/>
                <w:sz w:val="8"/>
                <w:szCs w:val="8"/>
                <w:b w:val="1"/>
                <w:bCs w:val="1"/>
                <w:color w:val="auto"/>
              </w:rPr>
              <w:t>(I.R.S. Employer</w:t>
            </w:r>
          </w:p>
        </w:tc>
        <w:tc>
          <w:tcPr>
            <w:tcW w:w="0" w:type="dxa"/>
            <w:vAlign w:val="bottom"/>
          </w:tcPr>
          <w:p>
            <w:pPr>
              <w:spacing w:after="0"/>
              <w:rPr>
                <w:sz w:val="1"/>
                <w:szCs w:val="1"/>
                <w:color w:val="auto"/>
              </w:rPr>
            </w:pPr>
          </w:p>
        </w:tc>
      </w:tr>
      <w:tr>
        <w:trPr>
          <w:trHeight w:val="89"/>
        </w:trPr>
        <w:tc>
          <w:tcPr>
            <w:tcW w:w="3420" w:type="dxa"/>
            <w:vAlign w:val="bottom"/>
          </w:tcPr>
          <w:p>
            <w:pPr>
              <w:jc w:val="center"/>
              <w:ind w:left="2148"/>
              <w:spacing w:after="0" w:line="89" w:lineRule="exact"/>
              <w:rPr>
                <w:sz w:val="20"/>
                <w:szCs w:val="20"/>
                <w:color w:val="auto"/>
              </w:rPr>
            </w:pPr>
            <w:r>
              <w:rPr>
                <w:rFonts w:ascii="Arial" w:cs="Arial" w:eastAsia="Arial" w:hAnsi="Arial"/>
                <w:sz w:val="8"/>
                <w:szCs w:val="8"/>
                <w:b w:val="1"/>
                <w:bCs w:val="1"/>
                <w:color w:val="auto"/>
                <w:w w:val="96"/>
              </w:rPr>
              <w:t>incorporation or organization)</w:t>
            </w: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340" w:type="dxa"/>
            <w:vAlign w:val="bottom"/>
          </w:tcPr>
          <w:p>
            <w:pPr>
              <w:jc w:val="center"/>
              <w:ind w:right="1949"/>
              <w:spacing w:after="0" w:line="89" w:lineRule="exact"/>
              <w:rPr>
                <w:sz w:val="20"/>
                <w:szCs w:val="20"/>
                <w:color w:val="auto"/>
              </w:rPr>
            </w:pPr>
            <w:r>
              <w:rPr>
                <w:rFonts w:ascii="Arial" w:cs="Arial" w:eastAsia="Arial" w:hAnsi="Arial"/>
                <w:sz w:val="8"/>
                <w:szCs w:val="8"/>
                <w:b w:val="1"/>
                <w:bCs w:val="1"/>
                <w:color w:val="auto"/>
                <w:w w:val="97"/>
              </w:rPr>
              <w:t>Identification No.)</w:t>
            </w:r>
          </w:p>
        </w:tc>
        <w:tc>
          <w:tcPr>
            <w:tcW w:w="0" w:type="dxa"/>
            <w:vAlign w:val="bottom"/>
          </w:tcPr>
          <w:p>
            <w:pPr>
              <w:spacing w:after="0"/>
              <w:rPr>
                <w:sz w:val="1"/>
                <w:szCs w:val="1"/>
                <w:color w:val="auto"/>
              </w:rPr>
            </w:pPr>
          </w:p>
        </w:tc>
      </w:tr>
      <w:tr>
        <w:trPr>
          <w:trHeight w:val="145"/>
        </w:trPr>
        <w:tc>
          <w:tcPr>
            <w:tcW w:w="3420" w:type="dxa"/>
            <w:vAlign w:val="bottom"/>
          </w:tcPr>
          <w:p>
            <w:pPr>
              <w:jc w:val="center"/>
              <w:ind w:left="2168"/>
              <w:spacing w:after="0"/>
              <w:rPr>
                <w:sz w:val="20"/>
                <w:szCs w:val="20"/>
                <w:color w:val="auto"/>
              </w:rPr>
            </w:pPr>
            <w:r>
              <w:rPr>
                <w:rFonts w:ascii="Arial" w:cs="Arial" w:eastAsia="Arial" w:hAnsi="Arial"/>
                <w:sz w:val="12"/>
                <w:szCs w:val="12"/>
                <w:b w:val="1"/>
                <w:bCs w:val="1"/>
                <w:color w:val="auto"/>
                <w:w w:val="93"/>
              </w:rPr>
              <w:t>555 Turnpike Street</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20" w:type="dxa"/>
            <w:vAlign w:val="bottom"/>
          </w:tcPr>
          <w:p>
            <w:pPr>
              <w:jc w:val="center"/>
              <w:ind w:left="2168"/>
              <w:spacing w:after="0"/>
              <w:rPr>
                <w:sz w:val="20"/>
                <w:szCs w:val="20"/>
                <w:color w:val="auto"/>
              </w:rPr>
            </w:pPr>
            <w:r>
              <w:rPr>
                <w:rFonts w:ascii="Arial" w:cs="Arial" w:eastAsia="Arial" w:hAnsi="Arial"/>
                <w:sz w:val="12"/>
                <w:szCs w:val="12"/>
                <w:b w:val="1"/>
                <w:bCs w:val="1"/>
                <w:color w:val="auto"/>
                <w:w w:val="95"/>
              </w:rPr>
              <w:t>Canton, MA</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340" w:type="dxa"/>
            <w:vAlign w:val="bottom"/>
          </w:tcPr>
          <w:p>
            <w:pPr>
              <w:jc w:val="right"/>
              <w:ind w:right="2469"/>
              <w:spacing w:after="0"/>
              <w:rPr>
                <w:sz w:val="20"/>
                <w:szCs w:val="20"/>
                <w:color w:val="auto"/>
              </w:rPr>
            </w:pPr>
            <w:r>
              <w:rPr>
                <w:rFonts w:ascii="Arial" w:cs="Arial" w:eastAsia="Arial" w:hAnsi="Arial"/>
                <w:sz w:val="12"/>
                <w:szCs w:val="12"/>
                <w:b w:val="1"/>
                <w:bCs w:val="1"/>
                <w:color w:val="auto"/>
              </w:rPr>
              <w:t>02021</w:t>
            </w:r>
          </w:p>
        </w:tc>
        <w:tc>
          <w:tcPr>
            <w:tcW w:w="0" w:type="dxa"/>
            <w:vAlign w:val="bottom"/>
          </w:tcPr>
          <w:p>
            <w:pPr>
              <w:spacing w:after="0"/>
              <w:rPr>
                <w:sz w:val="1"/>
                <w:szCs w:val="1"/>
                <w:color w:val="auto"/>
              </w:rPr>
            </w:pPr>
          </w:p>
        </w:tc>
      </w:tr>
      <w:tr>
        <w:trPr>
          <w:trHeight w:val="107"/>
        </w:trPr>
        <w:tc>
          <w:tcPr>
            <w:tcW w:w="7800" w:type="dxa"/>
            <w:vAlign w:val="bottom"/>
            <w:gridSpan w:val="6"/>
          </w:tcPr>
          <w:p>
            <w:pPr>
              <w:jc w:val="center"/>
              <w:ind w:right="2160"/>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3340" w:type="dxa"/>
            <w:vAlign w:val="bottom"/>
          </w:tcPr>
          <w:p>
            <w:pPr>
              <w:jc w:val="center"/>
              <w:ind w:right="1949"/>
              <w:spacing w:after="0"/>
              <w:rPr>
                <w:sz w:val="20"/>
                <w:szCs w:val="20"/>
                <w:color w:val="auto"/>
              </w:rPr>
            </w:pPr>
            <w:r>
              <w:rPr>
                <w:rFonts w:ascii="Arial" w:cs="Arial" w:eastAsia="Arial" w:hAnsi="Arial"/>
                <w:sz w:val="8"/>
                <w:szCs w:val="8"/>
                <w:b w:val="1"/>
                <w:bCs w:val="1"/>
                <w:color w:val="auto"/>
                <w:w w:val="95"/>
              </w:rPr>
              <w:t>(Zip Code)</w:t>
            </w:r>
          </w:p>
        </w:tc>
        <w:tc>
          <w:tcPr>
            <w:tcW w:w="0" w:type="dxa"/>
            <w:vAlign w:val="bottom"/>
          </w:tcPr>
          <w:p>
            <w:pPr>
              <w:spacing w:after="0"/>
              <w:rPr>
                <w:sz w:val="1"/>
                <w:szCs w:val="1"/>
                <w:color w:val="auto"/>
              </w:rPr>
            </w:pPr>
          </w:p>
        </w:tc>
      </w:tr>
      <w:tr>
        <w:trPr>
          <w:trHeight w:val="211"/>
        </w:trPr>
        <w:tc>
          <w:tcPr>
            <w:tcW w:w="342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2"/>
                <w:szCs w:val="12"/>
                <w:b w:val="1"/>
                <w:bCs w:val="1"/>
                <w:color w:val="auto"/>
                <w:w w:val="90"/>
              </w:rPr>
              <w:t>Registrant’s telephone number, including area code: (781) 828-9300</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420" w:type="dxa"/>
            <w:vAlign w:val="bottom"/>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1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Borders>
              <w:left w:val="single" w:sz="8" w:color="auto"/>
            </w:tcBorders>
          </w:tcPr>
          <w:p>
            <w:pPr>
              <w:jc w:val="center"/>
              <w:ind w:left="1148"/>
              <w:spacing w:after="0"/>
              <w:rPr>
                <w:sz w:val="20"/>
                <w:szCs w:val="20"/>
                <w:color w:val="auto"/>
              </w:rPr>
            </w:pPr>
            <w:r>
              <w:rPr>
                <w:rFonts w:ascii="Arial" w:cs="Arial" w:eastAsia="Arial" w:hAnsi="Arial"/>
                <w:sz w:val="11"/>
                <w:szCs w:val="11"/>
                <w:color w:val="auto"/>
                <w:w w:val="88"/>
              </w:rPr>
              <w:t>Title of each class</w:t>
            </w:r>
          </w:p>
        </w:tc>
        <w:tc>
          <w:tcPr>
            <w:tcW w:w="1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Trading symbol(s)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40" w:type="dxa"/>
            <w:vAlign w:val="bottom"/>
            <w:tcBorders>
              <w:right w:val="single" w:sz="8" w:color="auto"/>
            </w:tcBorders>
          </w:tcPr>
          <w:p>
            <w:pPr>
              <w:jc w:val="center"/>
              <w:ind w:right="1349"/>
              <w:spacing w:after="0"/>
              <w:rPr>
                <w:sz w:val="20"/>
                <w:szCs w:val="20"/>
                <w:color w:val="auto"/>
              </w:rPr>
            </w:pPr>
            <w:r>
              <w:rPr>
                <w:rFonts w:ascii="Arial" w:cs="Arial" w:eastAsia="Arial" w:hAnsi="Arial"/>
                <w:sz w:val="11"/>
                <w:szCs w:val="11"/>
                <w:color w:val="auto"/>
                <w:w w:val="89"/>
              </w:rPr>
              <w:t>Name of each exchange on which registered</w:t>
            </w:r>
          </w:p>
        </w:tc>
        <w:tc>
          <w:tcPr>
            <w:tcW w:w="0" w:type="dxa"/>
            <w:vAlign w:val="bottom"/>
          </w:tcPr>
          <w:p>
            <w:pPr>
              <w:spacing w:after="0"/>
              <w:rPr>
                <w:sz w:val="1"/>
                <w:szCs w:val="1"/>
                <w:color w:val="auto"/>
              </w:rPr>
            </w:pPr>
          </w:p>
        </w:tc>
      </w:tr>
      <w:tr>
        <w:trPr>
          <w:trHeight w:val="22"/>
        </w:trPr>
        <w:tc>
          <w:tcPr>
            <w:tcW w:w="3420" w:type="dxa"/>
            <w:vAlign w:val="bottom"/>
            <w:tcBorders>
              <w:left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3420" w:type="dxa"/>
            <w:vAlign w:val="bottom"/>
            <w:tcBorders>
              <w:left w:val="single" w:sz="8" w:color="auto"/>
            </w:tcBorders>
          </w:tcPr>
          <w:p>
            <w:pPr>
              <w:jc w:val="center"/>
              <w:ind w:left="1148"/>
              <w:spacing w:after="0"/>
              <w:rPr>
                <w:sz w:val="20"/>
                <w:szCs w:val="20"/>
                <w:color w:val="auto"/>
              </w:rPr>
            </w:pPr>
            <w:r>
              <w:rPr>
                <w:rFonts w:ascii="Arial" w:cs="Arial" w:eastAsia="Arial" w:hAnsi="Arial"/>
                <w:sz w:val="11"/>
                <w:szCs w:val="11"/>
                <w:color w:val="auto"/>
                <w:w w:val="90"/>
              </w:rPr>
              <w:t>Common Stock, $0.01 par value</w:t>
            </w:r>
          </w:p>
        </w:tc>
        <w:tc>
          <w:tcPr>
            <w:tcW w:w="1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DXLG</w:t>
            </w:r>
          </w:p>
        </w:tc>
        <w:tc>
          <w:tcPr>
            <w:tcW w:w="1380" w:type="dxa"/>
            <w:vAlign w:val="bottom"/>
            <w:gridSpan w:val="2"/>
          </w:tcPr>
          <w:p>
            <w:pPr>
              <w:spacing w:after="0"/>
              <w:rPr>
                <w:sz w:val="10"/>
                <w:szCs w:val="10"/>
                <w:color w:val="auto"/>
              </w:rPr>
            </w:pPr>
          </w:p>
        </w:tc>
        <w:tc>
          <w:tcPr>
            <w:tcW w:w="3340" w:type="dxa"/>
            <w:vAlign w:val="bottom"/>
            <w:tcBorders>
              <w:right w:val="single" w:sz="8" w:color="auto"/>
            </w:tcBorders>
          </w:tcPr>
          <w:p>
            <w:pPr>
              <w:jc w:val="center"/>
              <w:ind w:right="1349"/>
              <w:spacing w:after="0"/>
              <w:rPr>
                <w:sz w:val="20"/>
                <w:szCs w:val="20"/>
                <w:color w:val="auto"/>
              </w:rPr>
            </w:pPr>
            <w:r>
              <w:rPr>
                <w:rFonts w:ascii="Arial" w:cs="Arial" w:eastAsia="Arial" w:hAnsi="Arial"/>
                <w:sz w:val="11"/>
                <w:szCs w:val="11"/>
                <w:color w:val="auto"/>
                <w:w w:val="94"/>
              </w:rPr>
              <w:t>NASDAQ Stock Market LLC</w:t>
            </w:r>
          </w:p>
        </w:tc>
        <w:tc>
          <w:tcPr>
            <w:tcW w:w="0" w:type="dxa"/>
            <w:vAlign w:val="bottom"/>
          </w:tcPr>
          <w:p>
            <w:pPr>
              <w:spacing w:after="0"/>
              <w:rPr>
                <w:sz w:val="1"/>
                <w:szCs w:val="1"/>
                <w:color w:val="auto"/>
              </w:rPr>
            </w:pPr>
          </w:p>
        </w:tc>
      </w:tr>
      <w:tr>
        <w:trPr>
          <w:trHeight w:val="44"/>
        </w:trPr>
        <w:tc>
          <w:tcPr>
            <w:tcW w:w="3420" w:type="dxa"/>
            <w:vAlign w:val="bottom"/>
            <w:tcBorders>
              <w:left w:val="single" w:sz="8" w:color="auto"/>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8"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ind w:left="8" w:right="28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ind w:left="8" w:right="40" w:firstLine="602"/>
        <w:spacing w:after="0" w:line="27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2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16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2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9" w:lineRule="exact"/>
        <w:rPr>
          <w:sz w:val="24"/>
          <w:szCs w:val="24"/>
          <w:color w:val="auto"/>
        </w:rPr>
      </w:pPr>
    </w:p>
    <w:p>
      <w:pPr>
        <w:ind w:left="8" w:right="360" w:firstLine="602"/>
        <w:spacing w:after="0" w:line="14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3" w:lineRule="exact"/>
        <w:rPr>
          <w:sz w:val="24"/>
          <w:szCs w:val="24"/>
          <w:color w:val="auto"/>
        </w:rPr>
      </w:pPr>
    </w:p>
    <w:p>
      <w:pPr>
        <w:ind w:left="8" w:right="4900" w:firstLine="602"/>
        <w:spacing w:after="0" w:line="19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r>
        <w:rPr>
          <w:rFonts w:ascii="Arial" w:cs="Arial" w:eastAsia="Arial" w:hAnsi="Arial"/>
          <w:sz w:val="11"/>
          <w:szCs w:val="11"/>
          <w:color w:val="auto"/>
        </w:rPr>
        <w:t xml:space="preserve"> As of May 15, 2020, the registrant had 51,077,397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774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71774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307340</wp:posOffset>
            </wp:positionV>
            <wp:extent cx="718883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8"/>
          </w:cols>
          <w:pgMar w:left="292" w:top="348" w:right="33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Item 1. Financial Statements.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80" w:type="dxa"/>
            <w:vAlign w:val="bottom"/>
          </w:tcPr>
          <w:p>
            <w:pPr>
              <w:jc w:val="right"/>
              <w:ind w:right="10"/>
              <w:spacing w:after="0"/>
              <w:rPr>
                <w:sz w:val="20"/>
                <w:szCs w:val="20"/>
                <w:color w:val="auto"/>
              </w:rPr>
            </w:pPr>
            <w:r>
              <w:rPr>
                <w:rFonts w:ascii="Arial" w:cs="Arial" w:eastAsia="Arial" w:hAnsi="Arial"/>
                <w:sz w:val="10"/>
                <w:szCs w:val="10"/>
                <w:color w:val="auto"/>
              </w:rPr>
              <w:t>May 2, 2020</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0"/>
                <w:szCs w:val="10"/>
                <w:color w:val="auto"/>
              </w:rPr>
              <w:t>February 1, 2020</w:t>
            </w:r>
          </w:p>
        </w:tc>
      </w:tr>
      <w:tr>
        <w:trPr>
          <w:trHeight w:val="112"/>
        </w:trPr>
        <w:tc>
          <w:tcPr>
            <w:tcW w:w="776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Arial" w:cs="Arial" w:eastAsia="Arial" w:hAnsi="Arial"/>
                <w:sz w:val="10"/>
                <w:szCs w:val="10"/>
                <w:color w:val="auto"/>
              </w:rPr>
              <w:t>(Fiscal 2020)</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2019)</w:t>
            </w:r>
          </w:p>
        </w:tc>
      </w:tr>
      <w:tr>
        <w:trPr>
          <w:trHeight w:val="98"/>
        </w:trPr>
        <w:tc>
          <w:tcPr>
            <w:tcW w:w="776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080" w:type="dxa"/>
            <w:vAlign w:val="bottom"/>
            <w:shd w:val="clear" w:color="auto" w:fill="CFF0FC"/>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26,147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4,338</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1,938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6,219</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108,325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102,420</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4,963</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10,883</w:t>
            </w:r>
          </w:p>
        </w:tc>
        <w:tc>
          <w:tcPr>
            <w:tcW w:w="120" w:type="dxa"/>
            <w:vAlign w:val="bottom"/>
            <w:tcBorders>
              <w:bottom w:val="single" w:sz="8" w:color="CFF0FC"/>
            </w:tcBorders>
          </w:tcPr>
          <w:p>
            <w:pPr>
              <w:spacing w:after="0"/>
              <w:rPr>
                <w:sz w:val="13"/>
                <w:szCs w:val="13"/>
                <w:color w:val="auto"/>
              </w:rPr>
            </w:pPr>
          </w:p>
        </w:tc>
      </w:tr>
      <w:tr>
        <w:trPr>
          <w:trHeight w:val="14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141,373</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123,860</w:t>
            </w: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Non-current 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Property and equipment, net of accumulated depreciation and amortization</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69,645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78,279</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165,528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186,413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Intangible assets</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609</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FF0FC"/>
          </w:tcPr>
          <w:p>
            <w:pPr>
              <w:spacing w:after="0"/>
              <w:rPr>
                <w:sz w:val="13"/>
                <w:szCs w:val="13"/>
                <w:color w:val="auto"/>
              </w:rPr>
            </w:pPr>
          </w:p>
        </w:tc>
      </w:tr>
      <w:tr>
        <w:trPr>
          <w:trHeight w:val="150"/>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assets</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378,305</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390,917</w:t>
            </w:r>
          </w:p>
        </w:tc>
        <w:tc>
          <w:tcPr>
            <w:tcW w:w="120" w:type="dxa"/>
            <w:vAlign w:val="bottom"/>
            <w:tcBorders>
              <w:bottom w:val="single" w:sz="8" w:color="CFF0FC"/>
            </w:tcBorders>
          </w:tcPr>
          <w:p>
            <w:pPr>
              <w:spacing w:after="0"/>
              <w:rPr>
                <w:sz w:val="13"/>
                <w:szCs w:val="13"/>
                <w:color w:val="auto"/>
              </w:rPr>
            </w:pPr>
          </w:p>
        </w:tc>
      </w:tr>
      <w:tr>
        <w:trPr>
          <w:trHeight w:val="154"/>
        </w:trPr>
        <w:tc>
          <w:tcPr>
            <w:tcW w:w="77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LIABILITIES AND STOCKHOLDERS' EQUITY</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Current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080" w:type="dxa"/>
            <w:vAlign w:val="bottom"/>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31,861</w:t>
            </w:r>
          </w:p>
        </w:tc>
        <w:tc>
          <w:tcPr>
            <w:tcW w:w="3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31,763</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15,925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18,123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Operating leases, current</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41,780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41,176</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Borrowings under credit facility</w:t>
            </w: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79,532</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39,301</w:t>
            </w:r>
          </w:p>
        </w:tc>
        <w:tc>
          <w:tcPr>
            <w:tcW w:w="120" w:type="dxa"/>
            <w:vAlign w:val="bottom"/>
            <w:shd w:val="clear" w:color="auto" w:fill="CFF0FC"/>
          </w:tcPr>
          <w:p>
            <w:pPr>
              <w:spacing w:after="0"/>
              <w:rPr>
                <w:sz w:val="13"/>
                <w:szCs w:val="13"/>
                <w:color w:val="auto"/>
              </w:rPr>
            </w:pPr>
          </w:p>
        </w:tc>
      </w:tr>
      <w:tr>
        <w:trPr>
          <w:trHeight w:val="143"/>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current liabilities</w:t>
            </w: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169,098</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130,363</w:t>
            </w:r>
          </w:p>
        </w:tc>
        <w:tc>
          <w:tcPr>
            <w:tcW w:w="120" w:type="dxa"/>
            <w:vAlign w:val="bottom"/>
            <w:tcBorders>
              <w:bottom w:val="single" w:sz="8" w:color="CFF0FC"/>
            </w:tcBorders>
          </w:tcPr>
          <w:p>
            <w:pPr>
              <w:spacing w:after="0"/>
              <w:rPr>
                <w:sz w:val="12"/>
                <w:szCs w:val="12"/>
                <w:color w:val="auto"/>
              </w:rPr>
            </w:pPr>
          </w:p>
        </w:tc>
      </w:tr>
      <w:tr>
        <w:trPr>
          <w:trHeight w:val="143"/>
        </w:trPr>
        <w:tc>
          <w:tcPr>
            <w:tcW w:w="77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Long-term liabilities: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Long-term debt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14,827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Operating leases, non-current</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171,775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182,051</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long-term liabilities</w:t>
            </w: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5,099</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5,267</w:t>
            </w:r>
          </w:p>
        </w:tc>
        <w:tc>
          <w:tcPr>
            <w:tcW w:w="120" w:type="dxa"/>
            <w:vAlign w:val="bottom"/>
            <w:shd w:val="clear" w:color="auto" w:fill="CFF0FC"/>
          </w:tcPr>
          <w:p>
            <w:pPr>
              <w:spacing w:after="0"/>
              <w:rPr>
                <w:sz w:val="13"/>
                <w:szCs w:val="13"/>
                <w:color w:val="auto"/>
              </w:rPr>
            </w:pPr>
          </w:p>
        </w:tc>
      </w:tr>
      <w:tr>
        <w:trPr>
          <w:trHeight w:val="143"/>
        </w:trPr>
        <w:tc>
          <w:tcPr>
            <w:tcW w:w="776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long-term liabilities</w:t>
            </w: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191,701</w:t>
            </w:r>
          </w:p>
        </w:tc>
        <w:tc>
          <w:tcPr>
            <w:tcW w:w="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202,131</w:t>
            </w:r>
          </w:p>
        </w:tc>
        <w:tc>
          <w:tcPr>
            <w:tcW w:w="120" w:type="dxa"/>
            <w:vAlign w:val="bottom"/>
            <w:tcBorders>
              <w:bottom w:val="single" w:sz="8" w:color="CFF0FC"/>
            </w:tcBorders>
          </w:tcPr>
          <w:p>
            <w:pPr>
              <w:spacing w:after="0"/>
              <w:rPr>
                <w:sz w:val="12"/>
                <w:szCs w:val="12"/>
                <w:color w:val="auto"/>
              </w:rPr>
            </w:pPr>
          </w:p>
        </w:tc>
      </w:tr>
      <w:tr>
        <w:trPr>
          <w:trHeight w:val="143"/>
        </w:trPr>
        <w:tc>
          <w:tcPr>
            <w:tcW w:w="77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2"/>
                <w:szCs w:val="12"/>
                <w:i w:val="1"/>
                <w:iCs w:val="1"/>
                <w:color w:val="auto"/>
              </w:rPr>
              <w:t>Stockholders' equity:</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Preferred stock, $0.01 par value, 1,000,000 shares authorized, none issued</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5"/>
        </w:trPr>
        <w:tc>
          <w:tcPr>
            <w:tcW w:w="7760" w:type="dxa"/>
            <w:vAlign w:val="bottom"/>
          </w:tcPr>
          <w:p>
            <w:pPr>
              <w:ind w:left="160"/>
              <w:spacing w:after="0"/>
              <w:rPr>
                <w:sz w:val="20"/>
                <w:szCs w:val="20"/>
                <w:color w:val="auto"/>
              </w:rPr>
            </w:pPr>
            <w:r>
              <w:rPr>
                <w:rFonts w:ascii="Arial" w:cs="Arial" w:eastAsia="Arial" w:hAnsi="Arial"/>
                <w:sz w:val="12"/>
                <w:szCs w:val="12"/>
                <w:color w:val="auto"/>
                <w:w w:val="97"/>
              </w:rPr>
              <w:t>Common stock, $0.01 par value, 100,000,000 shares authorized, 63,833,270 and 63,297,598 shares issued at May 2, 2020 and February 1, 2020,</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respectively</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633</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313,529</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312,933</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Treasury stock at cost, 12,755,873 shares at May 2, 2020 and February 1, 2020</w:t>
            </w:r>
          </w:p>
        </w:tc>
        <w:tc>
          <w:tcPr>
            <w:tcW w:w="10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(92,658)</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(92,658)</w:t>
            </w:r>
          </w:p>
        </w:tc>
      </w:tr>
      <w:tr>
        <w:trPr>
          <w:trHeight w:val="154"/>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deficit</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w w:val="97"/>
              </w:rPr>
              <w:t>(197,780)</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(156,054)</w:t>
            </w:r>
          </w:p>
        </w:tc>
      </w:tr>
      <w:tr>
        <w:trPr>
          <w:trHeight w:val="154"/>
        </w:trPr>
        <w:tc>
          <w:tcPr>
            <w:tcW w:w="7760" w:type="dxa"/>
            <w:vAlign w:val="bottom"/>
          </w:tcPr>
          <w:p>
            <w:pPr>
              <w:ind w:left="160"/>
              <w:spacing w:after="0"/>
              <w:rPr>
                <w:sz w:val="20"/>
                <w:szCs w:val="20"/>
                <w:color w:val="auto"/>
              </w:rPr>
            </w:pPr>
            <w:r>
              <w:rPr>
                <w:rFonts w:ascii="Arial" w:cs="Arial" w:eastAsia="Arial" w:hAnsi="Arial"/>
                <w:sz w:val="12"/>
                <w:szCs w:val="12"/>
                <w:color w:val="auto"/>
              </w:rPr>
              <w:t>Accumulated other comprehensive loss</w:t>
            </w:r>
          </w:p>
        </w:tc>
        <w:tc>
          <w:tcPr>
            <w:tcW w:w="10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(6,223)</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(6,431)</w:t>
            </w:r>
          </w:p>
        </w:tc>
      </w:tr>
      <w:tr>
        <w:trPr>
          <w:trHeight w:val="143"/>
        </w:trPr>
        <w:tc>
          <w:tcPr>
            <w:tcW w:w="776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stockholders' equity</w:t>
            </w:r>
          </w:p>
        </w:tc>
        <w:tc>
          <w:tcPr>
            <w:tcW w:w="108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17,506</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58,423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0"/>
        </w:trPr>
        <w:tc>
          <w:tcPr>
            <w:tcW w:w="7760" w:type="dxa"/>
            <w:vAlign w:val="bottom"/>
          </w:tcPr>
          <w:p>
            <w:pPr>
              <w:ind w:left="480"/>
              <w:spacing w:after="0"/>
              <w:rPr>
                <w:sz w:val="20"/>
                <w:szCs w:val="20"/>
                <w:color w:val="auto"/>
              </w:rPr>
            </w:pPr>
            <w:r>
              <w:rPr>
                <w:rFonts w:ascii="Arial" w:cs="Arial" w:eastAsia="Arial" w:hAnsi="Arial"/>
                <w:sz w:val="12"/>
                <w:szCs w:val="12"/>
                <w:color w:val="auto"/>
              </w:rPr>
              <w:t>Total liabilities and stockholders' equity</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378,305</w:t>
            </w:r>
          </w:p>
        </w:tc>
        <w:tc>
          <w:tcPr>
            <w:tcW w:w="300" w:type="dxa"/>
            <w:vAlign w:val="bottom"/>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390,917</w:t>
            </w:r>
          </w:p>
        </w:tc>
        <w:tc>
          <w:tcPr>
            <w:tcW w:w="120" w:type="dxa"/>
            <w:vAlign w:val="bottom"/>
          </w:tcPr>
          <w:p>
            <w:pPr>
              <w:spacing w:after="0"/>
              <w:rPr>
                <w:sz w:val="13"/>
                <w:szCs w:val="13"/>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8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0"/>
                <w:szCs w:val="10"/>
                <w:color w:val="auto"/>
              </w:rPr>
              <w:t>May 2, 2020</w:t>
            </w:r>
          </w:p>
        </w:tc>
        <w:tc>
          <w:tcPr>
            <w:tcW w:w="1440" w:type="dxa"/>
            <w:vAlign w:val="bottom"/>
            <w:gridSpan w:val="3"/>
          </w:tcPr>
          <w:p>
            <w:pPr>
              <w:jc w:val="right"/>
              <w:ind w:right="120"/>
              <w:spacing w:after="0"/>
              <w:rPr>
                <w:sz w:val="20"/>
                <w:szCs w:val="20"/>
                <w:color w:val="auto"/>
              </w:rPr>
            </w:pPr>
            <w:r>
              <w:rPr>
                <w:rFonts w:ascii="Arial" w:cs="Arial" w:eastAsia="Arial" w:hAnsi="Arial"/>
                <w:sz w:val="10"/>
                <w:szCs w:val="10"/>
                <w:color w:val="auto"/>
                <w:w w:val="96"/>
              </w:rPr>
              <w:t>For the Three Months Ended</w:t>
            </w:r>
          </w:p>
        </w:tc>
        <w:tc>
          <w:tcPr>
            <w:tcW w:w="1640" w:type="dxa"/>
            <w:vAlign w:val="bottom"/>
            <w:gridSpan w:val="2"/>
            <w:vMerge w:val="restart"/>
          </w:tcPr>
          <w:p>
            <w:pPr>
              <w:jc w:val="right"/>
              <w:ind w:right="960"/>
              <w:spacing w:after="0"/>
              <w:rPr>
                <w:sz w:val="20"/>
                <w:szCs w:val="20"/>
                <w:color w:val="auto"/>
              </w:rPr>
            </w:pPr>
            <w:r>
              <w:rPr>
                <w:rFonts w:ascii="Arial" w:cs="Arial" w:eastAsia="Arial" w:hAnsi="Arial"/>
                <w:sz w:val="10"/>
                <w:szCs w:val="10"/>
                <w:color w:val="auto"/>
              </w:rPr>
              <w:t>May 4, 2019</w:t>
            </w:r>
          </w:p>
        </w:tc>
        <w:tc>
          <w:tcPr>
            <w:tcW w:w="0" w:type="dxa"/>
            <w:vAlign w:val="bottom"/>
          </w:tcPr>
          <w:p>
            <w:pPr>
              <w:spacing w:after="0"/>
              <w:rPr>
                <w:sz w:val="1"/>
                <w:szCs w:val="1"/>
                <w:color w:val="auto"/>
              </w:rPr>
            </w:pPr>
          </w:p>
        </w:tc>
      </w:tr>
      <w:tr>
        <w:trPr>
          <w:trHeight w:val="95"/>
        </w:trPr>
        <w:tc>
          <w:tcPr>
            <w:tcW w:w="48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8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20" w:type="dxa"/>
            <w:vAlign w:val="bottom"/>
            <w:tcBorders>
              <w:bottom w:val="single" w:sz="8" w:color="auto"/>
            </w:tcBorders>
          </w:tcPr>
          <w:p>
            <w:pPr>
              <w:jc w:val="right"/>
              <w:ind w:right="112"/>
              <w:spacing w:after="0" w:line="113" w:lineRule="exact"/>
              <w:rPr>
                <w:sz w:val="20"/>
                <w:szCs w:val="20"/>
                <w:color w:val="auto"/>
              </w:rPr>
            </w:pPr>
            <w:r>
              <w:rPr>
                <w:rFonts w:ascii="Arial" w:cs="Arial" w:eastAsia="Arial" w:hAnsi="Arial"/>
                <w:sz w:val="10"/>
                <w:szCs w:val="10"/>
                <w:color w:val="auto"/>
              </w:rPr>
              <w:t>(Fiscal 2020)</w:t>
            </w: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2"/>
          </w:tcPr>
          <w:p>
            <w:pPr>
              <w:jc w:val="right"/>
              <w:ind w:right="940"/>
              <w:spacing w:after="0" w:line="113" w:lineRule="exact"/>
              <w:rPr>
                <w:sz w:val="20"/>
                <w:szCs w:val="20"/>
                <w:color w:val="auto"/>
              </w:rPr>
            </w:pPr>
            <w:r>
              <w:rPr>
                <w:rFonts w:ascii="Arial" w:cs="Arial" w:eastAsia="Arial" w:hAnsi="Arial"/>
                <w:sz w:val="10"/>
                <w:szCs w:val="10"/>
                <w:color w:val="auto"/>
              </w:rPr>
              <w:t>(Fiscal 2019)</w:t>
            </w: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342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57,227</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112,973</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 including occupancy costs</w:t>
            </w:r>
          </w:p>
        </w:tc>
        <w:tc>
          <w:tcPr>
            <w:tcW w:w="200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44,013</w:t>
            </w:r>
          </w:p>
        </w:tc>
        <w:tc>
          <w:tcPr>
            <w:tcW w:w="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63,560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20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13,214</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49,413</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Expenses:</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32,112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44,611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CEO transition costs</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ind w:left="160"/>
              <w:spacing w:after="0"/>
              <w:rPr>
                <w:sz w:val="20"/>
                <w:szCs w:val="20"/>
                <w:color w:val="auto"/>
              </w:rPr>
            </w:pPr>
            <w:r>
              <w:rPr>
                <w:rFonts w:ascii="Arial" w:cs="Arial" w:eastAsia="Arial" w:hAnsi="Arial"/>
                <w:sz w:val="12"/>
                <w:szCs w:val="12"/>
                <w:color w:val="auto"/>
              </w:rPr>
              <w:t>Impairment of assets</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16,335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2000" w:type="dxa"/>
            <w:vAlign w:val="bottom"/>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5,732</w:t>
            </w:r>
          </w:p>
        </w:tc>
        <w:tc>
          <w:tcPr>
            <w:tcW w:w="10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6,338</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expenses</w:t>
            </w:r>
          </w:p>
        </w:tc>
        <w:tc>
          <w:tcPr>
            <w:tcW w:w="200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54,179</w:t>
            </w:r>
          </w:p>
        </w:tc>
        <w:tc>
          <w:tcPr>
            <w:tcW w:w="10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51,651</w:t>
            </w:r>
          </w:p>
        </w:tc>
        <w:tc>
          <w:tcPr>
            <w:tcW w:w="2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0" w:type="dxa"/>
            <w:vAlign w:val="bottom"/>
            <w:shd w:val="clear" w:color="auto" w:fill="CFF0FC"/>
          </w:tcPr>
          <w:p>
            <w:pPr>
              <w:spacing w:after="0"/>
              <w:rPr>
                <w:sz w:val="12"/>
                <w:szCs w:val="12"/>
                <w:color w:val="auto"/>
              </w:rPr>
            </w:pPr>
          </w:p>
        </w:tc>
        <w:tc>
          <w:tcPr>
            <w:tcW w:w="20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20"/>
                <w:szCs w:val="20"/>
                <w:color w:val="auto"/>
              </w:rPr>
            </w:pPr>
            <w:r>
              <w:rPr>
                <w:rFonts w:ascii="Arial" w:cs="Arial" w:eastAsia="Arial" w:hAnsi="Arial"/>
                <w:sz w:val="12"/>
                <w:szCs w:val="12"/>
                <w:color w:val="auto"/>
              </w:rPr>
              <w:t>Operating loss</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(40,965)</w:t>
            </w:r>
          </w:p>
        </w:tc>
        <w:tc>
          <w:tcPr>
            <w:tcW w:w="72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(2,238)</w:t>
            </w: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20"/>
                <w:szCs w:val="20"/>
                <w:color w:val="auto"/>
              </w:rPr>
            </w:pPr>
            <w:r>
              <w:rPr>
                <w:rFonts w:ascii="Arial" w:cs="Arial" w:eastAsia="Arial" w:hAnsi="Arial"/>
                <w:sz w:val="12"/>
                <w:szCs w:val="12"/>
                <w:color w:val="auto"/>
              </w:rPr>
              <w:t>Interest expense, net</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(741)</w:t>
            </w:r>
          </w:p>
        </w:tc>
        <w:tc>
          <w:tcPr>
            <w:tcW w:w="72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(864)</w:t>
            </w:r>
          </w:p>
        </w:tc>
        <w:tc>
          <w:tcPr>
            <w:tcW w:w="0" w:type="dxa"/>
            <w:vAlign w:val="bottom"/>
          </w:tcPr>
          <w:p>
            <w:pPr>
              <w:spacing w:after="0"/>
              <w:rPr>
                <w:sz w:val="1"/>
                <w:szCs w:val="1"/>
                <w:color w:val="auto"/>
              </w:rPr>
            </w:pPr>
          </w:p>
        </w:tc>
      </w:tr>
      <w:tr>
        <w:trPr>
          <w:trHeight w:val="143"/>
        </w:trPr>
        <w:tc>
          <w:tcPr>
            <w:tcW w:w="4800" w:type="dxa"/>
            <w:vAlign w:val="bottom"/>
            <w:tcBorders>
              <w:top w:val="single" w:sz="8" w:color="CFF0FC"/>
            </w:tcBorders>
            <w:shd w:val="clear" w:color="auto" w:fill="CFF0FC"/>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20"/>
                <w:szCs w:val="20"/>
                <w:color w:val="auto"/>
              </w:rPr>
            </w:pPr>
            <w:r>
              <w:rPr>
                <w:rFonts w:ascii="Arial" w:cs="Arial" w:eastAsia="Arial" w:hAnsi="Arial"/>
                <w:sz w:val="12"/>
                <w:szCs w:val="12"/>
                <w:color w:val="auto"/>
              </w:rPr>
              <w:t>Loss before provision (benefit) for income taxes</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(41,706)</w:t>
            </w:r>
          </w:p>
        </w:tc>
        <w:tc>
          <w:tcPr>
            <w:tcW w:w="72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(3,102)</w:t>
            </w: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Provision (benefit) for income taxes</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3"/>
        </w:trPr>
        <w:tc>
          <w:tcPr>
            <w:tcW w:w="4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20"/>
                <w:szCs w:val="20"/>
                <w:color w:val="auto"/>
              </w:rPr>
            </w:pPr>
            <w:r>
              <w:rPr>
                <w:rFonts w:ascii="Arial" w:cs="Arial" w:eastAsia="Arial" w:hAnsi="Arial"/>
                <w:sz w:val="12"/>
                <w:szCs w:val="12"/>
                <w:color w:val="auto"/>
              </w:rPr>
              <w:t>Net loss</w:t>
            </w:r>
          </w:p>
        </w:tc>
        <w:tc>
          <w:tcPr>
            <w:tcW w:w="3420" w:type="dxa"/>
            <w:vAlign w:val="bottom"/>
            <w:gridSpan w:val="2"/>
          </w:tcPr>
          <w:p>
            <w:pPr>
              <w:jc w:val="right"/>
              <w:ind w:right="1312"/>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(41,726)</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2"/>
                <w:szCs w:val="12"/>
                <w:color w:val="auto"/>
              </w:rPr>
              <w:t>(3,081)</w:t>
            </w:r>
          </w:p>
        </w:tc>
        <w:tc>
          <w:tcPr>
            <w:tcW w:w="0" w:type="dxa"/>
            <w:vAlign w:val="bottom"/>
          </w:tcPr>
          <w:p>
            <w:pPr>
              <w:spacing w:after="0"/>
              <w:rPr>
                <w:sz w:val="1"/>
                <w:szCs w:val="1"/>
                <w:color w:val="auto"/>
              </w:rPr>
            </w:pPr>
          </w:p>
        </w:tc>
      </w:tr>
      <w:tr>
        <w:trPr>
          <w:trHeight w:val="154"/>
        </w:trPr>
        <w:tc>
          <w:tcPr>
            <w:tcW w:w="4800" w:type="dxa"/>
            <w:vAlign w:val="bottom"/>
            <w:tcBorders>
              <w:top w:val="single" w:sz="8" w:color="CFF0FC"/>
            </w:tcBorders>
            <w:shd w:val="clear" w:color="auto" w:fill="CFF0FC"/>
          </w:tcPr>
          <w:p>
            <w:pPr>
              <w:spacing w:after="0"/>
              <w:rPr>
                <w:sz w:val="13"/>
                <w:szCs w:val="13"/>
                <w:color w:val="auto"/>
              </w:rPr>
            </w:pPr>
          </w:p>
        </w:tc>
        <w:tc>
          <w:tcPr>
            <w:tcW w:w="2000" w:type="dxa"/>
            <w:vAlign w:val="bottom"/>
            <w:tcBorders>
              <w:top w:val="single" w:sz="8" w:color="CFF0FC"/>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Net loss per share - basic and diluted</w:t>
            </w:r>
          </w:p>
        </w:tc>
        <w:tc>
          <w:tcPr>
            <w:tcW w:w="3420" w:type="dxa"/>
            <w:vAlign w:val="bottom"/>
            <w:gridSpan w:val="2"/>
            <w:shd w:val="clear" w:color="auto" w:fill="CFF0FC"/>
          </w:tcPr>
          <w:p>
            <w:pPr>
              <w:jc w:val="right"/>
              <w:ind w:right="1312"/>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(0.82)</w:t>
            </w:r>
          </w:p>
        </w:tc>
        <w:tc>
          <w:tcPr>
            <w:tcW w:w="720" w:type="dxa"/>
            <w:vAlign w:val="bottom"/>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54"/>
        </w:trPr>
        <w:tc>
          <w:tcPr>
            <w:tcW w:w="48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number of common shares outstanding:</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tcPr>
          <w:p>
            <w:pPr>
              <w:ind w:left="320"/>
              <w:spacing w:after="0"/>
              <w:rPr>
                <w:sz w:val="20"/>
                <w:szCs w:val="20"/>
                <w:color w:val="auto"/>
              </w:rPr>
            </w:pPr>
            <w:r>
              <w:rPr>
                <w:rFonts w:ascii="Arial" w:cs="Arial" w:eastAsia="Arial" w:hAnsi="Arial"/>
                <w:sz w:val="12"/>
                <w:szCs w:val="12"/>
                <w:color w:val="auto"/>
              </w:rPr>
              <w:t>Basic</w:t>
            </w:r>
          </w:p>
        </w:tc>
        <w:tc>
          <w:tcPr>
            <w:tcW w:w="2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50,758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49,602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Diluted</w:t>
            </w:r>
          </w:p>
        </w:tc>
        <w:tc>
          <w:tcPr>
            <w:tcW w:w="20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50,758</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49,602</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480" w:type="dxa"/>
            <w:vAlign w:val="bottom"/>
          </w:tcPr>
          <w:p>
            <w:pPr>
              <w:spacing w:after="0"/>
              <w:rPr>
                <w:sz w:val="10"/>
                <w:szCs w:val="10"/>
                <w:color w:val="auto"/>
              </w:rPr>
            </w:pPr>
          </w:p>
        </w:tc>
        <w:tc>
          <w:tcPr>
            <w:tcW w:w="1220" w:type="dxa"/>
            <w:vAlign w:val="bottom"/>
            <w:vMerge w:val="restart"/>
          </w:tcPr>
          <w:p>
            <w:pPr>
              <w:jc w:val="right"/>
              <w:ind w:right="51"/>
              <w:spacing w:after="0"/>
              <w:rPr>
                <w:sz w:val="20"/>
                <w:szCs w:val="20"/>
                <w:color w:val="auto"/>
              </w:rPr>
            </w:pPr>
            <w:r>
              <w:rPr>
                <w:rFonts w:ascii="Arial" w:cs="Arial" w:eastAsia="Arial" w:hAnsi="Arial"/>
                <w:sz w:val="10"/>
                <w:szCs w:val="10"/>
                <w:color w:val="auto"/>
              </w:rPr>
              <w:t>May 2, 2020</w:t>
            </w:r>
          </w:p>
        </w:tc>
        <w:tc>
          <w:tcPr>
            <w:tcW w:w="1300" w:type="dxa"/>
            <w:vAlign w:val="bottom"/>
            <w:gridSpan w:val="4"/>
          </w:tcPr>
          <w:p>
            <w:pPr>
              <w:jc w:val="right"/>
              <w:ind w:right="120"/>
              <w:spacing w:after="0"/>
              <w:rPr>
                <w:sz w:val="20"/>
                <w:szCs w:val="20"/>
                <w:color w:val="auto"/>
              </w:rPr>
            </w:pPr>
            <w:r>
              <w:rPr>
                <w:rFonts w:ascii="Arial" w:cs="Arial" w:eastAsia="Arial" w:hAnsi="Arial"/>
                <w:sz w:val="10"/>
                <w:szCs w:val="10"/>
                <w:color w:val="auto"/>
                <w:w w:val="90"/>
              </w:rPr>
              <w:t>For the Three Months Ended</w:t>
            </w:r>
          </w:p>
        </w:tc>
        <w:tc>
          <w:tcPr>
            <w:tcW w:w="1300" w:type="dxa"/>
            <w:vAlign w:val="bottom"/>
            <w:gridSpan w:val="2"/>
            <w:vMerge w:val="restart"/>
          </w:tcPr>
          <w:p>
            <w:pPr>
              <w:jc w:val="right"/>
              <w:ind w:right="700"/>
              <w:spacing w:after="0"/>
              <w:rPr>
                <w:sz w:val="20"/>
                <w:szCs w:val="20"/>
                <w:color w:val="auto"/>
              </w:rPr>
            </w:pPr>
            <w:r>
              <w:rPr>
                <w:rFonts w:ascii="Arial" w:cs="Arial" w:eastAsia="Arial" w:hAnsi="Arial"/>
                <w:sz w:val="10"/>
                <w:szCs w:val="10"/>
                <w:color w:val="auto"/>
              </w:rPr>
              <w:t>May 4, 2019</w:t>
            </w:r>
          </w:p>
        </w:tc>
        <w:tc>
          <w:tcPr>
            <w:tcW w:w="0" w:type="dxa"/>
            <w:vAlign w:val="bottom"/>
          </w:tcPr>
          <w:p>
            <w:pPr>
              <w:spacing w:after="0"/>
              <w:rPr>
                <w:sz w:val="1"/>
                <w:szCs w:val="1"/>
                <w:color w:val="auto"/>
              </w:rPr>
            </w:pPr>
          </w:p>
        </w:tc>
      </w:tr>
      <w:tr>
        <w:trPr>
          <w:trHeight w:val="113"/>
        </w:trPr>
        <w:tc>
          <w:tcPr>
            <w:tcW w:w="74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7480" w:type="dxa"/>
            <w:vAlign w:val="bottom"/>
            <w:tcBorders>
              <w:bottom w:val="single" w:sz="8" w:color="CFF0FC"/>
            </w:tcBorders>
          </w:tcPr>
          <w:p>
            <w:pPr>
              <w:spacing w:after="0"/>
              <w:rPr>
                <w:sz w:val="9"/>
                <w:szCs w:val="9"/>
                <w:color w:val="auto"/>
              </w:rPr>
            </w:pPr>
          </w:p>
        </w:tc>
        <w:tc>
          <w:tcPr>
            <w:tcW w:w="1220" w:type="dxa"/>
            <w:vAlign w:val="bottom"/>
            <w:tcBorders>
              <w:bottom w:val="single" w:sz="8" w:color="auto"/>
            </w:tcBorders>
          </w:tcPr>
          <w:p>
            <w:pPr>
              <w:jc w:val="right"/>
              <w:ind w:right="31"/>
              <w:spacing w:after="0" w:line="113" w:lineRule="exact"/>
              <w:rPr>
                <w:sz w:val="20"/>
                <w:szCs w:val="20"/>
                <w:color w:val="auto"/>
              </w:rPr>
            </w:pPr>
            <w:r>
              <w:rPr>
                <w:rFonts w:ascii="Arial" w:cs="Arial" w:eastAsia="Arial" w:hAnsi="Arial"/>
                <w:sz w:val="10"/>
                <w:szCs w:val="10"/>
                <w:color w:val="auto"/>
              </w:rPr>
              <w:t>(Fiscal 2020)</w:t>
            </w: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502"/>
              <w:spacing w:after="0" w:line="113" w:lineRule="exact"/>
              <w:rPr>
                <w:sz w:val="20"/>
                <w:szCs w:val="20"/>
                <w:color w:val="auto"/>
              </w:rPr>
            </w:pPr>
            <w:r>
              <w:rPr>
                <w:rFonts w:ascii="Arial" w:cs="Arial" w:eastAsia="Arial" w:hAnsi="Arial"/>
                <w:sz w:val="10"/>
                <w:szCs w:val="10"/>
                <w:color w:val="auto"/>
              </w:rPr>
              <w:t>(Fiscal 2019)</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48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1220" w:type="dxa"/>
            <w:vAlign w:val="bottom"/>
            <w:shd w:val="clear" w:color="auto" w:fill="CFF0FC"/>
          </w:tcPr>
          <w:p>
            <w:pPr>
              <w:jc w:val="right"/>
              <w:ind w:right="11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(41,726)</w:t>
            </w: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(3,081)</w:t>
            </w:r>
          </w:p>
        </w:tc>
        <w:tc>
          <w:tcPr>
            <w:tcW w:w="0" w:type="dxa"/>
            <w:vAlign w:val="bottom"/>
          </w:tcPr>
          <w:p>
            <w:pPr>
              <w:spacing w:after="0"/>
              <w:rPr>
                <w:sz w:val="1"/>
                <w:szCs w:val="1"/>
                <w:color w:val="auto"/>
              </w:rPr>
            </w:pPr>
          </w:p>
        </w:tc>
      </w:tr>
      <w:tr>
        <w:trPr>
          <w:trHeight w:val="154"/>
        </w:trPr>
        <w:tc>
          <w:tcPr>
            <w:tcW w:w="7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48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before taxes:</w:t>
            </w:r>
          </w:p>
        </w:tc>
        <w:tc>
          <w:tcPr>
            <w:tcW w:w="1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480" w:type="dxa"/>
            <w:vAlign w:val="bottom"/>
          </w:tcPr>
          <w:p>
            <w:pPr>
              <w:ind w:left="160"/>
              <w:spacing w:after="0"/>
              <w:rPr>
                <w:sz w:val="20"/>
                <w:szCs w:val="20"/>
                <w:color w:val="auto"/>
              </w:rPr>
            </w:pPr>
            <w:r>
              <w:rPr>
                <w:rFonts w:ascii="Arial" w:cs="Arial" w:eastAsia="Arial" w:hAnsi="Arial"/>
                <w:sz w:val="12"/>
                <w:szCs w:val="12"/>
                <w:color w:val="auto"/>
              </w:rPr>
              <w:t>Foreign currency translation</w:t>
            </w:r>
          </w:p>
        </w:tc>
        <w:tc>
          <w:tcPr>
            <w:tcW w:w="12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(34)</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4"/>
        </w:trPr>
        <w:tc>
          <w:tcPr>
            <w:tcW w:w="74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plans</w:t>
            </w:r>
          </w:p>
        </w:tc>
        <w:tc>
          <w:tcPr>
            <w:tcW w:w="12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480" w:type="dxa"/>
            <w:vAlign w:val="bottom"/>
          </w:tcPr>
          <w:p>
            <w:pPr>
              <w:ind w:left="320"/>
              <w:spacing w:after="0"/>
              <w:rPr>
                <w:sz w:val="20"/>
                <w:szCs w:val="20"/>
                <w:color w:val="auto"/>
              </w:rPr>
            </w:pPr>
            <w:r>
              <w:rPr>
                <w:rFonts w:ascii="Arial" w:cs="Arial" w:eastAsia="Arial" w:hAnsi="Arial"/>
                <w:sz w:val="12"/>
                <w:szCs w:val="12"/>
                <w:color w:val="auto"/>
              </w:rPr>
              <w:t>Other comprehensive income before taxes</w:t>
            </w:r>
          </w:p>
        </w:tc>
        <w:tc>
          <w:tcPr>
            <w:tcW w:w="1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480" w:type="dxa"/>
            <w:vAlign w:val="bottom"/>
            <w:shd w:val="clear" w:color="auto" w:fill="CFF0FC"/>
          </w:tcPr>
          <w:p>
            <w:pPr>
              <w:spacing w:after="0"/>
              <w:rPr>
                <w:sz w:val="20"/>
                <w:szCs w:val="20"/>
                <w:color w:val="auto"/>
              </w:rPr>
            </w:pPr>
            <w:r>
              <w:rPr>
                <w:rFonts w:ascii="Arial" w:cs="Arial" w:eastAsia="Arial" w:hAnsi="Arial"/>
                <w:sz w:val="12"/>
                <w:szCs w:val="12"/>
                <w:color w:val="auto"/>
              </w:rPr>
              <w:t>Tax provision related to items of other comprehensive income</w:t>
            </w:r>
          </w:p>
        </w:tc>
        <w:tc>
          <w:tcPr>
            <w:tcW w:w="12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3"/>
        </w:trPr>
        <w:tc>
          <w:tcPr>
            <w:tcW w:w="74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comprehensive income, net of tax</w:t>
            </w:r>
          </w:p>
        </w:tc>
        <w:tc>
          <w:tcPr>
            <w:tcW w:w="1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208</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480" w:type="dxa"/>
            <w:vAlign w:val="bottom"/>
            <w:shd w:val="clear" w:color="auto" w:fill="CFF0FC"/>
          </w:tcPr>
          <w:p>
            <w:pPr>
              <w:spacing w:after="0"/>
              <w:rPr>
                <w:sz w:val="20"/>
                <w:szCs w:val="20"/>
                <w:color w:val="auto"/>
              </w:rPr>
            </w:pPr>
            <w:r>
              <w:rPr>
                <w:rFonts w:ascii="Arial" w:cs="Arial" w:eastAsia="Arial" w:hAnsi="Arial"/>
                <w:sz w:val="12"/>
                <w:szCs w:val="12"/>
                <w:color w:val="auto"/>
              </w:rPr>
              <w:t>Comprehensive loss</w:t>
            </w:r>
          </w:p>
        </w:tc>
        <w:tc>
          <w:tcPr>
            <w:tcW w:w="1220" w:type="dxa"/>
            <w:vAlign w:val="bottom"/>
            <w:shd w:val="clear" w:color="auto" w:fill="CFF0FC"/>
          </w:tcPr>
          <w:p>
            <w:pPr>
              <w:jc w:val="right"/>
              <w:ind w:right="11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(41,518)</w:t>
            </w: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(2,955)</w:t>
            </w:r>
          </w:p>
        </w:tc>
        <w:tc>
          <w:tcPr>
            <w:tcW w:w="0" w:type="dxa"/>
            <w:vAlign w:val="bottom"/>
          </w:tcPr>
          <w:p>
            <w:pPr>
              <w:spacing w:after="0"/>
              <w:rPr>
                <w:sz w:val="1"/>
                <w:szCs w:val="1"/>
                <w:color w:val="auto"/>
              </w:rPr>
            </w:pPr>
          </w:p>
        </w:tc>
      </w:tr>
      <w:tr>
        <w:trPr>
          <w:trHeight w:val="27"/>
        </w:trPr>
        <w:tc>
          <w:tcPr>
            <w:tcW w:w="748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4"/>
          </w:tcPr>
          <w:p>
            <w:pPr>
              <w:jc w:val="right"/>
              <w:ind w:right="360"/>
              <w:spacing w:after="0" w:line="109" w:lineRule="exact"/>
              <w:rPr>
                <w:sz w:val="20"/>
                <w:szCs w:val="20"/>
                <w:color w:val="auto"/>
              </w:rPr>
            </w:pPr>
            <w:r>
              <w:rPr>
                <w:rFonts w:ascii="Arial" w:cs="Arial" w:eastAsia="Arial" w:hAnsi="Arial"/>
                <w:sz w:val="10"/>
                <w:szCs w:val="10"/>
                <w:color w:val="auto"/>
              </w:rPr>
              <w:t>Additional</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3"/>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3"/>
          </w:tcPr>
          <w:p>
            <w:pPr>
              <w:jc w:val="right"/>
              <w:ind w:right="3"/>
              <w:spacing w:after="0" w:line="109" w:lineRule="exact"/>
              <w:rPr>
                <w:sz w:val="20"/>
                <w:szCs w:val="20"/>
                <w:color w:val="auto"/>
              </w:rPr>
            </w:pPr>
            <w:r>
              <w:rPr>
                <w:rFonts w:ascii="Arial" w:cs="Arial" w:eastAsia="Arial" w:hAnsi="Arial"/>
                <w:sz w:val="10"/>
                <w:szCs w:val="10"/>
                <w:color w:val="auto"/>
                <w:w w:val="81"/>
              </w:rPr>
              <w:t>Common Stock</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20"/>
              <w:spacing w:after="0" w:line="109" w:lineRule="exact"/>
              <w:rPr>
                <w:sz w:val="20"/>
                <w:szCs w:val="20"/>
                <w:color w:val="auto"/>
              </w:rPr>
            </w:pPr>
            <w:r>
              <w:rPr>
                <w:rFonts w:ascii="Arial" w:cs="Arial" w:eastAsia="Arial" w:hAnsi="Arial"/>
                <w:sz w:val="10"/>
                <w:szCs w:val="10"/>
                <w:color w:val="auto"/>
              </w:rPr>
              <w:t>Paid-in</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5"/>
          </w:tcPr>
          <w:p>
            <w:pPr>
              <w:jc w:val="right"/>
              <w:ind w:right="220"/>
              <w:spacing w:after="0" w:line="109" w:lineRule="exact"/>
              <w:rPr>
                <w:sz w:val="20"/>
                <w:szCs w:val="20"/>
                <w:color w:val="auto"/>
              </w:rPr>
            </w:pPr>
            <w:r>
              <w:rPr>
                <w:rFonts w:ascii="Arial" w:cs="Arial" w:eastAsia="Arial" w:hAnsi="Arial"/>
                <w:sz w:val="10"/>
                <w:szCs w:val="10"/>
                <w:color w:val="auto"/>
                <w:w w:val="98"/>
              </w:rPr>
              <w:t>Treasury Stock</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4"/>
          </w:tcPr>
          <w:p>
            <w:pPr>
              <w:jc w:val="right"/>
              <w:ind w:right="160"/>
              <w:spacing w:after="0" w:line="109" w:lineRule="exact"/>
              <w:rPr>
                <w:sz w:val="20"/>
                <w:szCs w:val="20"/>
                <w:color w:val="auto"/>
              </w:rPr>
            </w:pPr>
            <w:r>
              <w:rPr>
                <w:rFonts w:ascii="Arial" w:cs="Arial" w:eastAsia="Arial" w:hAnsi="Arial"/>
                <w:sz w:val="10"/>
                <w:szCs w:val="10"/>
                <w:color w:val="auto"/>
                <w:w w:val="86"/>
              </w:rPr>
              <w:t>Accumulated</w:t>
            </w:r>
          </w:p>
        </w:tc>
        <w:tc>
          <w:tcPr>
            <w:tcW w:w="180" w:type="dxa"/>
            <w:vAlign w:val="bottom"/>
          </w:tcPr>
          <w:p>
            <w:pPr>
              <w:spacing w:after="0"/>
              <w:rPr>
                <w:sz w:val="9"/>
                <w:szCs w:val="9"/>
                <w:color w:val="auto"/>
              </w:rPr>
            </w:pPr>
          </w:p>
        </w:tc>
        <w:tc>
          <w:tcPr>
            <w:tcW w:w="820" w:type="dxa"/>
            <w:vAlign w:val="bottom"/>
            <w:gridSpan w:val="3"/>
          </w:tcPr>
          <w:p>
            <w:pPr>
              <w:jc w:val="center"/>
              <w:ind w:right="240"/>
              <w:spacing w:after="0" w:line="109" w:lineRule="exact"/>
              <w:rPr>
                <w:sz w:val="20"/>
                <w:szCs w:val="20"/>
                <w:color w:val="auto"/>
              </w:rPr>
            </w:pPr>
            <w:r>
              <w:rPr>
                <w:rFonts w:ascii="Arial" w:cs="Arial" w:eastAsia="Arial" w:hAnsi="Arial"/>
                <w:sz w:val="10"/>
                <w:szCs w:val="10"/>
                <w:color w:val="auto"/>
                <w:w w:val="82"/>
              </w:rPr>
              <w:t>Comprehensive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140" w:type="dxa"/>
            <w:vAlign w:val="bottom"/>
            <w:vMerge w:val="restart"/>
          </w:tcPr>
          <w:p>
            <w:pPr>
              <w:spacing w:after="0"/>
              <w:rPr>
                <w:sz w:val="20"/>
                <w:szCs w:val="20"/>
                <w:color w:val="auto"/>
              </w:rPr>
            </w:pPr>
            <w:r>
              <w:rPr>
                <w:rFonts w:ascii="Arial" w:cs="Arial" w:eastAsia="Arial" w:hAnsi="Arial"/>
                <w:sz w:val="12"/>
                <w:szCs w:val="12"/>
                <w:color w:val="auto"/>
              </w:rPr>
              <w:t>Balance at February 1, 2020</w:t>
            </w:r>
          </w:p>
        </w:tc>
        <w:tc>
          <w:tcPr>
            <w:tcW w:w="280" w:type="dxa"/>
            <w:vAlign w:val="bottom"/>
          </w:tcPr>
          <w:p>
            <w:pPr>
              <w:spacing w:after="0"/>
              <w:rPr>
                <w:sz w:val="9"/>
                <w:szCs w:val="9"/>
                <w:color w:val="auto"/>
              </w:rPr>
            </w:pPr>
          </w:p>
        </w:tc>
        <w:tc>
          <w:tcPr>
            <w:tcW w:w="480" w:type="dxa"/>
            <w:vAlign w:val="bottom"/>
            <w:tcBorders>
              <w:bottom w:val="single" w:sz="8" w:color="auto"/>
            </w:tcBorders>
            <w:gridSpan w:val="2"/>
          </w:tcPr>
          <w:p>
            <w:pPr>
              <w:jc w:val="right"/>
              <w:ind w:right="20"/>
              <w:spacing w:after="0" w:line="113" w:lineRule="exact"/>
              <w:rPr>
                <w:sz w:val="20"/>
                <w:szCs w:val="20"/>
                <w:color w:val="auto"/>
              </w:rPr>
            </w:pPr>
            <w:r>
              <w:rPr>
                <w:rFonts w:ascii="Arial" w:cs="Arial" w:eastAsia="Arial" w:hAnsi="Arial"/>
                <w:sz w:val="10"/>
                <w:szCs w:val="10"/>
                <w:color w:val="auto"/>
              </w:rPr>
              <w:t>Shares</w:t>
            </w: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gridSpan w:val="4"/>
          </w:tcPr>
          <w:p>
            <w:pPr>
              <w:jc w:val="right"/>
              <w:ind w:right="104"/>
              <w:spacing w:after="0" w:line="113" w:lineRule="exact"/>
              <w:rPr>
                <w:sz w:val="20"/>
                <w:szCs w:val="20"/>
                <w:color w:val="auto"/>
              </w:rPr>
            </w:pPr>
            <w:r>
              <w:rPr>
                <w:rFonts w:ascii="Arial" w:cs="Arial" w:eastAsia="Arial" w:hAnsi="Arial"/>
                <w:sz w:val="10"/>
                <w:szCs w:val="10"/>
                <w:color w:val="auto"/>
              </w:rPr>
              <w:t>Amounts</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20"/>
              <w:spacing w:after="0" w:line="113" w:lineRule="exact"/>
              <w:rPr>
                <w:sz w:val="20"/>
                <w:szCs w:val="20"/>
                <w:color w:val="auto"/>
              </w:rPr>
            </w:pPr>
            <w:r>
              <w:rPr>
                <w:rFonts w:ascii="Arial" w:cs="Arial" w:eastAsia="Arial" w:hAnsi="Arial"/>
                <w:sz w:val="10"/>
                <w:szCs w:val="10"/>
                <w:color w:val="auto"/>
              </w:rPr>
              <w:t>Capital</w:t>
            </w:r>
          </w:p>
        </w:tc>
        <w:tc>
          <w:tcPr>
            <w:tcW w:w="1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auto"/>
            </w:tcBorders>
            <w:gridSpan w:val="3"/>
          </w:tcPr>
          <w:p>
            <w:pPr>
              <w:jc w:val="right"/>
              <w:ind w:right="231"/>
              <w:spacing w:after="0" w:line="113" w:lineRule="exact"/>
              <w:rPr>
                <w:sz w:val="20"/>
                <w:szCs w:val="20"/>
                <w:color w:val="auto"/>
              </w:rPr>
            </w:pPr>
            <w:r>
              <w:rPr>
                <w:rFonts w:ascii="Arial" w:cs="Arial" w:eastAsia="Arial" w:hAnsi="Arial"/>
                <w:sz w:val="10"/>
                <w:szCs w:val="10"/>
                <w:color w:val="auto"/>
              </w:rPr>
              <w:t>Shares</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3"/>
          </w:tcPr>
          <w:p>
            <w:pPr>
              <w:jc w:val="right"/>
              <w:ind w:right="170"/>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Pr>
          <w:p>
            <w:pPr>
              <w:spacing w:after="0"/>
              <w:rPr>
                <w:sz w:val="9"/>
                <w:szCs w:val="9"/>
                <w:color w:val="auto"/>
              </w:rPr>
            </w:pPr>
          </w:p>
        </w:tc>
        <w:tc>
          <w:tcPr>
            <w:tcW w:w="500" w:type="dxa"/>
            <w:vAlign w:val="bottom"/>
            <w:tcBorders>
              <w:bottom w:val="single" w:sz="8" w:color="auto"/>
            </w:tcBorders>
            <w:gridSpan w:val="2"/>
          </w:tcPr>
          <w:p>
            <w:pPr>
              <w:jc w:val="right"/>
              <w:ind w:right="100"/>
              <w:spacing w:after="0" w:line="113" w:lineRule="exact"/>
              <w:rPr>
                <w:sz w:val="20"/>
                <w:szCs w:val="20"/>
                <w:color w:val="auto"/>
              </w:rPr>
            </w:pPr>
            <w:r>
              <w:rPr>
                <w:rFonts w:ascii="Arial" w:cs="Arial" w:eastAsia="Arial" w:hAnsi="Arial"/>
                <w:sz w:val="10"/>
                <w:szCs w:val="10"/>
                <w:color w:val="auto"/>
              </w:rPr>
              <w:t>Deficit</w:t>
            </w:r>
          </w:p>
        </w:tc>
        <w:tc>
          <w:tcPr>
            <w:tcW w:w="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auto"/>
            </w:tcBorders>
          </w:tcPr>
          <w:p>
            <w:pPr>
              <w:jc w:val="center"/>
              <w:ind w:right="4"/>
              <w:spacing w:after="0" w:line="113" w:lineRule="exact"/>
              <w:rPr>
                <w:sz w:val="20"/>
                <w:szCs w:val="20"/>
                <w:color w:val="auto"/>
              </w:rPr>
            </w:pPr>
            <w:r>
              <w:rPr>
                <w:rFonts w:ascii="Arial" w:cs="Arial" w:eastAsia="Arial" w:hAnsi="Arial"/>
                <w:sz w:val="10"/>
                <w:szCs w:val="10"/>
                <w:color w:val="auto"/>
                <w:w w:val="88"/>
              </w:rPr>
              <w:t>Income (Loss)</w:t>
            </w:r>
          </w:p>
        </w:tc>
        <w:tc>
          <w:tcPr>
            <w:tcW w:w="2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21"/>
              <w:spacing w:after="0" w:line="113" w:lineRule="exact"/>
              <w:rPr>
                <w:sz w:val="20"/>
                <w:szCs w:val="20"/>
                <w:color w:val="auto"/>
              </w:rPr>
            </w:pPr>
            <w:r>
              <w:rPr>
                <w:rFonts w:ascii="Arial" w:cs="Arial" w:eastAsia="Arial" w:hAnsi="Arial"/>
                <w:sz w:val="10"/>
                <w:szCs w:val="10"/>
                <w:color w:val="auto"/>
              </w:rPr>
              <w:t>Total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140" w:type="dxa"/>
            <w:vAlign w:val="bottom"/>
            <w:vMerge w:val="continue"/>
          </w:tcPr>
          <w:p>
            <w:pPr>
              <w:spacing w:after="0"/>
              <w:rPr>
                <w:sz w:val="12"/>
                <w:szCs w:val="12"/>
                <w:color w:val="auto"/>
              </w:rPr>
            </w:pP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63,297</w:t>
            </w:r>
          </w:p>
        </w:tc>
        <w:tc>
          <w:tcPr>
            <w:tcW w:w="2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89"/>
              </w:rPr>
              <w:t>633</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312,933</w:t>
            </w:r>
          </w:p>
        </w:tc>
        <w:tc>
          <w:tcPr>
            <w:tcW w:w="24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(12,755)</w:t>
            </w:r>
          </w:p>
        </w:tc>
        <w:tc>
          <w:tcPr>
            <w:tcW w:w="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(92,658)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(156,054)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(6,431)</w:t>
            </w:r>
          </w:p>
        </w:tc>
        <w:tc>
          <w:tcPr>
            <w:tcW w:w="12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58,423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9"/>
              </w:rPr>
              <w:t>148</w:t>
            </w: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79"/>
              </w:rPr>
              <w:t>452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76"/>
              </w:rPr>
              <w:t>437</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Deferred stock vested</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Net loss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(41,726)</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(41,726)</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May 2, 2020</w:t>
            </w: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CFF0FC"/>
            </w:tcBorders>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63,833</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638</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313,529</w:t>
            </w:r>
          </w:p>
        </w:tc>
        <w:tc>
          <w:tcPr>
            <w:tcW w:w="240" w:type="dxa"/>
            <w:vAlign w:val="bottom"/>
            <w:tcBorders>
              <w:right w:val="single" w:sz="8" w:color="CFF0FC"/>
            </w:tcBorders>
            <w:shd w:val="clear" w:color="auto" w:fill="CFF0FC"/>
          </w:tcPr>
          <w:p>
            <w:pPr>
              <w:spacing w:after="0"/>
              <w:rPr>
                <w:sz w:val="12"/>
                <w:szCs w:val="12"/>
                <w:color w:val="auto"/>
              </w:rPr>
            </w:pPr>
          </w:p>
        </w:tc>
        <w:tc>
          <w:tcPr>
            <w:tcW w:w="7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2"/>
                <w:szCs w:val="12"/>
                <w:color w:val="auto"/>
              </w:rPr>
              <w:t>(12,755)</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2"/>
                <w:szCs w:val="12"/>
                <w:color w:val="auto"/>
              </w:rPr>
              <w:t>(92,658)</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(197,780)</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(6,223)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2"/>
                <w:szCs w:val="12"/>
                <w:color w:val="auto"/>
              </w:rPr>
              <w:t>17,506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0"/>
                <w:szCs w:val="10"/>
                <w:color w:val="auto"/>
                <w:w w:val="89"/>
              </w:rPr>
              <w:t>Accumulated</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5"/>
          </w:tcPr>
          <w:p>
            <w:pPr>
              <w:jc w:val="center"/>
              <w:ind w:right="280"/>
              <w:spacing w:after="0" w:line="109" w:lineRule="exact"/>
              <w:rPr>
                <w:sz w:val="20"/>
                <w:szCs w:val="20"/>
                <w:color w:val="auto"/>
              </w:rPr>
            </w:pPr>
            <w:r>
              <w:rPr>
                <w:rFonts w:ascii="Arial" w:cs="Arial" w:eastAsia="Arial" w:hAnsi="Arial"/>
                <w:sz w:val="10"/>
                <w:szCs w:val="10"/>
                <w:color w:val="auto"/>
                <w:w w:val="95"/>
              </w:rPr>
              <w:t>Additional</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3"/>
          </w:tcPr>
          <w:p>
            <w:pPr>
              <w:jc w:val="center"/>
              <w:ind w:right="480"/>
              <w:spacing w:after="0" w:line="109" w:lineRule="exact"/>
              <w:rPr>
                <w:sz w:val="20"/>
                <w:szCs w:val="20"/>
                <w:color w:val="auto"/>
              </w:rPr>
            </w:pPr>
            <w:r>
              <w:rPr>
                <w:rFonts w:ascii="Arial" w:cs="Arial" w:eastAsia="Arial" w:hAnsi="Arial"/>
                <w:sz w:val="10"/>
                <w:szCs w:val="10"/>
                <w:color w:val="auto"/>
                <w:w w:val="87"/>
              </w:rPr>
              <w:t>Other</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4"/>
          </w:tcPr>
          <w:p>
            <w:pPr>
              <w:ind w:left="120"/>
              <w:spacing w:after="0" w:line="109" w:lineRule="exact"/>
              <w:rPr>
                <w:sz w:val="20"/>
                <w:szCs w:val="20"/>
                <w:color w:val="auto"/>
              </w:rPr>
            </w:pPr>
            <w:r>
              <w:rPr>
                <w:rFonts w:ascii="Arial" w:cs="Arial" w:eastAsia="Arial" w:hAnsi="Arial"/>
                <w:sz w:val="10"/>
                <w:szCs w:val="10"/>
                <w:color w:val="auto"/>
              </w:rPr>
              <w:t>Common Stock</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tcPr>
          <w:p>
            <w:pPr>
              <w:jc w:val="center"/>
              <w:ind w:left="64"/>
              <w:spacing w:after="0" w:line="109" w:lineRule="exact"/>
              <w:rPr>
                <w:sz w:val="20"/>
                <w:szCs w:val="20"/>
                <w:color w:val="auto"/>
              </w:rPr>
            </w:pPr>
            <w:r>
              <w:rPr>
                <w:rFonts w:ascii="Arial" w:cs="Arial" w:eastAsia="Arial" w:hAnsi="Arial"/>
                <w:sz w:val="10"/>
                <w:szCs w:val="10"/>
                <w:color w:val="auto"/>
                <w:w w:val="89"/>
              </w:rPr>
              <w:t>Paid-in</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gridSpan w:val="3"/>
          </w:tcPr>
          <w:p>
            <w:pPr>
              <w:jc w:val="right"/>
              <w:ind w:right="51"/>
              <w:spacing w:after="0" w:line="109" w:lineRule="exact"/>
              <w:rPr>
                <w:sz w:val="20"/>
                <w:szCs w:val="20"/>
                <w:color w:val="auto"/>
              </w:rPr>
            </w:pPr>
            <w:r>
              <w:rPr>
                <w:rFonts w:ascii="Arial" w:cs="Arial" w:eastAsia="Arial" w:hAnsi="Arial"/>
                <w:sz w:val="10"/>
                <w:szCs w:val="10"/>
                <w:color w:val="auto"/>
                <w:w w:val="86"/>
              </w:rPr>
              <w:t>Treasury 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4"/>
          </w:tcPr>
          <w:p>
            <w:pPr>
              <w:jc w:val="right"/>
              <w:ind w:right="340"/>
              <w:spacing w:after="0" w:line="109" w:lineRule="exact"/>
              <w:rPr>
                <w:sz w:val="20"/>
                <w:szCs w:val="20"/>
                <w:color w:val="auto"/>
              </w:rPr>
            </w:pPr>
            <w:r>
              <w:rPr>
                <w:rFonts w:ascii="Arial" w:cs="Arial" w:eastAsia="Arial" w:hAnsi="Arial"/>
                <w:sz w:val="10"/>
                <w:szCs w:val="10"/>
                <w:color w:val="auto"/>
              </w:rPr>
              <w:t>Accumulated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tcPr>
          <w:p>
            <w:pPr>
              <w:jc w:val="center"/>
              <w:ind w:right="320"/>
              <w:spacing w:after="0" w:line="109" w:lineRule="exact"/>
              <w:rPr>
                <w:sz w:val="20"/>
                <w:szCs w:val="20"/>
                <w:color w:val="auto"/>
              </w:rPr>
            </w:pPr>
            <w:r>
              <w:rPr>
                <w:rFonts w:ascii="Arial" w:cs="Arial" w:eastAsia="Arial" w:hAnsi="Arial"/>
                <w:sz w:val="10"/>
                <w:szCs w:val="10"/>
                <w:color w:val="auto"/>
                <w:w w:val="85"/>
              </w:rPr>
              <w:t>Comprehensive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140" w:type="dxa"/>
            <w:vAlign w:val="bottom"/>
            <w:tcBorders>
              <w:bottom w:val="single" w:sz="8" w:color="CFF0FC"/>
            </w:tcBorders>
          </w:tcPr>
          <w:p>
            <w:pPr>
              <w:spacing w:after="0"/>
              <w:rPr>
                <w:sz w:val="9"/>
                <w:szCs w:val="9"/>
                <w:color w:val="auto"/>
              </w:rPr>
            </w:pPr>
          </w:p>
        </w:tc>
        <w:tc>
          <w:tcPr>
            <w:tcW w:w="640" w:type="dxa"/>
            <w:vAlign w:val="bottom"/>
            <w:tcBorders>
              <w:bottom w:val="single" w:sz="8" w:color="auto"/>
            </w:tcBorders>
            <w:gridSpan w:val="2"/>
          </w:tcPr>
          <w:p>
            <w:pPr>
              <w:jc w:val="right"/>
              <w:ind w:right="148"/>
              <w:spacing w:after="0" w:line="113" w:lineRule="exact"/>
              <w:rPr>
                <w:sz w:val="20"/>
                <w:szCs w:val="20"/>
                <w:color w:val="auto"/>
              </w:rPr>
            </w:pPr>
            <w:r>
              <w:rPr>
                <w:rFonts w:ascii="Arial" w:cs="Arial" w:eastAsia="Arial" w:hAnsi="Arial"/>
                <w:sz w:val="10"/>
                <w:szCs w:val="10"/>
                <w:color w:val="auto"/>
              </w:rPr>
              <w:t>Shares</w:t>
            </w:r>
          </w:p>
        </w:tc>
        <w:tc>
          <w:tcPr>
            <w:tcW w:w="120" w:type="dxa"/>
            <w:vAlign w:val="bottom"/>
            <w:tcBorders>
              <w:bottom w:val="single" w:sz="8" w:color="CFF0FC"/>
            </w:tcBorders>
          </w:tcPr>
          <w:p>
            <w:pPr>
              <w:spacing w:after="0"/>
              <w:rPr>
                <w:sz w:val="9"/>
                <w:szCs w:val="9"/>
                <w:color w:val="auto"/>
              </w:rPr>
            </w:pPr>
          </w:p>
        </w:tc>
        <w:tc>
          <w:tcPr>
            <w:tcW w:w="640" w:type="dxa"/>
            <w:vAlign w:val="bottom"/>
            <w:tcBorders>
              <w:bottom w:val="single" w:sz="8" w:color="auto"/>
            </w:tcBorders>
            <w:gridSpan w:val="3"/>
          </w:tcPr>
          <w:p>
            <w:pPr>
              <w:jc w:val="right"/>
              <w:ind w:right="83"/>
              <w:spacing w:after="0" w:line="113" w:lineRule="exact"/>
              <w:rPr>
                <w:sz w:val="20"/>
                <w:szCs w:val="20"/>
                <w:color w:val="auto"/>
              </w:rPr>
            </w:pPr>
            <w:r>
              <w:rPr>
                <w:rFonts w:ascii="Arial" w:cs="Arial" w:eastAsia="Arial" w:hAnsi="Arial"/>
                <w:sz w:val="10"/>
                <w:szCs w:val="10"/>
                <w:color w:val="auto"/>
              </w:rPr>
              <w:t>Amounts</w:t>
            </w:r>
          </w:p>
        </w:tc>
        <w:tc>
          <w:tcPr>
            <w:tcW w:w="8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3"/>
          </w:tcPr>
          <w:p>
            <w:pPr>
              <w:jc w:val="center"/>
              <w:ind w:left="64"/>
              <w:spacing w:after="0" w:line="113" w:lineRule="exact"/>
              <w:rPr>
                <w:sz w:val="20"/>
                <w:szCs w:val="20"/>
                <w:color w:val="auto"/>
              </w:rPr>
            </w:pPr>
            <w:r>
              <w:rPr>
                <w:rFonts w:ascii="Arial" w:cs="Arial" w:eastAsia="Arial" w:hAnsi="Arial"/>
                <w:sz w:val="10"/>
                <w:szCs w:val="10"/>
                <w:color w:val="auto"/>
                <w:w w:val="89"/>
              </w:rPr>
              <w:t>Capital</w:t>
            </w: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420" w:type="dxa"/>
            <w:vAlign w:val="bottom"/>
            <w:tcBorders>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Shares</w:t>
            </w: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gridSpan w:val="3"/>
          </w:tcPr>
          <w:p>
            <w:pPr>
              <w:jc w:val="right"/>
              <w:ind w:right="40"/>
              <w:spacing w:after="0" w:line="113" w:lineRule="exact"/>
              <w:rPr>
                <w:sz w:val="20"/>
                <w:szCs w:val="20"/>
                <w:color w:val="auto"/>
              </w:rPr>
            </w:pPr>
            <w:r>
              <w:rPr>
                <w:rFonts w:ascii="Arial" w:cs="Arial" w:eastAsia="Arial" w:hAnsi="Arial"/>
                <w:sz w:val="10"/>
                <w:szCs w:val="10"/>
                <w:color w:val="auto"/>
              </w:rPr>
              <w:t>Amounts</w:t>
            </w: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283"/>
              <w:spacing w:after="0" w:line="113" w:lineRule="exact"/>
              <w:rPr>
                <w:sz w:val="20"/>
                <w:szCs w:val="20"/>
                <w:color w:val="auto"/>
              </w:rPr>
            </w:pPr>
            <w:r>
              <w:rPr>
                <w:rFonts w:ascii="Arial" w:cs="Arial" w:eastAsia="Arial" w:hAnsi="Arial"/>
                <w:sz w:val="10"/>
                <w:szCs w:val="10"/>
                <w:color w:val="auto"/>
                <w:w w:val="86"/>
              </w:rPr>
              <w:t>Deficit</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tcPr>
          <w:p>
            <w:pPr>
              <w:jc w:val="center"/>
              <w:ind w:right="200"/>
              <w:spacing w:after="0" w:line="113" w:lineRule="exact"/>
              <w:rPr>
                <w:sz w:val="20"/>
                <w:szCs w:val="20"/>
                <w:color w:val="auto"/>
              </w:rPr>
            </w:pPr>
            <w:r>
              <w:rPr>
                <w:rFonts w:ascii="Arial" w:cs="Arial" w:eastAsia="Arial" w:hAnsi="Arial"/>
                <w:sz w:val="10"/>
                <w:szCs w:val="10"/>
                <w:color w:val="auto"/>
                <w:w w:val="88"/>
              </w:rPr>
              <w:t>Income (Loss)</w:t>
            </w:r>
          </w:p>
        </w:tc>
        <w:tc>
          <w:tcPr>
            <w:tcW w:w="1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1"/>
              <w:spacing w:after="0" w:line="113"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Balance at February 2, 2019</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62,242</w:t>
            </w:r>
          </w:p>
        </w:tc>
        <w:tc>
          <w:tcPr>
            <w:tcW w:w="12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67"/>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310,393</w:t>
            </w:r>
          </w:p>
        </w:tc>
        <w:tc>
          <w:tcPr>
            <w:tcW w:w="180" w:type="dxa"/>
            <w:vAlign w:val="bottom"/>
            <w:tcBorders>
              <w:right w:val="single" w:sz="8" w:color="CFF0FC"/>
            </w:tcBorders>
            <w:shd w:val="clear" w:color="auto" w:fill="CFF0FC"/>
          </w:tcPr>
          <w:p>
            <w:pPr>
              <w:spacing w:after="0"/>
              <w:rPr>
                <w:sz w:val="12"/>
                <w:szCs w:val="12"/>
                <w:color w:val="auto"/>
              </w:rPr>
            </w:pPr>
          </w:p>
        </w:tc>
        <w:tc>
          <w:tcPr>
            <w:tcW w:w="76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rPr>
              <w:t>(12,755)</w:t>
            </w:r>
          </w:p>
        </w:tc>
        <w:tc>
          <w:tcPr>
            <w:tcW w:w="360" w:type="dxa"/>
            <w:vAlign w:val="bottom"/>
            <w:tcBorders>
              <w:right w:val="single" w:sz="8" w:color="CFF0FC"/>
            </w:tcBorders>
            <w:shd w:val="clear" w:color="auto" w:fill="CFF0FC"/>
          </w:tcPr>
          <w:p>
            <w:pPr>
              <w:jc w:val="right"/>
              <w:ind w:right="251"/>
              <w:spacing w:after="0"/>
              <w:rPr>
                <w:sz w:val="20"/>
                <w:szCs w:val="20"/>
                <w:color w:val="auto"/>
              </w:rPr>
            </w:pPr>
            <w:r>
              <w:rPr>
                <w:rFonts w:ascii="Arial" w:cs="Arial" w:eastAsia="Arial" w:hAnsi="Arial"/>
                <w:sz w:val="10"/>
                <w:szCs w:val="10"/>
                <w:color w:val="auto"/>
                <w:w w:val="71"/>
              </w:rPr>
              <w:t>$</w:t>
            </w:r>
          </w:p>
        </w:tc>
        <w:tc>
          <w:tcPr>
            <w:tcW w:w="54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w w:val="98"/>
              </w:rPr>
              <w:t>(92,658)</w:t>
            </w:r>
          </w:p>
        </w:tc>
        <w:tc>
          <w:tcPr>
            <w:tcW w:w="320" w:type="dxa"/>
            <w:vAlign w:val="bottom"/>
            <w:tcBorders>
              <w:right w:val="single" w:sz="8" w:color="CFF0FC"/>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(153,534)</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(6,183)</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58,640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Board of directors compensation</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9"/>
              </w:rPr>
              <w:t>142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Stock compensation expense</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414</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140" w:type="dxa"/>
            <w:vAlign w:val="bottom"/>
          </w:tcPr>
          <w:p>
            <w:pPr>
              <w:spacing w:after="0"/>
              <w:rPr>
                <w:sz w:val="20"/>
                <w:szCs w:val="20"/>
                <w:color w:val="auto"/>
              </w:rPr>
            </w:pPr>
            <w:r>
              <w:rPr>
                <w:rFonts w:ascii="Arial" w:cs="Arial" w:eastAsia="Arial" w:hAnsi="Arial"/>
                <w:sz w:val="12"/>
                <w:szCs w:val="12"/>
                <w:color w:val="auto"/>
                <w:w w:val="95"/>
              </w:rPr>
              <w:t>RSUs granted for achievement of performance-based compensation, reclassified</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from liability to equity</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9"/>
              </w:rPr>
              <w:t>304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374</w:t>
            </w: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w:t>
            </w: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Shares withheld for taxes related to net share settlement of RSUs</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(78)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w w:val="92"/>
              </w:rPr>
              <w:t>(192)</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Change in accounting principle due to adoption of ASC 842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5,276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5,276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(24)</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4"/>
        </w:trPr>
        <w:tc>
          <w:tcPr>
            <w:tcW w:w="4140" w:type="dxa"/>
            <w:vAlign w:val="bottom"/>
          </w:tcPr>
          <w:p>
            <w:pPr>
              <w:spacing w:after="0"/>
              <w:rPr>
                <w:sz w:val="20"/>
                <w:szCs w:val="20"/>
                <w:color w:val="auto"/>
              </w:rPr>
            </w:pPr>
            <w:r>
              <w:rPr>
                <w:rFonts w:ascii="Arial" w:cs="Arial" w:eastAsia="Arial" w:hAnsi="Arial"/>
                <w:sz w:val="12"/>
                <w:szCs w:val="12"/>
                <w:color w:val="auto"/>
              </w:rPr>
              <w:t>Net loss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(3,081)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(3,081)</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May 4, 2019</w:t>
            </w:r>
          </w:p>
        </w:tc>
        <w:tc>
          <w:tcPr>
            <w:tcW w:w="6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vMerge w:val="continue"/>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62,576</w:t>
            </w:r>
          </w:p>
        </w:tc>
        <w:tc>
          <w:tcPr>
            <w:tcW w:w="12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67"/>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311,057</w:t>
            </w:r>
          </w:p>
        </w:tc>
        <w:tc>
          <w:tcPr>
            <w:tcW w:w="180" w:type="dxa"/>
            <w:vAlign w:val="bottom"/>
            <w:tcBorders>
              <w:right w:val="single" w:sz="8" w:color="CFF0FC"/>
            </w:tcBorders>
            <w:shd w:val="clear" w:color="auto" w:fill="CFF0FC"/>
          </w:tcPr>
          <w:p>
            <w:pPr>
              <w:spacing w:after="0"/>
              <w:rPr>
                <w:sz w:val="12"/>
                <w:szCs w:val="12"/>
                <w:color w:val="auto"/>
              </w:rPr>
            </w:pPr>
          </w:p>
        </w:tc>
        <w:tc>
          <w:tcPr>
            <w:tcW w:w="76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rPr>
              <w:t>(12,755)</w:t>
            </w:r>
          </w:p>
        </w:tc>
        <w:tc>
          <w:tcPr>
            <w:tcW w:w="360" w:type="dxa"/>
            <w:vAlign w:val="bottom"/>
            <w:tcBorders>
              <w:right w:val="single" w:sz="8" w:color="CFF0FC"/>
            </w:tcBorders>
            <w:shd w:val="clear" w:color="auto" w:fill="CFF0FC"/>
          </w:tcPr>
          <w:p>
            <w:pPr>
              <w:jc w:val="right"/>
              <w:ind w:right="251"/>
              <w:spacing w:after="0"/>
              <w:rPr>
                <w:sz w:val="20"/>
                <w:szCs w:val="20"/>
                <w:color w:val="auto"/>
              </w:rPr>
            </w:pPr>
            <w:r>
              <w:rPr>
                <w:rFonts w:ascii="Arial" w:cs="Arial" w:eastAsia="Arial" w:hAnsi="Arial"/>
                <w:sz w:val="10"/>
                <w:szCs w:val="10"/>
                <w:color w:val="auto"/>
                <w:w w:val="71"/>
              </w:rPr>
              <w:t>$</w:t>
            </w:r>
          </w:p>
        </w:tc>
        <w:tc>
          <w:tcPr>
            <w:tcW w:w="54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w w:val="98"/>
              </w:rPr>
              <w:t>(92,658)</w:t>
            </w:r>
          </w:p>
        </w:tc>
        <w:tc>
          <w:tcPr>
            <w:tcW w:w="320" w:type="dxa"/>
            <w:vAlign w:val="bottom"/>
            <w:tcBorders>
              <w:right w:val="single" w:sz="8" w:color="CFF0FC"/>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(151,339)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(6,057)</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61,629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120" w:type="dxa"/>
            <w:vAlign w:val="bottom"/>
          </w:tcPr>
          <w:p>
            <w:pPr>
              <w:jc w:val="right"/>
              <w:ind w:right="51"/>
              <w:spacing w:after="0"/>
              <w:rPr>
                <w:sz w:val="20"/>
                <w:szCs w:val="20"/>
                <w:color w:val="auto"/>
              </w:rPr>
            </w:pPr>
            <w:r>
              <w:rPr>
                <w:rFonts w:ascii="Arial" w:cs="Arial" w:eastAsia="Arial" w:hAnsi="Arial"/>
                <w:sz w:val="10"/>
                <w:szCs w:val="10"/>
                <w:color w:val="auto"/>
              </w:rPr>
              <w:t>May 2, 2020</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0"/>
                <w:szCs w:val="10"/>
                <w:color w:val="auto"/>
              </w:rPr>
              <w:t>May 4, 2019</w:t>
            </w:r>
          </w:p>
        </w:tc>
        <w:tc>
          <w:tcPr>
            <w:tcW w:w="0" w:type="dxa"/>
            <w:vAlign w:val="bottom"/>
          </w:tcPr>
          <w:p>
            <w:pPr>
              <w:spacing w:after="0"/>
              <w:rPr>
                <w:sz w:val="1"/>
                <w:szCs w:val="1"/>
                <w:color w:val="auto"/>
              </w:rPr>
            </w:pPr>
          </w:p>
        </w:tc>
      </w:tr>
      <w:tr>
        <w:trPr>
          <w:trHeight w:val="112"/>
        </w:trPr>
        <w:tc>
          <w:tcPr>
            <w:tcW w:w="7760" w:type="dxa"/>
            <w:vAlign w:val="bottom"/>
          </w:tcPr>
          <w:p>
            <w:pPr>
              <w:spacing w:after="0"/>
              <w:rPr>
                <w:sz w:val="9"/>
                <w:szCs w:val="9"/>
                <w:color w:val="auto"/>
              </w:rPr>
            </w:pPr>
          </w:p>
        </w:tc>
        <w:tc>
          <w:tcPr>
            <w:tcW w:w="1120" w:type="dxa"/>
            <w:vAlign w:val="bottom"/>
          </w:tcPr>
          <w:p>
            <w:pPr>
              <w:jc w:val="right"/>
              <w:ind w:right="31"/>
              <w:spacing w:after="0" w:line="113" w:lineRule="exact"/>
              <w:rPr>
                <w:sz w:val="20"/>
                <w:szCs w:val="20"/>
                <w:color w:val="auto"/>
              </w:rPr>
            </w:pPr>
            <w:r>
              <w:rPr>
                <w:rFonts w:ascii="Arial" w:cs="Arial" w:eastAsia="Arial" w:hAnsi="Arial"/>
                <w:sz w:val="10"/>
                <w:szCs w:val="10"/>
                <w:color w:val="auto"/>
              </w:rPr>
              <w:t>(Fiscal 2020)</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2019)</w:t>
            </w:r>
          </w:p>
        </w:tc>
        <w:tc>
          <w:tcPr>
            <w:tcW w:w="0" w:type="dxa"/>
            <w:vAlign w:val="bottom"/>
          </w:tcPr>
          <w:p>
            <w:pPr>
              <w:spacing w:after="0"/>
              <w:rPr>
                <w:sz w:val="1"/>
                <w:szCs w:val="1"/>
                <w:color w:val="auto"/>
              </w:rPr>
            </w:pPr>
          </w:p>
        </w:tc>
      </w:tr>
      <w:tr>
        <w:trPr>
          <w:trHeight w:val="14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11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160"/>
              <w:spacing w:after="0"/>
              <w:rPr>
                <w:sz w:val="20"/>
                <w:szCs w:val="20"/>
                <w:color w:val="auto"/>
              </w:rPr>
            </w:pPr>
            <w:r>
              <w:rPr>
                <w:rFonts w:ascii="Arial" w:cs="Arial" w:eastAsia="Arial" w:hAnsi="Arial"/>
                <w:sz w:val="11"/>
                <w:szCs w:val="11"/>
                <w:color w:val="auto"/>
              </w:rPr>
              <w:t>Net loss</w:t>
            </w:r>
          </w:p>
        </w:tc>
        <w:tc>
          <w:tcPr>
            <w:tcW w:w="1120" w:type="dxa"/>
            <w:vAlign w:val="bottom"/>
          </w:tcPr>
          <w:p>
            <w:pPr>
              <w:jc w:val="right"/>
              <w:ind w:right="10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(41,726)</w:t>
            </w:r>
          </w:p>
        </w:tc>
        <w:tc>
          <w:tcPr>
            <w:tcW w:w="280" w:type="dxa"/>
            <w:vAlign w:val="bottom"/>
          </w:tcPr>
          <w:p>
            <w:pPr>
              <w:jc w:val="right"/>
              <w:ind w:right="213"/>
              <w:spacing w:after="0"/>
              <w:rPr>
                <w:sz w:val="20"/>
                <w:szCs w:val="20"/>
                <w:color w:val="auto"/>
              </w:rPr>
            </w:pPr>
            <w:r>
              <w:rPr>
                <w:rFonts w:ascii="Arial" w:cs="Arial" w:eastAsia="Arial" w:hAnsi="Arial"/>
                <w:sz w:val="5"/>
                <w:szCs w:val="5"/>
                <w:color w:val="auto"/>
                <w:w w:val="70"/>
              </w:rPr>
              <w:t>$</w:t>
            </w:r>
          </w:p>
        </w:tc>
        <w:tc>
          <w:tcPr>
            <w:tcW w:w="1400" w:type="dxa"/>
            <w:vAlign w:val="bottom"/>
            <w:gridSpan w:val="2"/>
          </w:tcPr>
          <w:p>
            <w:pPr>
              <w:jc w:val="right"/>
              <w:ind w:right="80"/>
              <w:spacing w:after="0"/>
              <w:rPr>
                <w:sz w:val="20"/>
                <w:szCs w:val="20"/>
                <w:color w:val="auto"/>
              </w:rPr>
            </w:pPr>
            <w:r>
              <w:rPr>
                <w:rFonts w:ascii="Arial" w:cs="Arial" w:eastAsia="Arial" w:hAnsi="Arial"/>
                <w:sz w:val="11"/>
                <w:szCs w:val="11"/>
                <w:color w:val="auto"/>
              </w:rPr>
              <w:t>(3,081)</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loss to net cash used for operating activities:</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Amortization of deferred debt issuance costs</w:t>
            </w:r>
          </w:p>
        </w:tc>
        <w:tc>
          <w:tcPr>
            <w:tcW w:w="1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35</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Impairment of assets</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16,335</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Depreciation and amortization</w:t>
            </w:r>
          </w:p>
        </w:tc>
        <w:tc>
          <w:tcPr>
            <w:tcW w:w="1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5,732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6,338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Stock compensation expense</w:t>
            </w: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Board of directors stock compensation</w:t>
            </w:r>
          </w:p>
        </w:tc>
        <w:tc>
          <w:tcPr>
            <w:tcW w:w="1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160"/>
              <w:spacing w:after="0"/>
              <w:rPr>
                <w:sz w:val="20"/>
                <w:szCs w:val="20"/>
                <w:color w:val="auto"/>
              </w:rPr>
            </w:pPr>
            <w:r>
              <w:rPr>
                <w:rFonts w:ascii="Arial" w:cs="Arial" w:eastAsia="Arial" w:hAnsi="Arial"/>
                <w:sz w:val="11"/>
                <w:szCs w:val="11"/>
                <w:color w:val="auto"/>
              </w:rPr>
              <w:t>Changes in operating assets and liabilities:</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receivable</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4,281</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Inventories</w:t>
            </w:r>
          </w:p>
        </w:tc>
        <w:tc>
          <w:tcPr>
            <w:tcW w:w="11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(5,905)</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1"/>
                <w:szCs w:val="11"/>
                <w:color w:val="auto"/>
              </w:rPr>
              <w:t>(5,509)</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Prepaid expenses and other current assets</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5,920</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Other assets</w:t>
            </w:r>
          </w:p>
        </w:tc>
        <w:tc>
          <w:tcPr>
            <w:tcW w:w="1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606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Accounts payable</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(11,009)</w:t>
            </w: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Operating leases, net</w:t>
            </w:r>
          </w:p>
        </w:tc>
        <w:tc>
          <w:tcPr>
            <w:tcW w:w="11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(1,327)</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Accrued expenses and other liabilities</w:t>
            </w:r>
          </w:p>
        </w:tc>
        <w:tc>
          <w:tcPr>
            <w:tcW w:w="1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(1,461)</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(3,128)</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160"/>
              <w:spacing w:after="0"/>
              <w:rPr>
                <w:sz w:val="20"/>
                <w:szCs w:val="20"/>
                <w:color w:val="auto"/>
              </w:rPr>
            </w:pPr>
            <w:r>
              <w:rPr>
                <w:rFonts w:ascii="Arial" w:cs="Arial" w:eastAsia="Arial" w:hAnsi="Arial"/>
                <w:sz w:val="11"/>
                <w:szCs w:val="11"/>
                <w:color w:val="auto"/>
              </w:rPr>
              <w:t>Net cash used for operating activities</w:t>
            </w: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7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(16,811)</w:t>
            </w:r>
          </w:p>
        </w:tc>
        <w:tc>
          <w:tcPr>
            <w:tcW w:w="280" w:type="dxa"/>
            <w:vAlign w:val="bottom"/>
          </w:tcPr>
          <w:p>
            <w:pPr>
              <w:spacing w:after="0"/>
              <w:rPr>
                <w:sz w:val="11"/>
                <w:szCs w:val="1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1"/>
                <w:szCs w:val="11"/>
                <w:color w:val="auto"/>
              </w:rPr>
              <w:t>(16,495)</w:t>
            </w:r>
          </w:p>
        </w:tc>
        <w:tc>
          <w:tcPr>
            <w:tcW w:w="0" w:type="dxa"/>
            <w:vAlign w:val="bottom"/>
          </w:tcPr>
          <w:p>
            <w:pPr>
              <w:spacing w:after="0"/>
              <w:rPr>
                <w:sz w:val="1"/>
                <w:szCs w:val="1"/>
                <w:color w:val="auto"/>
              </w:rPr>
            </w:pPr>
          </w:p>
        </w:tc>
      </w:tr>
      <w:tr>
        <w:trPr>
          <w:trHeight w:val="136"/>
        </w:trPr>
        <w:tc>
          <w:tcPr>
            <w:tcW w:w="776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20"/>
                <w:szCs w:val="20"/>
                <w:color w:val="auto"/>
              </w:rPr>
            </w:pPr>
            <w:r>
              <w:rPr>
                <w:rFonts w:ascii="Arial" w:cs="Arial" w:eastAsia="Arial" w:hAnsi="Arial"/>
                <w:sz w:val="11"/>
                <w:szCs w:val="11"/>
                <w:color w:val="auto"/>
              </w:rPr>
              <w:t>Cash flows from investing activities:</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Additions to property and equipment, net</w:t>
            </w:r>
          </w:p>
        </w:tc>
        <w:tc>
          <w:tcPr>
            <w:tcW w:w="1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(1,590)</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(3,734)</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160"/>
              <w:spacing w:after="0"/>
              <w:rPr>
                <w:sz w:val="20"/>
                <w:szCs w:val="20"/>
                <w:color w:val="auto"/>
              </w:rPr>
            </w:pPr>
            <w:r>
              <w:rPr>
                <w:rFonts w:ascii="Arial" w:cs="Arial" w:eastAsia="Arial" w:hAnsi="Arial"/>
                <w:sz w:val="11"/>
                <w:szCs w:val="11"/>
                <w:color w:val="auto"/>
              </w:rPr>
              <w:t>Net cash used for investing activities</w:t>
            </w: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7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(1,590)</w:t>
            </w:r>
          </w:p>
        </w:tc>
        <w:tc>
          <w:tcPr>
            <w:tcW w:w="280" w:type="dxa"/>
            <w:vAlign w:val="bottom"/>
          </w:tcPr>
          <w:p>
            <w:pPr>
              <w:spacing w:after="0"/>
              <w:rPr>
                <w:sz w:val="11"/>
                <w:szCs w:val="1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1"/>
                <w:szCs w:val="11"/>
                <w:color w:val="auto"/>
              </w:rPr>
              <w:t>(3,734)</w:t>
            </w:r>
          </w:p>
        </w:tc>
        <w:tc>
          <w:tcPr>
            <w:tcW w:w="0" w:type="dxa"/>
            <w:vAlign w:val="bottom"/>
          </w:tcPr>
          <w:p>
            <w:pPr>
              <w:spacing w:after="0"/>
              <w:rPr>
                <w:sz w:val="1"/>
                <w:szCs w:val="1"/>
                <w:color w:val="auto"/>
              </w:rPr>
            </w:pPr>
          </w:p>
        </w:tc>
      </w:tr>
      <w:tr>
        <w:trPr>
          <w:trHeight w:val="136"/>
        </w:trPr>
        <w:tc>
          <w:tcPr>
            <w:tcW w:w="776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Net borrowings under credit facility</w:t>
            </w: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40,214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22,336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760" w:type="dxa"/>
            <w:vAlign w:val="bottom"/>
          </w:tcPr>
          <w:p>
            <w:pPr>
              <w:ind w:left="320"/>
              <w:spacing w:after="0"/>
              <w:rPr>
                <w:sz w:val="20"/>
                <w:szCs w:val="20"/>
                <w:color w:val="auto"/>
              </w:rPr>
            </w:pPr>
            <w:r>
              <w:rPr>
                <w:rFonts w:ascii="Arial" w:cs="Arial" w:eastAsia="Arial" w:hAnsi="Arial"/>
                <w:sz w:val="11"/>
                <w:szCs w:val="11"/>
                <w:color w:val="auto"/>
              </w:rPr>
              <w:t>Debt issuance costs associated with credit facility amendment</w:t>
            </w:r>
          </w:p>
        </w:tc>
        <w:tc>
          <w:tcPr>
            <w:tcW w:w="11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2"/>
                <w:szCs w:val="12"/>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320"/>
              <w:spacing w:after="0"/>
              <w:rPr>
                <w:sz w:val="20"/>
                <w:szCs w:val="20"/>
                <w:color w:val="auto"/>
              </w:rPr>
            </w:pPr>
            <w:r>
              <w:rPr>
                <w:rFonts w:ascii="Arial" w:cs="Arial" w:eastAsia="Arial" w:hAnsi="Arial"/>
                <w:sz w:val="11"/>
                <w:szCs w:val="11"/>
                <w:color w:val="auto"/>
              </w:rPr>
              <w:t>Tax withholdings paid related to net share settlements of RSUs</w:t>
            </w:r>
          </w:p>
        </w:tc>
        <w:tc>
          <w:tcPr>
            <w:tcW w:w="1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(192)</w:t>
            </w:r>
          </w:p>
        </w:tc>
        <w:tc>
          <w:tcPr>
            <w:tcW w:w="0" w:type="dxa"/>
            <w:vAlign w:val="bottom"/>
          </w:tcPr>
          <w:p>
            <w:pPr>
              <w:spacing w:after="0"/>
              <w:rPr>
                <w:sz w:val="1"/>
                <w:szCs w:val="1"/>
                <w:color w:val="auto"/>
              </w:rPr>
            </w:pPr>
          </w:p>
        </w:tc>
      </w:tr>
      <w:tr>
        <w:trPr>
          <w:trHeight w:val="132"/>
        </w:trPr>
        <w:tc>
          <w:tcPr>
            <w:tcW w:w="776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Net cash provided by financing activities</w:t>
            </w:r>
          </w:p>
        </w:tc>
        <w:tc>
          <w:tcPr>
            <w:tcW w:w="1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40,210</w:t>
            </w:r>
          </w:p>
        </w:tc>
        <w:tc>
          <w:tcPr>
            <w:tcW w:w="300" w:type="dxa"/>
            <w:vAlign w:val="bottom"/>
            <w:tcBorders>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22,144</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Net increase in cash and cash equivalents</w:t>
            </w:r>
          </w:p>
        </w:tc>
        <w:tc>
          <w:tcPr>
            <w:tcW w:w="1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21,809</w:t>
            </w: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1,915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6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Beginning of period</w:t>
            </w:r>
          </w:p>
        </w:tc>
        <w:tc>
          <w:tcPr>
            <w:tcW w:w="11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4,338</w:t>
            </w:r>
          </w:p>
        </w:tc>
        <w:tc>
          <w:tcPr>
            <w:tcW w:w="30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760" w:type="dxa"/>
            <w:vAlign w:val="bottom"/>
          </w:tcPr>
          <w:p>
            <w:pPr>
              <w:ind w:left="160"/>
              <w:spacing w:after="0"/>
              <w:rPr>
                <w:sz w:val="20"/>
                <w:szCs w:val="20"/>
                <w:color w:val="auto"/>
              </w:rPr>
            </w:pPr>
            <w:r>
              <w:rPr>
                <w:rFonts w:ascii="Arial" w:cs="Arial" w:eastAsia="Arial" w:hAnsi="Arial"/>
                <w:sz w:val="11"/>
                <w:szCs w:val="11"/>
                <w:color w:val="auto"/>
              </w:rPr>
              <w:t>End of period</w:t>
            </w:r>
          </w:p>
        </w:tc>
        <w:tc>
          <w:tcPr>
            <w:tcW w:w="1120" w:type="dxa"/>
            <w:vAlign w:val="bottom"/>
            <w:tcBorders>
              <w:bottom w:val="single" w:sz="8" w:color="auto"/>
            </w:tcBorders>
          </w:tcPr>
          <w:p>
            <w:pPr>
              <w:jc w:val="right"/>
              <w:ind w:right="10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26,147</w:t>
            </w:r>
          </w:p>
        </w:tc>
        <w:tc>
          <w:tcPr>
            <w:tcW w:w="300" w:type="dxa"/>
            <w:vAlign w:val="bottom"/>
          </w:tcPr>
          <w:p>
            <w:pPr>
              <w:spacing w:after="0"/>
              <w:rPr>
                <w:sz w:val="12"/>
                <w:szCs w:val="12"/>
                <w:color w:val="auto"/>
              </w:rPr>
            </w:pPr>
          </w:p>
        </w:tc>
        <w:tc>
          <w:tcPr>
            <w:tcW w:w="280" w:type="dxa"/>
            <w:vAlign w:val="bottom"/>
            <w:tcBorders>
              <w:bottom w:val="single" w:sz="8" w:color="auto"/>
            </w:tcBorders>
          </w:tcPr>
          <w:p>
            <w:pPr>
              <w:jc w:val="right"/>
              <w:ind w:right="213"/>
              <w:spacing w:after="0"/>
              <w:rPr>
                <w:sz w:val="20"/>
                <w:szCs w:val="20"/>
                <w:color w:val="auto"/>
              </w:rPr>
            </w:pPr>
            <w:r>
              <w:rPr>
                <w:rFonts w:ascii="Arial" w:cs="Arial" w:eastAsia="Arial" w:hAnsi="Arial"/>
                <w:sz w:val="5"/>
                <w:szCs w:val="5"/>
                <w:color w:val="auto"/>
                <w:w w:val="70"/>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Basis of Presentation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2020 included in the Company’s Annual Report on Form 10-K, which was filed with the Securities and Exchange Commission on March 19, 2020.</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The Company’s fiscal year is a 52- or 53- week period ending on the Saturday closest to January 31. Fiscal 2020 and fiscal 2019 are 52-week periods ending on January 30, 2021 and February 1,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12121"/>
        </w:rPr>
        <w:t>Impact of COVID-19 Pandemic on Business</w:t>
      </w:r>
    </w:p>
    <w:p>
      <w:pPr>
        <w:spacing w:after="0" w:line="242"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 xml:space="preserve">On March 11, 2020, the World Health Organization declared the current outbreak of a novel coronavirus disease (“COVID-19”) as a global pandemic. </w:t>
      </w:r>
      <w:r>
        <w:rPr>
          <w:rFonts w:ascii="Arial" w:cs="Arial" w:eastAsia="Arial" w:hAnsi="Arial"/>
          <w:sz w:val="11"/>
          <w:szCs w:val="11"/>
          <w:color w:val="212121"/>
        </w:rPr>
        <w:t>The COVID-19 pandemic has had an adverse effect on the Company’s operations,</w:t>
      </w:r>
      <w:r>
        <w:rPr>
          <w:rFonts w:ascii="Arial" w:cs="Arial" w:eastAsia="Arial" w:hAnsi="Arial"/>
          <w:sz w:val="11"/>
          <w:szCs w:val="11"/>
          <w:color w:val="auto"/>
        </w:rPr>
        <w:t xml:space="preserve"> </w:t>
      </w:r>
      <w:r>
        <w:rPr>
          <w:rFonts w:ascii="Arial" w:cs="Arial" w:eastAsia="Arial" w:hAnsi="Arial"/>
          <w:sz w:val="11"/>
          <w:szCs w:val="11"/>
          <w:color w:val="212121"/>
        </w:rPr>
        <w:t xml:space="preserve">employees, distribution and logistics, its vendors and customers. All of the Company’s store locations were closed temporarily on March 17, 2020, with an initial expectation that they would reopen at the end of March. However, as of May 2, 2020, all but three stores remain closed, </w:t>
      </w:r>
      <w:r>
        <w:rPr>
          <w:rFonts w:ascii="Arial" w:cs="Arial" w:eastAsia="Arial" w:hAnsi="Arial"/>
          <w:sz w:val="11"/>
          <w:szCs w:val="11"/>
          <w:color w:val="000000"/>
        </w:rPr>
        <w:t>with three additional stores open for curbside pickup.</w:t>
      </w:r>
      <w:r>
        <w:rPr>
          <w:rFonts w:ascii="Arial" w:cs="Arial" w:eastAsia="Arial" w:hAnsi="Arial"/>
          <w:sz w:val="11"/>
          <w:szCs w:val="11"/>
          <w:color w:val="212121"/>
        </w:rPr>
        <w:t xml:space="preserve"> As the Company heads into the second quarter of fiscal 2020, it expects to gradually reopen stores in connection with state and local guidelines, and expects, although there can be no assurances, that the majority of its stores will be reopen by the end of June 2020. As of June 2, 2020, </w:t>
      </w:r>
      <w:r>
        <w:rPr>
          <w:rFonts w:ascii="Arial" w:cs="Arial" w:eastAsia="Arial" w:hAnsi="Arial"/>
          <w:sz w:val="11"/>
          <w:szCs w:val="11"/>
          <w:color w:val="000000"/>
        </w:rPr>
        <w:t>201</w:t>
      </w:r>
      <w:r>
        <w:rPr>
          <w:rFonts w:ascii="Arial" w:cs="Arial" w:eastAsia="Arial" w:hAnsi="Arial"/>
          <w:sz w:val="11"/>
          <w:szCs w:val="11"/>
          <w:color w:val="212121"/>
        </w:rPr>
        <w:t xml:space="preserve"> of the Company’s 321 stores have opened.</w:t>
      </w:r>
    </w:p>
    <w:p>
      <w:pPr>
        <w:spacing w:after="0" w:line="37"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In response to the uncertainty that exists relating to the COVID-19 pandemic, the Company has taken significant precautionary measures to reduce expenses, preserve liquidity, and mitigate the adverse impact of the pandemic to the Company. The majority of the Company’s workforce was furloughed in March 2020 and 34 employees were laid-off in May 2020. For the safety of its employees, non-furloughed employees at the Company’s headquarters will continue to work from home, where possible, until at least September 2020. For roles that require employees to be on-site, such as its distribution center, the Company is providing protective equipment, practicing social distancing and increasing sanitizing standards. The Company expects to bring furloughed associates back as store locations begin to open and respective sales levels return. In March 2020, the management team (director-level and above) took a temporary salary reduction ranging from 10%-20% and the Company’s non-employee directors suspended their second quarter fiscal 2020 compensation.</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 xml:space="preserve">In March 2020, as a proactive measure, the Company drew $30.0 million under its revolving facility in order to increase the Company’s cash position and preserve financial flexibility. In addition, in April 2020 the Company entered into an amendment to its credit facility to, among other things, increase its borrowing base availability and permit the Company the ability to enter into promissory notes with its merchandise vendors. See Note 3, </w:t>
      </w:r>
      <w:r>
        <w:rPr>
          <w:rFonts w:ascii="Arial" w:cs="Arial" w:eastAsia="Arial" w:hAnsi="Arial"/>
          <w:sz w:val="11"/>
          <w:szCs w:val="11"/>
          <w:i w:val="1"/>
          <w:iCs w:val="1"/>
          <w:color w:val="auto"/>
        </w:rPr>
        <w:t>Debt</w:t>
      </w:r>
      <w:r>
        <w:rPr>
          <w:rFonts w:ascii="Arial" w:cs="Arial" w:eastAsia="Arial" w:hAnsi="Arial"/>
          <w:sz w:val="11"/>
          <w:szCs w:val="11"/>
          <w:color w:val="auto"/>
        </w:rPr>
        <w:t xml:space="preserve">, for a discussion of the amendment. The Company has been in discussion with its landlords and has requested rent concessions on payments due during the pandemic. No rent concessions were agreed upon until the second quarter of fiscal 2020. See Note 4, </w:t>
      </w:r>
      <w:r>
        <w:rPr>
          <w:rFonts w:ascii="Arial" w:cs="Arial" w:eastAsia="Arial" w:hAnsi="Arial"/>
          <w:sz w:val="11"/>
          <w:szCs w:val="11"/>
          <w:i w:val="1"/>
          <w:iCs w:val="1"/>
          <w:color w:val="auto"/>
        </w:rPr>
        <w:t>Leases</w:t>
      </w:r>
      <w:r>
        <w:rPr>
          <w:rFonts w:ascii="Arial" w:cs="Arial" w:eastAsia="Arial" w:hAnsi="Arial"/>
          <w:sz w:val="11"/>
          <w:szCs w:val="11"/>
          <w:color w:val="auto"/>
        </w:rPr>
        <w:t>, for more discussion. Further, the Company has taken proactive steps to manage cash by substantially eliminating capital spend, negotiating deferred payment terms with vendors, reducing operating expenses and cancelling purchase orders for merchandise, where possible. The Company intends to proceed cautiously and continue to take proactive steps to manage its liquidity.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three principal operating segments: its stores, direct and wholesales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the immateriality of the wholesale segment’s revenues, profits and assets, its operating results are aggregated with the retail segment for both periods.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fiscal 2018, the Company purchased the rights to the domain name “dxl.com.” The domain name has a carrying value of $1.2 million and is considered an indefinite-lived asset. Due to the significant impact of the COVID-19 pandemic on the Company’s business during the first quarter of fiscal 2020, the Company performed a qualitative review of the domain name as of May 2, 2020 and concluded that it was more likely than not that the intangible asset was not impaired and therefore no quantitative assessment was required. As a result of the ongoing uncertainty surrounding the impact of the COVID-19 pandemic on the Company’s operations, it may be necessary to perform similar qualitative reviews at various points throughout fiscal 2020.</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Payable</w:t>
      </w:r>
    </w:p>
    <w:p>
      <w:pPr>
        <w:spacing w:after="0" w:line="79"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During the first quarter of fiscal 2020, the Company received extended payment terms with two of its merchandise vendors, by entering into short-term notes. The short-term notes, totaling $2.0 million, have terms of less than one-year and accrue interest at an annual rate of 4.0%, with payments due monthly. At May 2, 2020, the outstanding balance of the notes was $1.7 million and is included in Accounts Payable on the Consolidated Balance Sheet.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ASC Topic 825, Financial Instruments, requires disclosure of the fair value of certain financial instruments.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establishes a framework for measuring fair value and enhances disclosures about fair value measurements.</w:t>
      </w:r>
    </w:p>
    <w:p>
      <w:pPr>
        <w:spacing w:after="0" w:line="114"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1 – Quoted prices in active markets for identical assets or liabilities.</w:t>
      </w:r>
    </w:p>
    <w:p>
      <w:pPr>
        <w:spacing w:after="0" w:line="79" w:lineRule="exact"/>
        <w:rPr>
          <w:sz w:val="20"/>
          <w:szCs w:val="20"/>
          <w:color w:val="auto"/>
        </w:rPr>
      </w:pPr>
    </w:p>
    <w:p>
      <w:pPr>
        <w:ind w:left="240"/>
        <w:spacing w:after="0" w:line="279"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fair value of long-term debt is classified within Level 2 of the valuation hierarchy. At May 2, 2020, the fair value approximated the carrying amount based upon terms available to the Company for borrowings with similar arrangements and remaining maturities.</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fair value of the “dxl.com” domain name, an indefinite-lived asset, is measured on a non-recurring basis in connection with the Company’s annual impairment test and is classified within Level 3 of the valuation hierarchy. See Intangibles above.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Other Comprehensive Income (Loss) - (“AOCI”)</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Other comprehensive income (loss) includes amounts related to foreign currency and pension plans and is reported in the Consolidated Statements of Comprehensive Income (Loss). Other comprehensive income and reclassifications from AOCI for the three months ended May 2, 2020 and May 4, 2019, respectively, were as follows: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15"/>
        </w:trPr>
        <w:tc>
          <w:tcPr>
            <w:tcW w:w="5260" w:type="dxa"/>
            <w:vAlign w:val="bottom"/>
            <w:vMerge w:val="restart"/>
          </w:tcPr>
          <w:p>
            <w:pPr>
              <w:spacing w:after="0"/>
              <w:rPr>
                <w:sz w:val="20"/>
                <w:szCs w:val="20"/>
                <w:color w:val="auto"/>
              </w:rPr>
            </w:pPr>
            <w:r>
              <w:rPr>
                <w:rFonts w:ascii="Arial" w:cs="Arial" w:eastAsia="Arial" w:hAnsi="Arial"/>
                <w:sz w:val="10"/>
                <w:szCs w:val="10"/>
                <w:i w:val="1"/>
                <w:iCs w:val="1"/>
                <w:color w:val="auto"/>
              </w:rPr>
              <w:t>For the three months ended:</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color w:val="auto"/>
                <w:w w:val="90"/>
              </w:rPr>
              <w:t>May 2, 2020</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color w:val="auto"/>
                <w:w w:val="90"/>
              </w:rPr>
              <w:t>May 4, 2019</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0"/>
                <w:szCs w:val="10"/>
                <w:color w:val="auto"/>
              </w:rPr>
              <w:t>Pension</w:t>
            </w:r>
          </w:p>
        </w:tc>
        <w:tc>
          <w:tcPr>
            <w:tcW w:w="10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tcPr>
          <w:p>
            <w:pPr>
              <w:jc w:val="right"/>
              <w:ind w:right="2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0"/>
                <w:szCs w:val="10"/>
                <w:color w:val="auto"/>
                <w:w w:val="93"/>
              </w:rPr>
              <w:t>Pension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260" w:type="dxa"/>
            <w:vAlign w:val="bottom"/>
            <w:vMerge w:val="restart"/>
          </w:tcPr>
          <w:p>
            <w:pPr>
              <w:spacing w:after="0"/>
              <w:rPr>
                <w:sz w:val="20"/>
                <w:szCs w:val="20"/>
                <w:color w:val="auto"/>
              </w:rPr>
            </w:pPr>
            <w:r>
              <w:rPr>
                <w:rFonts w:ascii="Arial" w:cs="Arial" w:eastAsia="Arial" w:hAnsi="Arial"/>
                <w:sz w:val="12"/>
                <w:szCs w:val="12"/>
                <w:color w:val="auto"/>
              </w:rPr>
              <w:t>Balance at beginning of the quarter</w:t>
            </w: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Plans</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4"/>
              <w:spacing w:after="0" w:line="113" w:lineRule="exact"/>
              <w:rPr>
                <w:sz w:val="20"/>
                <w:szCs w:val="20"/>
                <w:color w:val="auto"/>
              </w:rPr>
            </w:pPr>
            <w:r>
              <w:rPr>
                <w:rFonts w:ascii="Arial" w:cs="Arial" w:eastAsia="Arial" w:hAnsi="Arial"/>
                <w:sz w:val="10"/>
                <w:szCs w:val="10"/>
                <w:color w:val="auto"/>
                <w:w w:val="88"/>
              </w:rPr>
              <w:t>Currency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Plans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6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(6,478)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(6,431)</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(5,521)</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(662)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(6,183)</w:t>
            </w: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(24)</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(24)</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(6,236)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(6,223)</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(5,371)</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(686)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(6,057)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740" w:hanging="376"/>
        <w:spacing w:after="0" w:line="265" w:lineRule="auto"/>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$165,000 for each three-month period ended May 2, 2020 and May 4, 2019, respectively. As a result of the adoption of ASU 2019-12, as discussed below, there was no tax provision for the three months of fiscal 2020.</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As a result of the significant impact of the COVID-19 pandemic on the Company’s business during the first quarter of fiscal 2020 and the continued uncertainty, the Company reassessed the recoverability of the carrying value for its long-lived assets as of May 2, 2020, assuming that its stores will gradually open throughout the second quarter of fiscal 2020 but that consumer retail spending will remain substantially curtailed for a period of time. Due to uncertainty around the duration and extent of the pandemic’s impact on future cash flows, the Company’s projections were based on multiple probability-weighted scenarios. Based on the results of that assessment, the Company recorded an impairment charge of $16.3 million for the first quarter of fiscal 2020. The impairment charge included approximately $12.5 million for the write-down of certain right-of-use assets and $3.8 million for the write-down of property and equipment, related to stores where the carrying value exceeded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There was no material impairment of long-lived assets in the first three months of fiscal 2019.</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The Company adopted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in the first quarter of fiscal 2019 on a modified retrospective basis and applied the new standard to all leases through a cumulative-effect adjustment to beginning accumulated deficit.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78" w:right="29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2"/>
          <w:szCs w:val="12"/>
          <w:color w:val="auto"/>
        </w:rPr>
        <w:t>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w:t>
      </w:r>
    </w:p>
    <w:p>
      <w:pPr>
        <w:spacing w:after="0" w:line="5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See Note 4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June 2016, the FASB issued ASU No. 2016-13, “</w:t>
      </w:r>
      <w:r>
        <w:rPr>
          <w:rFonts w:ascii="Arial" w:cs="Arial" w:eastAsia="Arial" w:hAnsi="Arial"/>
          <w:sz w:val="12"/>
          <w:szCs w:val="12"/>
          <w:i w:val="1"/>
          <w:iCs w:val="1"/>
          <w:color w:val="auto"/>
        </w:rPr>
        <w:t>Financial Instruments — Credit Losses (Topic 326) — Measurement of Credit Losses on Financial Instruments</w:t>
      </w:r>
      <w:r>
        <w:rPr>
          <w:rFonts w:ascii="Arial" w:cs="Arial" w:eastAsia="Arial" w:hAnsi="Arial"/>
          <w:sz w:val="12"/>
          <w:szCs w:val="12"/>
          <w:color w:val="auto"/>
        </w:rPr>
        <w:t>.” This guidance amends several aspects of the measurement of credit losses on financial instruments, including trade receivables. Topic 326 replaces the existing incurred credit loss model with an impairment model (known as the current expected credit loss ("CECL") model), which is based on expected losses rather than incurred losses. The amendments are effective for fiscal years, and interim periods within those fiscal years, beginning after December 15, 2019. The Company adopted this standard in the first quarter of fiscal 2020 and it did not have a material impact on the Company’s Consolidated Financial Statements.</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w:t>
      </w:r>
      <w:r>
        <w:rPr>
          <w:rFonts w:ascii="Arial" w:cs="Arial" w:eastAsia="Arial" w:hAnsi="Arial"/>
          <w:sz w:val="12"/>
          <w:szCs w:val="12"/>
          <w:color w:val="212121"/>
        </w:rPr>
        <w:t>The Company adopted this standard in the first quarter of fiscal 2020 with new disclosures adopted on a prospective basis. The standard did not have a</w:t>
      </w:r>
      <w:r>
        <w:rPr>
          <w:rFonts w:ascii="Arial" w:cs="Arial" w:eastAsia="Arial" w:hAnsi="Arial"/>
          <w:sz w:val="12"/>
          <w:szCs w:val="12"/>
          <w:color w:val="auto"/>
        </w:rPr>
        <w:t xml:space="preserve"> </w:t>
      </w:r>
      <w:r>
        <w:rPr>
          <w:rFonts w:ascii="Arial" w:cs="Arial" w:eastAsia="Arial" w:hAnsi="Arial"/>
          <w:sz w:val="12"/>
          <w:szCs w:val="12"/>
          <w:color w:val="212121"/>
        </w:rPr>
        <w:t>material impact on the Company’s Consolidated Financial Statements and related disclosures.</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In December 2019, the FASB issued ASU 2019-12, “</w:t>
      </w:r>
      <w:r>
        <w:rPr>
          <w:rFonts w:ascii="Arial" w:cs="Arial" w:eastAsia="Arial" w:hAnsi="Arial"/>
          <w:sz w:val="11"/>
          <w:szCs w:val="11"/>
          <w:i w:val="1"/>
          <w:iCs w:val="1"/>
          <w:color w:val="auto"/>
        </w:rPr>
        <w:t>Simplifying the Accounting for Income Taxes.”</w:t>
      </w:r>
      <w:r>
        <w:rPr>
          <w:rFonts w:ascii="Arial" w:cs="Arial" w:eastAsia="Arial" w:hAnsi="Arial"/>
          <w:sz w:val="11"/>
          <w:szCs w:val="11"/>
          <w:color w:val="auto"/>
        </w:rPr>
        <w:t xml:space="preserve"> This standard simplifies the accounting for income taxes by removing certain exceptions to the general principles in ASC 740, </w:t>
      </w:r>
      <w:r>
        <w:rPr>
          <w:rFonts w:ascii="Arial" w:cs="Arial" w:eastAsia="Arial" w:hAnsi="Arial"/>
          <w:sz w:val="11"/>
          <w:szCs w:val="11"/>
          <w:i w:val="1"/>
          <w:iCs w:val="1"/>
          <w:color w:val="auto"/>
        </w:rPr>
        <w:t>Income Taxes</w:t>
      </w:r>
      <w:r>
        <w:rPr>
          <w:rFonts w:ascii="Arial" w:cs="Arial" w:eastAsia="Arial" w:hAnsi="Arial"/>
          <w:sz w:val="11"/>
          <w:szCs w:val="11"/>
          <w:color w:val="auto"/>
        </w:rPr>
        <w:t>, while also clarifying and amending existing guidance, including interim-period accounting for enacted changes in tax law. This standard is effective for fiscal years, and for interim periods within those fiscal years,</w:t>
      </w:r>
      <w:r>
        <w:rPr>
          <w:rFonts w:ascii="Arial" w:cs="Arial" w:eastAsia="Arial" w:hAnsi="Arial"/>
          <w:sz w:val="11"/>
          <w:szCs w:val="11"/>
          <w:i w:val="1"/>
          <w:iCs w:val="1"/>
          <w:color w:val="auto"/>
        </w:rPr>
        <w:t xml:space="preserve"> </w:t>
      </w:r>
      <w:r>
        <w:rPr>
          <w:rFonts w:ascii="Arial" w:cs="Arial" w:eastAsia="Arial" w:hAnsi="Arial"/>
          <w:sz w:val="11"/>
          <w:szCs w:val="11"/>
          <w:color w:val="auto"/>
        </w:rPr>
        <w:t>beginning after December 15, 2020, with early adoption permitted. In the first quarter of fiscal 2020, the Company elected early adoption of ASU 2019-12. The provisions related to intra period tax allocation and interim recognition of enactment of tax laws are being adopted on a prospective basis. The effect of the adoption of ASU 2019-12 was not material to the Company's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No new accounting pronouncements, issued or effective during the first three months of fiscal 2020, have had or are expected to have a significant impact on the Company’s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2. Revenue Recognition</w:t>
      </w:r>
    </w:p>
    <w:p>
      <w:pPr>
        <w:spacing w:after="0" w:line="156" w:lineRule="exact"/>
        <w:rPr>
          <w:sz w:val="20"/>
          <w:szCs w:val="20"/>
          <w:color w:val="auto"/>
        </w:rPr>
      </w:pPr>
    </w:p>
    <w:p>
      <w:pPr>
        <w:jc w:val="both"/>
        <w:spacing w:after="0" w:line="328" w:lineRule="auto"/>
        <w:rPr>
          <w:sz w:val="20"/>
          <w:szCs w:val="20"/>
          <w:color w:val="auto"/>
        </w:rPr>
      </w:pPr>
      <w:r>
        <w:rPr>
          <w:rFonts w:ascii="Arial" w:cs="Arial" w:eastAsia="Arial" w:hAnsi="Arial"/>
          <w:sz w:val="10"/>
          <w:szCs w:val="10"/>
          <w:color w:val="212121"/>
        </w:rPr>
        <w:t xml:space="preserve">The Company operates as a retailer of big and tall men’s clothing, which includes stores, direct and wholesale. </w:t>
      </w:r>
      <w:r>
        <w:rPr>
          <w:rFonts w:ascii="Arial" w:cs="Arial" w:eastAsia="Arial" w:hAnsi="Arial"/>
          <w:sz w:val="10"/>
          <w:szCs w:val="10"/>
          <w:color w:val="000000"/>
        </w:rPr>
        <w:t>Revenue is recognized by the operating segment that initiates a customer’s order. Store sales are defined as sales that</w:t>
      </w:r>
      <w:r>
        <w:rPr>
          <w:rFonts w:ascii="Arial" w:cs="Arial" w:eastAsia="Arial" w:hAnsi="Arial"/>
          <w:sz w:val="10"/>
          <w:szCs w:val="10"/>
          <w:color w:val="212121"/>
        </w:rPr>
        <w:t xml:space="preserve"> </w:t>
      </w:r>
      <w:r>
        <w:rPr>
          <w:rFonts w:ascii="Arial" w:cs="Arial" w:eastAsia="Arial" w:hAnsi="Arial"/>
          <w:sz w:val="10"/>
          <w:szCs w:val="10"/>
          <w:color w:val="000000"/>
        </w:rPr>
        <w:t xml:space="preserve">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Arial" w:cs="Arial" w:eastAsia="Arial" w:hAnsi="Arial"/>
          <w:sz w:val="10"/>
          <w:szCs w:val="10"/>
          <w:color w:val="212121"/>
        </w:rPr>
        <w:t>Generally, all revenues are recognized when control of the promised goods is transferred to customers, in an amount that reflects</w:t>
      </w:r>
      <w:r>
        <w:rPr>
          <w:rFonts w:ascii="Arial" w:cs="Arial" w:eastAsia="Arial" w:hAnsi="Arial"/>
          <w:sz w:val="10"/>
          <w:szCs w:val="10"/>
          <w:color w:val="000000"/>
        </w:rPr>
        <w:t xml:space="preserve"> </w:t>
      </w:r>
      <w:r>
        <w:rPr>
          <w:rFonts w:ascii="Arial" w:cs="Arial" w:eastAsia="Arial" w:hAnsi="Arial"/>
          <w:sz w:val="10"/>
          <w:szCs w:val="10"/>
          <w:color w:val="212121"/>
        </w:rPr>
        <w:t xml:space="preserve">the consideration in exchange for those goods. </w:t>
      </w:r>
      <w:r>
        <w:rPr>
          <w:rFonts w:ascii="Arial" w:cs="Arial" w:eastAsia="Arial" w:hAnsi="Arial"/>
          <w:sz w:val="10"/>
          <w:szCs w:val="10"/>
          <w:color w:val="000000"/>
        </w:rPr>
        <w:t>Sales tax collected from customers and remitted to taxing authorities is excluded from revenue and is included as part of accrued expenses on the Consolidated Balance Sheets.</w:t>
      </w:r>
    </w:p>
    <w:p>
      <w:pPr>
        <w:spacing w:after="0" w:line="23" w:lineRule="exact"/>
        <w:rPr>
          <w:sz w:val="20"/>
          <w:szCs w:val="20"/>
          <w:color w:val="auto"/>
        </w:rPr>
      </w:pPr>
    </w:p>
    <w:p>
      <w:pPr>
        <w:ind w:left="740" w:hanging="376"/>
        <w:spacing w:after="0"/>
        <w:tabs>
          <w:tab w:leader="none" w:pos="740" w:val="left"/>
        </w:tabs>
        <w:numPr>
          <w:ilvl w:val="0"/>
          <w:numId w:val="4"/>
        </w:numPr>
        <w:rPr>
          <w:rFonts w:ascii="Arial" w:cs="Arial" w:eastAsia="Arial" w:hAnsi="Arial"/>
          <w:sz w:val="12"/>
          <w:szCs w:val="12"/>
          <w:color w:val="212121"/>
        </w:rPr>
      </w:pPr>
      <w:r>
        <w:rPr>
          <w:rFonts w:ascii="Arial" w:cs="Arial" w:eastAsia="Arial" w:hAnsi="Arial"/>
          <w:sz w:val="12"/>
          <w:szCs w:val="12"/>
          <w:color w:val="auto"/>
        </w:rPr>
        <w:t>Revenue from the Company’s store operations is recorded upon purchase of merchandise by customers,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40" w:hanging="376"/>
        <w:spacing w:after="0"/>
        <w:tabs>
          <w:tab w:leader="none" w:pos="740" w:val="left"/>
        </w:tabs>
        <w:numPr>
          <w:ilvl w:val="0"/>
          <w:numId w:val="4"/>
        </w:numPr>
        <w:rPr>
          <w:rFonts w:ascii="Arial" w:cs="Arial" w:eastAsia="Arial" w:hAnsi="Arial"/>
          <w:sz w:val="12"/>
          <w:szCs w:val="12"/>
          <w:color w:val="212121"/>
        </w:rPr>
      </w:pPr>
      <w:r>
        <w:rPr>
          <w:rFonts w:ascii="Arial" w:cs="Arial" w:eastAsia="Arial" w:hAnsi="Arial"/>
          <w:sz w:val="12"/>
          <w:szCs w:val="12"/>
          <w:color w:val="auto"/>
        </w:rPr>
        <w:t>Revenue from the Company’s direct operations is recognized at the time a customer order is delivered,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40" w:right="20" w:hanging="376"/>
        <w:spacing w:after="0" w:line="279" w:lineRule="auto"/>
        <w:tabs>
          <w:tab w:leader="none" w:pos="740" w:val="left"/>
        </w:tabs>
        <w:numPr>
          <w:ilvl w:val="0"/>
          <w:numId w:val="4"/>
        </w:numPr>
        <w:rPr>
          <w:rFonts w:ascii="Arial" w:cs="Arial" w:eastAsia="Arial" w:hAnsi="Arial"/>
          <w:sz w:val="12"/>
          <w:szCs w:val="12"/>
          <w:color w:val="212121"/>
        </w:rPr>
      </w:pPr>
      <w:r>
        <w:rPr>
          <w:rFonts w:ascii="Arial" w:cs="Arial" w:eastAsia="Arial" w:hAnsi="Arial"/>
          <w:sz w:val="12"/>
          <w:szCs w:val="12"/>
          <w:color w:val="auto"/>
        </w:rPr>
        <w:t>Revenue from the Company’s wholesale operations is recognized at the time the wholesale customer takes physical receipt of the merchandise, net of any identified discounts in accordance with each individual order. For the first three months of fiscal 2020 and fiscal 2019, chargebacks were immaterial.</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Gift Cards, Gift Certificates, and Credit Vouchers. </w:t>
      </w:r>
      <w:r>
        <w:rPr>
          <w:rFonts w:ascii="Arial" w:cs="Arial" w:eastAsia="Arial" w:hAnsi="Arial"/>
          <w:sz w:val="12"/>
          <w:szCs w:val="12"/>
          <w:color w:val="auto"/>
        </w:rPr>
        <w:t>Upon issuance of a gift card, gift certificate, or credit voucher, a liability is established for its cash value. The liability is relieved and net sales are recorded upon</w:t>
      </w:r>
      <w:r>
        <w:rPr>
          <w:rFonts w:ascii="Arial" w:cs="Arial" w:eastAsia="Arial" w:hAnsi="Arial"/>
          <w:sz w:val="12"/>
          <w:szCs w:val="12"/>
          <w:i w:val="1"/>
          <w:iCs w:val="1"/>
          <w:color w:val="auto"/>
        </w:rPr>
        <w:t xml:space="preserve"> </w:t>
      </w:r>
      <w:r>
        <w:rPr>
          <w:rFonts w:ascii="Arial" w:cs="Arial" w:eastAsia="Arial" w:hAnsi="Arial"/>
          <w:sz w:val="12"/>
          <w:szCs w:val="12"/>
          <w:color w:val="auto"/>
        </w:rPr>
        <w:t>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$1.2 million and $2.7 million at May 2, 2020 and February 1, 2020, respectively.</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i w:val="1"/>
          <w:iCs w:val="1"/>
          <w:color w:val="auto"/>
        </w:rPr>
        <w:t xml:space="preserve">Unredeemed Loyalty Coupons. </w:t>
      </w:r>
      <w:r>
        <w:rPr>
          <w:rFonts w:ascii="Arial" w:cs="Arial" w:eastAsia="Arial" w:hAnsi="Arial"/>
          <w:sz w:val="12"/>
          <w:szCs w:val="12"/>
          <w:color w:val="auto"/>
        </w:rPr>
        <w:t>The Company offers a free loyalty program to its customers for which points accumulate based on the purchase of merchandise. Over 90% of the Company’s customers participate in the loyalty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program. Under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$1.9 million and $1.0 million at May 2, 2020 and February 1, 2020, respectively.</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costs are recorded in cost of goods sold, including occupancy costs, in the 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212121"/>
        </w:rPr>
        <w:t>Disaggregation of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212121"/>
        </w:rPr>
        <w:t xml:space="preserve">As noted above under </w:t>
      </w:r>
      <w:r>
        <w:rPr>
          <w:rFonts w:ascii="Arial" w:cs="Arial" w:eastAsia="Arial" w:hAnsi="Arial"/>
          <w:sz w:val="12"/>
          <w:szCs w:val="12"/>
          <w:i w:val="1"/>
          <w:iCs w:val="1"/>
          <w:color w:val="212121"/>
        </w:rPr>
        <w:t>Segment Information</w:t>
      </w:r>
      <w:r>
        <w:rPr>
          <w:rFonts w:ascii="Arial" w:cs="Arial" w:eastAsia="Arial" w:hAnsi="Arial"/>
          <w:sz w:val="12"/>
          <w:szCs w:val="12"/>
          <w:color w:val="212121"/>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40" w:type="dxa"/>
            <w:vAlign w:val="bottom"/>
            <w:gridSpan w:val="3"/>
          </w:tcPr>
          <w:p>
            <w:pPr>
              <w:jc w:val="right"/>
              <w:ind w:right="230"/>
              <w:spacing w:after="0"/>
              <w:rPr>
                <w:sz w:val="20"/>
                <w:szCs w:val="20"/>
                <w:color w:val="auto"/>
              </w:rPr>
            </w:pPr>
            <w:r>
              <w:rPr>
                <w:rFonts w:ascii="Arial" w:cs="Arial" w:eastAsia="Arial" w:hAnsi="Arial"/>
                <w:sz w:val="12"/>
                <w:szCs w:val="12"/>
                <w:color w:val="auto"/>
              </w:rPr>
              <w:t>For the three months ended</w:t>
            </w: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4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May 2, 2020</w:t>
            </w:r>
          </w:p>
        </w:tc>
        <w:tc>
          <w:tcPr>
            <w:tcW w:w="1180" w:type="dxa"/>
            <w:vAlign w:val="bottom"/>
            <w:vMerge w:val="restart"/>
          </w:tcPr>
          <w:p>
            <w:pPr>
              <w:jc w:val="right"/>
              <w:ind w:right="20"/>
              <w:spacing w:after="0"/>
              <w:rPr>
                <w:sz w:val="20"/>
                <w:szCs w:val="20"/>
                <w:color w:val="auto"/>
              </w:rPr>
            </w:pPr>
            <w:r>
              <w:rPr>
                <w:rFonts w:ascii="Arial" w:cs="Arial" w:eastAsia="Arial" w:hAnsi="Arial"/>
                <w:sz w:val="12"/>
                <w:szCs w:val="12"/>
                <w:i w:val="1"/>
                <w:iCs w:val="1"/>
                <w:color w:val="auto"/>
              </w:rPr>
              <w:t>58.6%</w:t>
            </w: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May 4, 2019</w:t>
            </w:r>
          </w:p>
        </w:tc>
        <w:tc>
          <w:tcPr>
            <w:tcW w:w="940" w:type="dxa"/>
            <w:vAlign w:val="bottom"/>
            <w:vMerge w:val="restart"/>
          </w:tcPr>
          <w:p>
            <w:pPr>
              <w:jc w:val="right"/>
              <w:ind w:right="20"/>
              <w:spacing w:after="0"/>
              <w:rPr>
                <w:sz w:val="20"/>
                <w:szCs w:val="20"/>
                <w:color w:val="auto"/>
              </w:rPr>
            </w:pPr>
            <w:r>
              <w:rPr>
                <w:rFonts w:ascii="Arial" w:cs="Arial" w:eastAsia="Arial" w:hAnsi="Arial"/>
                <w:sz w:val="12"/>
                <w:szCs w:val="12"/>
                <w:i w:val="1"/>
                <w:iCs w:val="1"/>
                <w:color w:val="auto"/>
              </w:rPr>
              <w:t>78.4%</w:t>
            </w:r>
          </w:p>
        </w:tc>
        <w:tc>
          <w:tcPr>
            <w:tcW w:w="0" w:type="dxa"/>
            <w:vAlign w:val="bottom"/>
          </w:tcPr>
          <w:p>
            <w:pPr>
              <w:spacing w:after="0"/>
              <w:rPr>
                <w:sz w:val="1"/>
                <w:szCs w:val="1"/>
                <w:color w:val="auto"/>
              </w:rPr>
            </w:pPr>
          </w:p>
        </w:tc>
      </w:tr>
      <w:tr>
        <w:trPr>
          <w:trHeight w:val="143"/>
        </w:trPr>
        <w:tc>
          <w:tcPr>
            <w:tcW w:w="4000" w:type="dxa"/>
            <w:vAlign w:val="bottom"/>
          </w:tcPr>
          <w:p>
            <w:pPr>
              <w:spacing w:after="0"/>
              <w:rPr>
                <w:sz w:val="20"/>
                <w:szCs w:val="20"/>
                <w:color w:val="auto"/>
              </w:rPr>
            </w:pPr>
            <w:r>
              <w:rPr>
                <w:rFonts w:ascii="Arial" w:cs="Arial" w:eastAsia="Arial" w:hAnsi="Arial"/>
                <w:sz w:val="12"/>
                <w:szCs w:val="12"/>
                <w:color w:val="auto"/>
              </w:rPr>
              <w:t>Store sales</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32,327</w:t>
            </w:r>
          </w:p>
        </w:tc>
        <w:tc>
          <w:tcPr>
            <w:tcW w:w="1180" w:type="dxa"/>
            <w:vAlign w:val="bottom"/>
            <w:vMerge w:val="continue"/>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86,715</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Direct sales</w:t>
            </w:r>
          </w:p>
        </w:tc>
        <w:tc>
          <w:tcPr>
            <w:tcW w:w="14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22,882</w:t>
            </w:r>
          </w:p>
        </w:tc>
        <w:tc>
          <w:tcPr>
            <w:tcW w:w="1180" w:type="dxa"/>
            <w:vAlign w:val="bottom"/>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41.4%</w:t>
            </w: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23,833</w:t>
            </w:r>
          </w:p>
        </w:tc>
        <w:tc>
          <w:tcPr>
            <w:tcW w:w="940" w:type="dxa"/>
            <w:vAlign w:val="bottom"/>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21.6%</w:t>
            </w:r>
          </w:p>
        </w:tc>
        <w:tc>
          <w:tcPr>
            <w:tcW w:w="0" w:type="dxa"/>
            <w:vAlign w:val="bottom"/>
          </w:tcPr>
          <w:p>
            <w:pPr>
              <w:spacing w:after="0"/>
              <w:rPr>
                <w:sz w:val="1"/>
                <w:szCs w:val="1"/>
                <w:color w:val="auto"/>
              </w:rPr>
            </w:pPr>
          </w:p>
        </w:tc>
      </w:tr>
      <w:tr>
        <w:trPr>
          <w:trHeight w:val="143"/>
        </w:trPr>
        <w:tc>
          <w:tcPr>
            <w:tcW w:w="4000" w:type="dxa"/>
            <w:vAlign w:val="bottom"/>
          </w:tcPr>
          <w:p>
            <w:pPr>
              <w:spacing w:after="0"/>
              <w:rPr>
                <w:sz w:val="20"/>
                <w:szCs w:val="20"/>
                <w:color w:val="auto"/>
              </w:rPr>
            </w:pPr>
            <w:r>
              <w:rPr>
                <w:rFonts w:ascii="Arial" w:cs="Arial" w:eastAsia="Arial" w:hAnsi="Arial"/>
                <w:sz w:val="12"/>
                <w:szCs w:val="12"/>
                <w:color w:val="auto"/>
              </w:rPr>
              <w:t>Retail segment</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55,209</w:t>
            </w:r>
          </w:p>
        </w:tc>
        <w:tc>
          <w:tcPr>
            <w:tcW w:w="118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110,548</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14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2,018</w:t>
            </w:r>
          </w:p>
        </w:tc>
        <w:tc>
          <w:tcPr>
            <w:tcW w:w="118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2,425</w:t>
            </w: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00" w:type="dxa"/>
            <w:vAlign w:val="bottom"/>
          </w:tcPr>
          <w:p>
            <w:pPr>
              <w:spacing w:after="0"/>
              <w:rPr>
                <w:sz w:val="20"/>
                <w:szCs w:val="20"/>
                <w:color w:val="auto"/>
              </w:rPr>
            </w:pPr>
            <w:r>
              <w:rPr>
                <w:rFonts w:ascii="Arial" w:cs="Arial" w:eastAsia="Arial" w:hAnsi="Arial"/>
                <w:sz w:val="12"/>
                <w:szCs w:val="12"/>
                <w:color w:val="auto"/>
              </w:rPr>
              <w:t>Total Sales</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57,227</w:t>
            </w:r>
          </w:p>
        </w:tc>
        <w:tc>
          <w:tcPr>
            <w:tcW w:w="118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112,973</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Agreement with Bank of America, N.A.</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On May 24, 2018, the Company entered into the Seventh Amended and Restated Credit Agreement, as amended, with Bank of America, N.A., as agent, providing for a secured $140.0 million credit facility. On April 15, 2020, the Company entered into a Third Amendment to the Credit Facility (the “Third Amendment”). The Third Amendment, among other things, (i) extended the current advance rate of 10%, under the “first-in, last out” (FILO) term facility (the “FILO loan”), from May 24, 2020 to December 31, 2020, at which time it will step-down to 7.5%; (ii) lowered the Loan Cap, as described below, and eliminated the springing financial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26" w:right="299" w:bottom="1440" w:gutter="0" w:footer="0" w:header="0"/>
        </w:sectPr>
      </w:pPr>
    </w:p>
    <w:bookmarkStart w:id="11" w:name="page12"/>
    <w:bookmarkEnd w:id="11"/>
    <w:p>
      <w:pPr>
        <w:jc w:val="both"/>
        <w:ind w:right="20"/>
        <w:spacing w:after="0" w:line="275" w:lineRule="auto"/>
        <w:rPr>
          <w:sz w:val="20"/>
          <w:szCs w:val="20"/>
          <w:color w:val="auto"/>
        </w:rPr>
      </w:pPr>
      <w:r>
        <w:rPr>
          <w:rFonts w:ascii="Arial" w:cs="Arial" w:eastAsia="Arial" w:hAnsi="Arial"/>
          <w:sz w:val="12"/>
          <w:szCs w:val="12"/>
          <w:color w:val="auto"/>
        </w:rPr>
        <w:t>covenant, (iii) increased the Applicable Margins under the FILO and Revolving Facility (defined below) by 150 basis points and (iv) permitted the Company to enter into promissory notes with vendors in satisfaction of outstanding payables for existing goods, in an aggregate amount not to exceed $15.0 million (as amended, the “Credit Facility”)</w:t>
      </w:r>
      <w:r>
        <w:rPr>
          <w:rFonts w:ascii="Arial" w:cs="Arial" w:eastAsia="Arial" w:hAnsi="Arial"/>
          <w:sz w:val="14"/>
          <w:szCs w:val="14"/>
          <w:color w:val="auto"/>
        </w:rPr>
        <w:t>.</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letters of credit and up to $15.0 million for swingline loans. The Company’s ability to borrow under the Revolving Facility (the “Loan Cap”) is determined using an availability formula based on eligible assets. Pursuant to the Third Amendment, the excess availability under the Credit Facility cannot be less than the greater of (i) 10% of the Revolving Loan Cap (calculated without giving effect to the FILO (first-in, last-out) Push Down Reserve) or (ii) $10.0 million. </w:t>
      </w:r>
      <w:r>
        <w:rPr>
          <w:rFonts w:ascii="Arial" w:cs="Arial" w:eastAsia="Arial" w:hAnsi="Arial"/>
          <w:sz w:val="12"/>
          <w:szCs w:val="12"/>
          <w:color w:val="000033"/>
        </w:rPr>
        <w:t>The maturity date of the Credit</w:t>
      </w:r>
      <w:r>
        <w:rPr>
          <w:rFonts w:ascii="Arial" w:cs="Arial" w:eastAsia="Arial" w:hAnsi="Arial"/>
          <w:sz w:val="12"/>
          <w:szCs w:val="12"/>
          <w:color w:val="auto"/>
        </w:rPr>
        <w:t xml:space="preserve"> </w:t>
      </w:r>
      <w:r>
        <w:rPr>
          <w:rFonts w:ascii="Arial" w:cs="Arial" w:eastAsia="Arial" w:hAnsi="Arial"/>
          <w:sz w:val="12"/>
          <w:szCs w:val="12"/>
          <w:color w:val="000033"/>
        </w:rPr>
        <w:t xml:space="preserve">Facility is May 24, 2023. </w:t>
      </w:r>
      <w:r>
        <w:rPr>
          <w:rFonts w:ascii="Arial" w:cs="Arial" w:eastAsia="Arial" w:hAnsi="Arial"/>
          <w:sz w:val="12"/>
          <w:szCs w:val="12"/>
          <w:color w:val="000000"/>
        </w:rPr>
        <w:t>The Company’s obligations under the Credit Facility are secured by a lien on substantially all of its assets.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212121"/>
        </w:rPr>
        <w:t xml:space="preserve">To help manage its near-term liquidity in light of the uncertainty related to COVID-19 and provide financial flexibility, the Company drew $30.0 million under its secured revolving credit facility in March 2020. </w:t>
      </w:r>
      <w:r>
        <w:rPr>
          <w:rFonts w:ascii="Arial" w:cs="Arial" w:eastAsia="Arial" w:hAnsi="Arial"/>
          <w:sz w:val="12"/>
          <w:szCs w:val="12"/>
          <w:color w:val="000000"/>
        </w:rPr>
        <w:t>At May 2, 2020, the</w:t>
      </w:r>
      <w:r>
        <w:rPr>
          <w:rFonts w:ascii="Arial" w:cs="Arial" w:eastAsia="Arial" w:hAnsi="Arial"/>
          <w:sz w:val="12"/>
          <w:szCs w:val="12"/>
          <w:color w:val="212121"/>
        </w:rPr>
        <w:t xml:space="preserve"> </w:t>
      </w:r>
      <w:r>
        <w:rPr>
          <w:rFonts w:ascii="Arial" w:cs="Arial" w:eastAsia="Arial" w:hAnsi="Arial"/>
          <w:sz w:val="12"/>
          <w:szCs w:val="12"/>
          <w:color w:val="000000"/>
        </w:rPr>
        <w:t>Company had outstanding borrowings under the Revolving Facility of $79.8 million, before unamortized debt issuance costs of $0.3 million. At May 2, 2020, outstanding standby letters of credit were $2.8 million and outstanding documentary letters of credit were $1.9 million. Unused excess availability was $16.8 million at May 2, 2020. Average monthly borrowings outstanding under the Revolving Facility during the first three months of fiscal 2020 were $63.4 million, resulting in an average unused excess availability of approximately $31.7 million. The Company’s ability to borrow under the Revolving Facility was determined using an availability formula based on eligible assets, with increased advance rates based on seasonality.</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The Company was also subject to an unused line fee of 0.25%. At May 2, 2020, the Company’s prime-based interest rate was 5.00%. At May 2, 2020, the Company had approximately $79.5 million of its outstanding borrowings in LIBOR-based contracts with an interest rate of 3.75%. The LIBOR-based contracts expired on May 4, 2020. When a LIBOR-based borrowing expires, the borrowings revert back to prime-based borrowings unless the Company enters into a new LIBOR-based borrowing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Borrowings and repayments under the Revolving Facility for the three months ended May 2, 2020 and May 4, 2019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60" w:type="dxa"/>
            <w:vAlign w:val="bottom"/>
            <w:gridSpan w:val="3"/>
          </w:tcPr>
          <w:p>
            <w:pPr>
              <w:jc w:val="right"/>
              <w:ind w:right="205"/>
              <w:spacing w:after="0"/>
              <w:rPr>
                <w:sz w:val="20"/>
                <w:szCs w:val="20"/>
                <w:color w:val="auto"/>
              </w:rPr>
            </w:pPr>
            <w:r>
              <w:rPr>
                <w:rFonts w:ascii="Arial" w:cs="Arial" w:eastAsia="Arial" w:hAnsi="Arial"/>
                <w:sz w:val="10"/>
                <w:szCs w:val="10"/>
                <w:color w:val="auto"/>
              </w:rPr>
              <w:t>For the three months ended</w:t>
            </w: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612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240" w:type="dxa"/>
            <w:vAlign w:val="bottom"/>
            <w:tcBorders>
              <w:bottom w:val="single" w:sz="8" w:color="CFF0FC"/>
            </w:tcBorders>
            <w:gridSpan w:val="2"/>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jc w:val="right"/>
              <w:ind w:right="923"/>
              <w:spacing w:after="0" w:line="113" w:lineRule="exact"/>
              <w:rPr>
                <w:sz w:val="20"/>
                <w:szCs w:val="20"/>
                <w:color w:val="auto"/>
              </w:rPr>
            </w:pPr>
            <w:r>
              <w:rPr>
                <w:rFonts w:ascii="Arial" w:cs="Arial" w:eastAsia="Arial" w:hAnsi="Arial"/>
                <w:sz w:val="10"/>
                <w:szCs w:val="10"/>
                <w:color w:val="auto"/>
              </w:rPr>
              <w:t>May 2, 2020</w:t>
            </w:r>
          </w:p>
        </w:tc>
        <w:tc>
          <w:tcPr>
            <w:tcW w:w="32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right"/>
              <w:ind w:right="742"/>
              <w:spacing w:after="0" w:line="113" w:lineRule="exact"/>
              <w:rPr>
                <w:sz w:val="20"/>
                <w:szCs w:val="20"/>
                <w:color w:val="auto"/>
              </w:rPr>
            </w:pPr>
            <w:r>
              <w:rPr>
                <w:rFonts w:ascii="Arial" w:cs="Arial" w:eastAsia="Arial" w:hAnsi="Arial"/>
                <w:sz w:val="10"/>
                <w:szCs w:val="10"/>
                <w:color w:val="auto"/>
              </w:rPr>
              <w:t>May 4, 2019</w:t>
            </w:r>
          </w:p>
        </w:tc>
        <w:tc>
          <w:tcPr>
            <w:tcW w:w="120" w:type="dxa"/>
            <w:vAlign w:val="bottom"/>
            <w:tcBorders>
              <w:bottom w:val="single" w:sz="8" w:color="CFF0FC"/>
            </w:tcBorders>
          </w:tcPr>
          <w:p>
            <w:pPr>
              <w:spacing w:after="0"/>
              <w:rPr>
                <w:sz w:val="9"/>
                <w:szCs w:val="9"/>
                <w:color w:val="auto"/>
              </w:rPr>
            </w:pPr>
          </w:p>
        </w:tc>
      </w:tr>
      <w:tr>
        <w:trPr>
          <w:trHeight w:val="143"/>
        </w:trPr>
        <w:tc>
          <w:tcPr>
            <w:tcW w:w="636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Borrowings</w:t>
            </w:r>
          </w:p>
        </w:tc>
        <w:tc>
          <w:tcPr>
            <w:tcW w:w="520" w:type="dxa"/>
            <w:vAlign w:val="bottom"/>
            <w:shd w:val="clear" w:color="auto" w:fill="CFF0FC"/>
          </w:tcPr>
          <w:p>
            <w:pPr>
              <w:jc w:val="right"/>
              <w:ind w:right="393"/>
              <w:spacing w:after="0"/>
              <w:rPr>
                <w:sz w:val="20"/>
                <w:szCs w:val="20"/>
                <w:color w:val="auto"/>
              </w:rPr>
            </w:pPr>
            <w:r>
              <w:rPr>
                <w:rFonts w:ascii="Arial" w:cs="Arial" w:eastAsia="Arial" w:hAnsi="Arial"/>
                <w:sz w:val="12"/>
                <w:szCs w:val="12"/>
                <w:color w:val="auto"/>
                <w:w w:val="8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52,560</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05"/>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44,232</w:t>
            </w:r>
          </w:p>
        </w:tc>
        <w:tc>
          <w:tcPr>
            <w:tcW w:w="120" w:type="dxa"/>
            <w:vAlign w:val="bottom"/>
            <w:shd w:val="clear" w:color="auto" w:fill="CFF0FC"/>
          </w:tcPr>
          <w:p>
            <w:pPr>
              <w:spacing w:after="0"/>
              <w:rPr>
                <w:sz w:val="12"/>
                <w:szCs w:val="12"/>
                <w:color w:val="auto"/>
              </w:rPr>
            </w:pPr>
          </w:p>
        </w:tc>
      </w:tr>
      <w:tr>
        <w:trPr>
          <w:trHeight w:val="154"/>
        </w:trPr>
        <w:tc>
          <w:tcPr>
            <w:tcW w:w="6360" w:type="dxa"/>
            <w:vAlign w:val="bottom"/>
            <w:gridSpan w:val="3"/>
          </w:tcPr>
          <w:p>
            <w:pPr>
              <w:spacing w:after="0"/>
              <w:rPr>
                <w:sz w:val="20"/>
                <w:szCs w:val="20"/>
                <w:color w:val="auto"/>
              </w:rPr>
            </w:pPr>
            <w:r>
              <w:rPr>
                <w:rFonts w:ascii="Arial" w:cs="Arial" w:eastAsia="Arial" w:hAnsi="Arial"/>
                <w:sz w:val="12"/>
                <w:szCs w:val="12"/>
                <w:color w:val="auto"/>
              </w:rPr>
              <w:t>Repayments</w:t>
            </w:r>
          </w:p>
        </w:tc>
        <w:tc>
          <w:tcPr>
            <w:tcW w:w="520" w:type="dxa"/>
            <w:vAlign w:val="bottom"/>
          </w:tcPr>
          <w:p>
            <w:pPr>
              <w:spacing w:after="0"/>
              <w:rPr>
                <w:sz w:val="13"/>
                <w:szCs w:val="13"/>
                <w:color w:val="auto"/>
              </w:rPr>
            </w:pPr>
          </w:p>
        </w:tc>
        <w:tc>
          <w:tcPr>
            <w:tcW w:w="2220" w:type="dxa"/>
            <w:vAlign w:val="bottom"/>
            <w:gridSpan w:val="2"/>
          </w:tcPr>
          <w:p>
            <w:pPr>
              <w:jc w:val="right"/>
              <w:ind w:right="280"/>
              <w:spacing w:after="0"/>
              <w:rPr>
                <w:sz w:val="20"/>
                <w:szCs w:val="20"/>
                <w:color w:val="auto"/>
              </w:rPr>
            </w:pPr>
            <w:r>
              <w:rPr>
                <w:rFonts w:ascii="Arial" w:cs="Arial" w:eastAsia="Arial" w:hAnsi="Arial"/>
                <w:sz w:val="12"/>
                <w:szCs w:val="12"/>
                <w:color w:val="auto"/>
              </w:rPr>
              <w:t>(12,346)</w:t>
            </w:r>
          </w:p>
        </w:tc>
        <w:tc>
          <w:tcPr>
            <w:tcW w:w="44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2"/>
                <w:szCs w:val="12"/>
                <w:color w:val="auto"/>
              </w:rPr>
              <w:t>(21,896)</w:t>
            </w:r>
          </w:p>
        </w:tc>
      </w:tr>
      <w:tr>
        <w:trPr>
          <w:trHeight w:val="163"/>
        </w:trPr>
        <w:tc>
          <w:tcPr>
            <w:tcW w:w="6360" w:type="dxa"/>
            <w:vAlign w:val="bottom"/>
            <w:tcBorders>
              <w:top w:val="single" w:sz="8" w:color="CFF0FC"/>
              <w:bottom w:val="single" w:sz="8" w:color="CFF0FC"/>
              <w:right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Net borrowings (repayments)</w:t>
            </w:r>
          </w:p>
        </w:tc>
        <w:tc>
          <w:tcPr>
            <w:tcW w:w="520" w:type="dxa"/>
            <w:vAlign w:val="bottom"/>
            <w:tcBorders>
              <w:top w:val="single" w:sz="8" w:color="auto"/>
              <w:bottom w:val="single" w:sz="8" w:color="auto"/>
            </w:tcBorders>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40,214</w:t>
            </w:r>
          </w:p>
        </w:tc>
        <w:tc>
          <w:tcPr>
            <w:tcW w:w="320" w:type="dxa"/>
            <w:vAlign w:val="bottom"/>
            <w:tcBorders>
              <w:top w:val="single" w:sz="8" w:color="CFF0FC"/>
              <w:bottom w:val="single" w:sz="8" w:color="CFF0FC"/>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2"/>
                <w:szCs w:val="12"/>
                <w:color w:val="auto"/>
                <w:w w:val="8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22,336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521"/>
        </w:trPr>
        <w:tc>
          <w:tcPr>
            <w:tcW w:w="6360" w:type="dxa"/>
            <w:vAlign w:val="bottom"/>
            <w:gridSpan w:val="3"/>
          </w:tcPr>
          <w:p>
            <w:pPr>
              <w:spacing w:after="0"/>
              <w:rPr>
                <w:sz w:val="20"/>
                <w:szCs w:val="20"/>
                <w:color w:val="auto"/>
              </w:rPr>
            </w:pPr>
            <w:r>
              <w:rPr>
                <w:rFonts w:ascii="Arial" w:cs="Arial" w:eastAsia="Arial" w:hAnsi="Arial"/>
                <w:sz w:val="12"/>
                <w:szCs w:val="12"/>
                <w:color w:val="auto"/>
              </w:rPr>
              <w:t>The fair value of the amount outstanding under the Revolving Facility at May 2, 2020 approximated the carrying value.</w:t>
            </w: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0"/>
        </w:trPr>
        <w:tc>
          <w:tcPr>
            <w:tcW w:w="6360" w:type="dxa"/>
            <w:vAlign w:val="bottom"/>
            <w:gridSpan w:val="3"/>
          </w:tcPr>
          <w:p>
            <w:pPr>
              <w:spacing w:after="0"/>
              <w:rPr>
                <w:sz w:val="20"/>
                <w:szCs w:val="20"/>
                <w:color w:val="auto"/>
              </w:rPr>
            </w:pPr>
            <w:r>
              <w:rPr>
                <w:rFonts w:ascii="Arial" w:cs="Arial" w:eastAsia="Arial" w:hAnsi="Arial"/>
                <w:sz w:val="12"/>
                <w:szCs w:val="12"/>
                <w:b w:val="1"/>
                <w:bCs w:val="1"/>
                <w:color w:val="auto"/>
              </w:rPr>
              <w:t>Long-Term Debt</w:t>
            </w: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7"/>
        </w:trPr>
        <w:tc>
          <w:tcPr>
            <w:tcW w:w="6360" w:type="dxa"/>
            <w:vAlign w:val="bottom"/>
            <w:gridSpan w:val="3"/>
          </w:tcPr>
          <w:p>
            <w:pPr>
              <w:spacing w:after="0"/>
              <w:rPr>
                <w:sz w:val="20"/>
                <w:szCs w:val="20"/>
                <w:color w:val="auto"/>
              </w:rPr>
            </w:pPr>
            <w:r>
              <w:rPr>
                <w:rFonts w:ascii="Arial" w:cs="Arial" w:eastAsia="Arial" w:hAnsi="Arial"/>
                <w:sz w:val="12"/>
                <w:szCs w:val="12"/>
                <w:color w:val="auto"/>
              </w:rPr>
              <w:t>Long-term debt at May 2, 2020 and February 1, 2020 is as follows:</w:t>
            </w: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2"/>
        </w:trPr>
        <w:tc>
          <w:tcPr>
            <w:tcW w:w="6140" w:type="dxa"/>
            <w:vAlign w:val="bottom"/>
            <w:tcBorders>
              <w:bottom w:val="single" w:sz="8" w:color="auto"/>
            </w:tcBorders>
            <w:gridSpan w:val="2"/>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220" w:type="dxa"/>
            <w:vAlign w:val="bottom"/>
            <w:tcBorders>
              <w:bottom w:val="single" w:sz="8" w:color="CFF0FC"/>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jc w:val="right"/>
              <w:ind w:right="923"/>
              <w:spacing w:after="0" w:line="113" w:lineRule="exact"/>
              <w:rPr>
                <w:sz w:val="20"/>
                <w:szCs w:val="20"/>
                <w:color w:val="auto"/>
              </w:rPr>
            </w:pPr>
            <w:r>
              <w:rPr>
                <w:rFonts w:ascii="Arial" w:cs="Arial" w:eastAsia="Arial" w:hAnsi="Arial"/>
                <w:sz w:val="10"/>
                <w:szCs w:val="10"/>
                <w:color w:val="auto"/>
              </w:rPr>
              <w:t>May 2, 2020</w:t>
            </w:r>
          </w:p>
        </w:tc>
        <w:tc>
          <w:tcPr>
            <w:tcW w:w="32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jc w:val="right"/>
              <w:ind w:right="642"/>
              <w:spacing w:after="0" w:line="113" w:lineRule="exact"/>
              <w:rPr>
                <w:sz w:val="20"/>
                <w:szCs w:val="20"/>
                <w:color w:val="auto"/>
              </w:rPr>
            </w:pPr>
            <w:r>
              <w:rPr>
                <w:rFonts w:ascii="Arial" w:cs="Arial" w:eastAsia="Arial" w:hAnsi="Arial"/>
                <w:sz w:val="10"/>
                <w:szCs w:val="10"/>
                <w:color w:val="auto"/>
              </w:rPr>
              <w:t>February 1, 2020</w:t>
            </w:r>
          </w:p>
        </w:tc>
        <w:tc>
          <w:tcPr>
            <w:tcW w:w="120" w:type="dxa"/>
            <w:vAlign w:val="bottom"/>
            <w:tcBorders>
              <w:bottom w:val="single" w:sz="8" w:color="CFF0FC"/>
            </w:tcBorders>
          </w:tcPr>
          <w:p>
            <w:pPr>
              <w:spacing w:after="0"/>
              <w:rPr>
                <w:sz w:val="9"/>
                <w:szCs w:val="9"/>
                <w:color w:val="auto"/>
              </w:rPr>
            </w:pPr>
          </w:p>
        </w:tc>
      </w:tr>
      <w:tr>
        <w:trPr>
          <w:trHeight w:val="143"/>
        </w:trPr>
        <w:tc>
          <w:tcPr>
            <w:tcW w:w="636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FILO Loan</w:t>
            </w:r>
          </w:p>
        </w:tc>
        <w:tc>
          <w:tcPr>
            <w:tcW w:w="520" w:type="dxa"/>
            <w:vAlign w:val="bottom"/>
            <w:shd w:val="clear" w:color="auto" w:fill="CFF0FC"/>
          </w:tcPr>
          <w:p>
            <w:pPr>
              <w:jc w:val="right"/>
              <w:ind w:right="413"/>
              <w:spacing w:after="0"/>
              <w:rPr>
                <w:sz w:val="20"/>
                <w:szCs w:val="20"/>
                <w:color w:val="auto"/>
              </w:rPr>
            </w:pPr>
            <w:r>
              <w:rPr>
                <w:rFonts w:ascii="Arial" w:cs="Arial" w:eastAsia="Arial" w:hAnsi="Arial"/>
                <w:sz w:val="10"/>
                <w:szCs w:val="10"/>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25"/>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FF0FC"/>
          </w:tcPr>
          <w:p>
            <w:pPr>
              <w:spacing w:after="0"/>
              <w:rPr>
                <w:sz w:val="12"/>
                <w:szCs w:val="12"/>
                <w:color w:val="auto"/>
              </w:rPr>
            </w:pPr>
          </w:p>
        </w:tc>
      </w:tr>
      <w:tr>
        <w:trPr>
          <w:trHeight w:val="154"/>
        </w:trPr>
        <w:tc>
          <w:tcPr>
            <w:tcW w:w="6360" w:type="dxa"/>
            <w:vAlign w:val="bottom"/>
            <w:gridSpan w:val="3"/>
          </w:tcPr>
          <w:p>
            <w:pPr>
              <w:spacing w:after="0"/>
              <w:rPr>
                <w:sz w:val="20"/>
                <w:szCs w:val="20"/>
                <w:color w:val="auto"/>
              </w:rPr>
            </w:pPr>
            <w:r>
              <w:rPr>
                <w:rFonts w:ascii="Arial" w:cs="Arial" w:eastAsia="Arial" w:hAnsi="Arial"/>
                <w:sz w:val="12"/>
                <w:szCs w:val="12"/>
                <w:color w:val="auto"/>
              </w:rPr>
              <w:t>Less: unamortized debt issuance costs</w:t>
            </w:r>
          </w:p>
        </w:tc>
        <w:tc>
          <w:tcPr>
            <w:tcW w:w="520" w:type="dxa"/>
            <w:vAlign w:val="bottom"/>
          </w:tcPr>
          <w:p>
            <w:pPr>
              <w:spacing w:after="0"/>
              <w:rPr>
                <w:sz w:val="13"/>
                <w:szCs w:val="13"/>
                <w:color w:val="auto"/>
              </w:rPr>
            </w:pPr>
          </w:p>
        </w:tc>
        <w:tc>
          <w:tcPr>
            <w:tcW w:w="2220" w:type="dxa"/>
            <w:vAlign w:val="bottom"/>
            <w:gridSpan w:val="2"/>
          </w:tcPr>
          <w:p>
            <w:pPr>
              <w:jc w:val="right"/>
              <w:ind w:right="280"/>
              <w:spacing w:after="0"/>
              <w:rPr>
                <w:sz w:val="20"/>
                <w:szCs w:val="20"/>
                <w:color w:val="auto"/>
              </w:rPr>
            </w:pPr>
            <w:r>
              <w:rPr>
                <w:rFonts w:ascii="Arial" w:cs="Arial" w:eastAsia="Arial" w:hAnsi="Arial"/>
                <w:sz w:val="12"/>
                <w:szCs w:val="12"/>
                <w:color w:val="auto"/>
              </w:rPr>
              <w:t>(173)</w:t>
            </w:r>
          </w:p>
        </w:tc>
        <w:tc>
          <w:tcPr>
            <w:tcW w:w="440" w:type="dxa"/>
            <w:vAlign w:val="bottom"/>
          </w:tcPr>
          <w:p>
            <w:pPr>
              <w:spacing w:after="0"/>
              <w:rPr>
                <w:sz w:val="13"/>
                <w:szCs w:val="13"/>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2"/>
                <w:szCs w:val="12"/>
                <w:color w:val="auto"/>
              </w:rPr>
              <w:t>(187)</w:t>
            </w:r>
          </w:p>
        </w:tc>
      </w:tr>
      <w:tr>
        <w:trPr>
          <w:trHeight w:val="143"/>
        </w:trPr>
        <w:tc>
          <w:tcPr>
            <w:tcW w:w="6360" w:type="dxa"/>
            <w:vAlign w:val="bottom"/>
            <w:tcBorders>
              <w:top w:val="single" w:sz="8" w:color="CFF0FC"/>
              <w:right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Total long-term debt</w:t>
            </w:r>
          </w:p>
        </w:tc>
        <w:tc>
          <w:tcPr>
            <w:tcW w:w="520" w:type="dxa"/>
            <w:vAlign w:val="bottom"/>
            <w:tcBorders>
              <w:top w:val="single" w:sz="8" w:color="auto"/>
            </w:tcBorders>
            <w:shd w:val="clear" w:color="auto" w:fill="CFF0FC"/>
          </w:tcPr>
          <w:p>
            <w:pPr>
              <w:spacing w:after="0"/>
              <w:rPr>
                <w:sz w:val="12"/>
                <w:szCs w:val="12"/>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14,827</w:t>
            </w:r>
          </w:p>
        </w:tc>
        <w:tc>
          <w:tcPr>
            <w:tcW w:w="32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6360" w:type="dxa"/>
            <w:vAlign w:val="bottom"/>
            <w:tcBorders>
              <w:bottom w:val="single" w:sz="8" w:color="CFF0FC"/>
            </w:tcBorders>
            <w:gridSpan w:val="3"/>
          </w:tcPr>
          <w:p>
            <w:pPr>
              <w:spacing w:after="0"/>
              <w:rPr>
                <w:sz w:val="20"/>
                <w:szCs w:val="20"/>
                <w:color w:val="auto"/>
              </w:rPr>
            </w:pPr>
            <w:r>
              <w:rPr>
                <w:rFonts w:ascii="Arial" w:cs="Arial" w:eastAsia="Arial" w:hAnsi="Arial"/>
                <w:sz w:val="12"/>
                <w:szCs w:val="12"/>
                <w:color w:val="auto"/>
              </w:rPr>
              <w:t>Less: current portion of long-term debt</w:t>
            </w:r>
          </w:p>
        </w:tc>
        <w:tc>
          <w:tcPr>
            <w:tcW w:w="5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3"/>
        </w:trPr>
        <w:tc>
          <w:tcPr>
            <w:tcW w:w="636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2"/>
                <w:szCs w:val="12"/>
                <w:color w:val="auto"/>
              </w:rPr>
              <w:t>Long-term debt, net of current portion</w:t>
            </w:r>
          </w:p>
        </w:tc>
        <w:tc>
          <w:tcPr>
            <w:tcW w:w="520" w:type="dxa"/>
            <w:vAlign w:val="bottom"/>
            <w:shd w:val="clear" w:color="auto" w:fill="CFF0FC"/>
          </w:tcPr>
          <w:p>
            <w:pPr>
              <w:jc w:val="right"/>
              <w:ind w:right="413"/>
              <w:spacing w:after="0"/>
              <w:rPr>
                <w:sz w:val="20"/>
                <w:szCs w:val="20"/>
                <w:color w:val="auto"/>
              </w:rPr>
            </w:pPr>
            <w:r>
              <w:rPr>
                <w:rFonts w:ascii="Arial" w:cs="Arial" w:eastAsia="Arial" w:hAnsi="Arial"/>
                <w:sz w:val="10"/>
                <w:szCs w:val="10"/>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14,827</w:t>
            </w:r>
          </w:p>
        </w:tc>
        <w:tc>
          <w:tcPr>
            <w:tcW w:w="32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325"/>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shd w:val="clear" w:color="auto" w:fill="CFF0FC"/>
          </w:tcPr>
          <w:p>
            <w:pPr>
              <w:spacing w:after="0"/>
              <w:rPr>
                <w:sz w:val="12"/>
                <w:szCs w:val="12"/>
                <w:color w:val="auto"/>
              </w:rPr>
            </w:pPr>
          </w:p>
        </w:tc>
      </w:tr>
      <w:tr>
        <w:trPr>
          <w:trHeight w:val="27"/>
        </w:trPr>
        <w:tc>
          <w:tcPr>
            <w:tcW w:w="61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 Third Amendment to the Credit Facility extended these advance rates by approximately seven months before they begin to step down. The FILO loan can be repaid, in whole or in part, subject to certain payment conditions. The term loan expires on May 24, 2023, if not repaid in full prior to that date.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2"/>
          <w:szCs w:val="12"/>
          <w:color w:val="auto"/>
        </w:rPr>
        <w:t>As a result of extending the advance rates under the FILO loan, the applicable margin rates for borrowings were increased by approximately 150 basis points. Accordingly, borrowings made under the FILO loan will bear interest, calculated under either the Federal Funds rate or the LIBOR rate, at a rate equal to the following: (a) the Federal Funds rate plus a carrying percentage based on the Company’s excess availability, of either 3.75% or 4.00% until May 24, 2021 or 3.25% or 3.50% after May 24, 2021 or (b) the LIBOR rate (the Company being able to select interest periods of 1 week, 1 month, 2 months, 3 months or 6 months) plus a varying percentage based on the Company’s excess availability of either 4.75% or 5.00% until May 24, 2021, or 4.25% or 4.50% after May 24, 2021. At May 2, 2020, the outstanding balance of $15.0 million was in a 1-month LIBOR-based contract with an interest rate of 5.75%. The LIBOR-based contract expired on May 19, 2020. When a LIBOR-based contract expires, the borrowings revert back to prime-based borrowings unless the Company enters into a new LIBOR-based borrowing arrangement.</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The Company paid interest and fees totaling $0.7 million and $0.9 million for the three months ended May 2, 2020 and May 4, 2019,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Leases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is a summary of the Company’s components of net lease cost for the three months ended May 2, 2020 and May 4,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20" w:type="dxa"/>
            <w:vAlign w:val="bottom"/>
            <w:shd w:val="clear" w:color="auto" w:fill="CFF0FC"/>
          </w:tcPr>
          <w:p>
            <w:pPr>
              <w:spacing w:after="0"/>
              <w:rPr>
                <w:sz w:val="13"/>
                <w:szCs w:val="13"/>
                <w:color w:val="auto"/>
              </w:rPr>
            </w:pPr>
          </w:p>
        </w:tc>
        <w:tc>
          <w:tcPr>
            <w:tcW w:w="58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40" w:type="dxa"/>
            <w:vAlign w:val="bottom"/>
            <w:gridSpan w:val="5"/>
            <w:shd w:val="clear" w:color="auto" w:fill="CFF0FC"/>
          </w:tcPr>
          <w:p>
            <w:pPr>
              <w:jc w:val="right"/>
              <w:ind w:right="40"/>
              <w:spacing w:after="0"/>
              <w:rPr>
                <w:sz w:val="20"/>
                <w:szCs w:val="20"/>
                <w:color w:val="auto"/>
              </w:rPr>
            </w:pPr>
            <w:r>
              <w:rPr>
                <w:rFonts w:ascii="Arial" w:cs="Arial" w:eastAsia="Arial" w:hAnsi="Arial"/>
                <w:sz w:val="12"/>
                <w:szCs w:val="12"/>
                <w:color w:val="auto"/>
                <w:w w:val="95"/>
              </w:rPr>
              <w:t>For the three months ended</w:t>
            </w: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4"/>
        </w:trPr>
        <w:tc>
          <w:tcPr>
            <w:tcW w:w="720" w:type="dxa"/>
            <w:vAlign w:val="bottom"/>
            <w:shd w:val="clear" w:color="auto" w:fill="CFF0FC"/>
          </w:tcPr>
          <w:p>
            <w:pPr>
              <w:spacing w:after="0"/>
              <w:rPr>
                <w:sz w:val="11"/>
                <w:szCs w:val="11"/>
                <w:color w:val="auto"/>
              </w:rPr>
            </w:pPr>
          </w:p>
        </w:tc>
        <w:tc>
          <w:tcPr>
            <w:tcW w:w="5840" w:type="dxa"/>
            <w:vAlign w:val="bottom"/>
            <w:shd w:val="clear" w:color="auto" w:fill="CFF0FC"/>
          </w:tcPr>
          <w:p>
            <w:pPr>
              <w:spacing w:after="0"/>
              <w:rPr>
                <w:sz w:val="11"/>
                <w:szCs w:val="11"/>
                <w:color w:val="auto"/>
              </w:rPr>
            </w:pPr>
          </w:p>
        </w:tc>
        <w:tc>
          <w:tcPr>
            <w:tcW w:w="1540" w:type="dxa"/>
            <w:vAlign w:val="bottom"/>
            <w:gridSpan w:val="3"/>
            <w:shd w:val="clear" w:color="auto" w:fill="CFF0FC"/>
          </w:tcPr>
          <w:p>
            <w:pPr>
              <w:jc w:val="right"/>
              <w:ind w:right="180"/>
              <w:spacing w:after="0" w:line="127" w:lineRule="exact"/>
              <w:rPr>
                <w:sz w:val="20"/>
                <w:szCs w:val="20"/>
                <w:color w:val="auto"/>
              </w:rPr>
            </w:pPr>
            <w:r>
              <w:rPr>
                <w:rFonts w:ascii="Arial" w:cs="Arial" w:eastAsia="Arial" w:hAnsi="Arial"/>
                <w:sz w:val="12"/>
                <w:szCs w:val="12"/>
                <w:color w:val="auto"/>
              </w:rPr>
              <w:t>May 2, 2020</w:t>
            </w: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80" w:type="dxa"/>
            <w:vAlign w:val="bottom"/>
            <w:gridSpan w:val="5"/>
            <w:shd w:val="clear" w:color="auto" w:fill="CFF0FC"/>
          </w:tcPr>
          <w:p>
            <w:pPr>
              <w:spacing w:after="0" w:line="127" w:lineRule="exact"/>
              <w:rPr>
                <w:sz w:val="20"/>
                <w:szCs w:val="20"/>
                <w:color w:val="auto"/>
              </w:rPr>
            </w:pPr>
            <w:r>
              <w:rPr>
                <w:rFonts w:ascii="Arial" w:cs="Arial" w:eastAsia="Arial" w:hAnsi="Arial"/>
                <w:sz w:val="12"/>
                <w:szCs w:val="12"/>
                <w:color w:val="auto"/>
              </w:rPr>
              <w:t>May 4, 2019</w:t>
            </w:r>
          </w:p>
        </w:tc>
      </w:tr>
      <w:tr>
        <w:trPr>
          <w:trHeight w:val="154"/>
        </w:trPr>
        <w:tc>
          <w:tcPr>
            <w:tcW w:w="720" w:type="dxa"/>
            <w:vAlign w:val="bottom"/>
            <w:tcBorders>
              <w:top w:val="single" w:sz="8" w:color="CFF0FC"/>
            </w:tcBorders>
          </w:tcPr>
          <w:p>
            <w:pPr>
              <w:spacing w:after="0"/>
              <w:rPr>
                <w:sz w:val="20"/>
                <w:szCs w:val="20"/>
                <w:color w:val="auto"/>
              </w:rPr>
            </w:pPr>
            <w:r>
              <w:rPr>
                <w:rFonts w:ascii="Arial" w:cs="Arial" w:eastAsia="Arial" w:hAnsi="Arial"/>
                <w:sz w:val="12"/>
                <w:szCs w:val="12"/>
                <w:i w:val="1"/>
                <w:iCs w:val="1"/>
                <w:color w:val="auto"/>
                <w:w w:val="92"/>
              </w:rPr>
              <w:t>(in thousands)</w:t>
            </w:r>
          </w:p>
        </w:tc>
        <w:tc>
          <w:tcPr>
            <w:tcW w:w="584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2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4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4"/>
        </w:trPr>
        <w:tc>
          <w:tcPr>
            <w:tcW w:w="6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760" w:type="dxa"/>
            <w:vAlign w:val="bottom"/>
            <w:shd w:val="clear" w:color="auto" w:fill="CFF0FC"/>
          </w:tcPr>
          <w:p>
            <w:pPr>
              <w:jc w:val="right"/>
              <w:ind w:right="644"/>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12,640</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13,253</w:t>
            </w:r>
          </w:p>
        </w:tc>
        <w:tc>
          <w:tcPr>
            <w:tcW w:w="120" w:type="dxa"/>
            <w:vAlign w:val="bottom"/>
            <w:shd w:val="clear" w:color="auto" w:fill="CFF0FC"/>
          </w:tcPr>
          <w:p>
            <w:pPr>
              <w:spacing w:after="0"/>
              <w:rPr>
                <w:sz w:val="13"/>
                <w:szCs w:val="13"/>
                <w:color w:val="auto"/>
              </w:rPr>
            </w:pPr>
          </w:p>
        </w:tc>
      </w:tr>
      <w:tr>
        <w:trPr>
          <w:trHeight w:val="154"/>
        </w:trPr>
        <w:tc>
          <w:tcPr>
            <w:tcW w:w="6560" w:type="dxa"/>
            <w:vAlign w:val="bottom"/>
            <w:gridSpan w:val="2"/>
          </w:tcPr>
          <w:p>
            <w:pPr>
              <w:spacing w:after="0"/>
              <w:rPr>
                <w:sz w:val="20"/>
                <w:szCs w:val="20"/>
                <w:color w:val="auto"/>
              </w:rPr>
            </w:pPr>
            <w:r>
              <w:rPr>
                <w:rFonts w:ascii="Arial" w:cs="Arial" w:eastAsia="Arial" w:hAnsi="Arial"/>
                <w:sz w:val="12"/>
                <w:szCs w:val="12"/>
                <w:color w:val="auto"/>
              </w:rPr>
              <w:t xml:space="preserve">Short-term lease costs </w:t>
            </w:r>
            <w:r>
              <w:rPr>
                <w:rFonts w:ascii="Arial" w:cs="Arial" w:eastAsia="Arial" w:hAnsi="Arial"/>
                <w:sz w:val="10"/>
                <w:szCs w:val="10"/>
                <w:color w:val="auto"/>
              </w:rPr>
              <w:t>(1)</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6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Variable lease costs</w:t>
            </w:r>
            <w:r>
              <w:rPr>
                <w:rFonts w:ascii="Arial" w:cs="Arial" w:eastAsia="Arial" w:hAnsi="Arial"/>
                <w:sz w:val="10"/>
                <w:szCs w:val="10"/>
                <w:color w:val="auto"/>
              </w:rPr>
              <w:t>(2)</w:t>
            </w:r>
          </w:p>
        </w:tc>
        <w:tc>
          <w:tcPr>
            <w:tcW w:w="7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3,800</w:t>
            </w:r>
          </w:p>
        </w:tc>
        <w:tc>
          <w:tcPr>
            <w:tcW w:w="1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2"/>
                <w:szCs w:val="12"/>
                <w:color w:val="auto"/>
              </w:rPr>
              <w:t>4,045</w:t>
            </w:r>
          </w:p>
        </w:tc>
        <w:tc>
          <w:tcPr>
            <w:tcW w:w="120" w:type="dxa"/>
            <w:vAlign w:val="bottom"/>
            <w:shd w:val="clear" w:color="auto" w:fill="CFF0FC"/>
          </w:tcPr>
          <w:p>
            <w:pPr>
              <w:spacing w:after="0"/>
              <w:rPr>
                <w:sz w:val="13"/>
                <w:szCs w:val="13"/>
                <w:color w:val="auto"/>
              </w:rPr>
            </w:pPr>
          </w:p>
        </w:tc>
      </w:tr>
      <w:tr>
        <w:trPr>
          <w:trHeight w:val="150"/>
        </w:trPr>
        <w:tc>
          <w:tcPr>
            <w:tcW w:w="6560" w:type="dxa"/>
            <w:vAlign w:val="bottom"/>
            <w:gridSpan w:val="2"/>
          </w:tcPr>
          <w:p>
            <w:pPr>
              <w:spacing w:after="0"/>
              <w:rPr>
                <w:sz w:val="20"/>
                <w:szCs w:val="20"/>
                <w:color w:val="auto"/>
              </w:rPr>
            </w:pPr>
            <w:r>
              <w:rPr>
                <w:rFonts w:ascii="Arial" w:cs="Arial" w:eastAsia="Arial" w:hAnsi="Arial"/>
                <w:sz w:val="12"/>
                <w:szCs w:val="12"/>
                <w:color w:val="auto"/>
              </w:rPr>
              <w:t>Total lease costs</w:t>
            </w:r>
          </w:p>
        </w:tc>
        <w:tc>
          <w:tcPr>
            <w:tcW w:w="76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16,440</w:t>
            </w:r>
          </w:p>
        </w:tc>
        <w:tc>
          <w:tcPr>
            <w:tcW w:w="10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17,298</w:t>
            </w:r>
          </w:p>
        </w:tc>
        <w:tc>
          <w:tcPr>
            <w:tcW w:w="120" w:type="dxa"/>
            <w:vAlign w:val="bottom"/>
          </w:tcPr>
          <w:p>
            <w:pPr>
              <w:spacing w:after="0"/>
              <w:rPr>
                <w:sz w:val="13"/>
                <w:szCs w:val="13"/>
                <w:color w:val="auto"/>
              </w:rPr>
            </w:pPr>
          </w:p>
        </w:tc>
      </w:tr>
      <w:tr>
        <w:trPr>
          <w:trHeight w:val="281"/>
        </w:trPr>
        <w:tc>
          <w:tcPr>
            <w:tcW w:w="720" w:type="dxa"/>
            <w:vAlign w:val="bottom"/>
          </w:tcPr>
          <w:p>
            <w:pPr>
              <w:ind w:left="360"/>
              <w:spacing w:after="0"/>
              <w:rPr>
                <w:sz w:val="20"/>
                <w:szCs w:val="20"/>
                <w:color w:val="auto"/>
              </w:rPr>
            </w:pPr>
            <w:r>
              <w:rPr>
                <w:rFonts w:ascii="Arial" w:cs="Arial" w:eastAsia="Arial" w:hAnsi="Arial"/>
                <w:sz w:val="12"/>
                <w:szCs w:val="12"/>
                <w:color w:val="auto"/>
              </w:rPr>
              <w:t>(1)</w:t>
            </w:r>
          </w:p>
        </w:tc>
        <w:tc>
          <w:tcPr>
            <w:tcW w:w="5840" w:type="dxa"/>
            <w:vAlign w:val="bottom"/>
          </w:tcPr>
          <w:p>
            <w:pPr>
              <w:ind w:left="20"/>
              <w:spacing w:after="0"/>
              <w:rPr>
                <w:sz w:val="20"/>
                <w:szCs w:val="20"/>
                <w:color w:val="auto"/>
              </w:rPr>
            </w:pPr>
            <w:r>
              <w:rPr>
                <w:rFonts w:ascii="Arial" w:cs="Arial" w:eastAsia="Arial" w:hAnsi="Arial"/>
                <w:sz w:val="12"/>
                <w:szCs w:val="12"/>
                <w:color w:val="auto"/>
              </w:rPr>
              <w:t>The Company had no short-term lease costs.</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720" w:type="dxa"/>
            <w:vAlign w:val="bottom"/>
          </w:tcPr>
          <w:p>
            <w:pPr>
              <w:ind w:left="360"/>
              <w:spacing w:after="0"/>
              <w:rPr>
                <w:sz w:val="20"/>
                <w:szCs w:val="20"/>
                <w:color w:val="auto"/>
              </w:rPr>
            </w:pPr>
            <w:r>
              <w:rPr>
                <w:rFonts w:ascii="Arial" w:cs="Arial" w:eastAsia="Arial" w:hAnsi="Arial"/>
                <w:sz w:val="12"/>
                <w:szCs w:val="12"/>
                <w:color w:val="auto"/>
              </w:rPr>
              <w:t>(2)</w:t>
            </w:r>
          </w:p>
        </w:tc>
        <w:tc>
          <w:tcPr>
            <w:tcW w:w="5840" w:type="dxa"/>
            <w:vAlign w:val="bottom"/>
          </w:tcPr>
          <w:p>
            <w:pPr>
              <w:ind w:left="20"/>
              <w:spacing w:after="0"/>
              <w:rPr>
                <w:sz w:val="20"/>
                <w:szCs w:val="20"/>
                <w:color w:val="auto"/>
              </w:rPr>
            </w:pPr>
            <w:r>
              <w:rPr>
                <w:rFonts w:ascii="Arial" w:cs="Arial" w:eastAsia="Arial" w:hAnsi="Arial"/>
                <w:sz w:val="12"/>
                <w:szCs w:val="12"/>
                <w:color w:val="auto"/>
                <w:w w:val="88"/>
              </w:rPr>
              <w:t>Variable lease costs include the cost of property taxes, insurance and common area maintenance fees related to its leases.</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62"/>
        </w:trPr>
        <w:tc>
          <w:tcPr>
            <w:tcW w:w="8100" w:type="dxa"/>
            <w:vAlign w:val="bottom"/>
            <w:gridSpan w:val="5"/>
          </w:tcPr>
          <w:p>
            <w:pPr>
              <w:spacing w:after="0"/>
              <w:rPr>
                <w:sz w:val="20"/>
                <w:szCs w:val="20"/>
                <w:color w:val="auto"/>
              </w:rPr>
            </w:pPr>
            <w:r>
              <w:rPr>
                <w:rFonts w:ascii="Arial" w:cs="Arial" w:eastAsia="Arial" w:hAnsi="Arial"/>
                <w:sz w:val="12"/>
                <w:szCs w:val="12"/>
                <w:color w:val="auto"/>
              </w:rPr>
              <w:t>Supplemental cash flow and balance sheet information related to leases for the first three months ended May 2, 2020 and May 4, 2019 is as follows: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3"/>
        </w:trPr>
        <w:tc>
          <w:tcPr>
            <w:tcW w:w="6560" w:type="dxa"/>
            <w:vAlign w:val="bottom"/>
            <w:gridSpan w:val="2"/>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3"/>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gridSpan w:val="2"/>
          </w:tcPr>
          <w:p>
            <w:pPr>
              <w:spacing w:after="0"/>
              <w:rPr>
                <w:sz w:val="6"/>
                <w:szCs w:val="6"/>
                <w:color w:val="auto"/>
              </w:rPr>
            </w:pPr>
          </w:p>
        </w:tc>
      </w:tr>
      <w:tr>
        <w:trPr>
          <w:trHeight w:val="154"/>
        </w:trPr>
        <w:tc>
          <w:tcPr>
            <w:tcW w:w="6560" w:type="dxa"/>
            <w:vAlign w:val="bottom"/>
            <w:gridSpan w:val="2"/>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spacing w:after="0"/>
              <w:rPr>
                <w:sz w:val="13"/>
                <w:szCs w:val="13"/>
                <w:color w:val="auto"/>
              </w:rPr>
            </w:pPr>
          </w:p>
        </w:tc>
      </w:tr>
      <w:tr>
        <w:trPr>
          <w:trHeight w:val="154"/>
        </w:trPr>
        <w:tc>
          <w:tcPr>
            <w:tcW w:w="6560" w:type="dxa"/>
            <w:vAlign w:val="bottom"/>
            <w:gridSpan w:val="2"/>
          </w:tcPr>
          <w:p>
            <w:pPr>
              <w:spacing w:after="0"/>
              <w:rPr>
                <w:sz w:val="20"/>
                <w:szCs w:val="20"/>
                <w:color w:val="auto"/>
              </w:rPr>
            </w:pPr>
            <w:r>
              <w:rPr>
                <w:rFonts w:ascii="Arial" w:cs="Arial" w:eastAsia="Arial" w:hAnsi="Arial"/>
                <w:sz w:val="12"/>
                <w:szCs w:val="12"/>
                <w:i w:val="1"/>
                <w:iCs w:val="1"/>
                <w:color w:val="auto"/>
              </w:rPr>
              <w:t>(dollars in thousands)</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8"/>
          </w:tcPr>
          <w:p>
            <w:pPr>
              <w:ind w:left="100"/>
              <w:spacing w:after="0"/>
              <w:rPr>
                <w:sz w:val="20"/>
                <w:szCs w:val="20"/>
                <w:color w:val="auto"/>
              </w:rPr>
            </w:pPr>
            <w:r>
              <w:rPr>
                <w:rFonts w:ascii="Arial" w:cs="Arial" w:eastAsia="Arial" w:hAnsi="Arial"/>
                <w:sz w:val="12"/>
                <w:szCs w:val="12"/>
                <w:color w:val="auto"/>
              </w:rPr>
              <w:t>For the three months ended</w:t>
            </w:r>
          </w:p>
        </w:tc>
      </w:tr>
      <w:tr>
        <w:trPr>
          <w:trHeight w:val="134"/>
        </w:trPr>
        <w:tc>
          <w:tcPr>
            <w:tcW w:w="6560" w:type="dxa"/>
            <w:vAlign w:val="bottom"/>
            <w:gridSpan w:val="2"/>
            <w:shd w:val="clear" w:color="auto" w:fill="CFF0FC"/>
          </w:tcPr>
          <w:p>
            <w:pPr>
              <w:spacing w:after="0" w:line="127" w:lineRule="exact"/>
              <w:rPr>
                <w:sz w:val="20"/>
                <w:szCs w:val="20"/>
                <w:color w:val="auto"/>
              </w:rPr>
            </w:pPr>
            <w:r>
              <w:rPr>
                <w:rFonts w:ascii="Arial" w:cs="Arial" w:eastAsia="Arial" w:hAnsi="Arial"/>
                <w:sz w:val="12"/>
                <w:szCs w:val="12"/>
                <w:color w:val="auto"/>
              </w:rPr>
              <w:t>Cash paid for amounts included in the measurement of lease liabilities:</w:t>
            </w:r>
          </w:p>
        </w:tc>
        <w:tc>
          <w:tcPr>
            <w:tcW w:w="7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40" w:type="dxa"/>
            <w:vAlign w:val="bottom"/>
            <w:gridSpan w:val="4"/>
            <w:shd w:val="clear" w:color="auto" w:fill="CFF0FC"/>
          </w:tcPr>
          <w:p>
            <w:pPr>
              <w:jc w:val="right"/>
              <w:ind w:right="560"/>
              <w:spacing w:after="0" w:line="127" w:lineRule="exact"/>
              <w:rPr>
                <w:sz w:val="20"/>
                <w:szCs w:val="20"/>
                <w:color w:val="auto"/>
              </w:rPr>
            </w:pPr>
            <w:r>
              <w:rPr>
                <w:rFonts w:ascii="Arial" w:cs="Arial" w:eastAsia="Arial" w:hAnsi="Arial"/>
                <w:sz w:val="12"/>
                <w:szCs w:val="12"/>
                <w:color w:val="auto"/>
                <w:w w:val="90"/>
              </w:rPr>
              <w:t>May 2, 2020</w:t>
            </w:r>
          </w:p>
        </w:tc>
        <w:tc>
          <w:tcPr>
            <w:tcW w:w="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40" w:type="dxa"/>
            <w:vAlign w:val="bottom"/>
            <w:gridSpan w:val="4"/>
            <w:shd w:val="clear" w:color="auto" w:fill="CFF0FC"/>
          </w:tcPr>
          <w:p>
            <w:pPr>
              <w:spacing w:after="0" w:line="127" w:lineRule="exact"/>
              <w:rPr>
                <w:sz w:val="20"/>
                <w:szCs w:val="20"/>
                <w:color w:val="auto"/>
              </w:rPr>
            </w:pPr>
            <w:r>
              <w:rPr>
                <w:rFonts w:ascii="Arial" w:cs="Arial" w:eastAsia="Arial" w:hAnsi="Arial"/>
                <w:sz w:val="12"/>
                <w:szCs w:val="12"/>
                <w:color w:val="auto"/>
              </w:rPr>
              <w:t>May 4, 2019</w:t>
            </w:r>
          </w:p>
        </w:tc>
      </w:tr>
      <w:tr>
        <w:trPr>
          <w:trHeight w:val="154"/>
        </w:trPr>
        <w:tc>
          <w:tcPr>
            <w:tcW w:w="6560" w:type="dxa"/>
            <w:vAlign w:val="bottom"/>
            <w:tcBorders>
              <w:top w:val="single" w:sz="8" w:color="CFF0FC"/>
            </w:tcBorders>
            <w:gridSpan w:val="2"/>
          </w:tcPr>
          <w:p>
            <w:pPr>
              <w:ind w:left="80"/>
              <w:spacing w:after="0"/>
              <w:rPr>
                <w:sz w:val="20"/>
                <w:szCs w:val="20"/>
                <w:color w:val="auto"/>
              </w:rPr>
            </w:pPr>
            <w:r>
              <w:rPr>
                <w:rFonts w:ascii="Arial" w:cs="Arial" w:eastAsia="Arial" w:hAnsi="Arial"/>
                <w:sz w:val="12"/>
                <w:szCs w:val="12"/>
                <w:color w:val="auto"/>
              </w:rPr>
              <w:t xml:space="preserve">Operating cash flows for operating leases </w:t>
            </w:r>
            <w:r>
              <w:rPr>
                <w:rFonts w:ascii="Arial" w:cs="Arial" w:eastAsia="Arial" w:hAnsi="Arial"/>
                <w:sz w:val="10"/>
                <w:szCs w:val="10"/>
                <w:color w:val="auto"/>
              </w:rPr>
              <w:t>(1)</w:t>
            </w:r>
          </w:p>
        </w:tc>
        <w:tc>
          <w:tcPr>
            <w:tcW w:w="1540" w:type="dxa"/>
            <w:vAlign w:val="bottom"/>
            <w:tcBorders>
              <w:top w:val="single" w:sz="8" w:color="CFF0FC"/>
            </w:tcBorders>
            <w:gridSpan w:val="3"/>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CFF0FC"/>
            </w:tcBorders>
          </w:tcPr>
          <w:p>
            <w:pPr>
              <w:jc w:val="right"/>
              <w:ind w:right="60"/>
              <w:spacing w:after="0"/>
              <w:rPr>
                <w:sz w:val="20"/>
                <w:szCs w:val="20"/>
                <w:color w:val="auto"/>
              </w:rPr>
            </w:pPr>
            <w:r>
              <w:rPr>
                <w:rFonts w:ascii="Arial" w:cs="Arial" w:eastAsia="Arial" w:hAnsi="Arial"/>
                <w:sz w:val="12"/>
                <w:szCs w:val="12"/>
                <w:color w:val="auto"/>
              </w:rPr>
              <w:t>9,805</w:t>
            </w: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CFF0FC"/>
            </w:tcBorders>
          </w:tcPr>
          <w:p>
            <w:pPr>
              <w:spacing w:after="0"/>
              <w:rPr>
                <w:sz w:val="13"/>
                <w:szCs w:val="13"/>
                <w:color w:val="auto"/>
              </w:rPr>
            </w:pPr>
          </w:p>
        </w:tc>
        <w:tc>
          <w:tcPr>
            <w:tcW w:w="600" w:type="dxa"/>
            <w:vAlign w:val="bottom"/>
            <w:tcBorders>
              <w:top w:val="single" w:sz="8" w:color="auto"/>
            </w:tcBorders>
            <w:gridSpan w:val="2"/>
          </w:tcPr>
          <w:p>
            <w:pPr>
              <w:spacing w:after="0"/>
              <w:rPr>
                <w:sz w:val="13"/>
                <w:szCs w:val="13"/>
                <w:color w:val="auto"/>
              </w:rPr>
            </w:pPr>
          </w:p>
        </w:tc>
        <w:tc>
          <w:tcPr>
            <w:tcW w:w="42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14,611</w:t>
            </w:r>
          </w:p>
        </w:tc>
        <w:tc>
          <w:tcPr>
            <w:tcW w:w="120" w:type="dxa"/>
            <w:vAlign w:val="bottom"/>
            <w:tcBorders>
              <w:top w:val="single" w:sz="8" w:color="CFF0FC"/>
            </w:tcBorders>
          </w:tcPr>
          <w:p>
            <w:pPr>
              <w:spacing w:after="0"/>
              <w:rPr>
                <w:sz w:val="13"/>
                <w:szCs w:val="13"/>
                <w:color w:val="auto"/>
              </w:rPr>
            </w:pPr>
          </w:p>
        </w:tc>
      </w:tr>
      <w:tr>
        <w:trPr>
          <w:trHeight w:val="154"/>
        </w:trPr>
        <w:tc>
          <w:tcPr>
            <w:tcW w:w="6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Non-cash operating activities:</w:t>
            </w:r>
          </w:p>
        </w:tc>
        <w:tc>
          <w:tcPr>
            <w:tcW w:w="7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6560" w:type="dxa"/>
            <w:vAlign w:val="bottom"/>
            <w:gridSpan w:val="2"/>
          </w:tcPr>
          <w:p>
            <w:pPr>
              <w:ind w:left="8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15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559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4"/>
          </w:tcPr>
          <w:p>
            <w:pPr>
              <w:jc w:val="right"/>
              <w:spacing w:after="0"/>
              <w:rPr>
                <w:sz w:val="20"/>
                <w:szCs w:val="20"/>
                <w:color w:val="auto"/>
              </w:rPr>
            </w:pPr>
            <w:r>
              <w:rPr>
                <w:rFonts w:ascii="Arial" w:cs="Arial" w:eastAsia="Arial" w:hAnsi="Arial"/>
                <w:sz w:val="12"/>
                <w:szCs w:val="12"/>
                <w:color w:val="auto"/>
              </w:rPr>
              <w:t>1,851</w:t>
            </w:r>
          </w:p>
        </w:tc>
        <w:tc>
          <w:tcPr>
            <w:tcW w:w="120" w:type="dxa"/>
            <w:vAlign w:val="bottom"/>
          </w:tcPr>
          <w:p>
            <w:pPr>
              <w:spacing w:after="0"/>
              <w:rPr>
                <w:sz w:val="13"/>
                <w:szCs w:val="13"/>
                <w:color w:val="auto"/>
              </w:rPr>
            </w:pPr>
          </w:p>
        </w:tc>
      </w:tr>
      <w:tr>
        <w:trPr>
          <w:trHeight w:val="154"/>
        </w:trPr>
        <w:tc>
          <w:tcPr>
            <w:tcW w:w="6560" w:type="dxa"/>
            <w:vAlign w:val="bottom"/>
            <w:gridSpan w:val="2"/>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spacing w:after="0"/>
              <w:rPr>
                <w:sz w:val="13"/>
                <w:szCs w:val="13"/>
                <w:color w:val="auto"/>
              </w:rPr>
            </w:pPr>
          </w:p>
        </w:tc>
      </w:tr>
      <w:tr>
        <w:trPr>
          <w:trHeight w:val="154"/>
        </w:trPr>
        <w:tc>
          <w:tcPr>
            <w:tcW w:w="6560" w:type="dxa"/>
            <w:vAlign w:val="bottom"/>
            <w:gridSpan w:val="2"/>
          </w:tcPr>
          <w:p>
            <w:pPr>
              <w:spacing w:after="0"/>
              <w:rPr>
                <w:sz w:val="20"/>
                <w:szCs w:val="20"/>
                <w:color w:val="auto"/>
              </w:rPr>
            </w:pPr>
            <w:r>
              <w:rPr>
                <w:rFonts w:ascii="Arial" w:cs="Arial" w:eastAsia="Arial" w:hAnsi="Arial"/>
                <w:sz w:val="12"/>
                <w:szCs w:val="12"/>
                <w:color w:val="auto"/>
              </w:rPr>
              <w:t>Weighted average remaining lease term</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5.2 yrs.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color w:val="auto"/>
              </w:rPr>
              <w:t>5.8 yrs.</w:t>
            </w:r>
          </w:p>
        </w:tc>
      </w:tr>
      <w:tr>
        <w:trPr>
          <w:trHeight w:val="154"/>
        </w:trPr>
        <w:tc>
          <w:tcPr>
            <w:tcW w:w="6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Weighted average discount rate</w:t>
            </w:r>
          </w:p>
        </w:tc>
        <w:tc>
          <w:tcPr>
            <w:tcW w:w="7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7.08%</w:t>
            </w:r>
          </w:p>
        </w:tc>
        <w:tc>
          <w:tcPr>
            <w:tcW w:w="180" w:type="dxa"/>
            <w:vAlign w:val="bottom"/>
            <w:shd w:val="clear" w:color="auto" w:fill="CFF0FC"/>
          </w:tcPr>
          <w:p>
            <w:pPr>
              <w:spacing w:after="0"/>
              <w:rPr>
                <w:sz w:val="13"/>
                <w:szCs w:val="13"/>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7.08%</w:t>
            </w:r>
          </w:p>
        </w:tc>
        <w:tc>
          <w:tcPr>
            <w:tcW w:w="12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ind w:left="740" w:right="20" w:hanging="376"/>
        <w:spacing w:after="0" w:line="279" w:lineRule="auto"/>
        <w:tabs>
          <w:tab w:leader="none" w:pos="740" w:val="left"/>
        </w:tabs>
        <w:numPr>
          <w:ilvl w:val="0"/>
          <w:numId w:val="5"/>
        </w:numPr>
        <w:rPr>
          <w:rFonts w:ascii="Arial" w:cs="Arial" w:eastAsia="Arial" w:hAnsi="Arial"/>
          <w:sz w:val="12"/>
          <w:szCs w:val="12"/>
          <w:color w:val="212121"/>
        </w:rPr>
      </w:pPr>
      <w:r>
        <w:rPr>
          <w:rFonts w:ascii="Arial" w:cs="Arial" w:eastAsia="Arial" w:hAnsi="Arial"/>
          <w:sz w:val="12"/>
          <w:szCs w:val="12"/>
          <w:color w:val="212121"/>
        </w:rPr>
        <w:t>Due to the store closures, the Company did not make scheduled rent payments, due April 1, 2020, of $4.2 million, this amount is included in the Accounts Payable balance at May 2, 2020. We are engaging with landlords to discuss rent concessions. No rent concessions were agreed upon until the second quarter of fiscal 2020.</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reconciles the undiscounted cash flows for each of the first five years and total of the remaining years to the operating lease liabilities recorded on the Consolidated Balance Sheet as of May 2, 2020: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4"/>
        </w:trPr>
        <w:tc>
          <w:tcPr>
            <w:tcW w:w="59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2020 (remaining)</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41,479</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2021</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54,468</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49,225</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2023</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41,156</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30,855</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38,245</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255,428</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amount of lease payments representing interest</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41,873</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213,555</w:t>
            </w:r>
          </w:p>
        </w:tc>
        <w:tc>
          <w:tcPr>
            <w:tcW w:w="120" w:type="dxa"/>
            <w:vAlign w:val="bottom"/>
            <w:shd w:val="clear" w:color="auto" w:fill="CFF0FC"/>
          </w:tcPr>
          <w:p>
            <w:pPr>
              <w:spacing w:after="0"/>
              <w:rPr>
                <w:sz w:val="12"/>
                <w:szCs w:val="12"/>
                <w:color w:val="auto"/>
              </w:rPr>
            </w:pPr>
          </w:p>
        </w:tc>
      </w:tr>
      <w:tr>
        <w:trPr>
          <w:trHeight w:val="154"/>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current obligations under leases</w:t>
            </w:r>
          </w:p>
        </w:tc>
        <w:tc>
          <w:tcPr>
            <w:tcW w:w="4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41,780</w:t>
            </w:r>
          </w:p>
        </w:tc>
        <w:tc>
          <w:tcPr>
            <w:tcW w:w="120" w:type="dxa"/>
            <w:vAlign w:val="bottom"/>
            <w:tcBorders>
              <w:bottom w:val="single" w:sz="8" w:color="CFF0FC"/>
            </w:tcBorders>
          </w:tcPr>
          <w:p>
            <w:pPr>
              <w:spacing w:after="0"/>
              <w:rPr>
                <w:sz w:val="13"/>
                <w:szCs w:val="13"/>
                <w:color w:val="auto"/>
              </w:rPr>
            </w:pPr>
          </w:p>
        </w:tc>
      </w:tr>
      <w:tr>
        <w:trPr>
          <w:trHeight w:val="143"/>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Long-term lease obligations</w:t>
            </w:r>
          </w:p>
        </w:tc>
        <w:tc>
          <w:tcPr>
            <w:tcW w:w="414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171,775</w:t>
            </w:r>
          </w:p>
        </w:tc>
        <w:tc>
          <w:tcPr>
            <w:tcW w:w="120" w:type="dxa"/>
            <w:vAlign w:val="bottom"/>
            <w:shd w:val="clear" w:color="auto" w:fill="CFF0FC"/>
          </w:tcPr>
          <w:p>
            <w:pPr>
              <w:spacing w:after="0"/>
              <w:rPr>
                <w:sz w:val="12"/>
                <w:szCs w:val="12"/>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Long-Term Incentive Plans</w:t>
      </w:r>
    </w:p>
    <w:p>
      <w:pPr>
        <w:spacing w:after="0" w:line="83"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2"/>
          <w:szCs w:val="12"/>
          <w:i w:val="1"/>
          <w:iCs w:val="1"/>
          <w:color w:val="auto"/>
        </w:rPr>
        <w:t>Stock-Based Compensation</w:t>
      </w:r>
      <w:r>
        <w:rPr>
          <w:rFonts w:ascii="Arial" w:cs="Arial" w:eastAsia="Arial" w:hAnsi="Arial"/>
          <w:sz w:val="12"/>
          <w:szCs w:val="12"/>
          <w:color w:val="auto"/>
        </w:rPr>
        <w:t>.</w:t>
      </w:r>
    </w:p>
    <w:p>
      <w:pPr>
        <w:spacing w:after="0" w:line="114"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At May 2, 2020, the Company has two active LTIPs: 2018-2020 LTIP and 2019-2021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under the 2018-2020 LTIP were restricted stock units (RSUs). For the 2019-2021 LTIP, 50% of the time-based awards granted were RSUs and 50% were cash.</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Performance targets for the 2018-2020 LTIP and the 2019-2021 LTIP were established and approved by the Compensation Committee on October 24, 2018 and August 7, 2019, respectively. Performance period for both LTIPs is three years. Awards for any achievement of performance targets will not be granted until the performance targets are achieved and then will be subject to additional vesting through August 31, 2021 and August 31, 2022, respectively. The time-based awards under the 2018-2020 LTIP and the 2019-2021 LTIP vest in four equal installments through April 1, 2022 and April 1, 2023, respectively. Assuming that the Company achieves the performance targets at target levels and all time-based awards vest, the compensation expense associated with the 2018-2020 LTIP is estimated to be approximately $3.7 million. Approximately half of the compensation expense relates to the time-vested RSUs, which is being expensed straight-line over 41 months. Through the end of the first quarter of fiscal 2020, the Company has accrued $0.2 million for performance awards under the 2018-2020 LTIP. For the 2019-2021 LTIP, assuming that the Company achieves the performance targets at target levels and all time-based awards vest, the compensation expense is estimated to be approximately $3.8 million. Approximately half of the compensation relates to time-based awards, 50% RSUs and 50% cash, which is being expensed straight-line over 44 months. There was no accrual at May 2, 2020 for performance awards under the 2019-2021 LTIP.</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Stock-Based Compensation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On August 8, 2019, the Company’s shareholders approved an amendment to increase the share reserve by an additional 2,800,000 shares. At May 2, 2020, the Company had 3,980,412 shares available under the 2016 Plan.</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May 2, 2020, 504,024 stock options remained outstanding under the 2006 Plan.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The following tables summarize the share activity and stock option activity for the Company’s 2006 Plan, 2016 Plan and inducement awards, on a combined basis, for the first three months of fiscal 2020:</w:t>
      </w:r>
    </w:p>
    <w:tbl>
      <w:tblPr>
        <w:tblLayout w:type="fixed"/>
        <w:tblInd w:w="0" w:type="dxa"/>
        <w:tblCellMar>
          <w:top w:w="0" w:type="dxa"/>
          <w:left w:w="0" w:type="dxa"/>
          <w:bottom w:w="0" w:type="dxa"/>
          <w:right w:w="0" w:type="dxa"/>
        </w:tblCellMar>
      </w:tblPr>
      <w:tr>
        <w:trPr>
          <w:trHeight w:val="112"/>
        </w:trPr>
        <w:tc>
          <w:tcPr>
            <w:tcW w:w="4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220"/>
              <w:spacing w:after="0" w:line="112" w:lineRule="exact"/>
              <w:rPr>
                <w:sz w:val="20"/>
                <w:szCs w:val="20"/>
                <w:color w:val="auto"/>
              </w:rPr>
            </w:pPr>
            <w:r>
              <w:rPr>
                <w:rFonts w:ascii="Arial" w:cs="Arial" w:eastAsia="Arial" w:hAnsi="Arial"/>
                <w:sz w:val="10"/>
                <w:szCs w:val="10"/>
                <w:color w:val="auto"/>
                <w:w w:val="85"/>
              </w:rPr>
              <w:t>Weighted-average</w:t>
            </w:r>
          </w:p>
        </w:tc>
        <w:tc>
          <w:tcPr>
            <w:tcW w:w="0" w:type="dxa"/>
            <w:vAlign w:val="bottom"/>
          </w:tcPr>
          <w:p>
            <w:pPr>
              <w:spacing w:after="0"/>
              <w:rPr>
                <w:sz w:val="1"/>
                <w:szCs w:val="1"/>
                <w:color w:val="auto"/>
              </w:rPr>
            </w:pPr>
          </w:p>
        </w:tc>
      </w:tr>
      <w:tr>
        <w:trPr>
          <w:trHeight w:val="100"/>
        </w:trPr>
        <w:tc>
          <w:tcPr>
            <w:tcW w:w="4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right"/>
              <w:ind w:right="440"/>
              <w:spacing w:after="0" w:line="100" w:lineRule="exact"/>
              <w:rPr>
                <w:sz w:val="20"/>
                <w:szCs w:val="20"/>
                <w:color w:val="auto"/>
              </w:rPr>
            </w:pPr>
            <w:r>
              <w:rPr>
                <w:rFonts w:ascii="Arial" w:cs="Arial" w:eastAsia="Arial" w:hAnsi="Arial"/>
                <w:sz w:val="10"/>
                <w:szCs w:val="10"/>
                <w:color w:val="auto"/>
              </w:rPr>
              <w:t>Fully-vested</w:t>
            </w:r>
          </w:p>
        </w:tc>
        <w:tc>
          <w:tcPr>
            <w:tcW w:w="1140" w:type="dxa"/>
            <w:vAlign w:val="bottom"/>
            <w:gridSpan w:val="2"/>
          </w:tcPr>
          <w:p>
            <w:pPr>
              <w:jc w:val="center"/>
              <w:ind w:right="200"/>
              <w:spacing w:after="0" w:line="100" w:lineRule="exact"/>
              <w:rPr>
                <w:sz w:val="20"/>
                <w:szCs w:val="20"/>
                <w:color w:val="auto"/>
              </w:rPr>
            </w:pPr>
            <w:r>
              <w:rPr>
                <w:rFonts w:ascii="Arial" w:cs="Arial" w:eastAsia="Arial" w:hAnsi="Arial"/>
                <w:sz w:val="10"/>
                <w:szCs w:val="10"/>
                <w:color w:val="auto"/>
                <w:w w:val="85"/>
              </w:rPr>
              <w:t>Performance Share</w:t>
            </w:r>
          </w:p>
        </w:tc>
        <w:tc>
          <w:tcPr>
            <w:tcW w:w="1020" w:type="dxa"/>
            <w:vAlign w:val="bottom"/>
            <w:gridSpan w:val="2"/>
          </w:tcPr>
          <w:p>
            <w:pPr>
              <w:jc w:val="right"/>
              <w:ind w:right="320"/>
              <w:spacing w:after="0" w:line="100" w:lineRule="exact"/>
              <w:rPr>
                <w:sz w:val="20"/>
                <w:szCs w:val="20"/>
                <w:color w:val="auto"/>
              </w:rPr>
            </w:pPr>
            <w:r>
              <w:rPr>
                <w:rFonts w:ascii="Arial" w:cs="Arial" w:eastAsia="Arial" w:hAnsi="Arial"/>
                <w:sz w:val="10"/>
                <w:szCs w:val="10"/>
                <w:color w:val="auto"/>
                <w:w w:val="97"/>
              </w:rPr>
              <w:t>Total number of</w:t>
            </w:r>
          </w:p>
        </w:tc>
        <w:tc>
          <w:tcPr>
            <w:tcW w:w="80" w:type="dxa"/>
            <w:vAlign w:val="bottom"/>
          </w:tcPr>
          <w:p>
            <w:pPr>
              <w:spacing w:after="0"/>
              <w:rPr>
                <w:sz w:val="8"/>
                <w:szCs w:val="8"/>
                <w:color w:val="auto"/>
              </w:rPr>
            </w:pPr>
          </w:p>
        </w:tc>
        <w:tc>
          <w:tcPr>
            <w:tcW w:w="960" w:type="dxa"/>
            <w:vAlign w:val="bottom"/>
            <w:gridSpan w:val="2"/>
          </w:tcPr>
          <w:p>
            <w:pPr>
              <w:jc w:val="center"/>
              <w:ind w:right="200"/>
              <w:spacing w:after="0" w:line="100" w:lineRule="exact"/>
              <w:rPr>
                <w:sz w:val="20"/>
                <w:szCs w:val="20"/>
                <w:color w:val="auto"/>
              </w:rPr>
            </w:pPr>
            <w:r>
              <w:rPr>
                <w:rFonts w:ascii="Arial" w:cs="Arial" w:eastAsia="Arial" w:hAnsi="Arial"/>
                <w:sz w:val="10"/>
                <w:szCs w:val="10"/>
                <w:color w:val="auto"/>
                <w:w w:val="87"/>
              </w:rPr>
              <w:t>grant-date</w:t>
            </w:r>
          </w:p>
        </w:tc>
        <w:tc>
          <w:tcPr>
            <w:tcW w:w="0" w:type="dxa"/>
            <w:vAlign w:val="bottom"/>
          </w:tcPr>
          <w:p>
            <w:pPr>
              <w:spacing w:after="0"/>
              <w:rPr>
                <w:sz w:val="1"/>
                <w:szCs w:val="1"/>
                <w:color w:val="auto"/>
              </w:rPr>
            </w:pPr>
          </w:p>
        </w:tc>
      </w:tr>
      <w:tr>
        <w:trPr>
          <w:trHeight w:val="112"/>
        </w:trPr>
        <w:tc>
          <w:tcPr>
            <w:tcW w:w="4820" w:type="dxa"/>
            <w:vAlign w:val="bottom"/>
            <w:vMerge w:val="restart"/>
          </w:tcPr>
          <w:p>
            <w:pPr>
              <w:spacing w:after="0"/>
              <w:rPr>
                <w:sz w:val="20"/>
                <w:szCs w:val="20"/>
                <w:color w:val="auto"/>
              </w:rPr>
            </w:pPr>
            <w:r>
              <w:rPr>
                <w:rFonts w:ascii="Arial" w:cs="Arial" w:eastAsia="Arial" w:hAnsi="Arial"/>
                <w:sz w:val="12"/>
                <w:szCs w:val="12"/>
                <w:b w:val="1"/>
                <w:bCs w:val="1"/>
                <w:color w:val="auto"/>
              </w:rPr>
              <w:t>Shares</w:t>
            </w:r>
          </w:p>
        </w:tc>
        <w:tc>
          <w:tcPr>
            <w:tcW w:w="1140" w:type="dxa"/>
            <w:vAlign w:val="bottom"/>
            <w:gridSpan w:val="2"/>
          </w:tcPr>
          <w:p>
            <w:pPr>
              <w:jc w:val="right"/>
              <w:ind w:right="520"/>
              <w:spacing w:after="0" w:line="113" w:lineRule="exact"/>
              <w:rPr>
                <w:sz w:val="20"/>
                <w:szCs w:val="20"/>
                <w:color w:val="auto"/>
              </w:rPr>
            </w:pPr>
            <w:r>
              <w:rPr>
                <w:rFonts w:ascii="Arial" w:cs="Arial" w:eastAsia="Arial" w:hAnsi="Arial"/>
                <w:sz w:val="10"/>
                <w:szCs w:val="10"/>
                <w:color w:val="auto"/>
              </w:rPr>
              <w:t xml:space="preserve">RSUs </w:t>
            </w:r>
            <w:r>
              <w:rPr>
                <w:rFonts w:ascii="Arial" w:cs="Arial" w:eastAsia="Arial" w:hAnsi="Arial"/>
                <w:sz w:val="8"/>
                <w:szCs w:val="8"/>
                <w:color w:val="auto"/>
              </w:rPr>
              <w:t>(1)</w:t>
            </w:r>
          </w:p>
        </w:tc>
        <w:tc>
          <w:tcPr>
            <w:tcW w:w="100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w w:val="87"/>
              </w:rPr>
              <w:t xml:space="preserve">Deferred shares </w:t>
            </w:r>
            <w:r>
              <w:rPr>
                <w:rFonts w:ascii="Arial" w:cs="Arial" w:eastAsia="Arial" w:hAnsi="Arial"/>
                <w:sz w:val="8"/>
                <w:szCs w:val="8"/>
                <w:color w:val="auto"/>
                <w:w w:val="87"/>
              </w:rPr>
              <w:t>(2)</w:t>
            </w:r>
          </w:p>
        </w:tc>
        <w:tc>
          <w:tcPr>
            <w:tcW w:w="114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 xml:space="preserve">shares </w:t>
            </w:r>
            <w:r>
              <w:rPr>
                <w:rFonts w:ascii="Arial" w:cs="Arial" w:eastAsia="Arial" w:hAnsi="Arial"/>
                <w:sz w:val="8"/>
                <w:szCs w:val="8"/>
                <w:color w:val="auto"/>
              </w:rPr>
              <w:t>(3)</w:t>
            </w:r>
          </w:p>
        </w:tc>
        <w:tc>
          <w:tcPr>
            <w:tcW w:w="1140" w:type="dxa"/>
            <w:vAlign w:val="bottom"/>
            <w:gridSpan w:val="2"/>
          </w:tcPr>
          <w:p>
            <w:pPr>
              <w:jc w:val="center"/>
              <w:ind w:right="220"/>
              <w:spacing w:after="0" w:line="113" w:lineRule="exact"/>
              <w:rPr>
                <w:sz w:val="20"/>
                <w:szCs w:val="20"/>
                <w:color w:val="auto"/>
              </w:rPr>
            </w:pPr>
            <w:r>
              <w:rPr>
                <w:rFonts w:ascii="Arial" w:cs="Arial" w:eastAsia="Arial" w:hAnsi="Arial"/>
                <w:sz w:val="10"/>
                <w:szCs w:val="10"/>
                <w:color w:val="auto"/>
                <w:w w:val="90"/>
              </w:rPr>
              <w:t xml:space="preserve">Units </w:t>
            </w:r>
            <w:r>
              <w:rPr>
                <w:rFonts w:ascii="Arial" w:cs="Arial" w:eastAsia="Arial" w:hAnsi="Arial"/>
                <w:sz w:val="8"/>
                <w:szCs w:val="8"/>
                <w:color w:val="auto"/>
                <w:w w:val="90"/>
              </w:rPr>
              <w:t>(4)</w:t>
            </w:r>
          </w:p>
        </w:tc>
        <w:tc>
          <w:tcPr>
            <w:tcW w:w="102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shares</w:t>
            </w:r>
          </w:p>
        </w:tc>
        <w:tc>
          <w:tcPr>
            <w:tcW w:w="80" w:type="dxa"/>
            <w:vAlign w:val="bottom"/>
          </w:tcPr>
          <w:p>
            <w:pPr>
              <w:spacing w:after="0"/>
              <w:rPr>
                <w:sz w:val="9"/>
                <w:szCs w:val="9"/>
                <w:color w:val="auto"/>
              </w:rPr>
            </w:pPr>
          </w:p>
        </w:tc>
        <w:tc>
          <w:tcPr>
            <w:tcW w:w="960" w:type="dxa"/>
            <w:vAlign w:val="bottom"/>
            <w:gridSpan w:val="2"/>
          </w:tcPr>
          <w:p>
            <w:pPr>
              <w:jc w:val="center"/>
              <w:ind w:right="200"/>
              <w:spacing w:after="0" w:line="113" w:lineRule="exact"/>
              <w:rPr>
                <w:sz w:val="20"/>
                <w:szCs w:val="20"/>
                <w:color w:val="auto"/>
              </w:rPr>
            </w:pPr>
            <w:r>
              <w:rPr>
                <w:rFonts w:ascii="Arial" w:cs="Arial" w:eastAsia="Arial" w:hAnsi="Arial"/>
                <w:sz w:val="10"/>
                <w:szCs w:val="10"/>
                <w:color w:val="auto"/>
                <w:w w:val="88"/>
              </w:rPr>
              <w:t>fair value</w:t>
            </w:r>
          </w:p>
        </w:tc>
        <w:tc>
          <w:tcPr>
            <w:tcW w:w="0" w:type="dxa"/>
            <w:vAlign w:val="bottom"/>
          </w:tcPr>
          <w:p>
            <w:pPr>
              <w:spacing w:after="0"/>
              <w:rPr>
                <w:sz w:val="1"/>
                <w:szCs w:val="1"/>
                <w:color w:val="auto"/>
              </w:rPr>
            </w:pPr>
          </w:p>
        </w:tc>
      </w:tr>
      <w:tr>
        <w:trPr>
          <w:trHeight w:val="143"/>
        </w:trPr>
        <w:tc>
          <w:tcPr>
            <w:tcW w:w="4820" w:type="dxa"/>
            <w:vAlign w:val="bottom"/>
            <w:vMerge w:val="continue"/>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1,420,803</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295,604</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720,000</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2,436,407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tcPr>
          <w:p>
            <w:pPr>
              <w:ind w:left="160"/>
              <w:spacing w:after="0"/>
              <w:rPr>
                <w:sz w:val="20"/>
                <w:szCs w:val="20"/>
                <w:color w:val="auto"/>
              </w:rPr>
            </w:pPr>
            <w:r>
              <w:rPr>
                <w:rFonts w:ascii="Arial" w:cs="Arial" w:eastAsia="Arial" w:hAnsi="Arial"/>
                <w:sz w:val="12"/>
                <w:szCs w:val="12"/>
                <w:color w:val="auto"/>
              </w:rPr>
              <w:t>Shares granted</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45,714</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69,440</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115,154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vested/issued</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(436,839)</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(6,245)</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(69,440)</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(512,524)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tcPr>
          <w:p>
            <w:pPr>
              <w:ind w:left="160"/>
              <w:spacing w:after="0"/>
              <w:rPr>
                <w:sz w:val="20"/>
                <w:szCs w:val="20"/>
                <w:color w:val="auto"/>
              </w:rPr>
            </w:pPr>
            <w:r>
              <w:rPr>
                <w:rFonts w:ascii="Arial" w:cs="Arial" w:eastAsia="Arial" w:hAnsi="Arial"/>
                <w:sz w:val="12"/>
                <w:szCs w:val="12"/>
                <w:color w:val="auto"/>
              </w:rPr>
              <w:t>Shares canceled</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(17,443)</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(17,443)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non-vested shares at end of quarter</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966,521</w:t>
            </w:r>
          </w:p>
        </w:tc>
        <w:tc>
          <w:tcPr>
            <w:tcW w:w="220" w:type="dxa"/>
            <w:vAlign w:val="bottom"/>
            <w:tcBorders>
              <w:top w:val="single" w:sz="8" w:color="CFF0FC"/>
            </w:tcBorders>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335,073</w:t>
            </w:r>
          </w:p>
        </w:tc>
        <w:tc>
          <w:tcPr>
            <w:tcW w:w="180" w:type="dxa"/>
            <w:vAlign w:val="bottom"/>
            <w:tcBorders>
              <w:top w:val="single" w:sz="8" w:color="CFF0FC"/>
            </w:tcBorders>
            <w:shd w:val="clear" w:color="auto" w:fill="CFF0FC"/>
          </w:tcPr>
          <w:p>
            <w:pPr>
              <w:spacing w:after="0"/>
              <w:rPr>
                <w:sz w:val="24"/>
                <w:szCs w:val="2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24"/>
                <w:szCs w:val="2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720,000</w:t>
            </w:r>
          </w:p>
        </w:tc>
        <w:tc>
          <w:tcPr>
            <w:tcW w:w="200" w:type="dxa"/>
            <w:vAlign w:val="bottom"/>
            <w:tcBorders>
              <w:top w:val="single" w:sz="8" w:color="CFF0FC"/>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2,021,594</w:t>
            </w:r>
          </w:p>
        </w:tc>
        <w:tc>
          <w:tcPr>
            <w:tcW w:w="220" w:type="dxa"/>
            <w:vAlign w:val="bottom"/>
            <w:tcBorders>
              <w:top w:val="single" w:sz="8" w:color="CFF0FC"/>
            </w:tcBorders>
            <w:shd w:val="clear" w:color="auto" w:fill="CFF0FC"/>
          </w:tcPr>
          <w:p>
            <w:pPr>
              <w:spacing w:after="0"/>
              <w:rPr>
                <w:sz w:val="24"/>
                <w:szCs w:val="2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w:t>
            </w:r>
          </w:p>
        </w:tc>
        <w:tc>
          <w:tcPr>
            <w:tcW w:w="120" w:type="dxa"/>
            <w:vAlign w:val="bottom"/>
            <w:tcBorders>
              <w:top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740" w:hanging="376"/>
        <w:spacing w:after="0"/>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During the first three months of fiscal 2020, the vesting of RSUs was primarily related to the time-based awards under the Company’s LTIP plans, see Note 5, </w:t>
      </w:r>
      <w:r>
        <w:rPr>
          <w:rFonts w:ascii="Arial" w:cs="Arial" w:eastAsia="Arial" w:hAnsi="Arial"/>
          <w:sz w:val="12"/>
          <w:szCs w:val="12"/>
          <w:i w:val="1"/>
          <w:iCs w:val="1"/>
          <w:color w:val="auto"/>
        </w:rPr>
        <w:t>Long-Term Incentive Plans</w:t>
      </w:r>
      <w:r>
        <w:rPr>
          <w:rFonts w:ascii="Arial" w:cs="Arial" w:eastAsia="Arial" w:hAnsi="Arial"/>
          <w:sz w:val="12"/>
          <w:szCs w:val="12"/>
          <w:color w:val="auto"/>
        </w:rPr>
        <w:t>.</w:t>
      </w:r>
    </w:p>
    <w:p>
      <w:pPr>
        <w:spacing w:after="0" w:line="151" w:lineRule="exact"/>
        <w:rPr>
          <w:rFonts w:ascii="Arial" w:cs="Arial" w:eastAsia="Arial" w:hAnsi="Arial"/>
          <w:sz w:val="12"/>
          <w:szCs w:val="12"/>
          <w:color w:val="auto"/>
        </w:rPr>
      </w:pPr>
    </w:p>
    <w:p>
      <w:pPr>
        <w:ind w:left="740" w:right="20" w:hanging="376"/>
        <w:spacing w:after="0" w:line="279"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45,714 shares of deferred stock, with a grant date fair value of $49,371,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41" w:lineRule="exact"/>
        <w:rPr>
          <w:rFonts w:ascii="Arial" w:cs="Arial" w:eastAsia="Arial" w:hAnsi="Arial"/>
          <w:sz w:val="12"/>
          <w:szCs w:val="12"/>
          <w:color w:val="auto"/>
        </w:rPr>
      </w:pPr>
    </w:p>
    <w:p>
      <w:pPr>
        <w:jc w:val="both"/>
        <w:ind w:left="740" w:right="20" w:hanging="376"/>
        <w:spacing w:after="0" w:line="265"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During the first three months of fiscal 2020, the Company granted 69,440 shares of stock, with a fair value of approximately $74,995, to certain directors as compensation in lieu of cash, in accordance with their irrevocable elections. Directors are required to elect 50% of their quarterly retainer in equity. Any shares in excess of the minimum required election are issued from the Company’s Fourth Amended and Restated Non-Employee Director Compensation Plan (“Non-Employee Director Compensation Plan”).</w:t>
      </w:r>
    </w:p>
    <w:p>
      <w:pPr>
        <w:spacing w:after="0" w:line="50" w:lineRule="exact"/>
        <w:rPr>
          <w:rFonts w:ascii="Arial" w:cs="Arial" w:eastAsia="Arial" w:hAnsi="Arial"/>
          <w:sz w:val="12"/>
          <w:szCs w:val="12"/>
          <w:color w:val="auto"/>
        </w:rPr>
      </w:pPr>
    </w:p>
    <w:p>
      <w:pPr>
        <w:jc w:val="both"/>
        <w:ind w:left="740" w:hanging="376"/>
        <w:spacing w:after="0" w:line="258" w:lineRule="auto"/>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720,000 shares of performance stock units (“PSUs”), with a fair value of $1.0 million, represent a sign-on grant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is being expensed over the respective derived service periods of each tranche of 16 months, 25 months and 30 months, respectively. The respective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color w:val="auto"/>
                <w:w w:val="85"/>
              </w:rPr>
              <w:t>Weighted-average</w:t>
            </w:r>
          </w:p>
        </w:tc>
        <w:tc>
          <w:tcPr>
            <w:tcW w:w="1160" w:type="dxa"/>
            <w:vAlign w:val="bottom"/>
          </w:tcPr>
          <w:p>
            <w:pPr>
              <w:jc w:val="center"/>
              <w:spacing w:after="0"/>
              <w:rPr>
                <w:sz w:val="20"/>
                <w:szCs w:val="20"/>
                <w:color w:val="auto"/>
              </w:rPr>
            </w:pPr>
            <w:r>
              <w:rPr>
                <w:rFonts w:ascii="Arial" w:cs="Arial" w:eastAsia="Arial" w:hAnsi="Arial"/>
                <w:sz w:val="10"/>
                <w:szCs w:val="10"/>
                <w:color w:val="auto"/>
                <w:w w:val="85"/>
              </w:rPr>
              <w:t>Weighted-average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5920" w:type="dxa"/>
            <w:vAlign w:val="bottom"/>
          </w:tcPr>
          <w:p>
            <w:pPr>
              <w:spacing w:after="0"/>
              <w:rPr>
                <w:sz w:val="8"/>
                <w:szCs w:val="8"/>
                <w:color w:val="auto"/>
              </w:rPr>
            </w:pPr>
          </w:p>
        </w:tc>
        <w:tc>
          <w:tcPr>
            <w:tcW w:w="1400" w:type="dxa"/>
            <w:vAlign w:val="bottom"/>
            <w:gridSpan w:val="2"/>
          </w:tcPr>
          <w:p>
            <w:pPr>
              <w:jc w:val="right"/>
              <w:ind w:right="600"/>
              <w:spacing w:after="0" w:line="100" w:lineRule="exact"/>
              <w:rPr>
                <w:sz w:val="20"/>
                <w:szCs w:val="20"/>
                <w:color w:val="auto"/>
              </w:rPr>
            </w:pPr>
            <w:r>
              <w:rPr>
                <w:rFonts w:ascii="Arial" w:cs="Arial" w:eastAsia="Arial" w:hAnsi="Arial"/>
                <w:sz w:val="10"/>
                <w:szCs w:val="10"/>
                <w:color w:val="auto"/>
              </w:rPr>
              <w:t>Number of</w:t>
            </w:r>
          </w:p>
        </w:tc>
        <w:tc>
          <w:tcPr>
            <w:tcW w:w="120" w:type="dxa"/>
            <w:vAlign w:val="bottom"/>
          </w:tcPr>
          <w:p>
            <w:pPr>
              <w:spacing w:after="0"/>
              <w:rPr>
                <w:sz w:val="8"/>
                <w:szCs w:val="8"/>
                <w:color w:val="auto"/>
              </w:rPr>
            </w:pPr>
          </w:p>
        </w:tc>
        <w:tc>
          <w:tcPr>
            <w:tcW w:w="1160" w:type="dxa"/>
            <w:vAlign w:val="bottom"/>
            <w:gridSpan w:val="2"/>
          </w:tcPr>
          <w:p>
            <w:pPr>
              <w:jc w:val="center"/>
              <w:ind w:right="320"/>
              <w:spacing w:after="0" w:line="100" w:lineRule="exact"/>
              <w:rPr>
                <w:sz w:val="20"/>
                <w:szCs w:val="20"/>
                <w:color w:val="auto"/>
              </w:rPr>
            </w:pPr>
            <w:r>
              <w:rPr>
                <w:rFonts w:ascii="Arial" w:cs="Arial" w:eastAsia="Arial" w:hAnsi="Arial"/>
                <w:sz w:val="10"/>
                <w:szCs w:val="10"/>
                <w:color w:val="auto"/>
                <w:w w:val="84"/>
              </w:rPr>
              <w:t>exercise price</w:t>
            </w:r>
          </w:p>
        </w:tc>
        <w:tc>
          <w:tcPr>
            <w:tcW w:w="1160" w:type="dxa"/>
            <w:vAlign w:val="bottom"/>
          </w:tcPr>
          <w:p>
            <w:pPr>
              <w:jc w:val="center"/>
              <w:spacing w:after="0" w:line="100" w:lineRule="exact"/>
              <w:rPr>
                <w:sz w:val="20"/>
                <w:szCs w:val="20"/>
                <w:color w:val="auto"/>
              </w:rPr>
            </w:pPr>
            <w:r>
              <w:rPr>
                <w:rFonts w:ascii="Arial" w:cs="Arial" w:eastAsia="Arial" w:hAnsi="Arial"/>
                <w:sz w:val="10"/>
                <w:szCs w:val="10"/>
                <w:color w:val="auto"/>
                <w:w w:val="90"/>
              </w:rPr>
              <w:t>remaining</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ind w:left="200"/>
              <w:spacing w:after="0" w:line="100" w:lineRule="exact"/>
              <w:rPr>
                <w:sz w:val="20"/>
                <w:szCs w:val="20"/>
                <w:color w:val="auto"/>
              </w:rPr>
            </w:pPr>
            <w:r>
              <w:rPr>
                <w:rFonts w:ascii="Arial" w:cs="Arial" w:eastAsia="Arial" w:hAnsi="Arial"/>
                <w:sz w:val="10"/>
                <w:szCs w:val="10"/>
                <w:color w:val="auto"/>
              </w:rPr>
              <w:t>Aggregate</w:t>
            </w:r>
          </w:p>
        </w:tc>
      </w:tr>
      <w:tr>
        <w:trPr>
          <w:trHeight w:val="112"/>
        </w:trPr>
        <w:tc>
          <w:tcPr>
            <w:tcW w:w="5920" w:type="dxa"/>
            <w:vAlign w:val="bottom"/>
          </w:tcPr>
          <w:p>
            <w:pPr>
              <w:spacing w:after="0"/>
              <w:rPr>
                <w:sz w:val="9"/>
                <w:szCs w:val="9"/>
                <w:color w:val="auto"/>
              </w:rPr>
            </w:pPr>
          </w:p>
        </w:tc>
        <w:tc>
          <w:tcPr>
            <w:tcW w:w="1400" w:type="dxa"/>
            <w:vAlign w:val="bottom"/>
            <w:gridSpan w:val="2"/>
          </w:tcPr>
          <w:p>
            <w:pPr>
              <w:jc w:val="right"/>
              <w:ind w:right="700"/>
              <w:spacing w:after="0" w:line="113" w:lineRule="exact"/>
              <w:rPr>
                <w:sz w:val="20"/>
                <w:szCs w:val="20"/>
                <w:color w:val="auto"/>
              </w:rPr>
            </w:pPr>
            <w:r>
              <w:rPr>
                <w:rFonts w:ascii="Arial" w:cs="Arial" w:eastAsia="Arial" w:hAnsi="Arial"/>
                <w:sz w:val="10"/>
                <w:szCs w:val="10"/>
                <w:color w:val="auto"/>
              </w:rPr>
              <w:t>shares</w:t>
            </w:r>
          </w:p>
        </w:tc>
        <w:tc>
          <w:tcPr>
            <w:tcW w:w="120" w:type="dxa"/>
            <w:vAlign w:val="bottom"/>
          </w:tcPr>
          <w:p>
            <w:pPr>
              <w:spacing w:after="0"/>
              <w:rPr>
                <w:sz w:val="9"/>
                <w:szCs w:val="9"/>
                <w:color w:val="auto"/>
              </w:rPr>
            </w:pPr>
          </w:p>
        </w:tc>
        <w:tc>
          <w:tcPr>
            <w:tcW w:w="1160" w:type="dxa"/>
            <w:vAlign w:val="bottom"/>
            <w:gridSpan w:val="2"/>
          </w:tcPr>
          <w:p>
            <w:pPr>
              <w:jc w:val="center"/>
              <w:ind w:right="320"/>
              <w:spacing w:after="0" w:line="113" w:lineRule="exact"/>
              <w:rPr>
                <w:sz w:val="20"/>
                <w:szCs w:val="20"/>
                <w:color w:val="auto"/>
              </w:rPr>
            </w:pPr>
            <w:r>
              <w:rPr>
                <w:rFonts w:ascii="Arial" w:cs="Arial" w:eastAsia="Arial" w:hAnsi="Arial"/>
                <w:sz w:val="10"/>
                <w:szCs w:val="10"/>
                <w:color w:val="auto"/>
                <w:w w:val="89"/>
              </w:rPr>
              <w:t>per option</w:t>
            </w:r>
          </w:p>
        </w:tc>
        <w:tc>
          <w:tcPr>
            <w:tcW w:w="1160" w:type="dxa"/>
            <w:vAlign w:val="bottom"/>
          </w:tcPr>
          <w:p>
            <w:pPr>
              <w:jc w:val="center"/>
              <w:spacing w:after="0" w:line="113" w:lineRule="exact"/>
              <w:rPr>
                <w:sz w:val="20"/>
                <w:szCs w:val="20"/>
                <w:color w:val="auto"/>
              </w:rPr>
            </w:pPr>
            <w:r>
              <w:rPr>
                <w:rFonts w:ascii="Arial" w:cs="Arial" w:eastAsia="Arial" w:hAnsi="Arial"/>
                <w:sz w:val="10"/>
                <w:szCs w:val="10"/>
                <w:color w:val="auto"/>
                <w:w w:val="89"/>
              </w:rPr>
              <w:t>contractual term</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ind w:left="120"/>
              <w:spacing w:after="0" w:line="113" w:lineRule="exact"/>
              <w:rPr>
                <w:sz w:val="20"/>
                <w:szCs w:val="20"/>
                <w:color w:val="auto"/>
              </w:rPr>
            </w:pPr>
            <w:r>
              <w:rPr>
                <w:rFonts w:ascii="Arial" w:cs="Arial" w:eastAsia="Arial" w:hAnsi="Arial"/>
                <w:sz w:val="10"/>
                <w:szCs w:val="10"/>
                <w:color w:val="auto"/>
              </w:rPr>
              <w:t>intrinsic value</w:t>
            </w:r>
          </w:p>
        </w:tc>
      </w:tr>
      <w:tr>
        <w:trPr>
          <w:trHeight w:val="14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Stock Options</w:t>
            </w: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5920" w:type="dxa"/>
            <w:vAlign w:val="bottom"/>
          </w:tcPr>
          <w:p>
            <w:pPr>
              <w:ind w:left="160"/>
              <w:spacing w:after="0"/>
              <w:rPr>
                <w:sz w:val="20"/>
                <w:szCs w:val="20"/>
                <w:color w:val="auto"/>
              </w:rPr>
            </w:pPr>
            <w:r>
              <w:rPr>
                <w:rFonts w:ascii="Arial" w:cs="Arial" w:eastAsia="Arial" w:hAnsi="Arial"/>
                <w:sz w:val="12"/>
                <w:szCs w:val="12"/>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2"/>
                <w:szCs w:val="12"/>
                <w:color w:val="auto"/>
              </w:rPr>
              <w:t>754,833</w:t>
            </w:r>
          </w:p>
        </w:tc>
        <w:tc>
          <w:tcPr>
            <w:tcW w:w="24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4.84</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 years</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ind w:left="86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granted</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ind w:left="86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tcPr>
          <w:p>
            <w:pPr>
              <w:ind w:left="160"/>
              <w:spacing w:after="0"/>
              <w:rPr>
                <w:sz w:val="20"/>
                <w:szCs w:val="20"/>
                <w:color w:val="auto"/>
              </w:rPr>
            </w:pPr>
            <w:r>
              <w:rPr>
                <w:rFonts w:ascii="Arial" w:cs="Arial" w:eastAsia="Arial" w:hAnsi="Arial"/>
                <w:sz w:val="12"/>
                <w:szCs w:val="12"/>
                <w:color w:val="auto"/>
              </w:rPr>
              <w:t>Options expired and canceled</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(216,548)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4.86</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6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ind w:left="160"/>
              <w:spacing w:after="0"/>
              <w:rPr>
                <w:sz w:val="20"/>
                <w:szCs w:val="20"/>
                <w:color w:val="auto"/>
              </w:rPr>
            </w:pPr>
            <w:r>
              <w:rPr>
                <w:rFonts w:ascii="Arial" w:cs="Arial" w:eastAsia="Arial" w:hAnsi="Arial"/>
                <w:sz w:val="12"/>
                <w:szCs w:val="12"/>
                <w:color w:val="auto"/>
              </w:rPr>
              <w:t>Outstanding options at end of quarter</w:t>
            </w:r>
          </w:p>
        </w:tc>
        <w:tc>
          <w:tcPr>
            <w:tcW w:w="1160" w:type="dxa"/>
            <w:vAlign w:val="bottom"/>
          </w:tcPr>
          <w:p>
            <w:pPr>
              <w:jc w:val="right"/>
              <w:spacing w:after="0"/>
              <w:rPr>
                <w:sz w:val="20"/>
                <w:szCs w:val="20"/>
                <w:color w:val="auto"/>
              </w:rPr>
            </w:pPr>
            <w:r>
              <w:rPr>
                <w:rFonts w:ascii="Arial" w:cs="Arial" w:eastAsia="Arial" w:hAnsi="Arial"/>
                <w:sz w:val="12"/>
                <w:szCs w:val="12"/>
                <w:color w:val="auto"/>
              </w:rPr>
              <w:t>538,285</w:t>
            </w:r>
          </w:p>
        </w:tc>
        <w:tc>
          <w:tcPr>
            <w:tcW w:w="24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4.83</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 years</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ind w:left="860"/>
              <w:spacing w:after="0"/>
              <w:rPr>
                <w:sz w:val="20"/>
                <w:szCs w:val="20"/>
                <w:color w:val="auto"/>
              </w:rPr>
            </w:pPr>
            <w:r>
              <w:rPr>
                <w:rFonts w:ascii="Arial" w:cs="Arial" w:eastAsia="Arial" w:hAnsi="Arial"/>
                <w:sz w:val="12"/>
                <w:szCs w:val="12"/>
                <w:color w:val="auto"/>
              </w:rPr>
              <w:t>—</w:t>
            </w:r>
          </w:p>
        </w:tc>
      </w:tr>
      <w:tr>
        <w:trPr>
          <w:trHeight w:val="154"/>
        </w:trPr>
        <w:tc>
          <w:tcPr>
            <w:tcW w:w="5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533,285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4.85</w:t>
            </w: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 years</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ind w:left="860"/>
              <w:spacing w:after="0"/>
              <w:rPr>
                <w:sz w:val="20"/>
                <w:szCs w:val="20"/>
                <w:color w:val="auto"/>
              </w:rPr>
            </w:pPr>
            <w:r>
              <w:rPr>
                <w:rFonts w:ascii="Arial" w:cs="Arial" w:eastAsia="Arial" w:hAnsi="Arial"/>
                <w:sz w:val="12"/>
                <w:szCs w:val="12"/>
                <w:color w:val="auto"/>
              </w:rPr>
              <w:t>—</w:t>
            </w:r>
          </w:p>
        </w:tc>
      </w:tr>
    </w:tbl>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Except for the grant of equity to directors in connection with their first quarter retainer, there were no equity grants in the first quarter of fiscal 2020. In addition, in March 2020, the Company’s non-employee directors voted to suspend their compensation for the second quarter of fiscal 2020.</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For the first three months of fiscal 2019, the Company granted 720,000 PSUs, 390,299 RSUs and 19,371 shares of deferred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Non-Employee Director Compensation Plan</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2"/>
          <w:szCs w:val="12"/>
          <w:color w:val="auto"/>
        </w:rPr>
        <w:t>The Company granted 23,148 shares of common stock, with a fair value of approximately $24,999, to certain of its non-employee directors as compensation in lieu of cash in the first three months of fiscal 2020. As mentioned above, the non-employee directors voted to suspend their second quarter compensation.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i w:val="1"/>
          <w:iCs w:val="1"/>
          <w:u w:val="single" w:color="auto"/>
          <w:color w:val="auto"/>
        </w:rPr>
        <w:t>Stock Compensation Expense</w:t>
      </w:r>
    </w:p>
    <w:p>
      <w:pPr>
        <w:spacing w:after="0" w:line="79"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The Company recognized total stock-based compensation expense of $0.5 million and $0.4 million for the first three months of fiscal 2020 and fiscal 2019, respectively. The total compensation cost related to time-vested stock options, RSU and PSU awards not yet recognized as of May 2, 2020 was approximately $2.1 million, net of estimated forfeitures, which will be expensed over a weighted average remaining life of 28 months.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number of shares outstanding for basic and diluted earnings per share:</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7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gridSpan w:val="4"/>
          </w:tcPr>
          <w:p>
            <w:pPr>
              <w:ind w:left="40"/>
              <w:spacing w:after="0"/>
              <w:rPr>
                <w:sz w:val="20"/>
                <w:szCs w:val="20"/>
                <w:color w:val="auto"/>
              </w:rPr>
            </w:pPr>
            <w:r>
              <w:rPr>
                <w:rFonts w:ascii="Arial" w:cs="Arial" w:eastAsia="Arial" w:hAnsi="Arial"/>
                <w:sz w:val="11"/>
                <w:szCs w:val="11"/>
                <w:color w:val="auto"/>
              </w:rPr>
              <w:t>For the three months ended</w:t>
            </w:r>
          </w:p>
        </w:tc>
      </w:tr>
      <w:tr>
        <w:trPr>
          <w:trHeight w:val="149"/>
        </w:trPr>
        <w:tc>
          <w:tcPr>
            <w:tcW w:w="7700" w:type="dxa"/>
            <w:vAlign w:val="bottom"/>
          </w:tcPr>
          <w:p>
            <w:pPr>
              <w:spacing w:after="0"/>
              <w:rPr>
                <w:sz w:val="12"/>
                <w:szCs w:val="12"/>
                <w:color w:val="auto"/>
              </w:rPr>
            </w:pPr>
          </w:p>
        </w:tc>
        <w:tc>
          <w:tcPr>
            <w:tcW w:w="1060" w:type="dxa"/>
            <w:vAlign w:val="bottom"/>
          </w:tcPr>
          <w:p>
            <w:pPr>
              <w:ind w:left="520"/>
              <w:spacing w:after="0"/>
              <w:rPr>
                <w:sz w:val="20"/>
                <w:szCs w:val="20"/>
                <w:color w:val="auto"/>
              </w:rPr>
            </w:pPr>
            <w:r>
              <w:rPr>
                <w:rFonts w:ascii="Arial" w:cs="Arial" w:eastAsia="Arial" w:hAnsi="Arial"/>
                <w:sz w:val="10"/>
                <w:szCs w:val="10"/>
                <w:color w:val="auto"/>
                <w:w w:val="94"/>
              </w:rPr>
              <w:t>May 2, 2020</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ind w:left="520"/>
              <w:spacing w:after="0"/>
              <w:rPr>
                <w:sz w:val="20"/>
                <w:szCs w:val="20"/>
                <w:color w:val="auto"/>
              </w:rPr>
            </w:pPr>
            <w:r>
              <w:rPr>
                <w:rFonts w:ascii="Arial" w:cs="Arial" w:eastAsia="Arial" w:hAnsi="Arial"/>
                <w:sz w:val="10"/>
                <w:szCs w:val="10"/>
                <w:color w:val="auto"/>
              </w:rPr>
              <w:t>May 4, 2019</w:t>
            </w:r>
          </w:p>
        </w:tc>
      </w:tr>
      <w:tr>
        <w:trPr>
          <w:trHeight w:val="132"/>
        </w:trPr>
        <w:tc>
          <w:tcPr>
            <w:tcW w:w="7700" w:type="dxa"/>
            <w:vAlign w:val="bottom"/>
          </w:tcPr>
          <w:p>
            <w:pPr>
              <w:spacing w:after="0"/>
              <w:rPr>
                <w:sz w:val="20"/>
                <w:szCs w:val="20"/>
                <w:color w:val="auto"/>
              </w:rPr>
            </w:pPr>
            <w:r>
              <w:rPr>
                <w:rFonts w:ascii="Arial" w:cs="Arial" w:eastAsia="Arial" w:hAnsi="Arial"/>
                <w:sz w:val="11"/>
                <w:szCs w:val="11"/>
                <w:i w:val="1"/>
                <w:iCs w:val="1"/>
                <w:color w:val="auto"/>
              </w:rPr>
              <w:t>(in thousands</w:t>
            </w:r>
            <w:r>
              <w:rPr>
                <w:rFonts w:ascii="Arial" w:cs="Arial" w:eastAsia="Arial" w:hAnsi="Arial"/>
                <w:sz w:val="11"/>
                <w:szCs w:val="11"/>
                <w:b w:val="1"/>
                <w:bCs w:val="1"/>
                <w:i w:val="1"/>
                <w:iCs w:val="1"/>
                <w:color w:val="auto"/>
              </w:rPr>
              <w:t>)</w:t>
            </w:r>
          </w:p>
        </w:tc>
        <w:tc>
          <w:tcPr>
            <w:tcW w:w="10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7700" w:type="dxa"/>
            <w:vAlign w:val="bottom"/>
            <w:shd w:val="clear" w:color="auto" w:fill="CFF0FC"/>
          </w:tcPr>
          <w:p>
            <w:pPr>
              <w:spacing w:after="0"/>
              <w:rPr>
                <w:sz w:val="20"/>
                <w:szCs w:val="20"/>
                <w:color w:val="auto"/>
              </w:rPr>
            </w:pPr>
            <w:r>
              <w:rPr>
                <w:rFonts w:ascii="Arial" w:cs="Arial" w:eastAsia="Arial" w:hAnsi="Arial"/>
                <w:sz w:val="11"/>
                <w:szCs w:val="11"/>
                <w:color w:val="auto"/>
              </w:rPr>
              <w:t>Common stock outstanding:</w:t>
            </w: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700" w:type="dxa"/>
            <w:vAlign w:val="bottom"/>
          </w:tcPr>
          <w:p>
            <w:pPr>
              <w:spacing w:after="0"/>
              <w:rPr>
                <w:sz w:val="20"/>
                <w:szCs w:val="20"/>
                <w:color w:val="auto"/>
              </w:rPr>
            </w:pPr>
            <w:r>
              <w:rPr>
                <w:rFonts w:ascii="Arial" w:cs="Arial" w:eastAsia="Arial" w:hAnsi="Arial"/>
                <w:sz w:val="11"/>
                <w:szCs w:val="11"/>
                <w:color w:val="auto"/>
              </w:rPr>
              <w:t>Basic weighted average common shares outstanding</w:t>
            </w:r>
          </w:p>
        </w:tc>
        <w:tc>
          <w:tcPr>
            <w:tcW w:w="1060" w:type="dxa"/>
            <w:vAlign w:val="bottom"/>
          </w:tcPr>
          <w:p>
            <w:pPr>
              <w:jc w:val="center"/>
              <w:ind w:left="544"/>
              <w:spacing w:after="0"/>
              <w:rPr>
                <w:sz w:val="20"/>
                <w:szCs w:val="20"/>
                <w:color w:val="auto"/>
              </w:rPr>
            </w:pPr>
            <w:r>
              <w:rPr>
                <w:rFonts w:ascii="Arial" w:cs="Arial" w:eastAsia="Arial" w:hAnsi="Arial"/>
                <w:sz w:val="12"/>
                <w:szCs w:val="12"/>
                <w:color w:val="auto"/>
                <w:w w:val="92"/>
              </w:rPr>
              <w:t>50,758</w:t>
            </w:r>
          </w:p>
        </w:tc>
        <w:tc>
          <w:tcPr>
            <w:tcW w:w="2340" w:type="dxa"/>
            <w:vAlign w:val="bottom"/>
            <w:gridSpan w:val="3"/>
          </w:tcPr>
          <w:p>
            <w:pPr>
              <w:jc w:val="center"/>
              <w:ind w:left="802"/>
              <w:spacing w:after="0"/>
              <w:rPr>
                <w:sz w:val="20"/>
                <w:szCs w:val="20"/>
                <w:color w:val="auto"/>
              </w:rPr>
            </w:pPr>
            <w:r>
              <w:rPr>
                <w:rFonts w:ascii="Arial" w:cs="Arial" w:eastAsia="Arial" w:hAnsi="Arial"/>
                <w:sz w:val="12"/>
                <w:szCs w:val="12"/>
                <w:color w:val="auto"/>
                <w:w w:val="87"/>
              </w:rPr>
              <w:t>49,602</w:t>
            </w:r>
          </w:p>
        </w:tc>
        <w:tc>
          <w:tcPr>
            <w:tcW w:w="120" w:type="dxa"/>
            <w:vAlign w:val="bottom"/>
          </w:tcPr>
          <w:p>
            <w:pPr>
              <w:spacing w:after="0"/>
              <w:rPr>
                <w:sz w:val="13"/>
                <w:szCs w:val="13"/>
                <w:color w:val="auto"/>
              </w:rPr>
            </w:pPr>
          </w:p>
        </w:tc>
      </w:tr>
      <w:tr>
        <w:trPr>
          <w:trHeight w:val="145"/>
        </w:trPr>
        <w:tc>
          <w:tcPr>
            <w:tcW w:w="7700" w:type="dxa"/>
            <w:vAlign w:val="bottom"/>
            <w:shd w:val="clear" w:color="auto" w:fill="CFF0FC"/>
          </w:tcPr>
          <w:p>
            <w:pPr>
              <w:spacing w:after="0" w:line="145" w:lineRule="exact"/>
              <w:rPr>
                <w:sz w:val="20"/>
                <w:szCs w:val="20"/>
                <w:color w:val="auto"/>
              </w:rPr>
            </w:pPr>
            <w:r>
              <w:rPr>
                <w:rFonts w:ascii="Arial" w:cs="Arial" w:eastAsia="Arial" w:hAnsi="Arial"/>
                <w:sz w:val="10"/>
                <w:szCs w:val="10"/>
                <w:color w:val="auto"/>
              </w:rPr>
              <w:t xml:space="preserve">Common stock equivalents – stock options and restricted stock </w:t>
            </w:r>
            <w:r>
              <w:rPr>
                <w:rFonts w:ascii="Arial" w:cs="Arial" w:eastAsia="Arial" w:hAnsi="Arial"/>
                <w:sz w:val="16"/>
                <w:szCs w:val="16"/>
                <w:color w:val="auto"/>
                <w:vertAlign w:val="superscript"/>
              </w:rPr>
              <w:t>(1)</w:t>
            </w:r>
          </w:p>
        </w:tc>
        <w:tc>
          <w:tcPr>
            <w:tcW w:w="1060" w:type="dxa"/>
            <w:vAlign w:val="bottom"/>
            <w:tcBorders>
              <w:bottom w:val="single" w:sz="8" w:color="auto"/>
            </w:tcBorders>
            <w:shd w:val="clear" w:color="auto" w:fill="CFF0FC"/>
          </w:tcPr>
          <w:p>
            <w:pPr>
              <w:jc w:val="center"/>
              <w:ind w:left="544"/>
              <w:spacing w:after="0"/>
              <w:rPr>
                <w:sz w:val="20"/>
                <w:szCs w:val="20"/>
                <w:color w:val="auto"/>
              </w:rPr>
            </w:pPr>
            <w:r>
              <w:rPr>
                <w:rFonts w:ascii="Arial" w:cs="Arial" w:eastAsia="Arial" w:hAnsi="Arial"/>
                <w:sz w:val="11"/>
                <w:szCs w:val="11"/>
                <w:color w:val="auto"/>
                <w:w w:val="90"/>
              </w:rPr>
              <w:t>—</w:t>
            </w:r>
          </w:p>
        </w:tc>
        <w:tc>
          <w:tcPr>
            <w:tcW w:w="500" w:type="dxa"/>
            <w:vAlign w:val="bottom"/>
            <w:tcBorders>
              <w:bottom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center"/>
              <w:ind w:left="29"/>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r>
      <w:tr>
        <w:trPr>
          <w:trHeight w:val="143"/>
        </w:trPr>
        <w:tc>
          <w:tcPr>
            <w:tcW w:w="7700" w:type="dxa"/>
            <w:vAlign w:val="bottom"/>
          </w:tcPr>
          <w:p>
            <w:pPr>
              <w:spacing w:after="0"/>
              <w:rPr>
                <w:sz w:val="20"/>
                <w:szCs w:val="20"/>
                <w:color w:val="auto"/>
              </w:rPr>
            </w:pPr>
            <w:r>
              <w:rPr>
                <w:rFonts w:ascii="Arial" w:cs="Arial" w:eastAsia="Arial" w:hAnsi="Arial"/>
                <w:sz w:val="11"/>
                <w:szCs w:val="11"/>
                <w:color w:val="auto"/>
              </w:rPr>
              <w:t>Diluted weighted average common shares outstanding</w:t>
            </w:r>
          </w:p>
        </w:tc>
        <w:tc>
          <w:tcPr>
            <w:tcW w:w="1060" w:type="dxa"/>
            <w:vAlign w:val="bottom"/>
          </w:tcPr>
          <w:p>
            <w:pPr>
              <w:jc w:val="center"/>
              <w:ind w:left="544"/>
              <w:spacing w:after="0"/>
              <w:rPr>
                <w:sz w:val="20"/>
                <w:szCs w:val="20"/>
                <w:color w:val="auto"/>
              </w:rPr>
            </w:pPr>
            <w:r>
              <w:rPr>
                <w:rFonts w:ascii="Arial" w:cs="Arial" w:eastAsia="Arial" w:hAnsi="Arial"/>
                <w:sz w:val="12"/>
                <w:szCs w:val="12"/>
                <w:color w:val="auto"/>
                <w:w w:val="92"/>
              </w:rPr>
              <w:t>50,758</w:t>
            </w:r>
          </w:p>
        </w:tc>
        <w:tc>
          <w:tcPr>
            <w:tcW w:w="2340" w:type="dxa"/>
            <w:vAlign w:val="bottom"/>
            <w:gridSpan w:val="3"/>
          </w:tcPr>
          <w:p>
            <w:pPr>
              <w:jc w:val="center"/>
              <w:ind w:left="802"/>
              <w:spacing w:after="0"/>
              <w:rPr>
                <w:sz w:val="20"/>
                <w:szCs w:val="20"/>
                <w:color w:val="auto"/>
              </w:rPr>
            </w:pPr>
            <w:r>
              <w:rPr>
                <w:rFonts w:ascii="Arial" w:cs="Arial" w:eastAsia="Arial" w:hAnsi="Arial"/>
                <w:sz w:val="12"/>
                <w:szCs w:val="12"/>
                <w:color w:val="auto"/>
                <w:w w:val="87"/>
              </w:rPr>
              <w:t>49,602</w:t>
            </w:r>
          </w:p>
        </w:tc>
        <w:tc>
          <w:tcPr>
            <w:tcW w:w="120" w:type="dxa"/>
            <w:vAlign w:val="bottom"/>
          </w:tcPr>
          <w:p>
            <w:pPr>
              <w:spacing w:after="0"/>
              <w:rPr>
                <w:sz w:val="12"/>
                <w:szCs w:val="12"/>
                <w:color w:val="auto"/>
              </w:rPr>
            </w:pPr>
          </w:p>
        </w:tc>
      </w:tr>
    </w:tbl>
    <w:p>
      <w:pPr>
        <w:spacing w:after="0" w:line="148" w:lineRule="exact"/>
        <w:rPr>
          <w:sz w:val="20"/>
          <w:szCs w:val="20"/>
          <w:color w:val="auto"/>
        </w:rPr>
      </w:pPr>
    </w:p>
    <w:p>
      <w:pPr>
        <w:ind w:left="1000" w:hanging="500"/>
        <w:spacing w:after="0"/>
        <w:tabs>
          <w:tab w:leader="none" w:pos="1000" w:val="left"/>
        </w:tabs>
        <w:numPr>
          <w:ilvl w:val="0"/>
          <w:numId w:val="7"/>
        </w:numPr>
        <w:rPr>
          <w:rFonts w:ascii="Arial" w:cs="Arial" w:eastAsia="Arial" w:hAnsi="Arial"/>
          <w:sz w:val="12"/>
          <w:szCs w:val="12"/>
          <w:color w:val="auto"/>
        </w:rPr>
      </w:pPr>
      <w:r>
        <w:rPr>
          <w:rFonts w:ascii="Arial" w:cs="Arial" w:eastAsia="Arial" w:hAnsi="Arial"/>
          <w:sz w:val="11"/>
          <w:szCs w:val="11"/>
          <w:color w:val="auto"/>
        </w:rPr>
        <w:t>Common stock equivalents of 261 shares and 525 shares for the three months ended May 2, 2020 and May 4, 2019, respectively, were excluded due to the net loss in each period.</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1"/>
          <w:szCs w:val="11"/>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40" w:type="dxa"/>
            <w:vAlign w:val="bottom"/>
            <w:gridSpan w:val="4"/>
          </w:tcPr>
          <w:p>
            <w:pPr>
              <w:ind w:left="20"/>
              <w:spacing w:after="0"/>
              <w:rPr>
                <w:sz w:val="20"/>
                <w:szCs w:val="20"/>
                <w:color w:val="auto"/>
              </w:rPr>
            </w:pPr>
            <w:r>
              <w:rPr>
                <w:rFonts w:ascii="Arial" w:cs="Arial" w:eastAsia="Arial" w:hAnsi="Arial"/>
                <w:sz w:val="11"/>
                <w:szCs w:val="11"/>
                <w:color w:val="auto"/>
              </w:rPr>
              <w:t>For the three months ended</w:t>
            </w:r>
          </w:p>
        </w:tc>
      </w:tr>
      <w:tr>
        <w:trPr>
          <w:trHeight w:val="149"/>
        </w:trPr>
        <w:tc>
          <w:tcPr>
            <w:tcW w:w="7760" w:type="dxa"/>
            <w:vAlign w:val="bottom"/>
          </w:tcPr>
          <w:p>
            <w:pPr>
              <w:spacing w:after="0"/>
              <w:rPr>
                <w:sz w:val="12"/>
                <w:szCs w:val="12"/>
                <w:color w:val="auto"/>
              </w:rPr>
            </w:pPr>
          </w:p>
        </w:tc>
        <w:tc>
          <w:tcPr>
            <w:tcW w:w="1100" w:type="dxa"/>
            <w:vAlign w:val="bottom"/>
          </w:tcPr>
          <w:p>
            <w:pPr>
              <w:jc w:val="right"/>
              <w:ind w:right="23"/>
              <w:spacing w:after="0"/>
              <w:rPr>
                <w:sz w:val="20"/>
                <w:szCs w:val="20"/>
                <w:color w:val="auto"/>
              </w:rPr>
            </w:pPr>
            <w:r>
              <w:rPr>
                <w:rFonts w:ascii="Arial" w:cs="Arial" w:eastAsia="Arial" w:hAnsi="Arial"/>
                <w:sz w:val="10"/>
                <w:szCs w:val="10"/>
                <w:color w:val="auto"/>
              </w:rPr>
              <w:t>May 2, 2020</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0"/>
                <w:szCs w:val="10"/>
                <w:color w:val="auto"/>
                <w:w w:val="90"/>
              </w:rPr>
              <w:t>May 4, 2019</w:t>
            </w:r>
          </w:p>
        </w:tc>
      </w:tr>
      <w:tr>
        <w:trPr>
          <w:trHeight w:val="132"/>
        </w:trPr>
        <w:tc>
          <w:tcPr>
            <w:tcW w:w="7760" w:type="dxa"/>
            <w:vAlign w:val="bottom"/>
          </w:tcPr>
          <w:p>
            <w:pPr>
              <w:spacing w:after="0"/>
              <w:rPr>
                <w:sz w:val="20"/>
                <w:szCs w:val="20"/>
                <w:color w:val="auto"/>
              </w:rPr>
            </w:pPr>
            <w:r>
              <w:rPr>
                <w:rFonts w:ascii="Arial" w:cs="Arial" w:eastAsia="Arial" w:hAnsi="Arial"/>
                <w:sz w:val="11"/>
                <w:szCs w:val="11"/>
                <w:i w:val="1"/>
                <w:iCs w:val="1"/>
                <w:color w:val="auto"/>
              </w:rPr>
              <w:t>(in thousands, except exercise prices)</w:t>
            </w:r>
          </w:p>
        </w:tc>
        <w:tc>
          <w:tcPr>
            <w:tcW w:w="1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6"/>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Stock options</w:t>
            </w:r>
          </w:p>
        </w:tc>
        <w:tc>
          <w:tcPr>
            <w:tcW w:w="1100" w:type="dxa"/>
            <w:vAlign w:val="bottom"/>
            <w:shd w:val="clear" w:color="auto" w:fill="CFF0FC"/>
          </w:tcPr>
          <w:p>
            <w:pPr>
              <w:jc w:val="right"/>
              <w:ind w:right="123"/>
              <w:spacing w:after="0"/>
              <w:rPr>
                <w:sz w:val="20"/>
                <w:szCs w:val="20"/>
                <w:color w:val="auto"/>
              </w:rPr>
            </w:pPr>
            <w:r>
              <w:rPr>
                <w:rFonts w:ascii="Arial" w:cs="Arial" w:eastAsia="Arial" w:hAnsi="Arial"/>
                <w:sz w:val="12"/>
                <w:szCs w:val="12"/>
                <w:color w:val="auto"/>
              </w:rPr>
              <w:t>538</w:t>
            </w:r>
          </w:p>
        </w:tc>
        <w:tc>
          <w:tcPr>
            <w:tcW w:w="2320" w:type="dxa"/>
            <w:vAlign w:val="bottom"/>
            <w:gridSpan w:val="3"/>
            <w:shd w:val="clear" w:color="auto" w:fill="CFF0FC"/>
          </w:tcPr>
          <w:p>
            <w:pPr>
              <w:jc w:val="center"/>
              <w:ind w:left="801"/>
              <w:spacing w:after="0"/>
              <w:rPr>
                <w:sz w:val="20"/>
                <w:szCs w:val="20"/>
                <w:color w:val="auto"/>
              </w:rPr>
            </w:pPr>
            <w:r>
              <w:rPr>
                <w:rFonts w:ascii="Arial" w:cs="Arial" w:eastAsia="Arial" w:hAnsi="Arial"/>
                <w:sz w:val="12"/>
                <w:szCs w:val="12"/>
                <w:color w:val="auto"/>
                <w:w w:val="89"/>
              </w:rPr>
              <w:t>942</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1"/>
                <w:szCs w:val="11"/>
                <w:color w:val="auto"/>
              </w:rPr>
              <w:t>Restricted stock units</w:t>
            </w:r>
          </w:p>
        </w:tc>
        <w:tc>
          <w:tcPr>
            <w:tcW w:w="1100" w:type="dxa"/>
            <w:vAlign w:val="bottom"/>
          </w:tcPr>
          <w:p>
            <w:pPr>
              <w:jc w:val="right"/>
              <w:ind w:right="123"/>
              <w:spacing w:after="0"/>
              <w:rPr>
                <w:sz w:val="20"/>
                <w:szCs w:val="20"/>
                <w:color w:val="auto"/>
              </w:rPr>
            </w:pPr>
            <w:r>
              <w:rPr>
                <w:rFonts w:ascii="Arial" w:cs="Arial" w:eastAsia="Arial" w:hAnsi="Arial"/>
                <w:sz w:val="12"/>
                <w:szCs w:val="12"/>
                <w:color w:val="auto"/>
              </w:rPr>
              <w:t>963</w:t>
            </w:r>
          </w:p>
        </w:tc>
        <w:tc>
          <w:tcPr>
            <w:tcW w:w="2320" w:type="dxa"/>
            <w:vAlign w:val="bottom"/>
            <w:gridSpan w:val="3"/>
          </w:tcPr>
          <w:p>
            <w:pPr>
              <w:jc w:val="center"/>
              <w:ind w:left="781"/>
              <w:spacing w:after="0"/>
              <w:rPr>
                <w:sz w:val="20"/>
                <w:szCs w:val="20"/>
                <w:color w:val="auto"/>
              </w:rPr>
            </w:pPr>
            <w:r>
              <w:rPr>
                <w:rFonts w:ascii="Arial" w:cs="Arial" w:eastAsia="Arial" w:hAnsi="Arial"/>
                <w:sz w:val="12"/>
                <w:szCs w:val="12"/>
                <w:color w:val="auto"/>
                <w:w w:val="93"/>
              </w:rPr>
              <w:t>1,105</w:t>
            </w:r>
          </w:p>
        </w:tc>
        <w:tc>
          <w:tcPr>
            <w:tcW w:w="120" w:type="dxa"/>
            <w:vAlign w:val="bottom"/>
          </w:tcPr>
          <w:p>
            <w:pPr>
              <w:spacing w:after="0"/>
              <w:rPr>
                <w:sz w:val="13"/>
                <w:szCs w:val="13"/>
                <w:color w:val="auto"/>
              </w:rPr>
            </w:pPr>
          </w:p>
        </w:tc>
      </w:tr>
      <w:tr>
        <w:trPr>
          <w:trHeight w:val="154"/>
        </w:trPr>
        <w:tc>
          <w:tcPr>
            <w:tcW w:w="7760" w:type="dxa"/>
            <w:vAlign w:val="bottom"/>
            <w:shd w:val="clear" w:color="auto" w:fill="CFF0FC"/>
          </w:tcPr>
          <w:p>
            <w:pPr>
              <w:spacing w:after="0"/>
              <w:rPr>
                <w:sz w:val="20"/>
                <w:szCs w:val="20"/>
                <w:color w:val="auto"/>
              </w:rPr>
            </w:pPr>
            <w:r>
              <w:rPr>
                <w:rFonts w:ascii="Arial" w:cs="Arial" w:eastAsia="Arial" w:hAnsi="Arial"/>
                <w:sz w:val="11"/>
                <w:szCs w:val="11"/>
                <w:color w:val="auto"/>
              </w:rPr>
              <w:t>Restricted and deferred stock</w:t>
            </w:r>
          </w:p>
        </w:tc>
        <w:tc>
          <w:tcPr>
            <w:tcW w:w="1100" w:type="dxa"/>
            <w:vAlign w:val="bottom"/>
            <w:shd w:val="clear" w:color="auto" w:fill="CFF0FC"/>
          </w:tcPr>
          <w:p>
            <w:pPr>
              <w:jc w:val="right"/>
              <w:ind w:right="123"/>
              <w:spacing w:after="0"/>
              <w:rPr>
                <w:sz w:val="20"/>
                <w:szCs w:val="20"/>
                <w:color w:val="auto"/>
              </w:rPr>
            </w:pPr>
            <w:r>
              <w:rPr>
                <w:rFonts w:ascii="Arial" w:cs="Arial" w:eastAsia="Arial" w:hAnsi="Arial"/>
                <w:sz w:val="12"/>
                <w:szCs w:val="12"/>
                <w:color w:val="auto"/>
              </w:rPr>
              <w:t>160</w:t>
            </w:r>
          </w:p>
        </w:tc>
        <w:tc>
          <w:tcPr>
            <w:tcW w:w="2320" w:type="dxa"/>
            <w:vAlign w:val="bottom"/>
            <w:gridSpan w:val="3"/>
            <w:shd w:val="clear" w:color="auto" w:fill="CFF0FC"/>
          </w:tcPr>
          <w:p>
            <w:pPr>
              <w:jc w:val="center"/>
              <w:ind w:left="781"/>
              <w:spacing w:after="0"/>
              <w:rPr>
                <w:sz w:val="20"/>
                <w:szCs w:val="20"/>
                <w:color w:val="auto"/>
              </w:rPr>
            </w:pPr>
            <w:r>
              <w:rPr>
                <w:rFonts w:ascii="Arial" w:cs="Arial" w:eastAsia="Arial" w:hAnsi="Arial"/>
                <w:sz w:val="12"/>
                <w:szCs w:val="12"/>
                <w:color w:val="auto"/>
                <w:w w:val="89"/>
              </w:rPr>
              <w:t>39</w:t>
            </w:r>
          </w:p>
        </w:tc>
        <w:tc>
          <w:tcPr>
            <w:tcW w:w="120" w:type="dxa"/>
            <w:vAlign w:val="bottom"/>
            <w:shd w:val="clear" w:color="auto" w:fill="CFF0FC"/>
          </w:tcPr>
          <w:p>
            <w:pPr>
              <w:spacing w:after="0"/>
              <w:rPr>
                <w:sz w:val="13"/>
                <w:szCs w:val="13"/>
                <w:color w:val="auto"/>
              </w:rPr>
            </w:pPr>
          </w:p>
        </w:tc>
      </w:tr>
      <w:tr>
        <w:trPr>
          <w:trHeight w:val="154"/>
        </w:trPr>
        <w:tc>
          <w:tcPr>
            <w:tcW w:w="7760" w:type="dxa"/>
            <w:vAlign w:val="bottom"/>
          </w:tcPr>
          <w:p>
            <w:pPr>
              <w:spacing w:after="0"/>
              <w:rPr>
                <w:sz w:val="20"/>
                <w:szCs w:val="20"/>
                <w:color w:val="auto"/>
              </w:rPr>
            </w:pPr>
            <w:r>
              <w:rPr>
                <w:rFonts w:ascii="Arial" w:cs="Arial" w:eastAsia="Arial" w:hAnsi="Arial"/>
                <w:sz w:val="11"/>
                <w:szCs w:val="11"/>
                <w:color w:val="auto"/>
              </w:rPr>
              <w:t>Range of exercise prices of such options</w:t>
            </w:r>
          </w:p>
        </w:tc>
        <w:tc>
          <w:tcPr>
            <w:tcW w:w="1100" w:type="dxa"/>
            <w:vAlign w:val="bottom"/>
          </w:tcPr>
          <w:p>
            <w:pPr>
              <w:jc w:val="right"/>
              <w:spacing w:after="0"/>
              <w:rPr>
                <w:sz w:val="20"/>
                <w:szCs w:val="20"/>
                <w:color w:val="auto"/>
              </w:rPr>
            </w:pPr>
            <w:r>
              <w:rPr>
                <w:rFonts w:ascii="Arial" w:cs="Arial" w:eastAsia="Arial" w:hAnsi="Arial"/>
                <w:sz w:val="11"/>
                <w:szCs w:val="11"/>
                <w:color w:val="auto"/>
              </w:rPr>
              <w:t>$1.85 - $7.02</w:t>
            </w:r>
          </w:p>
        </w:tc>
        <w:tc>
          <w:tcPr>
            <w:tcW w:w="2320" w:type="dxa"/>
            <w:vAlign w:val="bottom"/>
            <w:gridSpan w:val="3"/>
          </w:tcPr>
          <w:p>
            <w:pPr>
              <w:jc w:val="right"/>
              <w:ind w:right="412"/>
              <w:spacing w:after="0"/>
              <w:rPr>
                <w:sz w:val="20"/>
                <w:szCs w:val="20"/>
                <w:color w:val="auto"/>
              </w:rPr>
            </w:pPr>
            <w:r>
              <w:rPr>
                <w:rFonts w:ascii="Arial" w:cs="Arial" w:eastAsia="Arial" w:hAnsi="Arial"/>
                <w:sz w:val="12"/>
                <w:szCs w:val="12"/>
                <w:color w:val="auto"/>
              </w:rPr>
              <w:t>$2.00 - $7.02</w:t>
            </w:r>
          </w:p>
        </w:tc>
        <w:tc>
          <w:tcPr>
            <w:tcW w:w="120" w:type="dxa"/>
            <w:vAlign w:val="bottom"/>
          </w:tcPr>
          <w:p>
            <w:pPr>
              <w:spacing w:after="0"/>
              <w:rPr>
                <w:sz w:val="13"/>
                <w:szCs w:val="13"/>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above options, which were outstanding at May 2, 2020, expire from May 3, 2020 to June 29, 2028.</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Excluded from the computation of basic and diluted earnings per share for both periods were 720,000 shares of unvested performance stock units. These performance-based awards will be included in the computation of basic and diluted earnings per share if, and when, the respective performance targets are achieved. In addition, 335,073 shares and 220,836 shares of deferred stock for three months ended May 2, 2020 and May 4, 2019, respectively, were excluded from basic earnings per share. Outstanding shares of deferred stock are not considered issued and outstanding until the vesting date of the deferral period. Unvested time-based restricted shares of 20,000 were also excluded in the first three months of fiscal 2019.</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Income Taxes</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Since the end of fiscal 2014, the Company has maintained a full valuation allowance against its deferred tax assets. While the Company has projected it will return to profitability, generate taxable income and ultimately emerge from a three-year cumulative loss, the Company believes that a full valuation allowance remains appropriate at this time, based on the Company’s forecast for fiscal 2020. Realization of the Company’s deferred tax assets is dependent on generating sufficient taxable income in the near term. At May 2, 2020, the Company had total deferred tax assets of $107.3 million, total deferred tax liabilities of $49.8 million and a valuation allowance of $57.5 million.</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As of May 2, 2020, for federal income tax purposes, the Company has net operating loss carryforwards of $141.5 million, which will expire from fiscal 2022 through fiscal 2036 and net operating loss carryforwards of $50.1 million that are not subject to expiration. For state income tax purposes, the Company has $112.5 million of net operating losses that are available to offset future taxable income, which will expire from fiscal 2020 through fiscal 2040. Additionally, the Company has $3.4 million of net operating loss carryforwards related to the Company’s operations in Canada, which will expire from fiscal 2025 through fiscal 2040.</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Company’s financial statements reflect the expected future tax consequences of uncertain tax positions that the Company has taken or expects to take on a tax return, based solely on the technical merits of the tax position. The liability for unrecognized tax benefits at May 2, 2020 was approximately $2.0 million and was associated with a prior tax position related to exiting the Company’s direct business in Europe during fiscal 2013. The amount of unrecognized tax benefits has been presented as a reduction in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2"/>
          <w:szCs w:val="12"/>
          <w:color w:val="auto"/>
        </w:rPr>
        <w:t>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212121"/>
        </w:rPr>
        <w:t>In March 2020, the Coronavirus Aid, Relief and Economic Security Act, ("CARES Act") was signed into law. This law includes several taxpayer favorable provisions which may impact the Company including an employee retention credit, relaxed interest expense limitations, provides for a carryback of net operating losses, permits accelerated depreciation on certain store build out costs and allows for the deferral of employer FICA taxes. In addition, it provided for the accelerated payment of any refundable alternative minimum tax credit (“AMT”). At May 2, 2020, the Company’s AMT receivable was $1.1 million.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discrete tax rate method was used for calculating tax expense for the first three months of fiscal 2020 and fiscal 2019. The net tax provision for the first three months of fiscal 2020, primarily related to certain states’ margin tax. The Company’s net tax benefit for the first three months of fiscal 2019 was the result of the deferred tax impact of $51,000, in other comprehensive income (loss), which resulted in a corresponding decrease in valuation allowance. This income tax benefit was partially offset by tax expense, primarily for certain states’ margin tax.</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CEO Transition Costs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Results for the first three months of fiscal 2019, included $0.7 million related to CEO search costs, Acting CEO consulting costs, housing allowance and legal fees.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Nasdaq Notification of Non-Compliance</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Company’s common stock is publicly traded and listed on The Nasdaq Global Select Market (“Nasdaq”) under the symbol “DXLG.” Nasdaq has continued listing standards that the Company must maintain to avoid delisting, including, among others, a minimum bid price requirement of $1.00 per share. On April 9, 2020, the Company received a letter from the Listing Qualifications staff of Nasdaq notifying the Company that, based upon the closing bid price of its common stock for the last 30 consecutive trading days, the Company was not in compliance with Nasdaq Listing Rule 5450(a)(1), as the minimum bid price for the Company’s common stock was less than $1.00 per share for the previous 30 consecutive trading days. At that time, the Company was granted a 180 calendar-day grace period to regain compliance with the minimum bid price requirement. On April 17, 2020, the Company received a follow-up letter from the Listing Qualifications staff notifying the Company that Nasdaq had determined to toll all compliance periods through June 30, 2020. Accordingly, the Company’s 180 calendar-day grace period to regain compliance with the minimum bid price requirement was extended to December 21, 2020.</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Notice does not result in the immediate delisting of the Company’s common stock from the Nasdaq Global Select Market. The Company intends to monitor the closing bid price of the Company’s common stock to allow a reasonable period for the price to rebound from its recent decline but will continue to consider its available options to regain compliance. There can be no assurance that the Company will be able to regain compliance with the minimum bid price requirement or maintain compliance with the other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ability to withstand the impact of the COVID-19 pandemic on our business and results in fiscal 2020 and to manage through the pandemic, including our efforts to restructure and reduce costs, manage inventory, negotiate rent concessions or rent relief from its landlords, market to our customers to encourage shopping online, and maintain sufficient liquidity, the expected pace of store reopenings, and our expected liquidity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1, 2020, included in our Annual Report on Form 10-K for the year ended February 1, 2020, as filed with the Securities and Exchange Commission on March 19, 2020 (our “Fiscal 2019 Annual Report”).</w:t>
      </w:r>
    </w:p>
    <w:p>
      <w:pPr>
        <w:spacing w:after="0" w:line="55"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Numerous factors could cause our actual results to differ materially from such forward-looking statements. We encourage readers to refer to our “Risk Factors” found in Part II, Item 1A of this Quarterly Report, which supplements our discussion of “Risk Factors” found in Part I, Item 1A of our Fiscal 2019 Annual Report. This discussion set forth certain risks and uncertainties that may have an impact on future results and direction of our Company, including, without limitation, risks relating to the COVID-19 pandemic, the execution of our corporate strategy, and our ability to grow our wholesale segment, predict customer tastes and fashion trends, forecast sales growth trends, maintain and build our brand awareness and compete successfully in our market.</w:t>
      </w:r>
    </w:p>
    <w:p>
      <w:pPr>
        <w:spacing w:after="0" w:line="124" w:lineRule="exact"/>
        <w:rPr>
          <w:sz w:val="20"/>
          <w:szCs w:val="20"/>
          <w:color w:val="auto"/>
        </w:rPr>
      </w:pPr>
    </w:p>
    <w:p>
      <w:pPr>
        <w:jc w:val="both"/>
        <w:ind w:right="140"/>
        <w:spacing w:after="0" w:line="265" w:lineRule="auto"/>
        <w:rPr>
          <w:sz w:val="20"/>
          <w:szCs w:val="20"/>
          <w:color w:val="auto"/>
        </w:rPr>
      </w:pPr>
      <w:r>
        <w:rPr>
          <w:rFonts w:ascii="Arial" w:cs="Arial" w:eastAsia="Arial" w:hAnsi="Arial"/>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SUMMARY</w:t>
      </w:r>
    </w:p>
    <w:p>
      <w:pPr>
        <w:spacing w:after="0" w:line="83" w:lineRule="exact"/>
        <w:rPr>
          <w:sz w:val="20"/>
          <w:szCs w:val="20"/>
          <w:color w:val="auto"/>
        </w:rPr>
      </w:pPr>
    </w:p>
    <w:p>
      <w:pPr>
        <w:spacing w:after="0" w:line="225" w:lineRule="auto"/>
        <w:rPr>
          <w:sz w:val="20"/>
          <w:szCs w:val="20"/>
          <w:color w:val="auto"/>
        </w:rPr>
      </w:pPr>
      <w:r>
        <w:rPr>
          <w:rFonts w:ascii="Arial" w:cs="Arial" w:eastAsia="Arial" w:hAnsi="Arial"/>
          <w:sz w:val="12"/>
          <w:szCs w:val="12"/>
          <w:color w:val="auto"/>
        </w:rPr>
        <w:t>Destination XL Group, Inc., together with our consolidated subsidiaries (the “Company”), is the largest specialty retailer of big and tall men’s clothing with retail, wholesale and direct operations in the United States and Canada. We operate under the trade names of Destination XL</w:t>
      </w:r>
      <w:r>
        <w:rPr>
          <w:rFonts w:ascii="Arial" w:cs="Arial" w:eastAsia="Arial" w:hAnsi="Arial"/>
          <w:sz w:val="17"/>
          <w:szCs w:val="17"/>
          <w:color w:val="auto"/>
          <w:vertAlign w:val="superscript"/>
        </w:rPr>
        <w:t>®</w:t>
      </w:r>
      <w:r>
        <w:rPr>
          <w:rFonts w:ascii="Arial" w:cs="Arial" w:eastAsia="Arial" w:hAnsi="Arial"/>
          <w:sz w:val="12"/>
          <w:szCs w:val="12"/>
          <w:color w:val="auto"/>
        </w:rPr>
        <w:t>, DXL</w:t>
      </w:r>
      <w:r>
        <w:rPr>
          <w:rFonts w:ascii="Arial" w:cs="Arial" w:eastAsia="Arial" w:hAnsi="Arial"/>
          <w:sz w:val="17"/>
          <w:szCs w:val="17"/>
          <w:color w:val="auto"/>
          <w:vertAlign w:val="superscript"/>
        </w:rPr>
        <w:t>®</w:t>
      </w:r>
      <w:r>
        <w:rPr>
          <w:rFonts w:ascii="Arial" w:cs="Arial" w:eastAsia="Arial" w:hAnsi="Arial"/>
          <w:sz w:val="12"/>
          <w:szCs w:val="12"/>
          <w:color w:val="auto"/>
        </w:rPr>
        <w:t>, DXL Outlets, Casual Male XL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Casual Male XL Outlets. At May 2, 2020, we operated 228 Destination XL stores, 17 DXL outlet stores, 50 Casual Male XL retail stores, 26 Casual Male XL outlet stores. Our e-commerce site, dxl.com, supports our stores, brands and product extensions.</w:t>
      </w:r>
    </w:p>
    <w:p>
      <w:pPr>
        <w:spacing w:after="0" w:line="138"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Unless the context indicates otherwise, all references to “we,” “our,” “us” and “the Company” refer to Destination XL Group, Inc. and our consolidated subsidiaries. We refer to our fiscal years, which end on January 30, 2021 and February 1, 2020 as “fiscal 2020” and “fiscal 2019,” respectively. Both fiscal 2020 and fiscal 2019 are 52-week periods.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REPORTING</w:t>
      </w:r>
    </w:p>
    <w:p>
      <w:pPr>
        <w:spacing w:after="0" w:line="83" w:lineRule="exact"/>
        <w:rPr>
          <w:sz w:val="20"/>
          <w:szCs w:val="20"/>
          <w:color w:val="auto"/>
        </w:rPr>
      </w:pPr>
    </w:p>
    <w:p>
      <w:pPr>
        <w:jc w:val="both"/>
        <w:ind w:right="160"/>
        <w:spacing w:after="0" w:line="265" w:lineRule="auto"/>
        <w:rPr>
          <w:sz w:val="20"/>
          <w:szCs w:val="20"/>
          <w:color w:val="auto"/>
        </w:rPr>
      </w:pPr>
      <w:r>
        <w:rPr>
          <w:rFonts w:ascii="Arial" w:cs="Arial" w:eastAsia="Arial" w:hAnsi="Arial"/>
          <w:sz w:val="12"/>
          <w:szCs w:val="12"/>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both periods.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COMPARABLE SALES</w:t>
      </w:r>
    </w:p>
    <w:p>
      <w:pPr>
        <w:spacing w:after="0" w:line="156"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more recently due to the COVID-19 pandemic, pick-up at curbside. Because this omni-channel approach to retailing is changing the boundaries of where a sale originates and where a sale is ultimately settled, we do not report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jc w:val="both"/>
        <w:ind w:right="120"/>
        <w:spacing w:after="0" w:line="265" w:lineRule="auto"/>
        <w:rPr>
          <w:sz w:val="20"/>
          <w:szCs w:val="20"/>
          <w:color w:val="auto"/>
        </w:rPr>
      </w:pPr>
      <w:r>
        <w:rPr>
          <w:rFonts w:ascii="Arial" w:cs="Arial" w:eastAsia="Arial" w:hAnsi="Arial"/>
          <w:sz w:val="12"/>
          <w:szCs w:val="12"/>
          <w:color w:val="auto"/>
        </w:rPr>
        <w:t>comparable sales separately for our retail segment. However, as we continue to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50"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 xml:space="preserve">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 However, due to our </w:t>
      </w:r>
      <w:r>
        <w:rPr>
          <w:rFonts w:ascii="Arial" w:cs="Arial" w:eastAsia="Arial" w:hAnsi="Arial"/>
          <w:sz w:val="12"/>
          <w:szCs w:val="12"/>
          <w:color w:val="212121"/>
        </w:rPr>
        <w:t>temporary</w:t>
      </w:r>
      <w:r>
        <w:rPr>
          <w:rFonts w:ascii="Arial" w:cs="Arial" w:eastAsia="Arial" w:hAnsi="Arial"/>
          <w:sz w:val="12"/>
          <w:szCs w:val="12"/>
          <w:color w:val="auto"/>
        </w:rPr>
        <w:t xml:space="preserve"> </w:t>
      </w:r>
      <w:r>
        <w:rPr>
          <w:rFonts w:ascii="Arial" w:cs="Arial" w:eastAsia="Arial" w:hAnsi="Arial"/>
          <w:sz w:val="12"/>
          <w:szCs w:val="12"/>
          <w:color w:val="212121"/>
        </w:rPr>
        <w:t>store closures beginning in mid-March 2020 and the overall impact of the COVID-19 pandemic on our sales, we have not included a discussion of comparable sales for the first quarter of fiscal 2020 as we do not believe it provides a meaningful metric of our performance during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12121"/>
        </w:rPr>
        <w:t>Impact of COVID-19 Pandemic on Our Business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 xml:space="preserve">On March 11, 2020, the World Health Organization declared COVID-19 as a global pandemic. </w:t>
      </w:r>
      <w:r>
        <w:rPr>
          <w:rFonts w:ascii="Arial" w:cs="Arial" w:eastAsia="Arial" w:hAnsi="Arial"/>
          <w:sz w:val="11"/>
          <w:szCs w:val="11"/>
          <w:color w:val="212121"/>
        </w:rPr>
        <w:t>The COVID-19 pandemic has negatively affected the global economy, disrupted global supply chains, and created significant disruption</w:t>
      </w:r>
      <w:r>
        <w:rPr>
          <w:rFonts w:ascii="Arial" w:cs="Arial" w:eastAsia="Arial" w:hAnsi="Arial"/>
          <w:sz w:val="11"/>
          <w:szCs w:val="11"/>
          <w:color w:val="auto"/>
        </w:rPr>
        <w:t xml:space="preserve"> </w:t>
      </w:r>
      <w:r>
        <w:rPr>
          <w:rFonts w:ascii="Arial" w:cs="Arial" w:eastAsia="Arial" w:hAnsi="Arial"/>
          <w:sz w:val="11"/>
          <w:szCs w:val="11"/>
          <w:color w:val="212121"/>
        </w:rPr>
        <w:t xml:space="preserve">of the financial and retail markets, including a disruption in consumer demand for men’s clothing and accessories. While the </w:t>
      </w:r>
      <w:r>
        <w:rPr>
          <w:rFonts w:ascii="Arial" w:cs="Arial" w:eastAsia="Arial" w:hAnsi="Arial"/>
          <w:sz w:val="11"/>
          <w:szCs w:val="11"/>
          <w:color w:val="000000"/>
        </w:rPr>
        <w:t>pandemic has had, and will likely continue to have, a significant adverse effect on our business, financial</w:t>
      </w:r>
      <w:r>
        <w:rPr>
          <w:rFonts w:ascii="Arial" w:cs="Arial" w:eastAsia="Arial" w:hAnsi="Arial"/>
          <w:sz w:val="11"/>
          <w:szCs w:val="11"/>
          <w:color w:val="212121"/>
        </w:rPr>
        <w:t xml:space="preserve"> </w:t>
      </w:r>
      <w:r>
        <w:rPr>
          <w:rFonts w:ascii="Arial" w:cs="Arial" w:eastAsia="Arial" w:hAnsi="Arial"/>
          <w:sz w:val="11"/>
          <w:szCs w:val="11"/>
          <w:color w:val="000000"/>
        </w:rPr>
        <w:t>condition, and results of operations, we moved early and decisively over the past quarter to preserve our financial flexibility and position ourselves to withstand the short-term impact of the pandemic and its impact on the consumer. We have been communicating consistently and transparently with our employees, suppliers, landlords and banks and believe this direct and active communication has meaningfully enhanced the level of partnership and trust to support the plans we have in place to manage through the pandemic. Over the past several weeks, we have taken proactive measures to manage our resources and mitigate the adverse impact of this pandemic, and have:</w:t>
      </w:r>
    </w:p>
    <w:p>
      <w:pPr>
        <w:spacing w:after="0" w:line="131" w:lineRule="exact"/>
        <w:rPr>
          <w:sz w:val="20"/>
          <w:szCs w:val="20"/>
          <w:color w:val="auto"/>
        </w:rPr>
      </w:pPr>
    </w:p>
    <w:p>
      <w:pPr>
        <w:ind w:left="740" w:right="120" w:hanging="376"/>
        <w:spacing w:after="0" w:line="278" w:lineRule="auto"/>
        <w:tabs>
          <w:tab w:leader="none" w:pos="740" w:val="left"/>
        </w:tabs>
        <w:numPr>
          <w:ilvl w:val="0"/>
          <w:numId w:val="8"/>
        </w:numPr>
        <w:rPr>
          <w:rFonts w:ascii="Arial" w:cs="Arial" w:eastAsia="Arial" w:hAnsi="Arial"/>
          <w:sz w:val="11"/>
          <w:szCs w:val="11"/>
          <w:color w:val="auto"/>
        </w:rPr>
      </w:pPr>
      <w:r>
        <w:rPr>
          <w:rFonts w:ascii="Arial" w:cs="Arial" w:eastAsia="Arial" w:hAnsi="Arial"/>
          <w:sz w:val="11"/>
          <w:szCs w:val="11"/>
          <w:color w:val="auto"/>
        </w:rPr>
        <w:t>Closed all of our retail stores on March 17, 2020 for the safety of our associates and customers, which has had a material impact on our results of operations. Where permitted, we operated approximately 30 stores (while closed to the public) to assist with picking, packing and shipping e-commerce orders. As we head into the second quarter of fiscal 2020, we expect to gradually reopen stores in connection with local and state guidelines, with an expectation to have all of our stores open by the end of June 2020. Our primary concern will be the continued safety of our associates and customers. As stores reopen, we expect they will operate with limited hours and staffing, with the option of no-contact curbside pickup. As of June 2, 2020, 201 of our 321 stores have opened. We further expect that once stores reopen it may take several months before customer demand returns given the continued uncertainty of the COVID-19 pandemic and its effect on our global economy and consumer behavior.</w:t>
      </w:r>
    </w:p>
    <w:p>
      <w:pPr>
        <w:ind w:left="740" w:right="260" w:hanging="376"/>
        <w:spacing w:after="0" w:line="252" w:lineRule="auto"/>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Furloughed all store associates and approximately 60% of our corporate office, in connection with our store closures. For the safety of our associates, non-furloughed associates at the Company’s headquarters will continue to work from home, where possible, until at least September 2020. For roles that require associates to be on-site, such as our distribution center, we are providing protective equipment, practicing social distancing and increasing sanitizing standards. We expect to bring furloughed associates back as store locations begin to open.</w:t>
      </w:r>
    </w:p>
    <w:p>
      <w:pPr>
        <w:ind w:left="740" w:right="80" w:hanging="376"/>
        <w:spacing w:after="0" w:line="252" w:lineRule="auto"/>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Through our wholesale segment, in the second quarter of fiscal 2020 we will be sourcing and selling masks to Fortune 100 companies with nearly 2.5 million masks sold and 250,000 masks for sale on DXL.com. The distribution center has not only supported mask making, but continues to operate throughout the pandemic, which has allowed us to provide uninterrupted service to our customers through our growing digital e-commerce channels.</w:t>
      </w:r>
    </w:p>
    <w:p>
      <w:pPr>
        <w:ind w:left="740" w:right="400" w:hanging="376"/>
        <w:spacing w:after="0" w:line="252" w:lineRule="auto"/>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Instituted temporary salary reductions ranging from 10% -20% for members of senior management (director level and above) and suspended all merit increases for fiscal 2020. With the expected changes to our business, we are restructuring various departments, which resulted in the elimination of approximately 34 positions in May 2020.</w:t>
      </w:r>
    </w:p>
    <w:p>
      <w:pPr>
        <w:ind w:left="740" w:hanging="376"/>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Suspended second quarter compensation to our non-employee directors.</w:t>
      </w:r>
    </w:p>
    <w:p>
      <w:pPr>
        <w:spacing w:after="0" w:line="6" w:lineRule="exact"/>
        <w:rPr>
          <w:rFonts w:ascii="Arial" w:cs="Arial" w:eastAsia="Arial" w:hAnsi="Arial"/>
          <w:sz w:val="12"/>
          <w:szCs w:val="12"/>
          <w:color w:val="auto"/>
        </w:rPr>
      </w:pPr>
    </w:p>
    <w:p>
      <w:pPr>
        <w:ind w:left="740" w:hanging="376"/>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Drew $30.0 million under our revolving credit facility on March 20</w:t>
      </w:r>
      <w:r>
        <w:rPr>
          <w:rFonts w:ascii="Arial" w:cs="Arial" w:eastAsia="Arial" w:hAnsi="Arial"/>
          <w:sz w:val="10"/>
          <w:szCs w:val="10"/>
          <w:color w:val="auto"/>
        </w:rPr>
        <w:t>th</w:t>
      </w:r>
      <w:r>
        <w:rPr>
          <w:rFonts w:ascii="Arial" w:cs="Arial" w:eastAsia="Arial" w:hAnsi="Arial"/>
          <w:sz w:val="12"/>
          <w:szCs w:val="12"/>
          <w:color w:val="auto"/>
        </w:rPr>
        <w:t xml:space="preserve"> to preserve our access to cash and amended our credit facility on April 15</w:t>
      </w:r>
      <w:r>
        <w:rPr>
          <w:rFonts w:ascii="Arial" w:cs="Arial" w:eastAsia="Arial" w:hAnsi="Arial"/>
          <w:sz w:val="10"/>
          <w:szCs w:val="10"/>
          <w:color w:val="auto"/>
        </w:rPr>
        <w:t>th</w:t>
      </w:r>
      <w:r>
        <w:rPr>
          <w:rFonts w:ascii="Arial" w:cs="Arial" w:eastAsia="Arial" w:hAnsi="Arial"/>
          <w:sz w:val="12"/>
          <w:szCs w:val="12"/>
          <w:color w:val="auto"/>
        </w:rPr>
        <w:t xml:space="preserve"> to improve our excess availability.</w:t>
      </w:r>
    </w:p>
    <w:p>
      <w:pPr>
        <w:spacing w:after="0" w:line="6" w:lineRule="exact"/>
        <w:rPr>
          <w:rFonts w:ascii="Arial" w:cs="Arial" w:eastAsia="Arial" w:hAnsi="Arial"/>
          <w:sz w:val="12"/>
          <w:szCs w:val="12"/>
          <w:color w:val="auto"/>
        </w:rPr>
      </w:pPr>
    </w:p>
    <w:p>
      <w:pPr>
        <w:ind w:left="740" w:hanging="376"/>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Cancelled $148 million, at retail, in merchandise receipts for fiscal 2020 and continue to work with vendors for extended payment terms.</w:t>
      </w:r>
    </w:p>
    <w:p>
      <w:pPr>
        <w:spacing w:after="0" w:line="6" w:lineRule="exact"/>
        <w:rPr>
          <w:rFonts w:ascii="Arial" w:cs="Arial" w:eastAsia="Arial" w:hAnsi="Arial"/>
          <w:sz w:val="12"/>
          <w:szCs w:val="12"/>
          <w:color w:val="auto"/>
        </w:rPr>
      </w:pPr>
    </w:p>
    <w:p>
      <w:pPr>
        <w:ind w:left="740" w:hanging="376"/>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212121"/>
        </w:rPr>
        <w:t>Eliminated capital improvement programs for all discretionary spend and non-essential capital expenditures.</w:t>
      </w:r>
    </w:p>
    <w:p>
      <w:pPr>
        <w:spacing w:after="0" w:line="143"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212121"/>
        </w:rPr>
        <w:t>In addition to the significant impact on our revenue and workforce during the first quarter of fiscal 2020, the COVID-19 pandemic also has impacted the valuation of certain of our assets and our operating cash flows. As discussed below, because of the material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6" w:right="319" w:bottom="1440" w:gutter="0" w:footer="0" w:header="0"/>
        </w:sectPr>
      </w:pPr>
    </w:p>
    <w:bookmarkStart w:id="19" w:name="page20"/>
    <w:bookmarkEnd w:id="19"/>
    <w:p>
      <w:pPr>
        <w:ind w:right="180"/>
        <w:spacing w:after="0" w:line="257" w:lineRule="auto"/>
        <w:rPr>
          <w:sz w:val="20"/>
          <w:szCs w:val="20"/>
          <w:color w:val="auto"/>
        </w:rPr>
      </w:pPr>
      <w:r>
        <w:rPr>
          <w:rFonts w:ascii="Arial" w:cs="Arial" w:eastAsia="Arial" w:hAnsi="Arial"/>
          <w:sz w:val="12"/>
          <w:szCs w:val="12"/>
          <w:color w:val="212121"/>
        </w:rPr>
        <w:t>impact of the pandemic on our business during the quarter, we reviewed our assets for impairment, which resulted in an impairment charge of $16.3 million for the quarter related to the write-down of certain right-of-use assets and property and equipment. With respect to liquidity, in addition to the $30.0 million draw-down on our credit facility and amendment to our credit facility discussed below, we also entered into short-term notes, totaling $2.0 million, with two of our merchandise vendors to extend payment terms. We are also currently negotiating with landlords on rent concessions for April through July rent, due to the store closures and shelter-in-place orders. We did not make scheduled rent payments, due April 1, 2020, of $4.2 million, and while no rent concessions were made in the first quarter of 2020, several rent concessions have been agreed upon in the second quarter of fiscal 2020. There can be no assurance that we will be able to negotiate such concessions in the future. We will also consider all opportunities that may be available to us under the Coronavirus Aid, Relief and Economic Security Act, ("CARES Act") to help mitigate the impact of the pandemic.</w:t>
      </w:r>
    </w:p>
    <w:p>
      <w:pPr>
        <w:spacing w:after="0" w:line="146"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 xml:space="preserve">Based on these actions and our current projections, we believe we have sufficient liquidity to cover our working capital requirements for the next 12 months. At the end of the first quarter of fiscal 2020, we had a cash balance of $26.1 million, total debt of $96.5 million and remaining availability under our credit facility of $16.8 million. However, we </w:t>
      </w:r>
      <w:r>
        <w:rPr>
          <w:rFonts w:ascii="Arial" w:cs="Arial" w:eastAsia="Arial" w:hAnsi="Arial"/>
          <w:sz w:val="12"/>
          <w:szCs w:val="12"/>
          <w:color w:val="212121"/>
        </w:rPr>
        <w:t>cannot estimate with certainty the length or severity of this pandemic, or the extent to which the disruption may</w:t>
      </w:r>
      <w:r>
        <w:rPr>
          <w:rFonts w:ascii="Arial" w:cs="Arial" w:eastAsia="Arial" w:hAnsi="Arial"/>
          <w:sz w:val="12"/>
          <w:szCs w:val="12"/>
          <w:color w:val="auto"/>
        </w:rPr>
        <w:t xml:space="preserve"> </w:t>
      </w:r>
      <w:r>
        <w:rPr>
          <w:rFonts w:ascii="Arial" w:cs="Arial" w:eastAsia="Arial" w:hAnsi="Arial"/>
          <w:sz w:val="12"/>
          <w:szCs w:val="12"/>
          <w:color w:val="212121"/>
        </w:rPr>
        <w:t>continue to materially impact our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Summary</w:t>
      </w:r>
    </w:p>
    <w:p>
      <w:pPr>
        <w:spacing w:after="0" w:line="224"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The following is a summary of results for the first quarter of fiscal 2020 as compared to the first quarter of the prior year, including adjusted EBITDA, which is a non-GAAP measure. Please see “Non-GAAP Financial Measures” below for a reconciliation of net loss to adjusted EBITDA.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60" w:type="dxa"/>
            <w:vAlign w:val="bottom"/>
            <w:gridSpan w:val="6"/>
          </w:tcPr>
          <w:p>
            <w:pPr>
              <w:ind w:left="200"/>
              <w:spacing w:after="0"/>
              <w:rPr>
                <w:sz w:val="20"/>
                <w:szCs w:val="20"/>
                <w:color w:val="auto"/>
              </w:rPr>
            </w:pPr>
            <w:r>
              <w:rPr>
                <w:rFonts w:ascii="Arial" w:cs="Arial" w:eastAsia="Arial" w:hAnsi="Arial"/>
                <w:sz w:val="12"/>
                <w:szCs w:val="12"/>
                <w:color w:val="auto"/>
              </w:rPr>
              <w:t>For the three months ended</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4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gridSpan w:val="2"/>
          </w:tcPr>
          <w:p>
            <w:pPr>
              <w:ind w:left="760"/>
              <w:spacing w:after="0"/>
              <w:rPr>
                <w:sz w:val="20"/>
                <w:szCs w:val="20"/>
                <w:color w:val="auto"/>
              </w:rPr>
            </w:pPr>
            <w:r>
              <w:rPr>
                <w:rFonts w:ascii="Arial" w:cs="Arial" w:eastAsia="Arial" w:hAnsi="Arial"/>
                <w:sz w:val="12"/>
                <w:szCs w:val="12"/>
                <w:color w:val="auto"/>
              </w:rPr>
              <w:t>May 2, 2020</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740"/>
              <w:spacing w:after="0"/>
              <w:rPr>
                <w:sz w:val="20"/>
                <w:szCs w:val="20"/>
                <w:color w:val="auto"/>
              </w:rPr>
            </w:pPr>
            <w:r>
              <w:rPr>
                <w:rFonts w:ascii="Arial" w:cs="Arial" w:eastAsia="Arial" w:hAnsi="Arial"/>
                <w:sz w:val="12"/>
                <w:szCs w:val="12"/>
                <w:color w:val="auto"/>
              </w:rPr>
              <w:t>May 4, 2019</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40" w:type="dxa"/>
            <w:vAlign w:val="bottom"/>
            <w:gridSpan w:val="3"/>
            <w:shd w:val="clear" w:color="auto" w:fill="CFF0FC"/>
          </w:tcPr>
          <w:p>
            <w:pPr>
              <w:spacing w:after="0" w:line="116" w:lineRule="exact"/>
              <w:rPr>
                <w:sz w:val="20"/>
                <w:szCs w:val="20"/>
                <w:color w:val="auto"/>
              </w:rPr>
            </w:pPr>
            <w:r>
              <w:rPr>
                <w:rFonts w:ascii="Arial" w:cs="Arial" w:eastAsia="Arial" w:hAnsi="Arial"/>
                <w:sz w:val="12"/>
                <w:szCs w:val="12"/>
                <w:i w:val="1"/>
                <w:iCs w:val="1"/>
                <w:color w:val="auto"/>
              </w:rPr>
              <w:t>(in millions, except per share data)</w:t>
            </w:r>
          </w:p>
        </w:tc>
        <w:tc>
          <w:tcPr>
            <w:tcW w:w="14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Net loss</w:t>
            </w:r>
          </w:p>
        </w:tc>
        <w:tc>
          <w:tcPr>
            <w:tcW w:w="2360" w:type="dxa"/>
            <w:vAlign w:val="bottom"/>
            <w:tcBorders>
              <w:top w:val="single" w:sz="8" w:color="CFF0FC"/>
            </w:tcBorders>
          </w:tcPr>
          <w:p>
            <w:pPr>
              <w:spacing w:after="0"/>
              <w:rPr>
                <w:sz w:val="13"/>
                <w:szCs w:val="13"/>
                <w:color w:val="auto"/>
              </w:rPr>
            </w:pPr>
          </w:p>
        </w:tc>
        <w:tc>
          <w:tcPr>
            <w:tcW w:w="1460" w:type="dxa"/>
            <w:vAlign w:val="bottom"/>
            <w:tcBorders>
              <w:top w:val="single" w:sz="8" w:color="CFF0FC"/>
            </w:tcBorders>
          </w:tcPr>
          <w:p>
            <w:pPr>
              <w:spacing w:after="0"/>
              <w:rPr>
                <w:sz w:val="13"/>
                <w:szCs w:val="13"/>
                <w:color w:val="auto"/>
              </w:rPr>
            </w:pPr>
          </w:p>
        </w:tc>
        <w:tc>
          <w:tcPr>
            <w:tcW w:w="340" w:type="dxa"/>
            <w:vAlign w:val="bottom"/>
            <w:tcBorders>
              <w:top w:val="single" w:sz="8" w:color="CFF0FC"/>
            </w:tcBorders>
          </w:tcPr>
          <w:p>
            <w:pPr>
              <w:spacing w:after="0"/>
              <w:rPr>
                <w:sz w:val="13"/>
                <w:szCs w:val="13"/>
                <w:color w:val="auto"/>
              </w:rPr>
            </w:pPr>
          </w:p>
        </w:tc>
        <w:tc>
          <w:tcPr>
            <w:tcW w:w="1520" w:type="dxa"/>
            <w:vAlign w:val="bottom"/>
            <w:tcBorders>
              <w:top w:val="single" w:sz="8" w:color="CFF0FC"/>
            </w:tcBorders>
            <w:gridSpan w:val="2"/>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gridSpan w:val="3"/>
          </w:tcPr>
          <w:p>
            <w:pPr>
              <w:jc w:val="right"/>
              <w:ind w:right="340"/>
              <w:spacing w:after="0"/>
              <w:rPr>
                <w:sz w:val="20"/>
                <w:szCs w:val="20"/>
                <w:color w:val="auto"/>
              </w:rPr>
            </w:pPr>
            <w:r>
              <w:rPr>
                <w:rFonts w:ascii="Arial" w:cs="Arial" w:eastAsia="Arial" w:hAnsi="Arial"/>
                <w:sz w:val="12"/>
                <w:szCs w:val="12"/>
                <w:color w:val="auto"/>
              </w:rPr>
              <w:t>(41.7)</w:t>
            </w:r>
          </w:p>
        </w:tc>
        <w:tc>
          <w:tcPr>
            <w:tcW w:w="60" w:type="dxa"/>
            <w:vAlign w:val="bottom"/>
            <w:tcBorders>
              <w:top w:val="single" w:sz="8" w:color="CFF0FC"/>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CFF0FC"/>
            </w:tcBorders>
          </w:tcPr>
          <w:p>
            <w:pPr>
              <w:spacing w:after="0"/>
              <w:rPr>
                <w:sz w:val="13"/>
                <w:szCs w:val="13"/>
                <w:color w:val="auto"/>
              </w:rPr>
            </w:pPr>
          </w:p>
        </w:tc>
        <w:tc>
          <w:tcPr>
            <w:tcW w:w="340" w:type="dxa"/>
            <w:vAlign w:val="bottom"/>
            <w:tcBorders>
              <w:top w:val="single" w:sz="8" w:color="CFF0FC"/>
            </w:tcBorders>
          </w:tcPr>
          <w:p>
            <w:pPr>
              <w:spacing w:after="0"/>
              <w:rPr>
                <w:sz w:val="13"/>
                <w:szCs w:val="13"/>
                <w:color w:val="auto"/>
              </w:rPr>
            </w:pPr>
          </w:p>
        </w:tc>
        <w:tc>
          <w:tcPr>
            <w:tcW w:w="6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4"/>
        </w:trPr>
        <w:tc>
          <w:tcPr>
            <w:tcW w:w="40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Adjusted EBITDA (Non-GAAP basis)</w:t>
            </w:r>
          </w:p>
        </w:tc>
        <w:tc>
          <w:tcPr>
            <w:tcW w:w="1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(18.9)</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40" w:type="dxa"/>
            <w:vAlign w:val="bottom"/>
            <w:tcBorders>
              <w:bottom w:val="single" w:sz="8" w:color="auto"/>
            </w:tcBorders>
            <w:shd w:val="clear" w:color="auto" w:fill="CFF0FC"/>
          </w:tcPr>
          <w:p>
            <w:pPr>
              <w:spacing w:after="0" w:line="127" w:lineRule="exact"/>
              <w:rPr>
                <w:sz w:val="20"/>
                <w:szCs w:val="20"/>
                <w:color w:val="auto"/>
              </w:rPr>
            </w:pPr>
            <w:r>
              <w:rPr>
                <w:rFonts w:ascii="Arial" w:cs="Arial" w:eastAsia="Arial" w:hAnsi="Arial"/>
                <w:sz w:val="12"/>
                <w:szCs w:val="12"/>
                <w:color w:val="auto"/>
                <w:w w:val="87"/>
              </w:rPr>
              <w:t>Per diluted share:</w:t>
            </w:r>
          </w:p>
        </w:tc>
        <w:tc>
          <w:tcPr>
            <w:tcW w:w="3200" w:type="dxa"/>
            <w:vAlign w:val="bottom"/>
            <w:tcBorders>
              <w:bottom w:val="single" w:sz="8" w:color="CFF0FC"/>
            </w:tcBorders>
            <w:gridSpan w:val="2"/>
            <w:shd w:val="clear" w:color="auto" w:fill="CFF0FC"/>
          </w:tcPr>
          <w:p>
            <w:pPr>
              <w:spacing w:after="0"/>
              <w:rPr>
                <w:sz w:val="11"/>
                <w:szCs w:val="11"/>
                <w:color w:val="auto"/>
              </w:rPr>
            </w:pPr>
          </w:p>
        </w:tc>
        <w:tc>
          <w:tcPr>
            <w:tcW w:w="14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right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40" w:type="dxa"/>
            <w:vAlign w:val="bottom"/>
            <w:gridSpan w:val="3"/>
          </w:tcPr>
          <w:p>
            <w:pPr>
              <w:spacing w:after="0"/>
              <w:rPr>
                <w:sz w:val="20"/>
                <w:szCs w:val="20"/>
                <w:color w:val="auto"/>
              </w:rPr>
            </w:pPr>
            <w:r>
              <w:rPr>
                <w:rFonts w:ascii="Arial" w:cs="Arial" w:eastAsia="Arial" w:hAnsi="Arial"/>
                <w:sz w:val="12"/>
                <w:szCs w:val="12"/>
                <w:color w:val="auto"/>
              </w:rPr>
              <w:t>Net loss</w:t>
            </w: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2"/>
                <w:szCs w:val="12"/>
                <w:color w:val="auto"/>
              </w:rPr>
              <w:t>(0.82)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54"/>
        </w:trPr>
        <w:tc>
          <w:tcPr>
            <w:tcW w:w="40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Adjusted net loss (Non-GAAP basis)</w:t>
            </w:r>
          </w:p>
        </w:tc>
        <w:tc>
          <w:tcPr>
            <w:tcW w:w="1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(0.37)</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362"/>
        </w:trPr>
        <w:tc>
          <w:tcPr>
            <w:tcW w:w="4040" w:type="dxa"/>
            <w:vAlign w:val="bottom"/>
            <w:gridSpan w:val="3"/>
          </w:tcPr>
          <w:p>
            <w:pPr>
              <w:spacing w:after="0"/>
              <w:rPr>
                <w:sz w:val="20"/>
                <w:szCs w:val="20"/>
                <w:color w:val="auto"/>
              </w:rPr>
            </w:pPr>
            <w:r>
              <w:rPr>
                <w:rFonts w:ascii="Arial" w:cs="Arial" w:eastAsia="Arial" w:hAnsi="Arial"/>
                <w:sz w:val="12"/>
                <w:szCs w:val="12"/>
                <w:i w:val="1"/>
                <w:iCs w:val="1"/>
                <w:color w:val="auto"/>
              </w:rPr>
              <w:t>Sales</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gridSpan w:val="5"/>
          </w:tcPr>
          <w:p>
            <w:pPr>
              <w:jc w:val="right"/>
              <w:ind w:right="460"/>
              <w:spacing w:after="0"/>
              <w:rPr>
                <w:sz w:val="20"/>
                <w:szCs w:val="20"/>
                <w:color w:val="auto"/>
              </w:rPr>
            </w:pPr>
            <w:r>
              <w:rPr>
                <w:rFonts w:ascii="Arial" w:cs="Arial" w:eastAsia="Arial" w:hAnsi="Arial"/>
                <w:sz w:val="12"/>
                <w:szCs w:val="12"/>
                <w:color w:val="auto"/>
              </w:rPr>
              <w:t>For the three months ended</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10"/>
                <w:szCs w:val="10"/>
                <w:i w:val="1"/>
                <w:iCs w:val="1"/>
                <w:color w:val="auto"/>
              </w:rPr>
              <w:t>(in thousands)</w:t>
            </w:r>
          </w:p>
        </w:tc>
        <w:tc>
          <w:tcPr>
            <w:tcW w:w="14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2"/>
                <w:szCs w:val="12"/>
                <w:color w:val="auto"/>
              </w:rPr>
              <w:t>May 2, 2020</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93"/>
              </w:rPr>
              <w:t>May 4, 2019</w:t>
            </w:r>
          </w:p>
        </w:tc>
        <w:tc>
          <w:tcPr>
            <w:tcW w:w="3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78.4%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40" w:type="dxa"/>
            <w:vAlign w:val="bottom"/>
            <w:gridSpan w:val="3"/>
          </w:tcPr>
          <w:p>
            <w:pPr>
              <w:spacing w:after="0"/>
              <w:rPr>
                <w:sz w:val="20"/>
                <w:szCs w:val="20"/>
                <w:color w:val="auto"/>
              </w:rPr>
            </w:pPr>
            <w:r>
              <w:rPr>
                <w:rFonts w:ascii="Arial" w:cs="Arial" w:eastAsia="Arial" w:hAnsi="Arial"/>
                <w:sz w:val="12"/>
                <w:szCs w:val="12"/>
                <w:color w:val="auto"/>
              </w:rPr>
              <w:t>Store sales</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32,327</w:t>
            </w:r>
          </w:p>
        </w:tc>
        <w:tc>
          <w:tcPr>
            <w:tcW w:w="6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i w:val="1"/>
                <w:iCs w:val="1"/>
                <w:color w:val="auto"/>
              </w:rPr>
              <w:t xml:space="preserve">58.6% </w:t>
            </w: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86,715</w:t>
            </w:r>
          </w:p>
        </w:tc>
        <w:tc>
          <w:tcPr>
            <w:tcW w:w="3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Direct sales</w:t>
            </w:r>
          </w:p>
        </w:tc>
        <w:tc>
          <w:tcPr>
            <w:tcW w:w="14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22,882</w:t>
            </w:r>
          </w:p>
        </w:tc>
        <w:tc>
          <w:tcPr>
            <w:tcW w:w="6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41.4%</w:t>
            </w:r>
          </w:p>
        </w:tc>
        <w:tc>
          <w:tcPr>
            <w:tcW w:w="16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23,833</w:t>
            </w:r>
          </w:p>
        </w:tc>
        <w:tc>
          <w:tcPr>
            <w:tcW w:w="34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i w:val="1"/>
                <w:iCs w:val="1"/>
                <w:color w:val="auto"/>
              </w:rPr>
              <w:t>21.6%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40" w:type="dxa"/>
            <w:vAlign w:val="bottom"/>
            <w:gridSpan w:val="3"/>
          </w:tcPr>
          <w:p>
            <w:pPr>
              <w:spacing w:after="0"/>
              <w:rPr>
                <w:sz w:val="20"/>
                <w:szCs w:val="20"/>
                <w:color w:val="auto"/>
              </w:rPr>
            </w:pPr>
            <w:r>
              <w:rPr>
                <w:rFonts w:ascii="Arial" w:cs="Arial" w:eastAsia="Arial" w:hAnsi="Arial"/>
                <w:sz w:val="12"/>
                <w:szCs w:val="12"/>
                <w:color w:val="auto"/>
              </w:rPr>
              <w:t>Retail segment</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55,209</w:t>
            </w:r>
          </w:p>
        </w:tc>
        <w:tc>
          <w:tcPr>
            <w:tcW w:w="6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110,548</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14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2,018</w:t>
            </w:r>
          </w:p>
        </w:tc>
        <w:tc>
          <w:tcPr>
            <w:tcW w:w="6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2,425</w:t>
            </w:r>
          </w:p>
        </w:tc>
        <w:tc>
          <w:tcPr>
            <w:tcW w:w="340" w:type="dxa"/>
            <w:vAlign w:val="bottom"/>
            <w:shd w:val="clear" w:color="auto" w:fill="CFF0FC"/>
          </w:tcPr>
          <w:p>
            <w:pPr>
              <w:spacing w:after="0"/>
              <w:rPr>
                <w:sz w:val="13"/>
                <w:szCs w:val="13"/>
                <w:color w:val="auto"/>
              </w:rPr>
            </w:pPr>
          </w:p>
        </w:tc>
        <w:tc>
          <w:tcPr>
            <w:tcW w:w="600" w:type="dxa"/>
            <w:vAlign w:val="bottom"/>
            <w:tcBorders>
              <w:right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40" w:type="dxa"/>
            <w:vAlign w:val="bottom"/>
            <w:gridSpan w:val="3"/>
          </w:tcPr>
          <w:p>
            <w:pPr>
              <w:spacing w:after="0"/>
              <w:rPr>
                <w:sz w:val="20"/>
                <w:szCs w:val="20"/>
                <w:color w:val="auto"/>
              </w:rPr>
            </w:pPr>
            <w:r>
              <w:rPr>
                <w:rFonts w:ascii="Arial" w:cs="Arial" w:eastAsia="Arial" w:hAnsi="Arial"/>
                <w:sz w:val="12"/>
                <w:szCs w:val="12"/>
                <w:color w:val="auto"/>
              </w:rPr>
              <w:t>Total Sales</w:t>
            </w:r>
          </w:p>
        </w:tc>
        <w:tc>
          <w:tcPr>
            <w:tcW w:w="1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57,227</w:t>
            </w:r>
          </w:p>
        </w:tc>
        <w:tc>
          <w:tcPr>
            <w:tcW w:w="6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112,973</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both"/>
        <w:ind w:right="60"/>
        <w:spacing w:after="0" w:line="279" w:lineRule="auto"/>
        <w:rPr>
          <w:sz w:val="20"/>
          <w:szCs w:val="20"/>
          <w:color w:val="auto"/>
        </w:rPr>
      </w:pPr>
      <w:r>
        <w:rPr>
          <w:rFonts w:ascii="Arial" w:cs="Arial" w:eastAsia="Arial" w:hAnsi="Arial"/>
          <w:sz w:val="12"/>
          <w:szCs w:val="12"/>
          <w:color w:val="auto"/>
        </w:rPr>
        <w:t>Total sales for the first quarter of fiscal 2020 decreased 49.3% to $57.2 million from $113.0 million in the first quarter of fiscal 2019. This decrease was principally due to the closing of all of our store locations on March 17, 2020. We have been highly promotional since our stores closed to encourage our customers to shop online and to mitigate a build-up of seasonal inventory.</w:t>
      </w:r>
    </w:p>
    <w:p>
      <w:pPr>
        <w:spacing w:after="0" w:line="41"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The growth of our wholesale business continues to be a key initiative in fiscal 2020 led by our business with Amazon Essentials which contributed $2.0 million of sales in the first quarter. As discussed above, during the first quarter of fiscal 2020 we have also launched a new wholesale line of business in the design and sourcing of protective masks, with sales beginning in the second quarter of fiscal 2020.</w:t>
      </w:r>
    </w:p>
    <w:p>
      <w:pPr>
        <w:spacing w:after="0" w:line="41"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With increasing unemployment and the continued uncertainty surrounding the COVID-19 pandemic, we expect to continue to market to our customers primarily through digital and direct means, in an effort to drive traffic to both our website as well as to our stores as they open.</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60"/>
          </w:cols>
          <w:pgMar w:left="300" w:top="131" w:right="239" w:bottom="1440" w:gutter="0" w:footer="0" w:header="0"/>
        </w:sectPr>
      </w:pPr>
    </w:p>
    <w:bookmarkStart w:id="20" w:name="page21"/>
    <w:bookmarkEnd w:id="20"/>
    <w:p>
      <w:pPr>
        <w:spacing w:after="0"/>
        <w:rPr>
          <w:sz w:val="20"/>
          <w:szCs w:val="20"/>
          <w:color w:val="auto"/>
        </w:rPr>
      </w:pPr>
      <w:r>
        <w:rPr>
          <w:rFonts w:ascii="Arial" w:cs="Arial" w:eastAsia="Arial" w:hAnsi="Arial"/>
          <w:sz w:val="12"/>
          <w:szCs w:val="12"/>
          <w:i w:val="1"/>
          <w:iCs w:val="1"/>
          <w:color w:val="auto"/>
        </w:rPr>
        <w:t>Gross Margin Rate</w:t>
      </w:r>
    </w:p>
    <w:p>
      <w:pPr>
        <w:spacing w:after="0" w:line="79"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For the first quarter of fiscal 2020, our gross margin rate, inclusive of occupancy costs, was 23.1% as compared to a gross margin rate of 43.7% for the first quarter of fiscal 2019. The decrease of 20.6% was comprised of a decline of 13.3% from the deleveraging in occupancy costs, due to the store closures, and a decrease of 7.3% in merchandise margins. The decrease in merchandise margins reflects the increased promotional posture we took in the second half of the first quarter in response to COVID-19 and an increase in our inventory reserves of approximately $0.7 million.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Although by its nature, margins from our wholesale business are lower than our retail business, the gross margin rate in the first quarter of fiscal 2020 for wholesale significantly improved over the prior year.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79" w:lineRule="exact"/>
        <w:rPr>
          <w:sz w:val="20"/>
          <w:szCs w:val="20"/>
          <w:color w:val="auto"/>
        </w:rPr>
      </w:pPr>
    </w:p>
    <w:p>
      <w:pPr>
        <w:ind w:right="20"/>
        <w:spacing w:after="0" w:line="292" w:lineRule="auto"/>
        <w:rPr>
          <w:sz w:val="20"/>
          <w:szCs w:val="20"/>
          <w:color w:val="auto"/>
        </w:rPr>
      </w:pPr>
      <w:r>
        <w:rPr>
          <w:rFonts w:ascii="Arial" w:cs="Arial" w:eastAsia="Arial" w:hAnsi="Arial"/>
          <w:sz w:val="11"/>
          <w:szCs w:val="11"/>
          <w:color w:val="auto"/>
        </w:rPr>
        <w:t>As a percentage of sales, SG&amp;A expenses for the first quarter of fiscal 2020 were 56.1% as compared to 39.5% for the first quarter of fiscal 2019. On a dollar basis, SG&amp;A decreased by $12.5 million, or 28%, for the first quarter of fiscal 2020 as compared to the prior year. This decrease in expenses was primarily driven by furloughs of both our store associates and certain corporate associates as well as several measures that we have taken to reduce operating expenses, including marketing, corporate payroll, and other discretionary spending. Further, our management team (director level and above) took temporary salary reductions ranging from 10% - 20%. Non-employee directors of our board received their first quarter compensation but in March 2020 announced the suspension of their compensation for the second quarter of fiscal 2020.</w:t>
      </w:r>
    </w:p>
    <w:p>
      <w:pPr>
        <w:spacing w:after="0" w:line="37"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SG&amp;A expenses are managed through two primary cost centers: Customer Facing Costs and Corporate Supporting Costs. Customer Facing Costs, which include store payroll, marketing, and other store operating costs, represented 25.7% of sales for the first three months of fiscal 2020 as compared to 22.6% of sales for the first three months of last year. Corporate Supporting Costs, which include the distribution center, support, and other corporate overhead costs, represented 30.4% of sales for the first three months of fiscal 2020 compared to 16.9% of sales for the first three months of last year. While these percentages for the first quarter of fiscal 2020 are skewed by the loss of sales, we are continuing to assess and rationalize our entire SG&amp;A cost structure as we start to reopen our stores. Given the changes to our business as a result of this pandemic, we have started to restructure various areas to ensure that we can operate most efficiently. This included the elimination of approximately 34 positions in the first quarter of fiscal 2020. Across both our corporate office and stores, we plan to bring back staff as we reopen and business comes back with a planned three-phased approach, but will look to optimize store hours and staffing models based on customer demand, and overall store payroll costs are expected to trend lower than historical levels.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Assets</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 xml:space="preserve">We regularly review assets for impairment indicators at the individual store level, as this represents the lowest level of identifiable cash flows. When indicators of impairment are present, a recoverability analysis is performed. Our recoverability analysis in the first quarter of 2020 included the impact of the COVID-19 pandemic on the operations of our stores and we used </w:t>
      </w:r>
      <w:r>
        <w:rPr>
          <w:rFonts w:ascii="Arial" w:cs="Arial" w:eastAsia="Arial" w:hAnsi="Arial"/>
          <w:sz w:val="12"/>
          <w:szCs w:val="12"/>
          <w:color w:val="212121"/>
        </w:rPr>
        <w:t>projections that were based on multiple probability-weighted scenarios, assuming that our</w:t>
      </w:r>
      <w:r>
        <w:rPr>
          <w:rFonts w:ascii="Arial" w:cs="Arial" w:eastAsia="Arial" w:hAnsi="Arial"/>
          <w:sz w:val="12"/>
          <w:szCs w:val="12"/>
          <w:color w:val="auto"/>
        </w:rPr>
        <w:t xml:space="preserve"> </w:t>
      </w:r>
      <w:r>
        <w:rPr>
          <w:rFonts w:ascii="Arial" w:cs="Arial" w:eastAsia="Arial" w:hAnsi="Arial"/>
          <w:sz w:val="12"/>
          <w:szCs w:val="12"/>
          <w:color w:val="212121"/>
        </w:rPr>
        <w:t xml:space="preserve">stores will gradually open throughout the second quarter of fiscal 2020 but that consumer retail spending will remain substantially curtailed for a period of time. As a result, we recorded an impairment charge of $16.3 million for the first quarter of fiscal 2020. The impairment charge included approximately $12.5 million for the write-down of certain right-of-use assets, related to leases where the carrying value exceeded fair value, and $3.8 million for the write-down of property and equipment, related to </w:t>
      </w:r>
      <w:r>
        <w:rPr>
          <w:rFonts w:ascii="Arial" w:cs="Arial" w:eastAsia="Arial" w:hAnsi="Arial"/>
          <w:sz w:val="12"/>
          <w:szCs w:val="12"/>
          <w:color w:val="000000"/>
        </w:rPr>
        <w:t>stores where the carrying value exceeded fair value. As discussed above, there remains uncertainty regarding the impact of the COVID-19 pandemic on our future results of our operations,</w:t>
      </w:r>
      <w:r>
        <w:rPr>
          <w:rFonts w:ascii="Arial" w:cs="Arial" w:eastAsia="Arial" w:hAnsi="Arial"/>
          <w:sz w:val="12"/>
          <w:szCs w:val="12"/>
          <w:color w:val="212121"/>
        </w:rPr>
        <w:t xml:space="preserve"> </w:t>
      </w:r>
      <w:r>
        <w:rPr>
          <w:rFonts w:ascii="Arial" w:cs="Arial" w:eastAsia="Arial" w:hAnsi="Arial"/>
          <w:sz w:val="12"/>
          <w:szCs w:val="12"/>
          <w:color w:val="000000"/>
        </w:rPr>
        <w:t>which could result in additional impairments.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9" w:lineRule="exact"/>
        <w:rPr>
          <w:sz w:val="20"/>
          <w:szCs w:val="20"/>
          <w:color w:val="auto"/>
        </w:rPr>
      </w:pPr>
    </w:p>
    <w:p>
      <w:pPr>
        <w:ind w:right="500"/>
        <w:spacing w:after="0" w:line="279" w:lineRule="auto"/>
        <w:rPr>
          <w:sz w:val="20"/>
          <w:szCs w:val="20"/>
          <w:color w:val="auto"/>
        </w:rPr>
      </w:pPr>
      <w:r>
        <w:rPr>
          <w:rFonts w:ascii="Arial" w:cs="Arial" w:eastAsia="Arial" w:hAnsi="Arial"/>
          <w:sz w:val="12"/>
          <w:szCs w:val="12"/>
          <w:color w:val="auto"/>
        </w:rPr>
        <w:t>Depreciation and amortization for the first quarter of fiscal 2020 of $5.7 million as compared to $6.3 million for the first quarter of fiscal 2019. With the majority of our new store growth complete, our depreciation costs are decreasing.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 Net</w:t>
      </w:r>
    </w:p>
    <w:p>
      <w:pPr>
        <w:spacing w:after="0" w:line="79"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Net interest expense for the first quarter of fiscal 2020 decreased to $0.7 million as compared to $0.9 million for the first quarter of fiscal 2019 due to a decrease in the effective borrowing rates during much of the first quarter and was partially offset by an increase in average borrowings. As a result of our recent amendment to our Credit Facility in April 2020, our interest rates under our Credit Facility, which includes our FILO loan, increased by approximately 150 basis points, which will increase our interest costs on a go-forward basis for the remainder of fiscal 2020. In addition, as discussed above, on March 20, 2020, we drew approximately $30.0 million against our revolver. This action was taken to provide the Company with flexibility to manage its cash flow during this uncertain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21" w:name="page22"/>
    <w:bookmarkEnd w:id="21"/>
    <w:p>
      <w:pPr>
        <w:spacing w:after="0"/>
        <w:rPr>
          <w:sz w:val="20"/>
          <w:szCs w:val="20"/>
          <w:color w:val="auto"/>
        </w:rPr>
      </w:pPr>
      <w:r>
        <w:rPr>
          <w:rFonts w:ascii="Arial" w:cs="Arial" w:eastAsia="Arial" w:hAnsi="Arial"/>
          <w:sz w:val="12"/>
          <w:szCs w:val="12"/>
          <w:i w:val="1"/>
          <w:iCs w:val="1"/>
          <w:color w:val="auto"/>
        </w:rPr>
        <w:t>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We established a full valuation allowance against our deferred tax assets at the end of fiscal 2013. Based on our forecast for fiscal 2020, we believe that a full valuation allowance continues to remain appropriate at this time.</w:t>
      </w:r>
    </w:p>
    <w:p>
      <w:pPr>
        <w:spacing w:after="0" w:line="163"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The discrete tax rate method was used for calculating tax expense. Due to current period losses, our current tax provision for the first three months of fiscal 2020 and fiscal 2019 was primarily due to current state margin tax, based on gross receipts less certain deductions. The total income tax benefit for the first three months of fiscal 2019 also included a deferred tax impact of $51,000 in other comprehensive income (loss), which resulted in a tax benefit on the Consolidated Statement of Operations related to the corresponding decrease in valuation allowance.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For the first quarter of fiscal 2020, we had a net loss of $(41.7) million, or $(0.82) per diluted share, compared with a net loss of $(3.1) million, or $(0.06) per diluted share, for the first quarter of fiscal 2019.</w:t>
      </w:r>
    </w:p>
    <w:p>
      <w:pPr>
        <w:spacing w:after="0" w:line="79"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On a non-GAAP basis, before CEO transition costs and asset impairment costs and assuming a normalized tax rate of 26% for all periods, adjusted net loss per share for the first quarter of fiscal 2020 was ($0.37) per diluted share as compared to adjusted net loss of ($0.04) per diluted share for the first quarter of 2019.</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Our inventory on May 2, 2020, decreased approximately $4.0 million to $108.3 million, as compared to $112.3 million at May 4, 2019. We began reacting to the pandemic with respect to inventory in early March by ultimately cancelling during the quarter approximately $148 million, at retail, of open orders for fiscal 2020. During the first quarter of fiscal 2020, through our direct business, we accelerated our promotional activity to sell through spring merchandise that had been slated for the stores. With respect to the remainder of fiscal 2020, we expect to be responsive to business changes, but expect that our fall inventory buys will be below fiscal 2019 levels. Our objective is to maintain a healthy inventory, which will include narrowing our assortment while also continuing to manage clearance levels. At May 2, 2020, our clearance inventory represented 11.5% of our total inventory, as compared to 10.6% at May 4, 2019.</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83" w:lineRule="exact"/>
        <w:rPr>
          <w:sz w:val="20"/>
          <w:szCs w:val="20"/>
          <w:color w:val="auto"/>
        </w:rPr>
      </w:pPr>
    </w:p>
    <w:p>
      <w:pPr>
        <w:ind w:right="460"/>
        <w:spacing w:after="0" w:line="279" w:lineRule="auto"/>
        <w:rPr>
          <w:sz w:val="20"/>
          <w:szCs w:val="20"/>
          <w:color w:val="auto"/>
        </w:rPr>
      </w:pPr>
      <w:r>
        <w:rPr>
          <w:rFonts w:ascii="Arial" w:cs="Arial" w:eastAsia="Arial" w:hAnsi="Arial"/>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primary sources of liquidity are cash generated from operations and availability under our credit facility with Bank of America, N.A., which was most recently amended in April 2020 (“Credit Facility”). Although our cash flows from operations has been significantly impacted by the lost revenue as of result of the COVID-19 pandemic, we believe that we have taken sufficient steps to manage our available cash flow for the foreseeable future. During the first quarter of fiscal 2020, we amended our Credit Facility to increase our borrowing base, negotiated extended payment terms with vendors, cancelled inventory purchase orders, reduced operating costs and reduced capital spending. Based on our current projections, we believe our cash on hand, availability under our Credit Facility, ongoing cash generated from our direct business and wholesale business and from the gradual reopening of our retail operations, will be sufficient to cover our working capital requirements and limited capital expenditures for the next 12 months. However, the extent to which the COVID-19 pandemic will impact our financial results will depend on future developments, which are highly uncertain and cannot be precisely predicted at this time.</w:t>
      </w:r>
    </w:p>
    <w:p>
      <w:pPr>
        <w:spacing w:after="0" w:line="128"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For the first three months of fiscal 2020, cash flow from operations decreased by approximately $0.3 million to $(16.8) million as compared to $(16.5) million for the first three months of fiscal 2019. Free cash flow, a non-GAAP measure, improved by $1.8 million to $(18.4) million for the first three months of fiscal 2020 as compared to $(20.2) million for the first three months of fiscal 2019. The primary reason for this improvement of free cash flow was due to the decrease in capital expenditures of $2.1 million. Cash flow from financing activities increased $18.1 million to $40.2 million for the first three months of fiscal 2020 as compared $22.1 million for the first three months of fiscal 2019, due to the $30.0 million draw-down on our Credit Facility in March 2020 to provide the Company with financial flexibility during the pandemic.</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our total debt outstanding at May 2, 2020 with the associated unamortized debt issuance costs: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2" w:name="page23"/>
    <w:bookmarkEnd w:id="22"/>
    <w:tbl>
      <w:tblPr>
        <w:tblLayout w:type="fixed"/>
        <w:tblInd w:w="8" w:type="dxa"/>
        <w:tblCellMar>
          <w:top w:w="0" w:type="dxa"/>
          <w:left w:w="0" w:type="dxa"/>
          <w:bottom w:w="0" w:type="dxa"/>
          <w:right w:w="0" w:type="dxa"/>
        </w:tblCellMar>
      </w:tblPr>
      <w:tr>
        <w:trPr>
          <w:trHeight w:val="115"/>
        </w:trPr>
        <w:tc>
          <w:tcPr>
            <w:tcW w:w="508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8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color w:val="auto"/>
              </w:rPr>
              <w:t>Gross Debt Outstanding</w:t>
            </w:r>
          </w:p>
        </w:tc>
        <w:tc>
          <w:tcPr>
            <w:tcW w:w="28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Less Debt Issuance Costs</w:t>
            </w:r>
          </w:p>
        </w:tc>
        <w:tc>
          <w:tcPr>
            <w:tcW w:w="3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color w:val="auto"/>
              </w:rPr>
              <w:t>Net Debt Outstanding</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Credit facility</w:t>
            </w:r>
          </w:p>
        </w:tc>
        <w:tc>
          <w:tcPr>
            <w:tcW w:w="28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79,792</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(260)</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79,532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60" w:type="dxa"/>
            <w:vAlign w:val="bottom"/>
            <w:gridSpan w:val="2"/>
          </w:tcPr>
          <w:p>
            <w:pPr>
              <w:spacing w:after="0"/>
              <w:rPr>
                <w:sz w:val="20"/>
                <w:szCs w:val="20"/>
                <w:color w:val="auto"/>
              </w:rPr>
            </w:pPr>
            <w:r>
              <w:rPr>
                <w:rFonts w:ascii="Arial" w:cs="Arial" w:eastAsia="Arial" w:hAnsi="Arial"/>
                <w:sz w:val="12"/>
                <w:szCs w:val="12"/>
                <w:color w:val="auto"/>
              </w:rPr>
              <w:t>FILO Loan</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15,000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2"/>
                <w:szCs w:val="12"/>
                <w:color w:val="auto"/>
              </w:rPr>
              <w:t>(173)</w:t>
            </w: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14,827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debt</w:t>
            </w: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94,792</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(433)</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94,359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 w:right="20"/>
        <w:spacing w:after="0" w:line="258" w:lineRule="auto"/>
        <w:rPr>
          <w:sz w:val="20"/>
          <w:szCs w:val="20"/>
          <w:color w:val="auto"/>
        </w:rPr>
      </w:pPr>
      <w:r>
        <w:rPr>
          <w:rFonts w:ascii="Arial" w:cs="Arial" w:eastAsia="Arial" w:hAnsi="Arial"/>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will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 1 month, 2 months, 3 months or 6 months) plus a varying percentage based on the Company’s excess availability, of either 1.25% or 1.50%. The current maturity date is May 24, 2023.</w:t>
      </w:r>
    </w:p>
    <w:p>
      <w:pPr>
        <w:spacing w:after="0" w:line="128" w:lineRule="exact"/>
        <w:rPr>
          <w:sz w:val="20"/>
          <w:szCs w:val="20"/>
          <w:color w:val="auto"/>
        </w:rPr>
      </w:pPr>
    </w:p>
    <w:p>
      <w:pPr>
        <w:jc w:val="both"/>
        <w:ind w:left="8" w:right="100"/>
        <w:spacing w:after="0" w:line="265" w:lineRule="auto"/>
        <w:rPr>
          <w:sz w:val="20"/>
          <w:szCs w:val="20"/>
          <w:color w:val="auto"/>
        </w:rPr>
      </w:pPr>
      <w:r>
        <w:rPr>
          <w:rFonts w:ascii="Arial" w:cs="Arial" w:eastAsia="Arial" w:hAnsi="Arial"/>
          <w:sz w:val="12"/>
          <w:szCs w:val="12"/>
          <w:color w:val="auto"/>
        </w:rPr>
        <w:t>We had outstanding borrowings of $79.8 million under the Credit Facility at May 2, 2020. At May 2, 2020, outstanding standby letters of credit were $2.8 million and outstanding documentary letters of credit were $1.9 million. The average monthly borrowing outstanding under the Credit Facility during the first three months ended May 2, 2020 was approximately $63.4 million, resulting in an average unused excess availability of approximately $31.7 million. Unused excess availability at May 2, 2020 was $16.8 million.</w:t>
      </w:r>
    </w:p>
    <w:p>
      <w:pPr>
        <w:spacing w:after="0" w:line="195" w:lineRule="exact"/>
        <w:rPr>
          <w:sz w:val="20"/>
          <w:szCs w:val="20"/>
          <w:color w:val="auto"/>
        </w:rPr>
      </w:pPr>
    </w:p>
    <w:p>
      <w:pPr>
        <w:ind w:left="248"/>
        <w:spacing w:after="0"/>
        <w:rPr>
          <w:sz w:val="20"/>
          <w:szCs w:val="20"/>
          <w:color w:val="auto"/>
        </w:rPr>
      </w:pPr>
      <w:r>
        <w:rPr>
          <w:rFonts w:ascii="Arial" w:cs="Arial" w:eastAsia="Arial" w:hAnsi="Arial"/>
          <w:sz w:val="12"/>
          <w:szCs w:val="12"/>
          <w:b w:val="1"/>
          <w:bCs w:val="1"/>
          <w:i w:val="1"/>
          <w:iCs w:val="1"/>
          <w:u w:val="single" w:color="auto"/>
          <w:color w:val="auto"/>
        </w:rPr>
        <w:t>FILO Loan</w:t>
      </w:r>
    </w:p>
    <w:p>
      <w:pPr>
        <w:spacing w:after="0" w:line="152" w:lineRule="exact"/>
        <w:rPr>
          <w:sz w:val="20"/>
          <w:szCs w:val="20"/>
          <w:color w:val="auto"/>
        </w:rPr>
      </w:pPr>
    </w:p>
    <w:p>
      <w:pPr>
        <w:ind w:left="8" w:right="20"/>
        <w:spacing w:after="0" w:line="265" w:lineRule="auto"/>
        <w:rPr>
          <w:sz w:val="20"/>
          <w:szCs w:val="20"/>
          <w:color w:val="auto"/>
        </w:rPr>
      </w:pPr>
      <w:r>
        <w:rPr>
          <w:rFonts w:ascii="Arial" w:cs="Arial" w:eastAsia="Arial" w:hAnsi="Arial"/>
          <w:sz w:val="12"/>
          <w:szCs w:val="12"/>
          <w:color w:val="auto"/>
        </w:rPr>
        <w:t>The Credit Facility also includes a FILO loan for $15.0 million. The total borrowing capacity under the FILO loan is based on a borrowing base, generally defined as a specified percentage of the value of eligible accounts, including certain trade names, that steps down over time, plus a specified percentage of the value of eligible inventory that steps down over time. During the first quarter of fiscal 2020, we entered into an amendment that extended these advance rates to December 2020 before they begin to step down.</w:t>
      </w:r>
    </w:p>
    <w:p>
      <w:pPr>
        <w:spacing w:after="0" w:line="123" w:lineRule="exact"/>
        <w:rPr>
          <w:sz w:val="20"/>
          <w:szCs w:val="20"/>
          <w:color w:val="auto"/>
        </w:rPr>
      </w:pPr>
    </w:p>
    <w:p>
      <w:pPr>
        <w:ind w:left="8" w:right="140"/>
        <w:spacing w:after="0" w:line="311" w:lineRule="auto"/>
        <w:rPr>
          <w:sz w:val="20"/>
          <w:szCs w:val="20"/>
          <w:color w:val="auto"/>
        </w:rPr>
      </w:pPr>
      <w:r>
        <w:rPr>
          <w:rFonts w:ascii="Arial" w:cs="Arial" w:eastAsia="Arial" w:hAnsi="Arial"/>
          <w:sz w:val="10"/>
          <w:szCs w:val="10"/>
          <w:color w:val="auto"/>
        </w:rPr>
        <w:t>As a result of extending the advance rates under the FILO loan, the applicable margin rates for borrowings are increased by approximately 150 basis points. Accordingly, current b</w:t>
      </w:r>
      <w:r>
        <w:rPr>
          <w:rFonts w:ascii="Arial" w:cs="Arial" w:eastAsia="Arial" w:hAnsi="Arial"/>
          <w:sz w:val="10"/>
          <w:szCs w:val="10"/>
          <w:color w:val="000033"/>
        </w:rPr>
        <w:t>orrowings made under the FILO loan will bear</w:t>
      </w:r>
      <w:r>
        <w:rPr>
          <w:rFonts w:ascii="Arial" w:cs="Arial" w:eastAsia="Arial" w:hAnsi="Arial"/>
          <w:sz w:val="10"/>
          <w:szCs w:val="10"/>
          <w:color w:val="auto"/>
        </w:rPr>
        <w:t xml:space="preserve"> </w:t>
      </w:r>
      <w:r>
        <w:rPr>
          <w:rFonts w:ascii="Arial" w:cs="Arial" w:eastAsia="Arial" w:hAnsi="Arial"/>
          <w:sz w:val="10"/>
          <w:szCs w:val="10"/>
          <w:color w:val="000033"/>
        </w:rPr>
        <w:t xml:space="preserve">interest, </w:t>
      </w:r>
      <w:r>
        <w:rPr>
          <w:rFonts w:ascii="Arial" w:cs="Arial" w:eastAsia="Arial" w:hAnsi="Arial"/>
          <w:sz w:val="10"/>
          <w:szCs w:val="10"/>
          <w:color w:val="000000"/>
        </w:rPr>
        <w:t>calculated under either the Federal Funds rate or the LIBOR rate, at a rate equal to the following: (a) the Federal Funds rate plus a varying percentage based on the Company’s excess availability, of either 3.75% or 4.00% or</w:t>
      </w:r>
    </w:p>
    <w:p>
      <w:pPr>
        <w:ind w:left="8" w:right="60" w:hanging="8"/>
        <w:spacing w:after="0" w:line="264" w:lineRule="auto"/>
        <w:tabs>
          <w:tab w:leader="none" w:pos="179"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LIBOR rate (the Company being able to select interest periods of 1 week, 1 month, 2 months, 3 months or 6 months) plus a varying percentage based on the Company’s excess availability, of either 4.75% or 5.00%. At May 2, 2020, the outstanding balance of $15.0 million was in a 1-month LIBOR-based contract with an interest rate of 5.75%.</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Capital Expenditures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open stores and related square footage at May 2, 2020 and May 4, 2019, respectively:</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gridSpan w:val="3"/>
          </w:tcPr>
          <w:p>
            <w:pPr>
              <w:ind w:left="160"/>
              <w:spacing w:after="0"/>
              <w:rPr>
                <w:sz w:val="20"/>
                <w:szCs w:val="20"/>
                <w:color w:val="auto"/>
              </w:rPr>
            </w:pPr>
            <w:r>
              <w:rPr>
                <w:rFonts w:ascii="Arial" w:cs="Arial" w:eastAsia="Arial" w:hAnsi="Arial"/>
                <w:sz w:val="10"/>
                <w:szCs w:val="10"/>
                <w:color w:val="auto"/>
              </w:rPr>
              <w:t>May 2, 2020</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gridSpan w:val="3"/>
          </w:tcPr>
          <w:p>
            <w:pPr>
              <w:ind w:left="1020"/>
              <w:spacing w:after="0"/>
              <w:rPr>
                <w:sz w:val="20"/>
                <w:szCs w:val="20"/>
                <w:color w:val="auto"/>
              </w:rPr>
            </w:pPr>
            <w:r>
              <w:rPr>
                <w:rFonts w:ascii="Arial" w:cs="Arial" w:eastAsia="Arial" w:hAnsi="Arial"/>
                <w:sz w:val="10"/>
                <w:szCs w:val="10"/>
                <w:color w:val="auto"/>
              </w:rPr>
              <w:t>May 4, 2019</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5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left="232"/>
              <w:spacing w:after="0" w:line="100" w:lineRule="exact"/>
              <w:rPr>
                <w:sz w:val="20"/>
                <w:szCs w:val="20"/>
                <w:color w:val="auto"/>
              </w:rPr>
            </w:pPr>
            <w:r>
              <w:rPr>
                <w:rFonts w:ascii="Arial" w:cs="Arial" w:eastAsia="Arial" w:hAnsi="Arial"/>
                <w:sz w:val="10"/>
                <w:szCs w:val="10"/>
                <w:color w:val="auto"/>
                <w:w w:val="89"/>
              </w:rPr>
              <w:t>Number of</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gridSpan w:val="2"/>
          </w:tcPr>
          <w:p>
            <w:pPr>
              <w:ind w:left="160"/>
              <w:spacing w:after="0" w:line="100" w:lineRule="exact"/>
              <w:rPr>
                <w:sz w:val="20"/>
                <w:szCs w:val="20"/>
                <w:color w:val="auto"/>
              </w:rPr>
            </w:pPr>
            <w:r>
              <w:rPr>
                <w:rFonts w:ascii="Arial" w:cs="Arial" w:eastAsia="Arial" w:hAnsi="Arial"/>
                <w:sz w:val="10"/>
                <w:szCs w:val="10"/>
                <w:color w:val="auto"/>
              </w:rPr>
              <w:t>Square</w:t>
            </w:r>
          </w:p>
        </w:tc>
        <w:tc>
          <w:tcPr>
            <w:tcW w:w="1660" w:type="dxa"/>
            <w:vAlign w:val="bottom"/>
            <w:gridSpan w:val="3"/>
          </w:tcPr>
          <w:p>
            <w:pPr>
              <w:ind w:left="360"/>
              <w:spacing w:after="0" w:line="100" w:lineRule="exact"/>
              <w:rPr>
                <w:sz w:val="20"/>
                <w:szCs w:val="20"/>
                <w:color w:val="auto"/>
              </w:rPr>
            </w:pPr>
            <w:r>
              <w:rPr>
                <w:rFonts w:ascii="Arial" w:cs="Arial" w:eastAsia="Arial" w:hAnsi="Arial"/>
                <w:sz w:val="10"/>
                <w:szCs w:val="10"/>
                <w:color w:val="auto"/>
              </w:rPr>
              <w:t>Number of</w:t>
            </w:r>
          </w:p>
        </w:tc>
        <w:tc>
          <w:tcPr>
            <w:tcW w:w="1000" w:type="dxa"/>
            <w:vAlign w:val="bottom"/>
            <w:gridSpan w:val="2"/>
          </w:tcPr>
          <w:p>
            <w:pPr>
              <w:ind w:left="180"/>
              <w:spacing w:after="0" w:line="100" w:lineRule="exact"/>
              <w:rPr>
                <w:sz w:val="20"/>
                <w:szCs w:val="20"/>
                <w:color w:val="auto"/>
              </w:rPr>
            </w:pPr>
            <w:r>
              <w:rPr>
                <w:rFonts w:ascii="Arial" w:cs="Arial" w:eastAsia="Arial" w:hAnsi="Arial"/>
                <w:sz w:val="10"/>
                <w:szCs w:val="10"/>
                <w:color w:val="auto"/>
              </w:rPr>
              <w:t>Square</w:t>
            </w:r>
          </w:p>
        </w:tc>
      </w:tr>
      <w:tr>
        <w:trPr>
          <w:trHeight w:val="112"/>
        </w:trPr>
        <w:tc>
          <w:tcPr>
            <w:tcW w:w="572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Store Concept</w:t>
            </w:r>
          </w:p>
        </w:tc>
        <w:tc>
          <w:tcPr>
            <w:tcW w:w="140" w:type="dxa"/>
            <w:vAlign w:val="bottom"/>
          </w:tcPr>
          <w:p>
            <w:pPr>
              <w:spacing w:after="0"/>
              <w:rPr>
                <w:sz w:val="9"/>
                <w:szCs w:val="9"/>
                <w:color w:val="auto"/>
              </w:rPr>
            </w:pPr>
          </w:p>
        </w:tc>
        <w:tc>
          <w:tcPr>
            <w:tcW w:w="860" w:type="dxa"/>
            <w:vAlign w:val="bottom"/>
            <w:tcBorders>
              <w:bottom w:val="single" w:sz="8" w:color="auto"/>
            </w:tcBorders>
          </w:tcPr>
          <w:p>
            <w:pPr>
              <w:jc w:val="center"/>
              <w:ind w:left="212"/>
              <w:spacing w:after="0" w:line="113" w:lineRule="exact"/>
              <w:rPr>
                <w:sz w:val="20"/>
                <w:szCs w:val="20"/>
                <w:color w:val="auto"/>
              </w:rPr>
            </w:pPr>
            <w:r>
              <w:rPr>
                <w:rFonts w:ascii="Arial" w:cs="Arial" w:eastAsia="Arial" w:hAnsi="Arial"/>
                <w:sz w:val="10"/>
                <w:szCs w:val="10"/>
                <w:color w:val="auto"/>
                <w:w w:val="82"/>
              </w:rPr>
              <w:t>Stores</w:t>
            </w: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63"/>
              <w:spacing w:after="0" w:line="113" w:lineRule="exact"/>
              <w:rPr>
                <w:sz w:val="20"/>
                <w:szCs w:val="20"/>
                <w:color w:val="auto"/>
              </w:rPr>
            </w:pPr>
            <w:r>
              <w:rPr>
                <w:rFonts w:ascii="Arial" w:cs="Arial" w:eastAsia="Arial" w:hAnsi="Arial"/>
                <w:sz w:val="10"/>
                <w:szCs w:val="10"/>
                <w:color w:val="auto"/>
              </w:rPr>
              <w:t>Footage</w:t>
            </w:r>
          </w:p>
        </w:tc>
        <w:tc>
          <w:tcPr>
            <w:tcW w:w="240" w:type="dxa"/>
            <w:vAlign w:val="bottom"/>
          </w:tcPr>
          <w:p>
            <w:pPr>
              <w:spacing w:after="0"/>
              <w:rPr>
                <w:sz w:val="9"/>
                <w:szCs w:val="9"/>
                <w:color w:val="auto"/>
              </w:rPr>
            </w:pPr>
          </w:p>
        </w:tc>
        <w:tc>
          <w:tcPr>
            <w:tcW w:w="1160" w:type="dxa"/>
            <w:vAlign w:val="bottom"/>
            <w:tcBorders>
              <w:bottom w:val="single" w:sz="8" w:color="auto"/>
            </w:tcBorders>
          </w:tcPr>
          <w:p>
            <w:pPr>
              <w:jc w:val="right"/>
              <w:ind w:right="404"/>
              <w:spacing w:after="0" w:line="113" w:lineRule="exact"/>
              <w:rPr>
                <w:sz w:val="20"/>
                <w:szCs w:val="20"/>
                <w:color w:val="auto"/>
              </w:rPr>
            </w:pPr>
            <w:r>
              <w:rPr>
                <w:rFonts w:ascii="Arial" w:cs="Arial" w:eastAsia="Arial" w:hAnsi="Arial"/>
                <w:sz w:val="10"/>
                <w:szCs w:val="10"/>
                <w:color w:val="auto"/>
              </w:rPr>
              <w:t>Stores</w:t>
            </w: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63"/>
              <w:spacing w:after="0" w:line="113" w:lineRule="exact"/>
              <w:rPr>
                <w:sz w:val="20"/>
                <w:szCs w:val="20"/>
                <w:color w:val="auto"/>
              </w:rPr>
            </w:pPr>
            <w:r>
              <w:rPr>
                <w:rFonts w:ascii="Arial" w:cs="Arial" w:eastAsia="Arial" w:hAnsi="Arial"/>
                <w:sz w:val="10"/>
                <w:szCs w:val="10"/>
                <w:color w:val="auto"/>
              </w:rPr>
              <w:t>Footage</w:t>
            </w:r>
          </w:p>
        </w:tc>
        <w:tc>
          <w:tcPr>
            <w:tcW w:w="120" w:type="dxa"/>
            <w:vAlign w:val="bottom"/>
          </w:tcPr>
          <w:p>
            <w:pPr>
              <w:spacing w:after="0"/>
              <w:rPr>
                <w:sz w:val="9"/>
                <w:szCs w:val="9"/>
                <w:color w:val="auto"/>
              </w:rPr>
            </w:pPr>
          </w:p>
        </w:tc>
      </w:tr>
      <w:tr>
        <w:trPr>
          <w:trHeight w:val="134"/>
        </w:trPr>
        <w:tc>
          <w:tcPr>
            <w:tcW w:w="5860" w:type="dxa"/>
            <w:vAlign w:val="bottom"/>
            <w:gridSpan w:val="2"/>
          </w:tcPr>
          <w:p>
            <w:pPr>
              <w:spacing w:after="0"/>
              <w:rPr>
                <w:sz w:val="20"/>
                <w:szCs w:val="20"/>
                <w:color w:val="auto"/>
              </w:rPr>
            </w:pPr>
            <w:r>
              <w:rPr>
                <w:rFonts w:ascii="Arial" w:cs="Arial" w:eastAsia="Arial" w:hAnsi="Arial"/>
                <w:sz w:val="10"/>
                <w:szCs w:val="10"/>
                <w:i w:val="1"/>
                <w:iCs w:val="1"/>
                <w:color w:val="auto"/>
              </w:rPr>
              <w:t>(square footage in thousands)</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5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DXL Retail</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1,729</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1,697</w:t>
            </w:r>
          </w:p>
        </w:tc>
        <w:tc>
          <w:tcPr>
            <w:tcW w:w="120" w:type="dxa"/>
            <w:vAlign w:val="bottom"/>
            <w:shd w:val="clear" w:color="auto" w:fill="CFF0FC"/>
          </w:tcPr>
          <w:p>
            <w:pPr>
              <w:spacing w:after="0"/>
              <w:rPr>
                <w:sz w:val="14"/>
                <w:szCs w:val="14"/>
                <w:color w:val="auto"/>
              </w:rPr>
            </w:pPr>
          </w:p>
        </w:tc>
      </w:tr>
      <w:tr>
        <w:trPr>
          <w:trHeight w:val="154"/>
        </w:trPr>
        <w:tc>
          <w:tcPr>
            <w:tcW w:w="5860" w:type="dxa"/>
            <w:vAlign w:val="bottom"/>
            <w:gridSpan w:val="2"/>
          </w:tcPr>
          <w:p>
            <w:pPr>
              <w:spacing w:after="0"/>
              <w:rPr>
                <w:sz w:val="20"/>
                <w:szCs w:val="20"/>
                <w:color w:val="auto"/>
              </w:rPr>
            </w:pPr>
            <w:r>
              <w:rPr>
                <w:rFonts w:ascii="Arial" w:cs="Arial" w:eastAsia="Arial" w:hAnsi="Arial"/>
                <w:sz w:val="12"/>
                <w:szCs w:val="12"/>
                <w:color w:val="auto"/>
              </w:rPr>
              <w:t>DXL Outlets</w:t>
            </w:r>
          </w:p>
        </w:tc>
        <w:tc>
          <w:tcPr>
            <w:tcW w:w="8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82</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3"/>
                <w:szCs w:val="13"/>
                <w:color w:val="auto"/>
              </w:rPr>
            </w:pPr>
          </w:p>
        </w:tc>
      </w:tr>
      <w:tr>
        <w:trPr>
          <w:trHeight w:val="154"/>
        </w:trPr>
        <w:tc>
          <w:tcPr>
            <w:tcW w:w="5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Casual Male XL Retail</w:t>
            </w: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120" w:type="dxa"/>
            <w:vAlign w:val="bottom"/>
            <w:shd w:val="clear" w:color="auto" w:fill="CFF0FC"/>
          </w:tcPr>
          <w:p>
            <w:pPr>
              <w:spacing w:after="0"/>
              <w:rPr>
                <w:sz w:val="13"/>
                <w:szCs w:val="13"/>
                <w:color w:val="auto"/>
              </w:rPr>
            </w:pPr>
          </w:p>
        </w:tc>
      </w:tr>
      <w:tr>
        <w:trPr>
          <w:trHeight w:val="154"/>
        </w:trPr>
        <w:tc>
          <w:tcPr>
            <w:tcW w:w="5860" w:type="dxa"/>
            <w:vAlign w:val="bottom"/>
            <w:gridSpan w:val="2"/>
          </w:tcPr>
          <w:p>
            <w:pPr>
              <w:spacing w:after="0"/>
              <w:rPr>
                <w:sz w:val="20"/>
                <w:szCs w:val="20"/>
                <w:color w:val="auto"/>
              </w:rPr>
            </w:pPr>
            <w:r>
              <w:rPr>
                <w:rFonts w:ascii="Arial" w:cs="Arial" w:eastAsia="Arial" w:hAnsi="Arial"/>
                <w:sz w:val="12"/>
                <w:szCs w:val="12"/>
                <w:color w:val="auto"/>
              </w:rPr>
              <w:t>Casual Male Outlets</w:t>
            </w:r>
          </w:p>
        </w:tc>
        <w:tc>
          <w:tcPr>
            <w:tcW w:w="8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26</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79</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r>
      <w:tr>
        <w:trPr>
          <w:trHeight w:val="154"/>
        </w:trPr>
        <w:tc>
          <w:tcPr>
            <w:tcW w:w="5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Rochester Clothing</w:t>
            </w:r>
          </w:p>
        </w:tc>
        <w:tc>
          <w:tcPr>
            <w:tcW w:w="86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r>
      <w:tr>
        <w:trPr>
          <w:trHeight w:val="143"/>
        </w:trPr>
        <w:tc>
          <w:tcPr>
            <w:tcW w:w="5860" w:type="dxa"/>
            <w:vAlign w:val="bottom"/>
            <w:gridSpan w:val="2"/>
          </w:tcPr>
          <w:p>
            <w:pPr>
              <w:spacing w:after="0"/>
              <w:rPr>
                <w:sz w:val="20"/>
                <w:szCs w:val="20"/>
                <w:color w:val="auto"/>
              </w:rPr>
            </w:pPr>
            <w:r>
              <w:rPr>
                <w:rFonts w:ascii="Arial" w:cs="Arial" w:eastAsia="Arial" w:hAnsi="Arial"/>
                <w:sz w:val="12"/>
                <w:szCs w:val="12"/>
                <w:color w:val="auto"/>
              </w:rPr>
              <w:t>Total Stores</w:t>
            </w:r>
          </w:p>
        </w:tc>
        <w:tc>
          <w:tcPr>
            <w:tcW w:w="8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321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2,054</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328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2,103</w:t>
            </w:r>
          </w:p>
        </w:tc>
        <w:tc>
          <w:tcPr>
            <w:tcW w:w="120" w:type="dxa"/>
            <w:vAlign w:val="bottom"/>
          </w:tcPr>
          <w:p>
            <w:pPr>
              <w:spacing w:after="0"/>
              <w:rPr>
                <w:sz w:val="12"/>
                <w:szCs w:val="12"/>
                <w:color w:val="auto"/>
              </w:rPr>
            </w:pPr>
          </w:p>
        </w:tc>
      </w:tr>
    </w:tbl>
    <w:p>
      <w:pPr>
        <w:spacing w:after="0" w:line="136" w:lineRule="exact"/>
        <w:rPr>
          <w:sz w:val="20"/>
          <w:szCs w:val="20"/>
          <w:color w:val="auto"/>
        </w:rPr>
      </w:pPr>
    </w:p>
    <w:p>
      <w:pPr>
        <w:ind w:left="8" w:right="200"/>
        <w:spacing w:after="0" w:line="279" w:lineRule="auto"/>
        <w:rPr>
          <w:sz w:val="20"/>
          <w:szCs w:val="20"/>
          <w:color w:val="auto"/>
        </w:rPr>
      </w:pPr>
      <w:r>
        <w:rPr>
          <w:rFonts w:ascii="Arial" w:cs="Arial" w:eastAsia="Arial" w:hAnsi="Arial"/>
          <w:sz w:val="12"/>
          <w:szCs w:val="12"/>
          <w:color w:val="auto"/>
        </w:rPr>
        <w:t>In our efforts to preserve our liquidity, in March 2020 we have reduced the majority of our capital spending, unless such spending is necessary to our immediate business needs. Our capital expenditures for the first three months of fiscal 2020 were $1.6 million as compared to $3.7 million for the first three months of fiscal 2019. During the first quarter of fiscal 2020, we closed two Casual Male XL outlets.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33"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6"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There have been no material changes to the critical accounting policies and estimates disclosed in our Form 10-K for the year ending February 1, 2020. See Note 1 to the Consolidated Financial Statements included in this report for information on recent accounting pronouncements and changes in 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56" w:lineRule="exact"/>
        <w:rPr>
          <w:sz w:val="20"/>
          <w:szCs w:val="20"/>
          <w:color w:val="auto"/>
        </w:rPr>
      </w:pPr>
    </w:p>
    <w:p>
      <w:pPr>
        <w:ind w:right="100"/>
        <w:spacing w:after="0" w:line="287" w:lineRule="auto"/>
        <w:rPr>
          <w:sz w:val="20"/>
          <w:szCs w:val="20"/>
          <w:color w:val="auto"/>
        </w:rPr>
      </w:pPr>
      <w:r>
        <w:rPr>
          <w:rFonts w:ascii="Arial" w:cs="Arial" w:eastAsia="Arial" w:hAnsi="Arial"/>
          <w:sz w:val="11"/>
          <w:szCs w:val="11"/>
          <w:color w:val="auto"/>
        </w:rPr>
        <w:t xml:space="preserve">Adjusted net loss, adjusted net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1"/>
          <w:szCs w:val="11"/>
          <w:i w:val="1"/>
          <w:iCs w:val="1"/>
          <w:color w:val="auto"/>
        </w:rPr>
        <w:t>(certain columns may not foot due to rounding)</w:t>
      </w:r>
      <w:r>
        <w:rPr>
          <w:rFonts w:ascii="Arial" w:cs="Arial" w:eastAsia="Arial" w:hAnsi="Arial"/>
          <w:sz w:val="11"/>
          <w:szCs w:val="11"/>
          <w:color w:val="auto"/>
        </w:rPr>
        <w:t>:</w:t>
      </w:r>
    </w:p>
    <w:p>
      <w:pPr>
        <w:spacing w:after="0" w:line="113" w:lineRule="exact"/>
        <w:rPr>
          <w:sz w:val="20"/>
          <w:szCs w:val="20"/>
          <w:color w:val="auto"/>
        </w:rPr>
      </w:pPr>
    </w:p>
    <w:p>
      <w:pPr>
        <w:ind w:right="100" w:firstLine="16"/>
        <w:spacing w:after="0" w:line="257" w:lineRule="auto"/>
        <w:rPr>
          <w:sz w:val="20"/>
          <w:szCs w:val="20"/>
          <w:color w:val="auto"/>
        </w:rPr>
      </w:pPr>
      <w:r>
        <w:rPr>
          <w:rFonts w:ascii="Arial" w:cs="Arial" w:eastAsia="Arial" w:hAnsi="Arial"/>
          <w:sz w:val="12"/>
          <w:szCs w:val="12"/>
          <w:i w:val="1"/>
          <w:iCs w:val="1"/>
          <w:u w:val="single" w:color="auto"/>
          <w:color w:val="auto"/>
        </w:rPr>
        <w:t>Adjusted net loss and adjusted net loss per diluted share</w:t>
      </w:r>
      <w:r>
        <w:rPr>
          <w:rFonts w:ascii="Arial" w:cs="Arial" w:eastAsia="Arial" w:hAnsi="Arial"/>
          <w:sz w:val="12"/>
          <w:szCs w:val="12"/>
          <w:color w:val="auto"/>
        </w:rPr>
        <w:t>. Adjusted net loss and adjusted net loss per share reflect an adjustment assuming a normal tax rate of 26% and the add-back of CEO transition and impairment of assets. We</w:t>
      </w:r>
      <w:r>
        <w:rPr>
          <w:rFonts w:ascii="Arial" w:cs="Arial" w:eastAsia="Arial" w:hAnsi="Arial"/>
          <w:sz w:val="12"/>
          <w:szCs w:val="12"/>
          <w:i w:val="1"/>
          <w:iCs w:val="1"/>
          <w:color w:val="auto"/>
        </w:rPr>
        <w:t xml:space="preserve"> </w:t>
      </w:r>
      <w:r>
        <w:rPr>
          <w:rFonts w:ascii="Arial" w:cs="Arial" w:eastAsia="Arial" w:hAnsi="Arial"/>
          <w:sz w:val="12"/>
          <w:szCs w:val="12"/>
          <w:color w:val="auto"/>
        </w:rPr>
        <w:t>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tbl>
      <w:tblPr>
        <w:tblLayout w:type="fixed"/>
        <w:tblInd w:w="0" w:type="dxa"/>
        <w:tblCellMar>
          <w:top w:w="0" w:type="dxa"/>
          <w:left w:w="0" w:type="dxa"/>
          <w:bottom w:w="0" w:type="dxa"/>
          <w:right w:w="0" w:type="dxa"/>
        </w:tblCellMar>
      </w:tblPr>
      <w:tr>
        <w:trPr>
          <w:trHeight w:val="154"/>
        </w:trPr>
        <w:tc>
          <w:tcPr>
            <w:tcW w:w="1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Arial" w:cs="Arial" w:eastAsia="Arial" w:hAnsi="Arial"/>
                <w:sz w:val="12"/>
                <w:szCs w:val="12"/>
                <w:color w:val="auto"/>
              </w:rPr>
              <w:t>For the three months ended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1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color w:val="auto"/>
              </w:rPr>
              <w:t>May 2, 2020</w:t>
            </w:r>
          </w:p>
        </w:tc>
        <w:tc>
          <w:tcPr>
            <w:tcW w:w="7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May 4, 2019</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17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520"/>
              <w:spacing w:after="0" w:line="134" w:lineRule="exact"/>
              <w:rPr>
                <w:sz w:val="20"/>
                <w:szCs w:val="20"/>
                <w:color w:val="auto"/>
              </w:rPr>
            </w:pPr>
            <w:r>
              <w:rPr>
                <w:rFonts w:ascii="Arial" w:cs="Arial" w:eastAsia="Arial" w:hAnsi="Arial"/>
                <w:sz w:val="12"/>
                <w:szCs w:val="12"/>
                <w:color w:val="auto"/>
                <w:w w:val="94"/>
              </w:rPr>
              <w:t>Per diluted</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80"/>
              <w:spacing w:after="0" w:line="134" w:lineRule="exact"/>
              <w:rPr>
                <w:sz w:val="20"/>
                <w:szCs w:val="20"/>
                <w:color w:val="auto"/>
              </w:rPr>
            </w:pPr>
            <w:r>
              <w:rPr>
                <w:rFonts w:ascii="Arial" w:cs="Arial" w:eastAsia="Arial" w:hAnsi="Arial"/>
                <w:sz w:val="12"/>
                <w:szCs w:val="12"/>
                <w:color w:val="auto"/>
                <w:w w:val="94"/>
              </w:rPr>
              <w:t>Per diluted</w:t>
            </w:r>
          </w:p>
        </w:tc>
      </w:tr>
      <w:tr>
        <w:trPr>
          <w:trHeight w:val="154"/>
        </w:trPr>
        <w:tc>
          <w:tcPr>
            <w:tcW w:w="1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2"/>
                <w:szCs w:val="12"/>
                <w:color w:val="auto"/>
              </w:rPr>
              <w:t>share</w:t>
            </w:r>
          </w:p>
        </w:tc>
        <w:tc>
          <w:tcPr>
            <w:tcW w:w="600" w:type="dxa"/>
            <w:vAlign w:val="bottom"/>
          </w:tcPr>
          <w:p>
            <w:pPr>
              <w:jc w:val="right"/>
              <w:ind w:right="26"/>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color w:val="auto"/>
              </w:rPr>
              <w:t>share</w:t>
            </w:r>
          </w:p>
        </w:tc>
      </w:tr>
      <w:tr>
        <w:trPr>
          <w:trHeight w:val="123"/>
        </w:trPr>
        <w:tc>
          <w:tcPr>
            <w:tcW w:w="4620" w:type="dxa"/>
            <w:vAlign w:val="bottom"/>
            <w:gridSpan w:val="2"/>
          </w:tcPr>
          <w:p>
            <w:pPr>
              <w:spacing w:after="0" w:line="116" w:lineRule="exact"/>
              <w:rPr>
                <w:sz w:val="20"/>
                <w:szCs w:val="20"/>
                <w:color w:val="auto"/>
              </w:rPr>
            </w:pPr>
            <w:r>
              <w:rPr>
                <w:rFonts w:ascii="Arial" w:cs="Arial" w:eastAsia="Arial" w:hAnsi="Arial"/>
                <w:sz w:val="12"/>
                <w:szCs w:val="12"/>
                <w:i w:val="1"/>
                <w:iCs w:val="1"/>
                <w:color w:val="auto"/>
              </w:rPr>
              <w:t>(in thousands, except per share data)</w:t>
            </w:r>
          </w:p>
        </w:tc>
        <w:tc>
          <w:tcPr>
            <w:tcW w:w="17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4"/>
        </w:trPr>
        <w:tc>
          <w:tcPr>
            <w:tcW w:w="1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Net loss (GAAP basis)</w:t>
            </w:r>
          </w:p>
        </w:tc>
        <w:tc>
          <w:tcPr>
            <w:tcW w:w="2840" w:type="dxa"/>
            <w:vAlign w:val="bottom"/>
            <w:shd w:val="clear" w:color="auto" w:fill="CFF0FC"/>
          </w:tcPr>
          <w:p>
            <w:pPr>
              <w:spacing w:after="0"/>
              <w:rPr>
                <w:sz w:val="13"/>
                <w:szCs w:val="13"/>
                <w:color w:val="auto"/>
              </w:rPr>
            </w:pPr>
          </w:p>
        </w:tc>
        <w:tc>
          <w:tcPr>
            <w:tcW w:w="2280" w:type="dxa"/>
            <w:vAlign w:val="bottom"/>
            <w:gridSpan w:val="2"/>
            <w:shd w:val="clear" w:color="auto" w:fill="CFF0FC"/>
          </w:tcPr>
          <w:p>
            <w:pPr>
              <w:jc w:val="right"/>
              <w:ind w:right="4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8"/>
              </w:rPr>
              <w:t>(41,726)</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(0.82)</w:t>
            </w:r>
          </w:p>
        </w:tc>
        <w:tc>
          <w:tcPr>
            <w:tcW w:w="600" w:type="dxa"/>
            <w:vAlign w:val="bottom"/>
            <w:shd w:val="clear" w:color="auto" w:fill="CFF0FC"/>
          </w:tcPr>
          <w:p>
            <w:pPr>
              <w:jc w:val="right"/>
              <w:ind w:right="486"/>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w w:val="99"/>
              </w:rPr>
              <w:t>(3,081)</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(0.06)</w:t>
            </w: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b w:val="1"/>
                <w:bCs w:val="1"/>
                <w:color w:val="auto"/>
              </w:rPr>
              <w:t>Adjust:</w:t>
            </w: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6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CEO transition costs</w:t>
            </w:r>
          </w:p>
        </w:tc>
        <w:tc>
          <w:tcPr>
            <w:tcW w:w="17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color w:val="auto"/>
              </w:rPr>
              <w:t>Impairment of assets</w:t>
            </w: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16,335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6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Add back actual income tax provision (benefit)</w:t>
            </w:r>
          </w:p>
        </w:tc>
        <w:tc>
          <w:tcPr>
            <w:tcW w:w="17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(21)</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color w:val="auto"/>
              </w:rPr>
              <w:t>Add income tax benefit, assuming a normal tax rate of 26%</w:t>
            </w: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6,596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624</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178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3"/>
        </w:trPr>
        <w:tc>
          <w:tcPr>
            <w:tcW w:w="4620" w:type="dxa"/>
            <w:vAlign w:val="bottom"/>
            <w:gridSpan w:val="2"/>
          </w:tcPr>
          <w:p>
            <w:pPr>
              <w:spacing w:after="0"/>
              <w:rPr>
                <w:sz w:val="20"/>
                <w:szCs w:val="20"/>
                <w:color w:val="auto"/>
              </w:rPr>
            </w:pPr>
            <w:r>
              <w:rPr>
                <w:rFonts w:ascii="Arial" w:cs="Arial" w:eastAsia="Arial" w:hAnsi="Arial"/>
                <w:sz w:val="12"/>
                <w:szCs w:val="12"/>
                <w:color w:val="auto"/>
              </w:rPr>
              <w:t>Adjusted net loss (non-GAAP basis)</w:t>
            </w:r>
          </w:p>
        </w:tc>
        <w:tc>
          <w:tcPr>
            <w:tcW w:w="228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w w:val="98"/>
              </w:rPr>
              <w:t>(18,775)</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(0.37)</w:t>
            </w:r>
          </w:p>
        </w:tc>
        <w:tc>
          <w:tcPr>
            <w:tcW w:w="600" w:type="dxa"/>
            <w:vAlign w:val="bottom"/>
          </w:tcPr>
          <w:p>
            <w:pPr>
              <w:jc w:val="right"/>
              <w:ind w:right="486"/>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(1,776)</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(0.04)</w:t>
            </w:r>
          </w:p>
        </w:tc>
      </w:tr>
      <w:tr>
        <w:trPr>
          <w:trHeight w:val="154"/>
        </w:trPr>
        <w:tc>
          <w:tcPr>
            <w:tcW w:w="178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620" w:type="dxa"/>
            <w:vAlign w:val="bottom"/>
            <w:gridSpan w:val="2"/>
          </w:tcPr>
          <w:p>
            <w:pPr>
              <w:spacing w:after="0"/>
              <w:rPr>
                <w:sz w:val="20"/>
                <w:szCs w:val="20"/>
                <w:color w:val="auto"/>
              </w:rPr>
            </w:pPr>
            <w:r>
              <w:rPr>
                <w:rFonts w:ascii="Arial" w:cs="Arial" w:eastAsia="Arial" w:hAnsi="Arial"/>
                <w:sz w:val="12"/>
                <w:szCs w:val="12"/>
                <w:color w:val="auto"/>
              </w:rPr>
              <w:t>Weighted average number of common shares</w:t>
            </w: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6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outstanding on a diluted basis</w:t>
            </w:r>
          </w:p>
        </w:tc>
        <w:tc>
          <w:tcPr>
            <w:tcW w:w="17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50,758</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49,602</w:t>
            </w:r>
          </w:p>
        </w:tc>
        <w:tc>
          <w:tcPr>
            <w:tcW w:w="12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i w:val="1"/>
          <w:iCs w:val="1"/>
          <w:u w:val="single" w:color="auto"/>
          <w:color w:val="auto"/>
        </w:rPr>
        <w:t>Free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We define free cash flow as cash flow from operating activities less capital expenditures. Free cash flow excludes the mandatory and discretionary repayment of debt. Free cash flow is a metric that management uses</w:t>
      </w:r>
      <w:r>
        <w:rPr>
          <w:rFonts w:ascii="Arial" w:cs="Arial" w:eastAsia="Arial" w:hAnsi="Arial"/>
          <w:sz w:val="12"/>
          <w:szCs w:val="12"/>
          <w:i w:val="1"/>
          <w:iCs w:val="1"/>
          <w:color w:val="auto"/>
        </w:rPr>
        <w:t xml:space="preserve"> </w:t>
      </w:r>
      <w:r>
        <w:rPr>
          <w:rFonts w:ascii="Arial" w:cs="Arial" w:eastAsia="Arial" w:hAnsi="Arial"/>
          <w:sz w:val="12"/>
          <w:szCs w:val="12"/>
          <w:color w:val="auto"/>
        </w:rPr>
        <w:t>to monitor liquidity. We expect to fund our ongoing capital expenditures with cash flow from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00" w:type="dxa"/>
            <w:vAlign w:val="bottom"/>
          </w:tcPr>
          <w:p>
            <w:pPr>
              <w:spacing w:after="0"/>
              <w:rPr>
                <w:sz w:val="20"/>
                <w:szCs w:val="20"/>
                <w:color w:val="auto"/>
              </w:rPr>
            </w:pPr>
            <w:r>
              <w:rPr>
                <w:rFonts w:ascii="Arial" w:cs="Arial" w:eastAsia="Arial" w:hAnsi="Arial"/>
                <w:sz w:val="12"/>
                <w:szCs w:val="12"/>
                <w:color w:val="auto"/>
              </w:rPr>
              <w:t>The following table reconciles free cash flow:</w:t>
            </w:r>
          </w:p>
        </w:tc>
        <w:tc>
          <w:tcPr>
            <w:tcW w:w="2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2"/>
                <w:szCs w:val="12"/>
                <w:color w:val="auto"/>
              </w:rPr>
              <w:t>For the three months ended</w:t>
            </w: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tcBorders>
              <w:bottom w:val="single" w:sz="8" w:color="CFF0FC"/>
            </w:tcBorders>
          </w:tcPr>
          <w:p>
            <w:pPr>
              <w:spacing w:after="0"/>
              <w:rPr>
                <w:sz w:val="20"/>
                <w:szCs w:val="20"/>
                <w:color w:val="auto"/>
              </w:rPr>
            </w:pPr>
            <w:r>
              <w:rPr>
                <w:rFonts w:ascii="Arial" w:cs="Arial" w:eastAsia="Arial" w:hAnsi="Arial"/>
                <w:sz w:val="12"/>
                <w:szCs w:val="12"/>
                <w:i w:val="1"/>
                <w:iCs w:val="1"/>
                <w:color w:val="auto"/>
              </w:rPr>
              <w:t>(in millions)</w:t>
            </w:r>
          </w:p>
        </w:tc>
        <w:tc>
          <w:tcPr>
            <w:tcW w:w="25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May 2, 2020</w:t>
            </w:r>
          </w:p>
        </w:tc>
        <w:tc>
          <w:tcPr>
            <w:tcW w:w="34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May 4, 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Cash flow from operating activities (GAAP basis)</w:t>
            </w:r>
          </w:p>
        </w:tc>
        <w:tc>
          <w:tcPr>
            <w:tcW w:w="2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0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(16.8)</w:t>
            </w:r>
          </w:p>
        </w:tc>
        <w:tc>
          <w:tcPr>
            <w:tcW w:w="620" w:type="dxa"/>
            <w:vAlign w:val="bottom"/>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20"/>
                <w:szCs w:val="20"/>
                <w:color w:val="auto"/>
              </w:rPr>
            </w:pPr>
            <w:r>
              <w:rPr>
                <w:rFonts w:ascii="Arial" w:cs="Arial" w:eastAsia="Arial" w:hAnsi="Arial"/>
                <w:sz w:val="12"/>
                <w:szCs w:val="12"/>
                <w:color w:val="auto"/>
              </w:rPr>
              <w:t>Capital expenditures, infrastructure projects</w:t>
            </w:r>
          </w:p>
        </w:tc>
        <w:tc>
          <w:tcPr>
            <w:tcW w:w="2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2"/>
                <w:szCs w:val="12"/>
                <w:color w:val="auto"/>
              </w:rPr>
              <w:t>(1.2)</w:t>
            </w:r>
          </w:p>
        </w:tc>
        <w:tc>
          <w:tcPr>
            <w:tcW w:w="62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Capital expenditures for DXL stores</w:t>
            </w:r>
          </w:p>
        </w:tc>
        <w:tc>
          <w:tcPr>
            <w:tcW w:w="2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(0.4)</w:t>
            </w:r>
          </w:p>
        </w:tc>
        <w:tc>
          <w:tcPr>
            <w:tcW w:w="62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80"/>
              <w:spacing w:after="0"/>
              <w:rPr>
                <w:sz w:val="20"/>
                <w:szCs w:val="20"/>
                <w:color w:val="auto"/>
              </w:rPr>
            </w:pPr>
            <w:r>
              <w:rPr>
                <w:rFonts w:ascii="Arial" w:cs="Arial" w:eastAsia="Arial" w:hAnsi="Arial"/>
                <w:sz w:val="12"/>
                <w:szCs w:val="12"/>
                <w:color w:val="auto"/>
              </w:rPr>
              <w:t>Free Cash Flow (non-GAAP basis)</w:t>
            </w:r>
          </w:p>
        </w:tc>
        <w:tc>
          <w:tcPr>
            <w:tcW w:w="2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0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2080" w:type="dxa"/>
            <w:vAlign w:val="bottom"/>
            <w:gridSpan w:val="2"/>
          </w:tcPr>
          <w:p>
            <w:pPr>
              <w:jc w:val="right"/>
              <w:ind w:right="300"/>
              <w:spacing w:after="0"/>
              <w:rPr>
                <w:sz w:val="20"/>
                <w:szCs w:val="20"/>
                <w:color w:val="auto"/>
              </w:rPr>
            </w:pPr>
            <w:r>
              <w:rPr>
                <w:rFonts w:ascii="Arial" w:cs="Arial" w:eastAsia="Arial" w:hAnsi="Arial"/>
                <w:sz w:val="12"/>
                <w:szCs w:val="12"/>
                <w:color w:val="auto"/>
              </w:rPr>
              <w:t>(18.4)</w:t>
            </w:r>
          </w:p>
        </w:tc>
        <w:tc>
          <w:tcPr>
            <w:tcW w:w="620" w:type="dxa"/>
            <w:vAlign w:val="bottom"/>
          </w:tcPr>
          <w:p>
            <w:pPr>
              <w:jc w:val="right"/>
              <w:ind w:right="510"/>
              <w:spacing w:after="0"/>
              <w:rPr>
                <w:sz w:val="20"/>
                <w:szCs w:val="20"/>
                <w:color w:val="auto"/>
              </w:rPr>
            </w:pPr>
            <w:r>
              <w:rPr>
                <w:rFonts w:ascii="Arial" w:cs="Arial" w:eastAsia="Arial" w:hAnsi="Arial"/>
                <w:sz w:val="10"/>
                <w:szCs w:val="10"/>
                <w:color w:val="auto"/>
                <w:w w:val="71"/>
              </w:rPr>
              <w:t>$</w:t>
            </w: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(20.2)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3"/>
        </w:trPr>
        <w:tc>
          <w:tcPr>
            <w:tcW w:w="4000" w:type="dxa"/>
            <w:vAlign w:val="bottom"/>
          </w:tcPr>
          <w:p>
            <w:pPr>
              <w:spacing w:after="0"/>
              <w:rPr>
                <w:sz w:val="24"/>
                <w:szCs w:val="24"/>
                <w:color w:val="auto"/>
              </w:rPr>
            </w:pPr>
          </w:p>
        </w:tc>
        <w:tc>
          <w:tcPr>
            <w:tcW w:w="2540" w:type="dxa"/>
            <w:vAlign w:val="bottom"/>
          </w:tcPr>
          <w:p>
            <w:pPr>
              <w:jc w:val="right"/>
              <w:ind w:right="780"/>
              <w:spacing w:after="0"/>
              <w:rPr>
                <w:sz w:val="20"/>
                <w:szCs w:val="20"/>
                <w:color w:val="auto"/>
              </w:rPr>
            </w:pPr>
            <w:r>
              <w:rPr>
                <w:rFonts w:ascii="Arial" w:cs="Arial" w:eastAsia="Arial" w:hAnsi="Arial"/>
                <w:sz w:val="12"/>
                <w:szCs w:val="12"/>
                <w:color w:val="auto"/>
              </w:rPr>
              <w:t>24</w:t>
            </w:r>
          </w:p>
        </w:tc>
        <w:tc>
          <w:tcPr>
            <w:tcW w:w="4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00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561" w:right="279" w:bottom="1440" w:gutter="0" w:footer="0" w:header="0"/>
        </w:sectPr>
      </w:pPr>
    </w:p>
    <w:bookmarkStart w:id="24" w:name="page25"/>
    <w:bookmarkEnd w:id="24"/>
    <w:p>
      <w:pPr>
        <w:ind w:right="320"/>
        <w:spacing w:after="0" w:line="279" w:lineRule="auto"/>
        <w:rPr>
          <w:sz w:val="20"/>
          <w:szCs w:val="20"/>
          <w:color w:val="auto"/>
        </w:rPr>
      </w:pPr>
      <w:r>
        <w:rPr>
          <w:rFonts w:ascii="Arial" w:cs="Arial" w:eastAsia="Arial" w:hAnsi="Arial"/>
          <w:sz w:val="12"/>
          <w:szCs w:val="12"/>
          <w:i w:val="1"/>
          <w:iCs w:val="1"/>
          <w:u w:val="single" w:color="auto"/>
          <w:color w:val="auto"/>
        </w:rPr>
        <w:t>Adjusted EBITDA</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is calculated as earnings before interest, taxes, depreciation and amortization and is before CEO transition costs and any impairment of assets. We believe that adjusted EBITDA is useful to</w:t>
      </w:r>
      <w:r>
        <w:rPr>
          <w:rFonts w:ascii="Arial" w:cs="Arial" w:eastAsia="Arial" w:hAnsi="Arial"/>
          <w:sz w:val="12"/>
          <w:szCs w:val="12"/>
          <w:i w:val="1"/>
          <w:iCs w:val="1"/>
          <w:color w:val="auto"/>
        </w:rPr>
        <w:t xml:space="preserve"> </w:t>
      </w:r>
      <w:r>
        <w:rPr>
          <w:rFonts w:ascii="Arial" w:cs="Arial" w:eastAsia="Arial" w:hAnsi="Arial"/>
          <w:sz w:val="12"/>
          <w:szCs w:val="12"/>
          <w:color w:val="auto"/>
        </w:rPr>
        <w:t>investors in evaluating our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2"/>
                <w:szCs w:val="12"/>
                <w:color w:val="auto"/>
                <w:w w:val="98"/>
              </w:rPr>
              <w:t>For the three months ended</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520" w:type="dxa"/>
            <w:vAlign w:val="bottom"/>
          </w:tcPr>
          <w:p>
            <w:pPr>
              <w:jc w:val="right"/>
              <w:ind w:right="106"/>
              <w:spacing w:after="0"/>
              <w:rPr>
                <w:sz w:val="20"/>
                <w:szCs w:val="20"/>
                <w:color w:val="auto"/>
              </w:rPr>
            </w:pPr>
            <w:r>
              <w:rPr>
                <w:rFonts w:ascii="Arial" w:cs="Arial" w:eastAsia="Arial" w:hAnsi="Arial"/>
                <w:sz w:val="12"/>
                <w:szCs w:val="12"/>
                <w:color w:val="auto"/>
              </w:rPr>
              <w:t>May 2, 2020</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2"/>
                <w:szCs w:val="12"/>
                <w:color w:val="auto"/>
              </w:rPr>
              <w:t>May 4, 2019</w:t>
            </w:r>
          </w:p>
        </w:tc>
      </w:tr>
      <w:tr>
        <w:trPr>
          <w:trHeight w:val="116"/>
        </w:trPr>
        <w:tc>
          <w:tcPr>
            <w:tcW w:w="6500" w:type="dxa"/>
            <w:vAlign w:val="bottom"/>
            <w:gridSpan w:val="2"/>
          </w:tcPr>
          <w:p>
            <w:pPr>
              <w:spacing w:after="0" w:line="116" w:lineRule="exact"/>
              <w:rPr>
                <w:sz w:val="20"/>
                <w:szCs w:val="20"/>
                <w:color w:val="auto"/>
              </w:rPr>
            </w:pPr>
            <w:r>
              <w:rPr>
                <w:rFonts w:ascii="Arial" w:cs="Arial" w:eastAsia="Arial" w:hAnsi="Arial"/>
                <w:sz w:val="12"/>
                <w:szCs w:val="12"/>
                <w:i w:val="1"/>
                <w:iCs w:val="1"/>
                <w:color w:val="auto"/>
              </w:rPr>
              <w:t>(in millions)</w:t>
            </w:r>
          </w:p>
        </w:tc>
        <w:tc>
          <w:tcPr>
            <w:tcW w:w="15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161"/>
        </w:trPr>
        <w:tc>
          <w:tcPr>
            <w:tcW w:w="6500" w:type="dxa"/>
            <w:vAlign w:val="bottom"/>
            <w:gridSpan w:val="2"/>
          </w:tcPr>
          <w:p>
            <w:pPr>
              <w:spacing w:after="0"/>
              <w:rPr>
                <w:sz w:val="20"/>
                <w:szCs w:val="20"/>
                <w:color w:val="auto"/>
              </w:rPr>
            </w:pPr>
            <w:r>
              <w:rPr>
                <w:rFonts w:ascii="Arial" w:cs="Arial" w:eastAsia="Arial" w:hAnsi="Arial"/>
                <w:sz w:val="12"/>
                <w:szCs w:val="12"/>
                <w:color w:val="auto"/>
              </w:rPr>
              <w:t>Net loss (GAAP basis)</w:t>
            </w:r>
          </w:p>
        </w:tc>
        <w:tc>
          <w:tcPr>
            <w:tcW w:w="1520" w:type="dxa"/>
            <w:vAlign w:val="bottom"/>
          </w:tcPr>
          <w:p>
            <w:pPr>
              <w:jc w:val="right"/>
              <w:ind w:right="1406"/>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(41.7)</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80"/>
              <w:spacing w:after="0"/>
              <w:rPr>
                <w:sz w:val="20"/>
                <w:szCs w:val="20"/>
                <w:color w:val="auto"/>
              </w:rPr>
            </w:pPr>
            <w:r>
              <w:rPr>
                <w:rFonts w:ascii="Arial" w:cs="Arial" w:eastAsia="Arial" w:hAnsi="Arial"/>
                <w:sz w:val="12"/>
                <w:szCs w:val="12"/>
                <w:color w:val="auto"/>
              </w:rPr>
              <w:t>(3.1)</w:t>
            </w:r>
          </w:p>
        </w:tc>
      </w:tr>
      <w:tr>
        <w:trPr>
          <w:trHeight w:val="154"/>
        </w:trPr>
        <w:tc>
          <w:tcPr>
            <w:tcW w:w="6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Add back:</w:t>
            </w:r>
          </w:p>
        </w:tc>
        <w:tc>
          <w:tcPr>
            <w:tcW w:w="15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6500" w:type="dxa"/>
            <w:vAlign w:val="bottom"/>
            <w:gridSpan w:val="2"/>
          </w:tcPr>
          <w:p>
            <w:pPr>
              <w:spacing w:after="0"/>
              <w:rPr>
                <w:sz w:val="20"/>
                <w:szCs w:val="20"/>
                <w:color w:val="auto"/>
              </w:rPr>
            </w:pPr>
            <w:r>
              <w:rPr>
                <w:rFonts w:ascii="Arial" w:cs="Arial" w:eastAsia="Arial" w:hAnsi="Arial"/>
                <w:sz w:val="12"/>
                <w:szCs w:val="12"/>
                <w:color w:val="auto"/>
              </w:rPr>
              <w:t>CEO transition costs</w:t>
            </w:r>
          </w:p>
        </w:tc>
        <w:tc>
          <w:tcPr>
            <w:tcW w:w="15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3"/>
                <w:szCs w:val="13"/>
                <w:color w:val="auto"/>
              </w:rPr>
            </w:pPr>
          </w:p>
        </w:tc>
      </w:tr>
      <w:tr>
        <w:trPr>
          <w:trHeight w:val="154"/>
        </w:trPr>
        <w:tc>
          <w:tcPr>
            <w:tcW w:w="6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Impairment of assets</w:t>
            </w:r>
          </w:p>
        </w:tc>
        <w:tc>
          <w:tcPr>
            <w:tcW w:w="15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w:t>
            </w:r>
          </w:p>
        </w:tc>
        <w:tc>
          <w:tcPr>
            <w:tcW w:w="3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54"/>
        </w:trPr>
        <w:tc>
          <w:tcPr>
            <w:tcW w:w="6500" w:type="dxa"/>
            <w:vAlign w:val="bottom"/>
            <w:gridSpan w:val="2"/>
          </w:tcPr>
          <w:p>
            <w:pPr>
              <w:spacing w:after="0"/>
              <w:rPr>
                <w:sz w:val="20"/>
                <w:szCs w:val="20"/>
                <w:color w:val="auto"/>
              </w:rPr>
            </w:pPr>
            <w:r>
              <w:rPr>
                <w:rFonts w:ascii="Arial" w:cs="Arial" w:eastAsia="Arial" w:hAnsi="Arial"/>
                <w:sz w:val="12"/>
                <w:szCs w:val="12"/>
                <w:color w:val="auto"/>
              </w:rPr>
              <w:t>Provision (benefit) for income taxes</w:t>
            </w:r>
          </w:p>
        </w:tc>
        <w:tc>
          <w:tcPr>
            <w:tcW w:w="15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4"/>
        </w:trPr>
        <w:tc>
          <w:tcPr>
            <w:tcW w:w="6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15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w:t>
            </w:r>
          </w:p>
        </w:tc>
        <w:tc>
          <w:tcPr>
            <w:tcW w:w="3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120" w:type="dxa"/>
            <w:vAlign w:val="bottom"/>
            <w:shd w:val="clear" w:color="auto" w:fill="CFF0FC"/>
          </w:tcPr>
          <w:p>
            <w:pPr>
              <w:spacing w:after="0"/>
              <w:rPr>
                <w:sz w:val="13"/>
                <w:szCs w:val="13"/>
                <w:color w:val="auto"/>
              </w:rPr>
            </w:pPr>
          </w:p>
        </w:tc>
      </w:tr>
      <w:tr>
        <w:trPr>
          <w:trHeight w:val="154"/>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Depreciation and amortization</w:t>
            </w:r>
          </w:p>
        </w:tc>
        <w:tc>
          <w:tcPr>
            <w:tcW w:w="1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c>
          <w:tcPr>
            <w:tcW w:w="3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120" w:type="dxa"/>
            <w:vAlign w:val="bottom"/>
            <w:tcBorders>
              <w:bottom w:val="single" w:sz="8" w:color="CFF0FC"/>
            </w:tcBorders>
          </w:tcPr>
          <w:p>
            <w:pPr>
              <w:spacing w:after="0"/>
              <w:rPr>
                <w:sz w:val="13"/>
                <w:szCs w:val="13"/>
                <w:color w:val="auto"/>
              </w:rPr>
            </w:pPr>
          </w:p>
        </w:tc>
      </w:tr>
      <w:tr>
        <w:trPr>
          <w:trHeight w:val="143"/>
        </w:trPr>
        <w:tc>
          <w:tcPr>
            <w:tcW w:w="6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Adjusted EBITDA (non-GAAP basis)</w:t>
            </w:r>
          </w:p>
        </w:tc>
        <w:tc>
          <w:tcPr>
            <w:tcW w:w="1520" w:type="dxa"/>
            <w:vAlign w:val="bottom"/>
            <w:shd w:val="clear" w:color="auto" w:fill="CFF0FC"/>
          </w:tcPr>
          <w:p>
            <w:pPr>
              <w:jc w:val="right"/>
              <w:ind w:right="1406"/>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2"/>
                <w:szCs w:val="12"/>
                <w:color w:val="auto"/>
              </w:rPr>
              <w:t>(18.9)</w:t>
            </w:r>
          </w:p>
        </w:tc>
        <w:tc>
          <w:tcPr>
            <w:tcW w:w="640" w:type="dxa"/>
            <w:vAlign w:val="bottom"/>
            <w:shd w:val="clear" w:color="auto" w:fill="CFF0FC"/>
          </w:tcPr>
          <w:p>
            <w:pPr>
              <w:jc w:val="right"/>
              <w:ind w:right="530"/>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FF0FC"/>
          </w:tcPr>
          <w:p>
            <w:pPr>
              <w:spacing w:after="0"/>
              <w:rPr>
                <w:sz w:val="12"/>
                <w:szCs w:val="12"/>
                <w:color w:val="auto"/>
              </w:rPr>
            </w:pPr>
          </w:p>
        </w:tc>
      </w:tr>
      <w:tr>
        <w:trPr>
          <w:trHeight w:val="27"/>
        </w:trPr>
        <w:tc>
          <w:tcPr>
            <w:tcW w:w="580" w:type="dxa"/>
            <w:vAlign w:val="bottom"/>
            <w:shd w:val="clear" w:color="auto" w:fill="CFF0FC"/>
          </w:tcPr>
          <w:p>
            <w:pPr>
              <w:spacing w:after="0"/>
              <w:rPr>
                <w:sz w:val="2"/>
                <w:szCs w:val="2"/>
                <w:color w:val="auto"/>
              </w:rPr>
            </w:pPr>
          </w:p>
        </w:tc>
        <w:tc>
          <w:tcPr>
            <w:tcW w:w="5920" w:type="dxa"/>
            <w:vAlign w:val="bottom"/>
            <w:shd w:val="clear" w:color="auto" w:fill="CFF0FC"/>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In the normal course of business, our financial position and results of operations are routinely subject to a variety of risks, including market risk associated with interest rate movements on borrowings and foreign currency fluctuations.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We regularly assess these risks and have established policies and business practices to protect against the adverse effects of these and other potential exposures.</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Rates</w:t>
      </w:r>
    </w:p>
    <w:p>
      <w:pPr>
        <w:spacing w:after="0" w:line="79"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50"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auto"/>
        </w:rPr>
        <w:t>At May 2, 2020, we had outstanding borrowings of approximately $79.8 million, of which approximately $79.5 million were in LIBOR-based contracts with an interest rate of approximately 3.75%. The remainder was prime-based borrowings, with a rate of 5.00%. At May 2, 2020, the $15.0 million outstanding borrowings under the FILO loan were in a LIBOR-based contract with an interest rate of 5.75%.</w:t>
      </w:r>
    </w:p>
    <w:p>
      <w:pPr>
        <w:spacing w:after="0" w:line="41"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Based upon a sensitivity analysis as of May 2, 2020, assuming average outstanding borrowing during the first three months of fiscal 2020 of $63.4 million under our Credit Facility and $15.0 million outstanding under our FILO loan, a 50 basis point increase in interest rates would have resulted in a potential increase in interest expense of approximately $392,000 on an annualized basis.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Foreign Currency</w:t>
      </w:r>
    </w:p>
    <w:p>
      <w:pPr>
        <w:spacing w:after="0" w:line="79" w:lineRule="exact"/>
        <w:rPr>
          <w:sz w:val="20"/>
          <w:szCs w:val="20"/>
          <w:color w:val="auto"/>
        </w:rPr>
      </w:pPr>
    </w:p>
    <w:p>
      <w:pPr>
        <w:ind w:right="160"/>
        <w:spacing w:after="0" w:line="326" w:lineRule="auto"/>
        <w:rPr>
          <w:sz w:val="20"/>
          <w:szCs w:val="20"/>
          <w:color w:val="auto"/>
        </w:rPr>
      </w:pPr>
      <w:r>
        <w:rPr>
          <w:rFonts w:ascii="Arial" w:cs="Arial" w:eastAsia="Arial" w:hAnsi="Arial"/>
          <w:sz w:val="11"/>
          <w:szCs w:val="11"/>
          <w:color w:val="auto"/>
        </w:rPr>
        <w:t>Our two DXL stores located in Ontario, Canada conduct business in Canadian dollars. Both stores were closed temporarily on March 17</w:t>
      </w:r>
      <w:r>
        <w:rPr>
          <w:rFonts w:ascii="Arial" w:cs="Arial" w:eastAsia="Arial" w:hAnsi="Arial"/>
          <w:sz w:val="9"/>
          <w:szCs w:val="9"/>
          <w:color w:val="auto"/>
        </w:rPr>
        <w:t>th</w:t>
      </w:r>
      <w:r>
        <w:rPr>
          <w:rFonts w:ascii="Arial" w:cs="Arial" w:eastAsia="Arial" w:hAnsi="Arial"/>
          <w:sz w:val="11"/>
          <w:szCs w:val="11"/>
          <w:color w:val="auto"/>
        </w:rPr>
        <w:t xml:space="preserve"> due to the COVID-19 pandemic. As of May 2, 2020, the stores had not re-opened and sales from these stores were immaterial to consolidated sales. As such, we believe that movement in foreign currency exchange rates will not have a material adverse effect on our financial position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Evaluation of Disclosure Controls and Procedures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2, 2020.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2, 2020, our disclosure controls and procedures were effective.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u w:val="single" w:color="auto"/>
          <w:color w:val="auto"/>
        </w:rPr>
        <w:t>Changes in Internal Control over Financial Reporting</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While the majority of our employees are working remotely during the COVID-19 pandemic, we have not experienced any changes in our internal control over financial reporting (as defined in Rules 13a-15(f) and 15d-15(f) under the Exchange Act) during the quarter ended May 2, 2020 that has materially affected, or is reasonably likely to materially affect, our internal control over financial reporting.</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348" w:right="35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PART II. 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3" w:lineRule="exact"/>
        <w:rPr>
          <w:sz w:val="20"/>
          <w:szCs w:val="20"/>
          <w:color w:val="auto"/>
        </w:rPr>
      </w:pPr>
    </w:p>
    <w:p>
      <w:pPr>
        <w:ind w:left="280" w:right="20"/>
        <w:spacing w:after="0" w:line="279" w:lineRule="auto"/>
        <w:rPr>
          <w:sz w:val="20"/>
          <w:szCs w:val="20"/>
          <w:color w:val="auto"/>
        </w:rPr>
      </w:pPr>
      <w:r>
        <w:rPr>
          <w:rFonts w:ascii="Arial" w:cs="Arial" w:eastAsia="Arial" w:hAnsi="Arial"/>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2"/>
          <w:szCs w:val="12"/>
          <w:color w:val="auto"/>
        </w:rPr>
        <w:t>Except as described below, there have been no material changes to the risk factors as previously disclosed in Part I, Item 1A of our Fiscal 2019 Annual Report.</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2"/>
          <w:szCs w:val="12"/>
          <w:b w:val="1"/>
          <w:bCs w:val="1"/>
          <w:i w:val="1"/>
          <w:iCs w:val="1"/>
          <w:color w:val="212121"/>
        </w:rPr>
        <w:t>The global impact of the COVID-19 pandemic has had and, based on the current status and uncertainty, will likely continue to have a significant adverse effect on our business, financial results, liquidity, supply chain and workforce.</w:t>
      </w:r>
    </w:p>
    <w:p>
      <w:pPr>
        <w:spacing w:after="0" w:line="41"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On March 11, 2020, the World Health Organization declared the current outbreak of a novel coronavirus disease (“COVID-19”) a global pandemic. Federal, state and local agencies have mandated various restrictions including travel restrictions, restrictions on public gatherings, state of emergencies, stay-at-home orders and closure of all non-essential businesses, among others.</w:t>
      </w:r>
    </w:p>
    <w:p>
      <w:pPr>
        <w:spacing w:after="0" w:line="41"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 xml:space="preserve">The COVID-19 pandemic has had, and will likely continue to have, a significant adverse effect on our business, financial results and liquidity. We closed all of our stores on March 17, 2020, expecting that all stores would reopen at the end of March 2020. As of May 2, 2020, only three stores have opened, with three additional stores open for curbside pickup. As of June 2, 2020, we have reopened 201 of our 321 stores. While our direct and wholesale businesses were operational, our total revenues for the first quarter of fiscal 2020 decreased by almost 50%. Based on the continuing uncertainty regarding the pandemic, we are unable, within reason, to estimate the impact to the remainder of fiscal 2020. As such, we are focused on mitigating the effects of the COVID-19 pandemic and preserving our liquidity. These efforts included, among other things, (i) the furloughing of substantially all of our associates, (ii) temporarily reducing, on a tiered basis, the salaries of all members of management, (iii) suspending merit increases, (iv) eliminating approximately 34 positions in May 2020, (v) suspending compensation for non-employee directors for the second quarter of fiscal 2020, (vi) eliminating capital expenditures and operating expenses, where possible, (vii) negotiating with vendors and landlords for extended payment terms, (viii) cancelling approximately $148.0 million of on-order merchandise, at retail, (ix) drawing approximately $30.0 million under our credit facility and amending that facility to increase our borrowing base availability by delaying the step-down of our advance rates and amending the agreement to permit the Company the ability to enter into an aggregate of up to $15.0 million in promissory notes with merchandise vendors, and (x) pursuing all opportunities that may be available to us under the </w:t>
      </w:r>
      <w:r>
        <w:rPr>
          <w:rFonts w:ascii="Arial" w:cs="Arial" w:eastAsia="Arial" w:hAnsi="Arial"/>
          <w:sz w:val="11"/>
          <w:szCs w:val="11"/>
          <w:color w:val="212121"/>
        </w:rPr>
        <w:t>Coronavirus Aid, Relief and Economic Security Act, ("CARES Act").</w:t>
      </w:r>
    </w:p>
    <w:p>
      <w:pPr>
        <w:spacing w:after="0" w:line="107" w:lineRule="exact"/>
        <w:rPr>
          <w:sz w:val="20"/>
          <w:szCs w:val="20"/>
          <w:color w:val="auto"/>
        </w:rPr>
      </w:pPr>
    </w:p>
    <w:p>
      <w:pPr>
        <w:ind w:right="120"/>
        <w:spacing w:after="0" w:line="280" w:lineRule="auto"/>
        <w:rPr>
          <w:sz w:val="20"/>
          <w:szCs w:val="20"/>
          <w:color w:val="auto"/>
        </w:rPr>
      </w:pPr>
      <w:r>
        <w:rPr>
          <w:rFonts w:ascii="Arial" w:cs="Arial" w:eastAsia="Arial" w:hAnsi="Arial"/>
          <w:sz w:val="11"/>
          <w:szCs w:val="11"/>
          <w:color w:val="auto"/>
        </w:rPr>
        <w:t>The above actions may not be successful in mitigating the effects of this pandemic, which is highly uncertain and difficult to predict, and the actions that we take may negatively impact or delay our strategic initiatives. For example, even if the majority of our stores reopen during the second quarter of fiscal 2020, we cannot be assured that (i) consumer demand and, therefore, sales will return to levels experienced prior to the pandemic, (ii) new practices or protocols could impact our business and may continue and/or increase, such as, for example, occupancy limitations, or (iii) that our associates will be willing to staff our stores, as a result of health concerns. Furthermore;</w:t>
      </w:r>
    </w:p>
    <w:p>
      <w:pPr>
        <w:spacing w:after="0" w:line="1" w:lineRule="exact"/>
        <w:rPr>
          <w:sz w:val="20"/>
          <w:szCs w:val="20"/>
          <w:color w:val="auto"/>
        </w:rPr>
      </w:pPr>
    </w:p>
    <w:p>
      <w:pPr>
        <w:ind w:left="740" w:hanging="376"/>
        <w:spacing w:after="0"/>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not be able to effectively manage our operating costs on a lower sales base;</w:t>
      </w:r>
    </w:p>
    <w:p>
      <w:pPr>
        <w:spacing w:after="0" w:line="6" w:lineRule="exact"/>
        <w:rPr>
          <w:rFonts w:ascii="Arial" w:cs="Arial" w:eastAsia="Arial" w:hAnsi="Arial"/>
          <w:sz w:val="12"/>
          <w:szCs w:val="12"/>
          <w:color w:val="auto"/>
        </w:rPr>
      </w:pPr>
    </w:p>
    <w:p>
      <w:pPr>
        <w:ind w:left="740" w:hanging="376"/>
        <w:spacing w:after="0"/>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cannot be assured that inventory costs will not increase or that inventory will be readily accessible from our vendors;</w:t>
      </w:r>
    </w:p>
    <w:p>
      <w:pPr>
        <w:spacing w:after="0" w:line="6" w:lineRule="exact"/>
        <w:rPr>
          <w:rFonts w:ascii="Arial" w:cs="Arial" w:eastAsia="Arial" w:hAnsi="Arial"/>
          <w:sz w:val="12"/>
          <w:szCs w:val="12"/>
          <w:color w:val="auto"/>
        </w:rPr>
      </w:pPr>
    </w:p>
    <w:p>
      <w:pPr>
        <w:ind w:left="740" w:right="160" w:hanging="376"/>
        <w:spacing w:after="0" w:line="252" w:lineRule="auto"/>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not be successful in negotiations with landlords for rent concessions. We did not make scheduled rent payments, due April 1, 2020, and landlords may take actions to terminate our lease arrangements, which would have a negative effect on our business; and</w:t>
      </w:r>
    </w:p>
    <w:p>
      <w:pPr>
        <w:ind w:left="740" w:hanging="376"/>
        <w:spacing w:after="0"/>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cannot be assured that we will not have further impairments on our long-lived assets.</w:t>
      </w:r>
    </w:p>
    <w:p>
      <w:pPr>
        <w:spacing w:after="0" w:line="143"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In addition to the specific risks to our business noted above, we will also be subject to the long-term effects the COVID-19 pandemic may have on the U.S. economy as a whole. The U.S. is experiencing unprecedented unemployment and a possible economic recession that would likely impact consumer discretionary spending, and therefore consumer demand for our products. The magnitude of the impact of the COVID-19 pandemic will be determined by the length of time that the pandemic continues, and while government authorities’ measures relating to the pandemic may be relaxed as the pandemic abates, these measures may be reinstated as the pandemic continues to evolve. In addition to the risks noted above, the COVID-19 pandemic may also heighten other risks described in our Fiscal 2019 Annual Report, including risks to our supply chain, the health and safety of our customers and employees, and our ability to maintain compliance with the financial covenants under our Credit Facility.</w:t>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12121"/>
        </w:rPr>
        <w:t>We may not be able to maintain the listing of our common stock on NASDAQ.</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Our common stock currently trades on The Nasdaq Global Select Market (“Nasdaq”). Nasdaq has continued listing standards that the Company must maintain to avoid delisting, including, among others, a minimum bid price requirement of $1.00 per share. On April 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jc w:val="both"/>
        <w:ind w:left="3"/>
        <w:spacing w:after="0" w:line="292" w:lineRule="auto"/>
        <w:rPr>
          <w:sz w:val="20"/>
          <w:szCs w:val="20"/>
          <w:color w:val="auto"/>
        </w:rPr>
      </w:pPr>
      <w:r>
        <w:rPr>
          <w:rFonts w:ascii="Arial" w:cs="Arial" w:eastAsia="Arial" w:hAnsi="Arial"/>
          <w:sz w:val="11"/>
          <w:szCs w:val="11"/>
          <w:color w:val="auto"/>
        </w:rPr>
        <w:t>2020, the Company received a letter from the Listing Qualifications staff of Nasdaq notifying the Company that, based upon the closing bid price of its common stock for the last 30 consecutive trading days, the Company was not in compliance with Nasdaq Listing Rule 5450(a)(1), as the minimum bid price for the Company’s common stock was less than $1.00 per share for the previous 30 consecutive trading days. At that time, the Company was granted a 180 calendar-day grace period to regain compliance with the minimum bid price requirement. On April 17, 2020, the Company received a follow-up letter from the Listing Qualifications staff notifying the Company that they had determined to toll all compliance periods through June 30, 2020. Accordingly, the Company’s 180 calendar-day grace period to regain compliance with the minimum bid price requirement was extended to December 21, 2020.</w:t>
      </w:r>
    </w:p>
    <w:p>
      <w:pPr>
        <w:spacing w:after="0" w:line="37" w:lineRule="exact"/>
        <w:rPr>
          <w:sz w:val="20"/>
          <w:szCs w:val="20"/>
          <w:color w:val="auto"/>
        </w:rPr>
      </w:pPr>
    </w:p>
    <w:p>
      <w:pPr>
        <w:ind w:left="3" w:right="420"/>
        <w:spacing w:after="0" w:line="265" w:lineRule="auto"/>
        <w:rPr>
          <w:sz w:val="20"/>
          <w:szCs w:val="20"/>
          <w:color w:val="auto"/>
        </w:rPr>
      </w:pPr>
      <w:r>
        <w:rPr>
          <w:rFonts w:ascii="Arial" w:cs="Arial" w:eastAsia="Arial" w:hAnsi="Arial"/>
          <w:sz w:val="12"/>
          <w:szCs w:val="12"/>
          <w:color w:val="auto"/>
        </w:rPr>
        <w:t>The Notice does not result in the immediate delisting of the Company’s common stock from the Nasdaq Global Select Market. The Company intends to monitor the closing bid price of the Company’s common stock to allow a reasonable period for the price to rebound from its recent decline but will continue to consider its available options to regain compliance. There can be no assurance that the Company will be able to regain compliance with the minimum bid price requirement or maintain compliance with the other listing requirements.</w:t>
      </w:r>
    </w:p>
    <w:p>
      <w:pPr>
        <w:spacing w:after="0" w:line="119"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3" w:lineRule="exact"/>
        <w:rPr>
          <w:sz w:val="20"/>
          <w:szCs w:val="20"/>
          <w:color w:val="auto"/>
        </w:rPr>
      </w:pPr>
    </w:p>
    <w:p>
      <w:pPr>
        <w:ind w:left="283"/>
        <w:spacing w:after="0"/>
        <w:rPr>
          <w:sz w:val="20"/>
          <w:szCs w:val="20"/>
          <w:color w:val="auto"/>
        </w:rPr>
      </w:pPr>
      <w:r>
        <w:rPr>
          <w:rFonts w:ascii="Arial" w:cs="Arial" w:eastAsia="Arial" w:hAnsi="Arial"/>
          <w:sz w:val="12"/>
          <w:szCs w:val="12"/>
          <w:color w:val="auto"/>
        </w:rPr>
        <w:t>None.</w:t>
      </w:r>
    </w:p>
    <w:p>
      <w:pPr>
        <w:spacing w:after="0" w:line="16"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1" w:lineRule="exact"/>
        <w:rPr>
          <w:sz w:val="20"/>
          <w:szCs w:val="20"/>
          <w:color w:val="auto"/>
        </w:rPr>
      </w:pPr>
    </w:p>
    <w:p>
      <w:pPr>
        <w:ind w:left="243"/>
        <w:spacing w:after="0"/>
        <w:rPr>
          <w:sz w:val="20"/>
          <w:szCs w:val="20"/>
          <w:color w:val="auto"/>
        </w:rPr>
      </w:pPr>
      <w:r>
        <w:rPr>
          <w:rFonts w:ascii="Arial" w:cs="Arial" w:eastAsia="Arial" w:hAnsi="Arial"/>
          <w:sz w:val="12"/>
          <w:szCs w:val="12"/>
          <w:color w:val="auto"/>
        </w:rPr>
        <w:t>None.</w:t>
      </w:r>
    </w:p>
    <w:p>
      <w:pPr>
        <w:spacing w:after="0" w:line="27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4. Mine Safety Disclosures.</w:t>
      </w:r>
    </w:p>
    <w:p>
      <w:pPr>
        <w:spacing w:after="0" w:line="83" w:lineRule="exact"/>
        <w:rPr>
          <w:sz w:val="20"/>
          <w:szCs w:val="20"/>
          <w:color w:val="auto"/>
        </w:rPr>
      </w:pPr>
    </w:p>
    <w:p>
      <w:pPr>
        <w:ind w:left="243"/>
        <w:spacing w:after="0"/>
        <w:rPr>
          <w:sz w:val="20"/>
          <w:szCs w:val="20"/>
          <w:color w:val="auto"/>
        </w:rPr>
      </w:pPr>
      <w:r>
        <w:rPr>
          <w:rFonts w:ascii="Arial" w:cs="Arial" w:eastAsia="Arial" w:hAnsi="Arial"/>
          <w:sz w:val="12"/>
          <w:szCs w:val="12"/>
          <w:color w:val="auto"/>
        </w:rPr>
        <w:t>Not applicable.</w:t>
      </w:r>
    </w:p>
    <w:p>
      <w:pPr>
        <w:spacing w:after="0" w:line="27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5. Other Information.</w:t>
      </w:r>
    </w:p>
    <w:p>
      <w:pPr>
        <w:spacing w:after="0" w:line="83" w:lineRule="exact"/>
        <w:rPr>
          <w:sz w:val="20"/>
          <w:szCs w:val="20"/>
          <w:color w:val="auto"/>
        </w:rPr>
      </w:pPr>
    </w:p>
    <w:p>
      <w:pPr>
        <w:ind w:left="243"/>
        <w:spacing w:after="0"/>
        <w:rPr>
          <w:sz w:val="20"/>
          <w:szCs w:val="20"/>
          <w:color w:val="auto"/>
        </w:rPr>
      </w:pPr>
      <w:r>
        <w:rPr>
          <w:rFonts w:ascii="Arial" w:cs="Arial" w:eastAsia="Arial" w:hAnsi="Arial"/>
          <w:sz w:val="12"/>
          <w:szCs w:val="12"/>
          <w:color w:val="auto"/>
        </w:rPr>
        <w:t>None.</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6. Exhibits.</w:t>
      </w:r>
    </w:p>
    <w:p>
      <w:pPr>
        <w:spacing w:after="0" w:line="307" w:lineRule="exact"/>
        <w:rPr>
          <w:sz w:val="20"/>
          <w:szCs w:val="20"/>
          <w:color w:val="auto"/>
        </w:rPr>
      </w:pPr>
    </w:p>
    <w:tbl>
      <w:tblPr>
        <w:tblLayout w:type="fixed"/>
        <w:tblInd w:w="3" w:type="dxa"/>
        <w:tblCellMar>
          <w:top w:w="0" w:type="dxa"/>
          <w:left w:w="0" w:type="dxa"/>
          <w:bottom w:w="0" w:type="dxa"/>
          <w:right w:w="0" w:type="dxa"/>
        </w:tblCellMar>
      </w:tblPr>
      <w:tr>
        <w:trPr>
          <w:trHeight w:val="138"/>
        </w:trPr>
        <w:tc>
          <w:tcPr>
            <w:tcW w:w="920" w:type="dxa"/>
            <w:vAlign w:val="bottom"/>
          </w:tcPr>
          <w:p>
            <w:pPr>
              <w:jc w:val="right"/>
              <w:ind w:right="660"/>
              <w:spacing w:after="0"/>
              <w:rPr>
                <w:sz w:val="20"/>
                <w:szCs w:val="20"/>
                <w:color w:val="auto"/>
              </w:rPr>
            </w:pPr>
            <w:r>
              <w:rPr>
                <w:rFonts w:ascii="Arial" w:cs="Arial" w:eastAsia="Arial" w:hAnsi="Arial"/>
                <w:sz w:val="12"/>
                <w:szCs w:val="12"/>
                <w:color w:val="auto"/>
                <w:w w:val="76"/>
              </w:rPr>
              <w:t>10.1</w:t>
            </w:r>
          </w:p>
        </w:tc>
        <w:tc>
          <w:tcPr>
            <w:tcW w:w="10020" w:type="dxa"/>
            <w:vAlign w:val="bottom"/>
            <w:tcBorders>
              <w:bottom w:val="single" w:sz="8" w:color="0000EE"/>
            </w:tcBorders>
            <w:gridSpan w:val="3"/>
          </w:tcPr>
          <w:p>
            <w:pPr>
              <w:spacing w:after="0"/>
              <w:rPr>
                <w:rFonts w:ascii="Arial" w:cs="Arial" w:eastAsia="Arial" w:hAnsi="Arial"/>
                <w:sz w:val="12"/>
                <w:szCs w:val="12"/>
                <w:color w:val="0000EE"/>
                <w:w w:val="92"/>
              </w:rPr>
            </w:pPr>
            <w:hyperlink r:id="rId45">
              <w:r>
                <w:rPr>
                  <w:rFonts w:ascii="Arial" w:cs="Arial" w:eastAsia="Arial" w:hAnsi="Arial"/>
                  <w:sz w:val="12"/>
                  <w:szCs w:val="12"/>
                  <w:color w:val="0000EE"/>
                  <w:w w:val="92"/>
                </w:rPr>
                <w:t>Third Amendment to Seventh Amended and Restated Credit Agreement dated as of April 9, 2020, by and among Bank of America, N.A., as Administrative Agent and Collateral Agent, the Lenders identified</w:t>
              </w:r>
            </w:hyperlink>
          </w:p>
        </w:tc>
        <w:tc>
          <w:tcPr>
            <w:tcW w:w="280" w:type="dxa"/>
            <w:vAlign w:val="bottom"/>
          </w:tcPr>
          <w:p>
            <w:pPr>
              <w:spacing w:after="0"/>
              <w:rPr>
                <w:sz w:val="12"/>
                <w:szCs w:val="12"/>
                <w:color w:val="auto"/>
              </w:rPr>
            </w:pPr>
          </w:p>
        </w:tc>
      </w:tr>
      <w:tr>
        <w:trPr>
          <w:trHeight w:val="125"/>
        </w:trPr>
        <w:tc>
          <w:tcPr>
            <w:tcW w:w="920" w:type="dxa"/>
            <w:vAlign w:val="bottom"/>
          </w:tcPr>
          <w:p>
            <w:pPr>
              <w:spacing w:after="0"/>
              <w:rPr>
                <w:sz w:val="10"/>
                <w:szCs w:val="10"/>
                <w:color w:val="auto"/>
              </w:rPr>
            </w:pPr>
          </w:p>
        </w:tc>
        <w:tc>
          <w:tcPr>
            <w:tcW w:w="10300" w:type="dxa"/>
            <w:vAlign w:val="bottom"/>
            <w:tcBorders>
              <w:bottom w:val="single" w:sz="8" w:color="0000EE"/>
            </w:tcBorders>
            <w:gridSpan w:val="4"/>
          </w:tcPr>
          <w:p>
            <w:pPr>
              <w:spacing w:after="0" w:line="125" w:lineRule="exact"/>
              <w:rPr>
                <w:rFonts w:ascii="Arial" w:cs="Arial" w:eastAsia="Arial" w:hAnsi="Arial"/>
                <w:sz w:val="12"/>
                <w:szCs w:val="12"/>
                <w:color w:val="0000EE"/>
                <w:w w:val="91"/>
              </w:rPr>
            </w:pPr>
            <w:hyperlink r:id="rId45">
              <w:r>
                <w:rPr>
                  <w:rFonts w:ascii="Arial" w:cs="Arial" w:eastAsia="Arial" w:hAnsi="Arial"/>
                  <w:sz w:val="12"/>
                  <w:szCs w:val="12"/>
                  <w:color w:val="0000EE"/>
                  <w:w w:val="91"/>
                </w:rPr>
                <w:t>therein, the Company, as Lead Borrower, the Company and CMRG Apparel, LLC, as Borrowers, and the Guarantors identified therein (included as Exhibit 10.1 to the Company’s Current Report on Form 8-K filed</w:t>
              </w:r>
            </w:hyperlink>
          </w:p>
        </w:tc>
      </w:tr>
      <w:tr>
        <w:trPr>
          <w:trHeight w:val="125"/>
        </w:trPr>
        <w:tc>
          <w:tcPr>
            <w:tcW w:w="920" w:type="dxa"/>
            <w:vAlign w:val="bottom"/>
          </w:tcPr>
          <w:p>
            <w:pPr>
              <w:spacing w:after="0"/>
              <w:rPr>
                <w:sz w:val="10"/>
                <w:szCs w:val="10"/>
                <w:color w:val="auto"/>
              </w:rPr>
            </w:pPr>
          </w:p>
        </w:tc>
        <w:tc>
          <w:tcPr>
            <w:tcW w:w="10300" w:type="dxa"/>
            <w:vAlign w:val="bottom"/>
            <w:gridSpan w:val="4"/>
          </w:tcPr>
          <w:p>
            <w:pPr>
              <w:spacing w:after="0" w:line="125" w:lineRule="exact"/>
              <w:rPr>
                <w:rFonts w:ascii="Arial" w:cs="Arial" w:eastAsia="Arial" w:hAnsi="Arial"/>
                <w:sz w:val="12"/>
                <w:szCs w:val="12"/>
                <w:color w:val="0000EE"/>
              </w:rPr>
            </w:pPr>
            <w:hyperlink r:id="rId45">
              <w:r>
                <w:rPr>
                  <w:rFonts w:ascii="Arial" w:cs="Arial" w:eastAsia="Arial" w:hAnsi="Arial"/>
                  <w:sz w:val="12"/>
                  <w:szCs w:val="12"/>
                  <w:color w:val="0000EE"/>
                </w:rPr>
                <w:t>April 16, 2020, and incorporated herein by reference</w:t>
              </w:r>
              <w:r>
                <w:rPr>
                  <w:rFonts w:ascii="Arial" w:cs="Arial" w:eastAsia="Arial" w:hAnsi="Arial"/>
                  <w:sz w:val="12"/>
                  <w:szCs w:val="12"/>
                  <w:color w:val="000000"/>
                </w:rPr>
                <w:t>).</w:t>
              </w:r>
            </w:hyperlink>
          </w:p>
        </w:tc>
      </w:tr>
      <w:tr>
        <w:trPr>
          <w:trHeight w:val="20"/>
        </w:trPr>
        <w:tc>
          <w:tcPr>
            <w:tcW w:w="9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r>
      <w:tr>
        <w:trPr>
          <w:trHeight w:val="297"/>
        </w:trPr>
        <w:tc>
          <w:tcPr>
            <w:tcW w:w="920" w:type="dxa"/>
            <w:vAlign w:val="bottom"/>
          </w:tcPr>
          <w:p>
            <w:pPr>
              <w:jc w:val="right"/>
              <w:ind w:right="660"/>
              <w:spacing w:after="0"/>
              <w:rPr>
                <w:sz w:val="20"/>
                <w:szCs w:val="20"/>
                <w:color w:val="auto"/>
              </w:rPr>
            </w:pPr>
            <w:r>
              <w:rPr>
                <w:rFonts w:ascii="Arial" w:cs="Arial" w:eastAsia="Arial" w:hAnsi="Arial"/>
                <w:sz w:val="12"/>
                <w:szCs w:val="12"/>
                <w:color w:val="auto"/>
                <w:w w:val="76"/>
              </w:rPr>
              <w:t>31.1</w:t>
            </w:r>
          </w:p>
        </w:tc>
        <w:tc>
          <w:tcPr>
            <w:tcW w:w="10300" w:type="dxa"/>
            <w:vAlign w:val="bottom"/>
            <w:gridSpan w:val="4"/>
          </w:tcPr>
          <w:p>
            <w:pPr>
              <w:spacing w:after="0"/>
              <w:rPr>
                <w:rFonts w:ascii="Arial" w:cs="Arial" w:eastAsia="Arial" w:hAnsi="Arial"/>
                <w:sz w:val="12"/>
                <w:szCs w:val="12"/>
                <w:u w:val="single" w:color="auto"/>
                <w:color w:val="0000EE"/>
              </w:rPr>
            </w:pPr>
            <w:hyperlink w:anchor="page30">
              <w:r>
                <w:rPr>
                  <w:rFonts w:ascii="Arial" w:cs="Arial" w:eastAsia="Arial" w:hAnsi="Arial"/>
                  <w:sz w:val="12"/>
                  <w:szCs w:val="12"/>
                  <w:u w:val="single" w:color="auto"/>
                  <w:color w:val="0000EE"/>
                </w:rPr>
                <w:t>Certification of the Chief Executive Officer of the Company pursuant to Rule 13a-14(a) under the Securities Exchange Act of 1934</w:t>
              </w:r>
            </w:hyperlink>
            <w:r>
              <w:rPr>
                <w:rFonts w:ascii="Arial" w:cs="Arial" w:eastAsia="Arial" w:hAnsi="Arial"/>
                <w:sz w:val="12"/>
                <w:szCs w:val="12"/>
                <w:u w:val="single" w:color="auto"/>
                <w:color w:val="000000"/>
              </w:rPr>
              <w:t>.</w:t>
            </w:r>
          </w:p>
        </w:tc>
      </w:tr>
      <w:tr>
        <w:trPr>
          <w:trHeight w:val="290"/>
        </w:trPr>
        <w:tc>
          <w:tcPr>
            <w:tcW w:w="920" w:type="dxa"/>
            <w:vAlign w:val="bottom"/>
          </w:tcPr>
          <w:p>
            <w:pPr>
              <w:jc w:val="right"/>
              <w:ind w:right="660"/>
              <w:spacing w:after="0"/>
              <w:rPr>
                <w:sz w:val="20"/>
                <w:szCs w:val="20"/>
                <w:color w:val="auto"/>
              </w:rPr>
            </w:pPr>
            <w:r>
              <w:rPr>
                <w:rFonts w:ascii="Arial" w:cs="Arial" w:eastAsia="Arial" w:hAnsi="Arial"/>
                <w:sz w:val="12"/>
                <w:szCs w:val="12"/>
                <w:color w:val="auto"/>
                <w:w w:val="76"/>
              </w:rPr>
              <w:t>31.2</w:t>
            </w:r>
          </w:p>
        </w:tc>
        <w:tc>
          <w:tcPr>
            <w:tcW w:w="10300" w:type="dxa"/>
            <w:vAlign w:val="bottom"/>
            <w:gridSpan w:val="4"/>
          </w:tcPr>
          <w:p>
            <w:pPr>
              <w:spacing w:after="0"/>
              <w:rPr>
                <w:rFonts w:ascii="Arial" w:cs="Arial" w:eastAsia="Arial" w:hAnsi="Arial"/>
                <w:sz w:val="12"/>
                <w:szCs w:val="12"/>
                <w:u w:val="single" w:color="auto"/>
                <w:color w:val="0000EE"/>
              </w:rPr>
            </w:pPr>
            <w:hyperlink w:anchor="page31">
              <w:r>
                <w:rPr>
                  <w:rFonts w:ascii="Arial" w:cs="Arial" w:eastAsia="Arial" w:hAnsi="Arial"/>
                  <w:sz w:val="12"/>
                  <w:szCs w:val="12"/>
                  <w:u w:val="single" w:color="auto"/>
                  <w:color w:val="0000EE"/>
                </w:rPr>
                <w:t>Certification of the Chief Financial Officer of the Company pursuant to Rule 13a-14(a) under the Securities Exchange Act of 1934</w:t>
              </w:r>
            </w:hyperlink>
            <w:r>
              <w:rPr>
                <w:rFonts w:ascii="Arial" w:cs="Arial" w:eastAsia="Arial" w:hAnsi="Arial"/>
                <w:sz w:val="12"/>
                <w:szCs w:val="12"/>
                <w:u w:val="single" w:color="auto"/>
                <w:color w:val="000000"/>
              </w:rPr>
              <w:t>.</w:t>
            </w:r>
          </w:p>
        </w:tc>
      </w:tr>
      <w:tr>
        <w:trPr>
          <w:trHeight w:val="281"/>
        </w:trPr>
        <w:tc>
          <w:tcPr>
            <w:tcW w:w="920" w:type="dxa"/>
            <w:vAlign w:val="bottom"/>
          </w:tcPr>
          <w:p>
            <w:pPr>
              <w:jc w:val="right"/>
              <w:ind w:right="660"/>
              <w:spacing w:after="0"/>
              <w:rPr>
                <w:sz w:val="20"/>
                <w:szCs w:val="20"/>
                <w:color w:val="auto"/>
              </w:rPr>
            </w:pPr>
            <w:r>
              <w:rPr>
                <w:rFonts w:ascii="Arial" w:cs="Arial" w:eastAsia="Arial" w:hAnsi="Arial"/>
                <w:sz w:val="12"/>
                <w:szCs w:val="12"/>
                <w:color w:val="auto"/>
                <w:w w:val="76"/>
              </w:rPr>
              <w:t>32.1</w:t>
            </w:r>
          </w:p>
        </w:tc>
        <w:tc>
          <w:tcPr>
            <w:tcW w:w="10300" w:type="dxa"/>
            <w:vAlign w:val="bottom"/>
            <w:gridSpan w:val="4"/>
          </w:tcPr>
          <w:p>
            <w:pPr>
              <w:spacing w:after="0"/>
              <w:rPr>
                <w:rFonts w:ascii="Arial" w:cs="Arial" w:eastAsia="Arial" w:hAnsi="Arial"/>
                <w:sz w:val="12"/>
                <w:szCs w:val="12"/>
                <w:u w:val="single" w:color="auto"/>
                <w:color w:val="0000EE"/>
              </w:rPr>
            </w:pPr>
            <w:hyperlink w:anchor="page32">
              <w:r>
                <w:rPr>
                  <w:rFonts w:ascii="Arial" w:cs="Arial" w:eastAsia="Arial" w:hAnsi="Arial"/>
                  <w:sz w:val="12"/>
                  <w:szCs w:val="12"/>
                  <w:u w:val="single" w:color="auto"/>
                  <w:color w:val="0000EE"/>
                </w:rPr>
                <w:t>Certification of Chief Executive Officer pursuant to 18 U.S.C. Section 1350, as adopted pursuant to Section 906 of the Sarbanes-Oxley Act of 2002.</w:t>
              </w:r>
            </w:hyperlink>
          </w:p>
        </w:tc>
      </w:tr>
      <w:tr>
        <w:trPr>
          <w:trHeight w:val="154"/>
        </w:trPr>
        <w:tc>
          <w:tcPr>
            <w:tcW w:w="920" w:type="dxa"/>
            <w:vAlign w:val="bottom"/>
          </w:tcPr>
          <w:p>
            <w:pPr>
              <w:jc w:val="right"/>
              <w:ind w:right="660"/>
              <w:spacing w:after="0"/>
              <w:rPr>
                <w:sz w:val="20"/>
                <w:szCs w:val="20"/>
                <w:color w:val="auto"/>
              </w:rPr>
            </w:pPr>
            <w:r>
              <w:rPr>
                <w:rFonts w:ascii="Arial" w:cs="Arial" w:eastAsia="Arial" w:hAnsi="Arial"/>
                <w:sz w:val="12"/>
                <w:szCs w:val="12"/>
                <w:color w:val="auto"/>
                <w:w w:val="76"/>
              </w:rPr>
              <w:t>32.2</w:t>
            </w:r>
          </w:p>
        </w:tc>
        <w:tc>
          <w:tcPr>
            <w:tcW w:w="10300" w:type="dxa"/>
            <w:vAlign w:val="bottom"/>
            <w:gridSpan w:val="4"/>
          </w:tcPr>
          <w:p>
            <w:pPr>
              <w:spacing w:after="0"/>
              <w:rPr>
                <w:rFonts w:ascii="Arial" w:cs="Arial" w:eastAsia="Arial" w:hAnsi="Arial"/>
                <w:sz w:val="12"/>
                <w:szCs w:val="12"/>
                <w:u w:val="single" w:color="auto"/>
                <w:color w:val="0000EE"/>
              </w:rPr>
            </w:pPr>
            <w:hyperlink w:anchor="page33">
              <w:r>
                <w:rPr>
                  <w:rFonts w:ascii="Arial" w:cs="Arial" w:eastAsia="Arial" w:hAnsi="Arial"/>
                  <w:sz w:val="12"/>
                  <w:szCs w:val="12"/>
                  <w:u w:val="single" w:color="auto"/>
                  <w:color w:val="0000EE"/>
                </w:rPr>
                <w:t>Certification of Chief Financial Officer pursuant to 18 U.S.C. Section 1350, as adopted pursuant to Section 906 of the Sarbanes-Oxley Act of 2002.</w:t>
              </w:r>
            </w:hyperlink>
          </w:p>
        </w:tc>
      </w:tr>
    </w:tbl>
    <w:p>
      <w:pPr>
        <w:ind w:left="923" w:right="20" w:hanging="923"/>
        <w:spacing w:after="0" w:line="258" w:lineRule="auto"/>
        <w:tabs>
          <w:tab w:leader="none" w:pos="923"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following materials from the Company’s Quarterly Report on Form 10-Q for the quarter ended May 2, 2020,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7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188835"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3"/>
          </w:cols>
          <w:pgMar w:left="297" w:top="203"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4"/>
        </w:trPr>
        <w:tc>
          <w:tcPr>
            <w:tcW w:w="3080" w:type="dxa"/>
            <w:vAlign w:val="bottom"/>
          </w:tcPr>
          <w:p>
            <w:pPr>
              <w:spacing w:after="0"/>
              <w:rPr>
                <w:sz w:val="13"/>
                <w:szCs w:val="13"/>
                <w:color w:val="auto"/>
              </w:rPr>
            </w:pPr>
          </w:p>
        </w:tc>
        <w:tc>
          <w:tcPr>
            <w:tcW w:w="8220" w:type="dxa"/>
            <w:vAlign w:val="bottom"/>
            <w:gridSpan w:val="2"/>
          </w:tcPr>
          <w:p>
            <w:pPr>
              <w:ind w:left="2200"/>
              <w:spacing w:after="0"/>
              <w:rPr>
                <w:sz w:val="20"/>
                <w:szCs w:val="20"/>
                <w:color w:val="auto"/>
              </w:rPr>
            </w:pPr>
            <w:r>
              <w:rPr>
                <w:rFonts w:ascii="Arial" w:cs="Arial" w:eastAsia="Arial" w:hAnsi="Arial"/>
                <w:sz w:val="12"/>
                <w:szCs w:val="12"/>
                <w:color w:val="auto"/>
              </w:rPr>
              <w:t>SIGNATURES</w:t>
            </w:r>
          </w:p>
        </w:tc>
      </w:tr>
      <w:tr>
        <w:trPr>
          <w:trHeight w:val="290"/>
        </w:trPr>
        <w:tc>
          <w:tcPr>
            <w:tcW w:w="11300" w:type="dxa"/>
            <w:vAlign w:val="bottom"/>
            <w:gridSpan w:val="3"/>
          </w:tcPr>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080" w:type="dxa"/>
            <w:vAlign w:val="bottom"/>
          </w:tcPr>
          <w:p>
            <w:pPr>
              <w:spacing w:after="0"/>
              <w:rPr>
                <w:sz w:val="24"/>
                <w:szCs w:val="24"/>
                <w:color w:val="auto"/>
              </w:rPr>
            </w:pPr>
          </w:p>
        </w:tc>
        <w:tc>
          <w:tcPr>
            <w:tcW w:w="8220" w:type="dxa"/>
            <w:vAlign w:val="bottom"/>
            <w:gridSpan w:val="2"/>
          </w:tcPr>
          <w:p>
            <w:pPr>
              <w:ind w:left="3380"/>
              <w:spacing w:after="0"/>
              <w:rPr>
                <w:sz w:val="20"/>
                <w:szCs w:val="20"/>
                <w:color w:val="auto"/>
              </w:rPr>
            </w:pPr>
            <w:r>
              <w:rPr>
                <w:rFonts w:ascii="Arial" w:cs="Arial" w:eastAsia="Arial" w:hAnsi="Arial"/>
                <w:sz w:val="12"/>
                <w:szCs w:val="12"/>
                <w:color w:val="auto"/>
              </w:rPr>
              <w:t>DESTINATION XL GROUP, INC.</w:t>
            </w:r>
          </w:p>
        </w:tc>
      </w:tr>
      <w:tr>
        <w:trPr>
          <w:trHeight w:val="308"/>
        </w:trPr>
        <w:tc>
          <w:tcPr>
            <w:tcW w:w="3080" w:type="dxa"/>
            <w:vAlign w:val="bottom"/>
          </w:tcPr>
          <w:p>
            <w:pPr>
              <w:spacing w:after="0"/>
              <w:rPr>
                <w:sz w:val="20"/>
                <w:szCs w:val="20"/>
                <w:color w:val="auto"/>
              </w:rPr>
            </w:pPr>
            <w:r>
              <w:rPr>
                <w:rFonts w:ascii="Arial" w:cs="Arial" w:eastAsia="Arial" w:hAnsi="Arial"/>
                <w:sz w:val="12"/>
                <w:szCs w:val="12"/>
                <w:color w:val="auto"/>
              </w:rPr>
              <w:t>Date: June 4, 2020</w:t>
            </w:r>
          </w:p>
        </w:tc>
        <w:tc>
          <w:tcPr>
            <w:tcW w:w="8220" w:type="dxa"/>
            <w:vAlign w:val="bottom"/>
            <w:gridSpan w:val="2"/>
          </w:tcPr>
          <w:p>
            <w:pPr>
              <w:ind w:left="3380"/>
              <w:spacing w:after="0"/>
              <w:rPr>
                <w:sz w:val="20"/>
                <w:szCs w:val="20"/>
                <w:color w:val="auto"/>
              </w:rPr>
            </w:pPr>
            <w:r>
              <w:rPr>
                <w:rFonts w:ascii="Arial" w:cs="Arial" w:eastAsia="Arial" w:hAnsi="Arial"/>
                <w:sz w:val="12"/>
                <w:szCs w:val="12"/>
                <w:color w:val="auto"/>
              </w:rPr>
              <w:t>By:  /S/ John F. Cooney</w:t>
            </w:r>
          </w:p>
        </w:tc>
      </w:tr>
      <w:tr>
        <w:trPr>
          <w:trHeight w:val="135"/>
        </w:trPr>
        <w:tc>
          <w:tcPr>
            <w:tcW w:w="30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56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color w:val="auto"/>
              </w:rPr>
              <w:t>John F. Cooney</w:t>
            </w:r>
          </w:p>
        </w:tc>
      </w:tr>
    </w:tbl>
    <w:p>
      <w:pPr>
        <w:ind w:left="6740"/>
        <w:spacing w:after="0"/>
        <w:rPr>
          <w:sz w:val="20"/>
          <w:szCs w:val="20"/>
          <w:color w:val="auto"/>
        </w:rPr>
      </w:pPr>
      <w:r>
        <w:rPr>
          <w:rFonts w:ascii="Arial" w:cs="Arial" w:eastAsia="Arial" w:hAnsi="Arial"/>
          <w:sz w:val="11"/>
          <w:szCs w:val="11"/>
          <w:color w:val="auto"/>
        </w:rPr>
        <w:t>Vice President, Managing Director, Chief Accounting Officer and Corporate Controller (Duly</w:t>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2"/>
          <w:szCs w:val="12"/>
          <w:color w:val="auto"/>
        </w:rPr>
        <w:t>Authorized Officer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131"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647" w:val="left"/>
        </w:tabs>
        <w:rPr>
          <w:sz w:val="20"/>
          <w:szCs w:val="20"/>
          <w:color w:val="auto"/>
        </w:rPr>
      </w:pPr>
      <w:r>
        <w:rPr>
          <w:rFonts w:ascii="Arial" w:cs="Arial" w:eastAsia="Arial" w:hAnsi="Arial"/>
          <w:sz w:val="12"/>
          <w:szCs w:val="12"/>
          <w:color w:val="auto"/>
        </w:rPr>
        <w:t>Date:  June 4,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Harvey S. Kanter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ectPr>
          <w:pgSz w:w="11900" w:h="16838" w:orient="portrait"/>
          <w:cols w:equalWidth="0" w:num="1">
            <w:col w:w="11308"/>
          </w:cols>
          <w:pgMar w:left="292" w:top="127"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300" w:hanging="508"/>
        <w:spacing w:after="0" w:line="279" w:lineRule="auto"/>
        <w:tabs>
          <w:tab w:leader="none" w:pos="5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80" w:hanging="508"/>
        <w:spacing w:after="0" w:line="279" w:lineRule="auto"/>
        <w:tabs>
          <w:tab w:leader="none" w:pos="5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767" w:val="left"/>
          <w:tab w:leader="none" w:pos="8567" w:val="left"/>
        </w:tabs>
        <w:rPr>
          <w:sz w:val="20"/>
          <w:szCs w:val="20"/>
          <w:color w:val="auto"/>
        </w:rPr>
      </w:pPr>
      <w:r>
        <w:rPr>
          <w:rFonts w:ascii="Arial" w:cs="Arial" w:eastAsia="Arial" w:hAnsi="Arial"/>
          <w:sz w:val="12"/>
          <w:szCs w:val="12"/>
          <w:color w:val="auto"/>
        </w:rPr>
        <w:t>Date:  June 4,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4451350</wp:posOffset>
            </wp:positionH>
            <wp:positionV relativeFrom="paragraph">
              <wp:posOffset>-65405</wp:posOffset>
            </wp:positionV>
            <wp:extent cx="272605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ectPr>
          <w:pgSz w:w="11900" w:h="16838" w:orient="portrait"/>
          <w:cols w:equalWidth="0" w:num="1">
            <w:col w:w="11308"/>
          </w:cols>
          <w:pgMar w:left="292" w:top="127"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32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May 2, 2020, as filed with the Securities and Exchange Commission on the date hereof (the “Report”), I, Harvey S. Kanter, Chief Executive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640" w:val="left"/>
        </w:tabs>
        <w:rPr>
          <w:sz w:val="20"/>
          <w:szCs w:val="20"/>
          <w:color w:val="auto"/>
        </w:rPr>
      </w:pPr>
      <w:r>
        <w:rPr>
          <w:rFonts w:ascii="Arial" w:cs="Arial" w:eastAsia="Arial" w:hAnsi="Arial"/>
          <w:sz w:val="12"/>
          <w:szCs w:val="12"/>
          <w:color w:val="auto"/>
        </w:rPr>
        <w:t>Date:  June 4,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Harvey S. Kanter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Executive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00"/>
          </w:cols>
          <w:pgMar w:left="300" w:top="127" w:right="299" w:bottom="1440" w:gutter="0" w:footer="0" w:header="0"/>
        </w:sectPr>
      </w:pPr>
    </w:p>
    <w:bookmarkStart w:id="32" w:name="page33"/>
    <w:bookmarkEnd w:id="32"/>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320" w:firstLine="513"/>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May 2, 2020,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41" w:lineRule="exact"/>
        <w:rPr>
          <w:sz w:val="20"/>
          <w:szCs w:val="20"/>
          <w:color w:val="auto"/>
        </w:rPr>
      </w:pPr>
    </w:p>
    <w:p>
      <w:pPr>
        <w:ind w:left="1240" w:hanging="176"/>
        <w:spacing w:after="0"/>
        <w:tabs>
          <w:tab w:leader="none" w:pos="12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40" w:hanging="176"/>
        <w:spacing w:after="0"/>
        <w:tabs>
          <w:tab w:leader="none" w:pos="12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760" w:val="left"/>
          <w:tab w:leader="none" w:pos="8560" w:val="left"/>
        </w:tabs>
        <w:rPr>
          <w:sz w:val="20"/>
          <w:szCs w:val="20"/>
          <w:color w:val="auto"/>
        </w:rPr>
      </w:pPr>
      <w:r>
        <w:rPr>
          <w:rFonts w:ascii="Arial" w:cs="Arial" w:eastAsia="Arial" w:hAnsi="Arial"/>
          <w:sz w:val="12"/>
          <w:szCs w:val="12"/>
          <w:color w:val="auto"/>
        </w:rPr>
        <w:t>Date:  June 4,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00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-65405</wp:posOffset>
            </wp:positionV>
            <wp:extent cx="272605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jc w:val="center"/>
        <w:ind w:left="7000"/>
        <w:spacing w:after="0"/>
        <w:rPr>
          <w:sz w:val="20"/>
          <w:szCs w:val="20"/>
          <w:color w:val="auto"/>
        </w:rPr>
      </w:pPr>
      <w:r>
        <w:rPr>
          <w:rFonts w:ascii="Arial" w:cs="Arial" w:eastAsia="Arial" w:hAnsi="Arial"/>
          <w:sz w:val="10"/>
          <w:szCs w:val="10"/>
          <w:b w:val="1"/>
          <w:bCs w:val="1"/>
          <w:color w:val="auto"/>
        </w:rPr>
        <w:t>Chief Financial Officer</w:t>
      </w:r>
    </w:p>
    <w:p>
      <w:pPr>
        <w:spacing w:after="0" w:line="125"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5" Type="http://schemas.openxmlformats.org/officeDocument/2006/relationships/hyperlink" Target="http://www.sec.gov/Archives/edgar/data/813298/000156459020016963/dxlg-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2020-06-04T11:55:10Z</dcterms:created>
  <dcterms:modified xsi:type="dcterms:W3CDTF">2020-06-04T11:55:10Z</dcterms:modified>
</cp:coreProperties>
</file>