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780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8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9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17,990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747,847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20,572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768,419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25,440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793,859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854,067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52,603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0.51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801,464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17,990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20,572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20,572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25,440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60,208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180,625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Inventive Plan awared to the Reporting Person on April 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Inventive Plan awared to the Reporting Person on May 1, 2023. The remaining RSUs vest and become exercisable on April 1,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2024-2026 Long-Term Inventive Plan awared to the Reporting Person on April 1, 2024. The remaining RSUs vest and become exercisable on April 1, 2027 and April 1, 2028.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2025-2027 Long-Term Inventive Plan awared to the Reporting Person on April 1, 2025. The remaining RSUs vest and become exercisable on April 1, 2027, April 1, 2028 and April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Harvey S. Kanter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40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2026-04-03T11:57:19Z</dcterms:created>
  <dcterms:modified xsi:type="dcterms:W3CDTF">2026-04-03T11:57:19Z</dcterms:modified>
</cp:coreProperties>
</file>