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24130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May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DESTINATION XL GROUP,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4" w:lineRule="exact"/>
        <w:rPr>
          <w:sz w:val="24"/>
          <w:szCs w:val="24"/>
          <w:color w:val="auto"/>
        </w:rPr>
      </w:pPr>
    </w:p>
    <w:tbl>
      <w:tblPr>
        <w:tblLayout w:type="fixed"/>
        <w:tblInd w:w="1260" w:type="dxa"/>
        <w:tblCellMar>
          <w:top w:w="0" w:type="dxa"/>
          <w:left w:w="0" w:type="dxa"/>
          <w:bottom w:w="0" w:type="dxa"/>
          <w:right w:w="0" w:type="dxa"/>
        </w:tblCellMar>
      </w:tblPr>
      <w:tr>
        <w:trPr>
          <w:trHeight w:val="176"/>
        </w:trPr>
        <w:tc>
          <w:tcPr>
            <w:tcW w:w="3240" w:type="dxa"/>
            <w:vAlign w:val="bottom"/>
          </w:tcPr>
          <w:p>
            <w:pPr>
              <w:jc w:val="center"/>
              <w:ind w:right="861"/>
              <w:spacing w:after="0" w:line="176" w:lineRule="exact"/>
              <w:rPr>
                <w:sz w:val="20"/>
                <w:szCs w:val="20"/>
                <w:color w:val="auto"/>
              </w:rPr>
            </w:pPr>
            <w:r>
              <w:rPr>
                <w:rFonts w:ascii="Arial" w:cs="Arial" w:eastAsia="Arial" w:hAnsi="Arial"/>
                <w:sz w:val="18"/>
                <w:szCs w:val="18"/>
                <w:b w:val="1"/>
                <w:bCs w:val="1"/>
                <w:color w:val="auto"/>
                <w:w w:val="93"/>
              </w:rPr>
              <w:t>Delaware</w:t>
            </w:r>
          </w:p>
        </w:tc>
        <w:tc>
          <w:tcPr>
            <w:tcW w:w="2240" w:type="dxa"/>
            <w:vAlign w:val="bottom"/>
            <w:tcBorders>
              <w:top w:val="single" w:sz="8" w:color="auto"/>
            </w:tcBorders>
          </w:tcPr>
          <w:p>
            <w:pPr>
              <w:jc w:val="right"/>
              <w:ind w:right="521"/>
              <w:spacing w:after="0" w:line="176" w:lineRule="exact"/>
              <w:rPr>
                <w:sz w:val="20"/>
                <w:szCs w:val="20"/>
                <w:color w:val="auto"/>
              </w:rPr>
            </w:pPr>
            <w:r>
              <w:rPr>
                <w:rFonts w:ascii="Arial" w:cs="Arial" w:eastAsia="Arial" w:hAnsi="Arial"/>
                <w:sz w:val="18"/>
                <w:szCs w:val="18"/>
                <w:b w:val="1"/>
                <w:bCs w:val="1"/>
                <w:color w:val="auto"/>
              </w:rPr>
              <w:t>01-34219</w:t>
            </w:r>
          </w:p>
        </w:tc>
        <w:tc>
          <w:tcPr>
            <w:tcW w:w="2800" w:type="dxa"/>
            <w:vAlign w:val="bottom"/>
          </w:tcPr>
          <w:p>
            <w:pPr>
              <w:jc w:val="right"/>
              <w:ind w:right="24"/>
              <w:spacing w:after="0" w:line="176" w:lineRule="exact"/>
              <w:rPr>
                <w:sz w:val="20"/>
                <w:szCs w:val="20"/>
                <w:color w:val="auto"/>
              </w:rPr>
            </w:pPr>
            <w:r>
              <w:rPr>
                <w:rFonts w:ascii="Arial" w:cs="Arial" w:eastAsia="Arial" w:hAnsi="Arial"/>
                <w:sz w:val="18"/>
                <w:szCs w:val="18"/>
                <w:b w:val="1"/>
                <w:bCs w:val="1"/>
                <w:color w:val="auto"/>
              </w:rPr>
              <w:t>04-2623104</w:t>
            </w:r>
          </w:p>
        </w:tc>
      </w:tr>
      <w:tr>
        <w:trPr>
          <w:trHeight w:val="135"/>
        </w:trPr>
        <w:tc>
          <w:tcPr>
            <w:tcW w:w="3240" w:type="dxa"/>
            <w:vAlign w:val="bottom"/>
          </w:tcPr>
          <w:p>
            <w:pPr>
              <w:jc w:val="center"/>
              <w:ind w:right="841"/>
              <w:spacing w:after="0" w:line="135" w:lineRule="exact"/>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ind w:left="281"/>
              <w:spacing w:after="0" w:line="135" w:lineRule="exact"/>
              <w:rPr>
                <w:sz w:val="20"/>
                <w:szCs w:val="20"/>
                <w:color w:val="auto"/>
              </w:rPr>
            </w:pPr>
            <w:r>
              <w:rPr>
                <w:rFonts w:ascii="Arial" w:cs="Arial" w:eastAsia="Arial" w:hAnsi="Arial"/>
                <w:sz w:val="13"/>
                <w:szCs w:val="13"/>
                <w:b w:val="1"/>
                <w:bCs w:val="1"/>
                <w:color w:val="auto"/>
                <w:w w:val="94"/>
              </w:rPr>
              <w:t>(Commission File Number)</w:t>
            </w:r>
          </w:p>
        </w:tc>
        <w:tc>
          <w:tcPr>
            <w:tcW w:w="2800" w:type="dxa"/>
            <w:vAlign w:val="bottom"/>
          </w:tcPr>
          <w:p>
            <w:pPr>
              <w:jc w:val="center"/>
              <w:ind w:left="1664"/>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74"/>
        </w:trPr>
        <w:tc>
          <w:tcPr>
            <w:tcW w:w="3240" w:type="dxa"/>
            <w:vAlign w:val="bottom"/>
          </w:tcPr>
          <w:p>
            <w:pPr>
              <w:jc w:val="center"/>
              <w:ind w:right="84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800" w:type="dxa"/>
            <w:vAlign w:val="bottom"/>
          </w:tcPr>
          <w:p>
            <w:pPr>
              <w:jc w:val="center"/>
              <w:ind w:left="1664"/>
              <w:spacing w:after="0"/>
              <w:rPr>
                <w:sz w:val="20"/>
                <w:szCs w:val="20"/>
                <w:color w:val="auto"/>
              </w:rPr>
            </w:pPr>
            <w:r>
              <w:rPr>
                <w:rFonts w:ascii="Arial" w:cs="Arial" w:eastAsia="Arial" w:hAnsi="Arial"/>
                <w:sz w:val="13"/>
                <w:szCs w:val="13"/>
                <w:b w:val="1"/>
                <w:bCs w:val="1"/>
                <w:color w:val="auto"/>
                <w:w w:val="96"/>
              </w:rPr>
              <w:t>Identification No.)</w:t>
            </w:r>
          </w:p>
        </w:tc>
      </w:tr>
      <w:tr>
        <w:trPr>
          <w:trHeight w:val="347"/>
        </w:trPr>
        <w:tc>
          <w:tcPr>
            <w:tcW w:w="3240" w:type="dxa"/>
            <w:vAlign w:val="bottom"/>
          </w:tcPr>
          <w:p>
            <w:pPr>
              <w:jc w:val="center"/>
              <w:ind w:right="861"/>
              <w:spacing w:after="0"/>
              <w:rPr>
                <w:sz w:val="20"/>
                <w:szCs w:val="20"/>
                <w:color w:val="auto"/>
              </w:rPr>
            </w:pPr>
            <w:r>
              <w:rPr>
                <w:rFonts w:ascii="Arial" w:cs="Arial" w:eastAsia="Arial" w:hAnsi="Arial"/>
                <w:sz w:val="18"/>
                <w:szCs w:val="18"/>
                <w:b w:val="1"/>
                <w:bCs w:val="1"/>
                <w:color w:val="auto"/>
                <w:w w:val="92"/>
              </w:rPr>
              <w:t>555 Turnpike Street</w:t>
            </w:r>
          </w:p>
        </w:tc>
        <w:tc>
          <w:tcPr>
            <w:tcW w:w="2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95"/>
        </w:trPr>
        <w:tc>
          <w:tcPr>
            <w:tcW w:w="3240" w:type="dxa"/>
            <w:vAlign w:val="bottom"/>
          </w:tcPr>
          <w:p>
            <w:pPr>
              <w:jc w:val="center"/>
              <w:ind w:right="861"/>
              <w:spacing w:after="0" w:line="195" w:lineRule="exact"/>
              <w:rPr>
                <w:sz w:val="20"/>
                <w:szCs w:val="20"/>
                <w:color w:val="auto"/>
              </w:rPr>
            </w:pPr>
            <w:r>
              <w:rPr>
                <w:rFonts w:ascii="Arial" w:cs="Arial" w:eastAsia="Arial" w:hAnsi="Arial"/>
                <w:sz w:val="18"/>
                <w:szCs w:val="18"/>
                <w:b w:val="1"/>
                <w:bCs w:val="1"/>
                <w:color w:val="auto"/>
                <w:w w:val="88"/>
              </w:rPr>
              <w:t>Canton, Massachusetts</w:t>
            </w:r>
          </w:p>
        </w:tc>
        <w:tc>
          <w:tcPr>
            <w:tcW w:w="2240" w:type="dxa"/>
            <w:vAlign w:val="bottom"/>
          </w:tcPr>
          <w:p>
            <w:pPr>
              <w:spacing w:after="0"/>
              <w:rPr>
                <w:sz w:val="16"/>
                <w:szCs w:val="16"/>
                <w:color w:val="auto"/>
              </w:rPr>
            </w:pPr>
          </w:p>
        </w:tc>
        <w:tc>
          <w:tcPr>
            <w:tcW w:w="2800" w:type="dxa"/>
            <w:vAlign w:val="bottom"/>
          </w:tcPr>
          <w:p>
            <w:pPr>
              <w:jc w:val="right"/>
              <w:ind w:right="224"/>
              <w:spacing w:after="0" w:line="195" w:lineRule="exact"/>
              <w:rPr>
                <w:sz w:val="20"/>
                <w:szCs w:val="20"/>
                <w:color w:val="auto"/>
              </w:rPr>
            </w:pPr>
            <w:r>
              <w:rPr>
                <w:rFonts w:ascii="Arial" w:cs="Arial" w:eastAsia="Arial" w:hAnsi="Arial"/>
                <w:sz w:val="18"/>
                <w:szCs w:val="18"/>
                <w:b w:val="1"/>
                <w:bCs w:val="1"/>
                <w:color w:val="auto"/>
              </w:rPr>
              <w:t>02021</w:t>
            </w:r>
          </w:p>
        </w:tc>
      </w:tr>
      <w:tr>
        <w:trPr>
          <w:trHeight w:val="174"/>
        </w:trPr>
        <w:tc>
          <w:tcPr>
            <w:tcW w:w="3240" w:type="dxa"/>
            <w:vAlign w:val="bottom"/>
          </w:tcPr>
          <w:p>
            <w:pPr>
              <w:jc w:val="center"/>
              <w:ind w:right="86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5"/>
                <w:szCs w:val="15"/>
                <w:color w:val="auto"/>
              </w:rPr>
            </w:pPr>
          </w:p>
        </w:tc>
        <w:tc>
          <w:tcPr>
            <w:tcW w:w="2800" w:type="dxa"/>
            <w:vAlign w:val="bottom"/>
          </w:tcPr>
          <w:p>
            <w:pPr>
              <w:jc w:val="center"/>
              <w:ind w:left="1664"/>
              <w:spacing w:after="0"/>
              <w:rPr>
                <w:sz w:val="20"/>
                <w:szCs w:val="20"/>
                <w:color w:val="auto"/>
              </w:rPr>
            </w:pPr>
            <w:r>
              <w:rPr>
                <w:rFonts w:ascii="Arial" w:cs="Arial" w:eastAsia="Arial" w:hAnsi="Arial"/>
                <w:sz w:val="13"/>
                <w:szCs w:val="13"/>
                <w:b w:val="1"/>
                <w:bCs w:val="1"/>
                <w:color w:val="auto"/>
                <w:w w:val="96"/>
              </w:rPr>
              <w:t>(Zip Code)</w:t>
            </w:r>
          </w:p>
        </w:tc>
      </w:tr>
    </w:tbl>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118745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48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On May 26, 2022, Destination XL Group, Inc. (the “Company”) issued a press release announcing the Company’s operating results for the first quarter of fiscal 2022. A copy of this press release is furnished herewith as Exhibit 99.1.</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An audio webcast to discuss the Company’s operating results for the first quarter of fiscal 2022 will be held on Thursday, May 26, 2022 at 9:00 a.m. ET.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Interested parties can access the webcast on the Company's website at www.dxl.com under the Investor Relations section.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86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8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520" w:type="dxa"/>
            <w:vAlign w:val="bottom"/>
          </w:tcPr>
          <w:p>
            <w:pPr>
              <w:spacing w:after="0"/>
              <w:rPr>
                <w:sz w:val="14"/>
                <w:szCs w:val="14"/>
                <w:color w:val="auto"/>
              </w:rPr>
            </w:pPr>
          </w:p>
        </w:tc>
        <w:tc>
          <w:tcPr>
            <w:tcW w:w="900" w:type="dxa"/>
            <w:vAlign w:val="bottom"/>
            <w:tcBorders>
              <w:top w:val="single" w:sz="8" w:color="auto"/>
            </w:tcBorders>
          </w:tcPr>
          <w:p>
            <w:pPr>
              <w:spacing w:after="0" w:line="169"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Press release</w:t>
              </w:r>
            </w:hyperlink>
          </w:p>
        </w:tc>
        <w:tc>
          <w:tcPr>
            <w:tcW w:w="7960" w:type="dxa"/>
            <w:vAlign w:val="bottom"/>
            <w:gridSpan w:val="4"/>
          </w:tcPr>
          <w:p>
            <w:pPr>
              <w:ind w:left="80"/>
              <w:spacing w:after="0" w:line="169" w:lineRule="exact"/>
              <w:rPr>
                <w:rFonts w:ascii="Arial" w:cs="Arial" w:eastAsia="Arial" w:hAnsi="Arial"/>
                <w:sz w:val="18"/>
                <w:szCs w:val="18"/>
                <w:color w:val="0000FF"/>
              </w:rPr>
            </w:pPr>
            <w:hyperlink w:anchor="page4">
              <w:r>
                <w:rPr>
                  <w:rFonts w:ascii="Arial" w:cs="Arial" w:eastAsia="Arial" w:hAnsi="Arial"/>
                  <w:sz w:val="18"/>
                  <w:szCs w:val="18"/>
                  <w:color w:val="0000FF"/>
                </w:rPr>
                <w:t>dated May 26, 2022 announcing first quarter of fiscal 2022 results.</w:t>
              </w:r>
            </w:hyperlink>
          </w:p>
        </w:tc>
      </w:tr>
      <w:tr>
        <w:trPr>
          <w:trHeight w:val="20"/>
        </w:trPr>
        <w:tc>
          <w:tcPr>
            <w:tcW w:w="8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520" w:type="dxa"/>
            <w:vAlign w:val="bottom"/>
          </w:tcPr>
          <w:p>
            <w:pPr>
              <w:spacing w:after="0"/>
              <w:rPr>
                <w:sz w:val="24"/>
                <w:szCs w:val="24"/>
                <w:color w:val="auto"/>
              </w:rPr>
            </w:pPr>
          </w:p>
        </w:tc>
        <w:tc>
          <w:tcPr>
            <w:tcW w:w="8860" w:type="dxa"/>
            <w:vAlign w:val="bottom"/>
            <w:gridSpan w:val="5"/>
          </w:tcPr>
          <w:p>
            <w:pPr>
              <w:spacing w:after="0"/>
              <w:rPr>
                <w:sz w:val="20"/>
                <w:szCs w:val="20"/>
                <w:color w:val="auto"/>
              </w:rPr>
            </w:pPr>
            <w:r>
              <w:rPr>
                <w:rFonts w:ascii="Arial" w:cs="Arial" w:eastAsia="Arial" w:hAnsi="Arial"/>
                <w:sz w:val="18"/>
                <w:szCs w:val="18"/>
                <w:color w:val="auto"/>
                <w:w w:val="90"/>
              </w:rPr>
              <w:t>Cover Page Interactive Data File – The cover page interactive data file does not appear in the interactive data file because</w:t>
            </w:r>
          </w:p>
        </w:tc>
      </w:tr>
      <w:tr>
        <w:trPr>
          <w:trHeight w:val="156"/>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800" w:type="dxa"/>
            <w:vAlign w:val="bottom"/>
            <w:tcBorders>
              <w:top w:val="single" w:sz="8" w:color="auto"/>
            </w:tcBorders>
            <w:gridSpan w:val="4"/>
          </w:tcPr>
          <w:p>
            <w:pPr>
              <w:spacing w:after="0" w:line="156" w:lineRule="exact"/>
              <w:rPr>
                <w:sz w:val="20"/>
                <w:szCs w:val="20"/>
                <w:color w:val="auto"/>
              </w:rPr>
            </w:pPr>
            <w:r>
              <w:rPr>
                <w:rFonts w:ascii="Arial" w:cs="Arial" w:eastAsia="Arial" w:hAnsi="Arial"/>
                <w:sz w:val="18"/>
                <w:szCs w:val="18"/>
                <w:color w:val="auto"/>
              </w:rPr>
              <w:t>its XBRL tags are embedded within the Inline XBRL document.</w:t>
            </w:r>
          </w:p>
        </w:tc>
        <w:tc>
          <w:tcPr>
            <w:tcW w:w="60" w:type="dxa"/>
            <w:vAlign w:val="bottom"/>
          </w:tcPr>
          <w:p>
            <w:pPr>
              <w:spacing w:after="0"/>
              <w:rPr>
                <w:sz w:val="13"/>
                <w:szCs w:val="13"/>
                <w:color w:val="auto"/>
              </w:rPr>
            </w:pPr>
          </w:p>
        </w:tc>
      </w:tr>
      <w:tr>
        <w:trPr>
          <w:trHeight w:val="703"/>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3740" w:type="dxa"/>
            <w:vAlign w:val="bottom"/>
            <w:tcBorders>
              <w:top w:val="single" w:sz="8" w:color="auto"/>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00" w:type="dxa"/>
            <w:vAlign w:val="bottom"/>
          </w:tcPr>
          <w:p>
            <w:pPr>
              <w:ind w:left="2420"/>
              <w:spacing w:after="0"/>
              <w:rPr>
                <w:sz w:val="20"/>
                <w:szCs w:val="20"/>
                <w:color w:val="auto"/>
              </w:rPr>
            </w:pPr>
            <w:r>
              <w:rPr>
                <w:rFonts w:ascii="Arial" w:cs="Arial" w:eastAsia="Arial" w:hAnsi="Arial"/>
                <w:sz w:val="18"/>
                <w:szCs w:val="18"/>
                <w:color w:val="auto"/>
                <w:w w:val="92"/>
              </w:rPr>
              <w:t>Destination XL Group, Inc.</w:t>
            </w:r>
          </w:p>
        </w:tc>
      </w:tr>
      <w:tr>
        <w:trPr>
          <w:trHeight w:val="51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140"/>
              <w:spacing w:after="0"/>
              <w:rPr>
                <w:sz w:val="20"/>
                <w:szCs w:val="20"/>
                <w:color w:val="auto"/>
              </w:rPr>
            </w:pPr>
            <w:r>
              <w:rPr>
                <w:rFonts w:ascii="Arial" w:cs="Arial" w:eastAsia="Arial" w:hAnsi="Arial"/>
                <w:sz w:val="18"/>
                <w:szCs w:val="18"/>
                <w:color w:val="auto"/>
              </w:rPr>
              <w:t>May 26, 2022</w:t>
            </w:r>
          </w:p>
        </w:tc>
        <w:tc>
          <w:tcPr>
            <w:tcW w:w="4400" w:type="dxa"/>
            <w:vAlign w:val="bottom"/>
          </w:tcPr>
          <w:p>
            <w:pPr>
              <w:ind w:left="1980"/>
              <w:spacing w:after="0"/>
              <w:rPr>
                <w:sz w:val="20"/>
                <w:szCs w:val="20"/>
                <w:color w:val="auto"/>
              </w:rPr>
            </w:pPr>
            <w:r>
              <w:rPr>
                <w:rFonts w:ascii="Arial" w:cs="Arial" w:eastAsia="Arial" w:hAnsi="Arial"/>
                <w:sz w:val="18"/>
                <w:szCs w:val="18"/>
                <w:color w:val="auto"/>
              </w:rPr>
              <w:t>By:  /s/ Robert S. Molloy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Destination XL Group, Inc. Reports First Quarter Financial Results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Quarter Comparable Sales up 19.5%;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Quarter Net Income $13.4 million, EPS $0.20 per diluted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Reaffirms FY'22 Sales Guidance Range to $510.0M - $530.0M</w:t>
      </w:r>
    </w:p>
    <w:p>
      <w:pPr>
        <w:spacing w:after="0" w:line="384" w:lineRule="exact"/>
        <w:rPr>
          <w:sz w:val="20"/>
          <w:szCs w:val="20"/>
          <w:color w:val="auto"/>
        </w:rPr>
      </w:pPr>
    </w:p>
    <w:p>
      <w:pPr>
        <w:ind w:right="60"/>
        <w:spacing w:after="0" w:line="347" w:lineRule="auto"/>
        <w:rPr>
          <w:sz w:val="20"/>
          <w:szCs w:val="20"/>
          <w:color w:val="auto"/>
        </w:rPr>
      </w:pPr>
      <w:r>
        <w:rPr>
          <w:rFonts w:ascii="Arial" w:cs="Arial" w:eastAsia="Arial" w:hAnsi="Arial"/>
          <w:sz w:val="18"/>
          <w:szCs w:val="18"/>
          <w:color w:val="auto"/>
        </w:rPr>
        <w:t>CANTON, Mass., May 26, 2022 – Destination XL Group, Inc. (NASDAQ: DXLG), the leading omni-channel specialty retailer of Big + Tall men’s clothing and shoes, today reported operating results for the first quarter of fiscal 2022 and reaffirmed guidance for the fiscal year.</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 Quarter Financial Highlights</w:t>
      </w:r>
    </w:p>
    <w:p>
      <w:pPr>
        <w:spacing w:after="0" w:line="168" w:lineRule="exact"/>
        <w:rPr>
          <w:sz w:val="20"/>
          <w:szCs w:val="20"/>
          <w:color w:val="auto"/>
        </w:rPr>
      </w:pPr>
    </w:p>
    <w:p>
      <w:pPr>
        <w:ind w:left="760" w:right="280" w:hanging="378"/>
        <w:spacing w:after="0" w:line="316" w:lineRule="auto"/>
        <w:tabs>
          <w:tab w:leader="none" w:pos="760" w:val="left"/>
        </w:tabs>
        <w:numPr>
          <w:ilvl w:val="0"/>
          <w:numId w:val="2"/>
        </w:numPr>
        <w:rPr>
          <w:rFonts w:ascii="Arial" w:cs="Arial" w:eastAsia="Arial" w:hAnsi="Arial"/>
          <w:sz w:val="19"/>
          <w:szCs w:val="19"/>
          <w:color w:val="auto"/>
        </w:rPr>
      </w:pPr>
      <w:r>
        <w:rPr>
          <w:rFonts w:ascii="Arial" w:cs="Arial" w:eastAsia="Arial" w:hAnsi="Arial"/>
          <w:sz w:val="19"/>
          <w:szCs w:val="19"/>
          <w:color w:val="auto"/>
        </w:rPr>
        <w:t>Total sales for the first quarter were $127.7 million, up 14.5% from $111.5 million in the first quarter of fiscal 2021. Comparable sales for the first quarter of fiscal 2022 increased 19.5% as compared to the first quarter of fiscal 2021.</w:t>
      </w:r>
    </w:p>
    <w:p>
      <w:pPr>
        <w:spacing w:after="0" w:line="126" w:lineRule="exact"/>
        <w:rPr>
          <w:rFonts w:ascii="Arial" w:cs="Arial" w:eastAsia="Arial" w:hAnsi="Arial"/>
          <w:sz w:val="19"/>
          <w:szCs w:val="19"/>
          <w:color w:val="auto"/>
        </w:rPr>
      </w:pPr>
    </w:p>
    <w:p>
      <w:pPr>
        <w:ind w:left="760" w:right="200" w:hanging="378"/>
        <w:spacing w:after="0" w:line="288"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income for the first quarter was $13.4 million, or $0.20 per diluted share, as compared to net income of $8.7 million, or $0.14 per diluted share, in the first quarter of fiscal 2021.</w:t>
      </w:r>
    </w:p>
    <w:p>
      <w:pPr>
        <w:spacing w:after="0" w:line="136" w:lineRule="exact"/>
        <w:rPr>
          <w:rFonts w:ascii="Arial" w:cs="Arial" w:eastAsia="Arial" w:hAnsi="Arial"/>
          <w:sz w:val="20"/>
          <w:szCs w:val="20"/>
          <w:color w:val="auto"/>
        </w:rPr>
      </w:pPr>
    </w:p>
    <w:p>
      <w:pPr>
        <w:ind w:left="760" w:hanging="378"/>
        <w:spacing w:after="0"/>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for the first quarter was $17.3 million compared to $13.7 million in the first quarter of fiscal 2021.</w:t>
      </w:r>
    </w:p>
    <w:p>
      <w:pPr>
        <w:spacing w:after="0" w:line="202" w:lineRule="exact"/>
        <w:rPr>
          <w:rFonts w:ascii="Arial" w:cs="Arial" w:eastAsia="Arial" w:hAnsi="Arial"/>
          <w:sz w:val="20"/>
          <w:szCs w:val="20"/>
          <w:color w:val="auto"/>
        </w:rPr>
      </w:pPr>
    </w:p>
    <w:p>
      <w:pPr>
        <w:ind w:left="760" w:right="40" w:hanging="378"/>
        <w:spacing w:after="0" w:line="274"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Cash flow from operations for the first three months of fiscal 2022 was $(1.5) million as compared to the first three months of fiscal 2021 of $7.8 million. Free cash flow was $(2.7) million, due primarily to inventory build, capital expenditures and incentive payouts, as compared to $7.0 million for the first three months of 2021. During the first quarter, we repurchased approximately 1.0 million shares of our common stock for approximately $4.8 million.</w:t>
      </w:r>
    </w:p>
    <w:p>
      <w:pPr>
        <w:spacing w:after="0" w:line="164" w:lineRule="exact"/>
        <w:rPr>
          <w:rFonts w:ascii="Arial" w:cs="Arial" w:eastAsia="Arial" w:hAnsi="Arial"/>
          <w:sz w:val="20"/>
          <w:szCs w:val="20"/>
          <w:color w:val="auto"/>
        </w:rPr>
      </w:pPr>
    </w:p>
    <w:p>
      <w:pPr>
        <w:ind w:left="760" w:right="40" w:hanging="378"/>
        <w:spacing w:after="0" w:line="278" w:lineRule="auto"/>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At April 30, 2022, there was no debt outstanding and total cash of $7.5 million, compared to total debt, net of cash, of $44.3 million at May 1, 2021. Availability under our credit facility was $85.0 million at April 30, 2022, as compared to $51.1 million at May 1, 2021.</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Comments</w:t>
      </w:r>
    </w:p>
    <w:p>
      <w:pPr>
        <w:spacing w:after="0" w:line="168" w:lineRule="exact"/>
        <w:rPr>
          <w:sz w:val="20"/>
          <w:szCs w:val="20"/>
          <w:color w:val="auto"/>
        </w:rPr>
      </w:pPr>
    </w:p>
    <w:p>
      <w:pPr>
        <w:ind w:right="20"/>
        <w:spacing w:after="0" w:line="272" w:lineRule="auto"/>
        <w:rPr>
          <w:sz w:val="20"/>
          <w:szCs w:val="20"/>
          <w:color w:val="auto"/>
        </w:rPr>
      </w:pPr>
      <w:r>
        <w:rPr>
          <w:rFonts w:ascii="Arial" w:cs="Arial" w:eastAsia="Arial" w:hAnsi="Arial"/>
          <w:sz w:val="20"/>
          <w:szCs w:val="20"/>
          <w:color w:val="auto"/>
        </w:rPr>
        <w:t>“We are pleased to report that DXL’s brand repositioning and digital transformation have continued to drive growth, as the Company delivered its fifth consecutive quarter of expanded sales and earnings. Comparable sales increased 19.5% for the quarter, with increases across all of our customer channels. Big + tall guys are finding DXL for the first time and discovering all that we have to offer. This growing market and our improved inventory position allowed us to capitalize on strong Spring traffic trends,” said Harvey Kanter, President and Chief Executive Officer.</w:t>
      </w:r>
    </w:p>
    <w:p>
      <w:pPr>
        <w:spacing w:after="0" w:line="87" w:lineRule="exact"/>
        <w:rPr>
          <w:sz w:val="20"/>
          <w:szCs w:val="20"/>
          <w:color w:val="auto"/>
        </w:rPr>
      </w:pPr>
    </w:p>
    <w:p>
      <w:pPr>
        <w:ind w:right="60"/>
        <w:spacing w:after="0" w:line="293" w:lineRule="auto"/>
        <w:rPr>
          <w:sz w:val="20"/>
          <w:szCs w:val="20"/>
          <w:color w:val="auto"/>
        </w:rPr>
      </w:pPr>
      <w:r>
        <w:rPr>
          <w:rFonts w:ascii="Arial" w:cs="Arial" w:eastAsia="Arial" w:hAnsi="Arial"/>
          <w:sz w:val="19"/>
          <w:szCs w:val="19"/>
          <w:color w:val="auto"/>
        </w:rPr>
        <w:t>“It’s also worth noting that our strong sales growth for the quarter was achieved while virtually eliminating public promotional offers which contributed to margin improvement,” he added. “Since late in 2020, we have been pivoting away from a legacy strategy of frequent and deep merchandise promotions. Today we compete on the promise of superior fit, assortment, and experience. That is what we offer to big + tall men, and we believe that our results show that this message is clearly resonating with him.</w:t>
      </w:r>
    </w:p>
    <w:p>
      <w:pPr>
        <w:spacing w:after="0" w:line="67" w:lineRule="exact"/>
        <w:rPr>
          <w:sz w:val="20"/>
          <w:szCs w:val="20"/>
          <w:color w:val="auto"/>
        </w:rPr>
      </w:pPr>
    </w:p>
    <w:p>
      <w:pPr>
        <w:ind w:right="40"/>
        <w:spacing w:after="0" w:line="272" w:lineRule="auto"/>
        <w:rPr>
          <w:sz w:val="20"/>
          <w:szCs w:val="20"/>
          <w:color w:val="auto"/>
        </w:rPr>
      </w:pPr>
      <w:r>
        <w:rPr>
          <w:rFonts w:ascii="Arial" w:cs="Arial" w:eastAsia="Arial" w:hAnsi="Arial"/>
          <w:sz w:val="20"/>
          <w:szCs w:val="20"/>
          <w:color w:val="auto"/>
        </w:rPr>
        <w:t>“We believe that our fortress balance sheet, no debt, and access to liquidity, position DXL for future growth. Given the financial performance in the first quarter, we continue to be confident in our Sales outlook for the year and are trending toward the high-end of our range. However, the current state of the US economy with inflation, rising interest rates, supply chain, labor and staffing challenges, combined with the pandemic, the war in Ukraine, market volatility and uncertainty in consumer confidence, give us reason to remain vigilant and circumspect,” Kanter concluded.</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First Quarter Results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Total sales for the first quarter of fiscal 2022 were $127.7 million, as compared to $111.5 million in the first quarter of fiscal 2021.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Comparable sales for the first quarter were up 19.5% with comparable sales from our stores up 20.8% and our direct business up 16.7%.</w:t>
      </w:r>
    </w:p>
    <w:p>
      <w:pPr>
        <w:spacing w:after="0" w:line="158" w:lineRule="exact"/>
        <w:rPr>
          <w:sz w:val="20"/>
          <w:szCs w:val="20"/>
          <w:color w:val="auto"/>
        </w:rPr>
      </w:pPr>
    </w:p>
    <w:p>
      <w:pPr>
        <w:ind w:right="20"/>
        <w:spacing w:after="0" w:line="307" w:lineRule="auto"/>
        <w:rPr>
          <w:sz w:val="20"/>
          <w:szCs w:val="20"/>
          <w:color w:val="auto"/>
        </w:rPr>
      </w:pPr>
      <w:r>
        <w:rPr>
          <w:rFonts w:ascii="Arial" w:cs="Arial" w:eastAsia="Arial" w:hAnsi="Arial"/>
          <w:sz w:val="18"/>
          <w:szCs w:val="18"/>
          <w:color w:val="auto"/>
        </w:rPr>
        <w:t>The strength of our stores during the first quarter was driven by an increase in store traffic and dollars spent per transaction. All regions reported a comparable sales increase for the first quarter, with our Northeast, Florida and West Coast stores showing the strongest performance, resulting in a 20.8% comparable sales increase. As store traffic improved during the first quarter, sales growth in our direct business, which grew over 40% since fiscal 2019, started to normalize. The 16.7% increase in comparable sales from our direct business was driven by double-digit growth from our website, an increase in our universe sales (online orders that originate in a store) and continued growth from online marketplaces. Through our digital efforts and marketplace presence, we are continuing to attract a new customer to DXL.</w:t>
      </w:r>
    </w:p>
    <w:p>
      <w:pPr>
        <w:spacing w:after="0" w:line="58" w:lineRule="exact"/>
        <w:rPr>
          <w:sz w:val="20"/>
          <w:szCs w:val="20"/>
          <w:color w:val="auto"/>
        </w:rPr>
      </w:pPr>
    </w:p>
    <w:p>
      <w:pPr>
        <w:ind w:right="420"/>
        <w:spacing w:after="0" w:line="347" w:lineRule="auto"/>
        <w:rPr>
          <w:sz w:val="20"/>
          <w:szCs w:val="20"/>
          <w:color w:val="auto"/>
        </w:rPr>
      </w:pPr>
      <w:r>
        <w:rPr>
          <w:rFonts w:ascii="Arial" w:cs="Arial" w:eastAsia="Arial" w:hAnsi="Arial"/>
          <w:sz w:val="18"/>
          <w:szCs w:val="18"/>
          <w:color w:val="auto"/>
        </w:rPr>
        <w:t>As we previously disclosed, during the first quarter of fiscal 2022, we ended our relationship with our primary wholesale customer. As a result, our wholesale revenues decreased to $0.4 million as compared to $3.1 million for the first quarter of fiscal 2021.</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62" w:lineRule="exact"/>
        <w:rPr>
          <w:sz w:val="20"/>
          <w:szCs w:val="20"/>
          <w:color w:val="auto"/>
        </w:rPr>
      </w:pPr>
    </w:p>
    <w:p>
      <w:pPr>
        <w:ind w:right="400"/>
        <w:spacing w:after="0" w:line="288" w:lineRule="auto"/>
        <w:rPr>
          <w:sz w:val="20"/>
          <w:szCs w:val="20"/>
          <w:color w:val="auto"/>
        </w:rPr>
      </w:pPr>
      <w:r>
        <w:rPr>
          <w:rFonts w:ascii="Arial" w:cs="Arial" w:eastAsia="Arial" w:hAnsi="Arial"/>
          <w:sz w:val="20"/>
          <w:szCs w:val="20"/>
          <w:color w:val="auto"/>
        </w:rPr>
        <w:t>For the first quarter of fiscal 2022, our gross margin rate, inclusive of occupancy costs, was 50.0% as compared to a gross margin rate of 45.6% for the first quarter of fiscal 2021.</w:t>
      </w:r>
    </w:p>
    <w:p>
      <w:pPr>
        <w:spacing w:after="0" w:line="69" w:lineRule="exact"/>
        <w:rPr>
          <w:sz w:val="20"/>
          <w:szCs w:val="20"/>
          <w:color w:val="auto"/>
        </w:rPr>
      </w:pPr>
    </w:p>
    <w:p>
      <w:pPr>
        <w:ind w:right="100"/>
        <w:spacing w:after="0" w:line="286" w:lineRule="auto"/>
        <w:rPr>
          <w:sz w:val="20"/>
          <w:szCs w:val="20"/>
          <w:color w:val="auto"/>
        </w:rPr>
      </w:pPr>
      <w:r>
        <w:rPr>
          <w:rFonts w:ascii="Arial" w:cs="Arial" w:eastAsia="Arial" w:hAnsi="Arial"/>
          <w:sz w:val="19"/>
          <w:szCs w:val="19"/>
          <w:color w:val="auto"/>
        </w:rPr>
        <w:t>Our gross margin rate improved by 440 basis points, driven by a 200 basis point improvement in merchandise margins and a 240 basis point improvement in occupancy costs as compared to the first quarter of fiscal 2021. The 240 basis point improvement in occupancy costs was due to the increased leverage from sales as well as a decrease of approximately $0.9 million in occupancy costs from closed stores. The 200 basis point improvement in merchandise margin was due to lower promotional markdowns as well as the decrease in wholesale revenues, which by its nature has a lower margin. These improvements were partially offset by higher freight costs, which accounted for an approximately 240 basis-point increase as compared to the first quarter of fiscal 2021. We expect that we will continue to experience an increase in freight costs and in the cost of certain raw materials, particularly cotton. As compared to fiscal 2021, we expect that our gross margin rate for fiscal 2022 will decrease by approximately 100 basis points.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48" w:lineRule="exact"/>
        <w:rPr>
          <w:sz w:val="20"/>
          <w:szCs w:val="20"/>
          <w:color w:val="auto"/>
        </w:rPr>
      </w:pPr>
    </w:p>
    <w:p>
      <w:pPr>
        <w:ind w:right="60"/>
        <w:spacing w:after="0" w:line="288" w:lineRule="auto"/>
        <w:rPr>
          <w:sz w:val="20"/>
          <w:szCs w:val="20"/>
          <w:color w:val="auto"/>
        </w:rPr>
      </w:pPr>
      <w:r>
        <w:rPr>
          <w:rFonts w:ascii="Arial" w:cs="Arial" w:eastAsia="Arial" w:hAnsi="Arial"/>
          <w:sz w:val="20"/>
          <w:szCs w:val="20"/>
          <w:color w:val="auto"/>
        </w:rPr>
        <w:t>As a percentage of sales, SG&amp;A (selling, general and administrative) expenses for the first quarter of fiscal 2022 were 36.5% as compared to 33.3% for the first quarter of fiscal 2021.</w:t>
      </w:r>
    </w:p>
    <w:p>
      <w:pPr>
        <w:spacing w:after="0" w:line="110" w:lineRule="exact"/>
        <w:rPr>
          <w:sz w:val="20"/>
          <w:szCs w:val="20"/>
          <w:color w:val="auto"/>
        </w:rPr>
      </w:pPr>
    </w:p>
    <w:p>
      <w:pPr>
        <w:ind w:right="160"/>
        <w:spacing w:after="0" w:line="299" w:lineRule="auto"/>
        <w:rPr>
          <w:sz w:val="20"/>
          <w:szCs w:val="20"/>
          <w:color w:val="auto"/>
        </w:rPr>
      </w:pPr>
      <w:r>
        <w:rPr>
          <w:rFonts w:ascii="Arial" w:cs="Arial" w:eastAsia="Arial" w:hAnsi="Arial"/>
          <w:sz w:val="19"/>
          <w:szCs w:val="19"/>
          <w:color w:val="auto"/>
        </w:rPr>
        <w:t>On a dollar basis, SG&amp;A expenses increased by $9.5 million as compared to the first quarter of fiscal 2021. The increase was primarily due to an increase in marketing costs to drive customer acquisition and engagement, payroll costs to support sales growth, including merit adjustments and filling open positions, and an increase in performance-based incentive accruals.</w:t>
      </w:r>
    </w:p>
    <w:p>
      <w:pPr>
        <w:spacing w:after="0" w:line="101" w:lineRule="exact"/>
        <w:rPr>
          <w:sz w:val="20"/>
          <w:szCs w:val="20"/>
          <w:color w:val="auto"/>
        </w:rPr>
      </w:pPr>
    </w:p>
    <w:p>
      <w:pPr>
        <w:spacing w:after="0" w:line="266" w:lineRule="auto"/>
        <w:rPr>
          <w:sz w:val="20"/>
          <w:szCs w:val="20"/>
          <w:color w:val="auto"/>
        </w:rPr>
      </w:pPr>
      <w:r>
        <w:rPr>
          <w:rFonts w:ascii="Arial" w:cs="Arial" w:eastAsia="Arial" w:hAnsi="Arial"/>
          <w:sz w:val="20"/>
          <w:szCs w:val="20"/>
          <w:color w:val="auto"/>
        </w:rPr>
        <w:t>Management views SG&amp;A expenses through two primary cost centers: Customer Facing Costs and Corporate Support Costs. Customer Facing Costs, which include store payroll, marketing and other store and direct operating costs, represented 20.2% of sales in the first quarter of fiscal 2022 as compared to 17.9% of sales in the first quarter of fiscal 2021. Corporate Support Costs, which include the distribution center and corporate overhead costs, represented 16.3% of sales in the first quarter of fiscal 2022 compared to 15.4% of sales in the first quarter of fiscal 2021. Marketing costs for</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5" w:name="page6"/>
    <w:bookmarkEnd w:id="5"/>
    <w:p>
      <w:pPr>
        <w:ind w:right="600"/>
        <w:spacing w:after="0" w:line="288" w:lineRule="auto"/>
        <w:rPr>
          <w:sz w:val="20"/>
          <w:szCs w:val="20"/>
          <w:color w:val="auto"/>
        </w:rPr>
      </w:pPr>
      <w:r>
        <w:rPr>
          <w:rFonts w:ascii="Arial" w:cs="Arial" w:eastAsia="Arial" w:hAnsi="Arial"/>
          <w:sz w:val="20"/>
          <w:szCs w:val="20"/>
          <w:color w:val="auto"/>
        </w:rPr>
        <w:t>the first quarter were 5.3% as compared to 3.0% for the first quarter of fiscal 2021. For fiscal 2022, marketing costs are expected to be approximately 6.2% of sales.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Impairment of Assets</w:t>
      </w:r>
    </w:p>
    <w:p>
      <w:pPr>
        <w:spacing w:after="0" w:line="135"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During the first quarter of fiscal 2022 and fiscal 2021, the Company recorded non-cash gains of $0.5 million and $0.8 million, respectively, on the reduction of its operating lease liability in connection with its decision to close certain retail stores, which resulted in a revaluation of the lease liability. Of the total non-cash gains, $0.4 million and $0.7 million for the first quarter of fiscal 2022 and fiscal 2021, respectively, were related to leases where the right-of-use assets had previously been impaired, and, therefore, were recorded as a reduction of the previously-recorded impairment and were included in the Impairment of Assets line of the Consolidated Statement of Operations for the three months ended April 30, 2022 and May 1, 2021. The remaining gains of $0.1 million in each of the first quarters of fiscal 2022 and fiscal 2021 were recorded as reductions to occupancy costs in each period.</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35" w:lineRule="exact"/>
        <w:rPr>
          <w:sz w:val="20"/>
          <w:szCs w:val="20"/>
          <w:color w:val="auto"/>
        </w:rPr>
      </w:pPr>
    </w:p>
    <w:p>
      <w:pPr>
        <w:ind w:right="140"/>
        <w:spacing w:after="0" w:line="278" w:lineRule="auto"/>
        <w:rPr>
          <w:sz w:val="20"/>
          <w:szCs w:val="20"/>
          <w:color w:val="auto"/>
        </w:rPr>
      </w:pPr>
      <w:r>
        <w:rPr>
          <w:rFonts w:ascii="Arial" w:cs="Arial" w:eastAsia="Arial" w:hAnsi="Arial"/>
          <w:sz w:val="20"/>
          <w:szCs w:val="20"/>
          <w:color w:val="auto"/>
        </w:rPr>
        <w:t>Interest expense for first quarter of fiscal 2022 was $0.1 million, as compared to $1.1 million for the first quarter of fiscal 2021. The Company had no outstanding debt and no borrowings under its credit facility during the first quarter of fiscal 2022 resulting in a decrease in interest expense as compared to the first quarter of fiscal 2021.</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w:t>
      </w:r>
    </w:p>
    <w:p>
      <w:pPr>
        <w:spacing w:after="0" w:line="162" w:lineRule="exact"/>
        <w:rPr>
          <w:sz w:val="20"/>
          <w:szCs w:val="20"/>
          <w:color w:val="auto"/>
        </w:rPr>
      </w:pPr>
    </w:p>
    <w:p>
      <w:pPr>
        <w:ind w:right="20"/>
        <w:spacing w:after="0" w:line="278" w:lineRule="auto"/>
        <w:rPr>
          <w:sz w:val="20"/>
          <w:szCs w:val="20"/>
          <w:color w:val="auto"/>
        </w:rPr>
      </w:pPr>
      <w:r>
        <w:rPr>
          <w:rFonts w:ascii="Arial" w:cs="Arial" w:eastAsia="Arial" w:hAnsi="Arial"/>
          <w:sz w:val="20"/>
          <w:szCs w:val="20"/>
          <w:color w:val="auto"/>
        </w:rPr>
        <w:t>For the first quarter of fiscal 2022, we recorded net income of $13.4 million, or $0.20 per diluted share, compared with net income of $8.7 million, or $0.14 per diluted share, for the first quarter of fiscal 2021. The improvement in earnings was driven by sales growth and improved margins.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w:t>
      </w:r>
    </w:p>
    <w:p>
      <w:pPr>
        <w:spacing w:after="0" w:line="135" w:lineRule="exact"/>
        <w:rPr>
          <w:sz w:val="20"/>
          <w:szCs w:val="20"/>
          <w:color w:val="auto"/>
        </w:rPr>
      </w:pPr>
    </w:p>
    <w:p>
      <w:pPr>
        <w:ind w:right="540"/>
        <w:spacing w:after="0" w:line="288" w:lineRule="auto"/>
        <w:rPr>
          <w:sz w:val="20"/>
          <w:szCs w:val="20"/>
          <w:color w:val="auto"/>
        </w:rPr>
      </w:pPr>
      <w:r>
        <w:rPr>
          <w:rFonts w:ascii="Arial" w:cs="Arial" w:eastAsia="Arial" w:hAnsi="Arial"/>
          <w:sz w:val="20"/>
          <w:szCs w:val="20"/>
          <w:color w:val="auto"/>
        </w:rPr>
        <w:t>Adjusted EBITDA, a non-GAAP measure, for the first quarter of fiscal 2022 was $17.3 million, compared to $13.7 million for the first quarter of fiscal 2021.</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162" w:lineRule="exact"/>
        <w:rPr>
          <w:sz w:val="20"/>
          <w:szCs w:val="20"/>
          <w:color w:val="auto"/>
        </w:rPr>
      </w:pPr>
    </w:p>
    <w:p>
      <w:pPr>
        <w:ind w:right="120"/>
        <w:spacing w:after="0" w:line="314" w:lineRule="auto"/>
        <w:rPr>
          <w:sz w:val="20"/>
          <w:szCs w:val="20"/>
          <w:color w:val="auto"/>
        </w:rPr>
      </w:pPr>
      <w:r>
        <w:rPr>
          <w:rFonts w:ascii="Arial" w:cs="Arial" w:eastAsia="Arial" w:hAnsi="Arial"/>
          <w:sz w:val="18"/>
          <w:szCs w:val="18"/>
          <w:color w:val="auto"/>
        </w:rPr>
        <w:t>Cash flow from operations for the first three months of fiscal 2022 was $(1.5) million as compared to $7.8 million for the first three months of fiscal 2021. Free cash flow was $(2.7) million for the first three months of fiscal 2022 as compared to $7.0 million for the first three months of fiscal 2021. The year-over-year decrease in free cash flow was due to our seasonal inventory build in advance of Father's Day, the payout of incentive-based awards, and an increase in capital expenditures, which were partially offset by our increased earnings.</w:t>
      </w:r>
    </w:p>
    <w:p>
      <w:pPr>
        <w:spacing w:after="0" w:line="91" w:lineRule="exact"/>
        <w:rPr>
          <w:sz w:val="20"/>
          <w:szCs w:val="20"/>
          <w:color w:val="auto"/>
        </w:rPr>
      </w:pPr>
    </w:p>
    <w:p>
      <w:pPr>
        <w:ind w:right="80"/>
        <w:spacing w:after="0" w:line="274" w:lineRule="auto"/>
        <w:rPr>
          <w:sz w:val="20"/>
          <w:szCs w:val="20"/>
          <w:color w:val="auto"/>
        </w:rPr>
      </w:pPr>
      <w:r>
        <w:rPr>
          <w:rFonts w:ascii="Arial" w:cs="Arial" w:eastAsia="Arial" w:hAnsi="Arial"/>
          <w:sz w:val="20"/>
          <w:szCs w:val="20"/>
          <w:color w:val="auto"/>
        </w:rPr>
        <w:t>Our capital expenditures for the past two years have been limited due to the pandemic. For fiscal 2022, we expect our capital expenditures will be approximately $10.0-$12.0 million as we make investments in technology related to our marketing and merchandising initiatives. We are also actively pursuing opportunities to relocate or convert our remaining Casual Male XL stores to DXL stores which will require capital investment in fiscal 2022.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60" w:type="dxa"/>
            <w:vAlign w:val="bottom"/>
            <w:gridSpan w:val="3"/>
          </w:tcPr>
          <w:p>
            <w:pPr>
              <w:jc w:val="right"/>
              <w:spacing w:after="0"/>
              <w:rPr>
                <w:sz w:val="20"/>
                <w:szCs w:val="20"/>
                <w:color w:val="auto"/>
              </w:rPr>
            </w:pPr>
            <w:r>
              <w:rPr>
                <w:rFonts w:ascii="Arial" w:cs="Arial" w:eastAsia="Arial" w:hAnsi="Arial"/>
                <w:sz w:val="14"/>
                <w:szCs w:val="14"/>
                <w:color w:val="auto"/>
              </w:rPr>
              <w:t>For the three months ended</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61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5"/>
                <w:szCs w:val="15"/>
                <w:color w:val="auto"/>
              </w:rPr>
            </w:pPr>
          </w:p>
        </w:tc>
        <w:tc>
          <w:tcPr>
            <w:tcW w:w="2140" w:type="dxa"/>
            <w:vAlign w:val="bottom"/>
            <w:gridSpan w:val="2"/>
          </w:tcPr>
          <w:p>
            <w:pPr>
              <w:jc w:val="right"/>
              <w:ind w:right="948"/>
              <w:spacing w:after="0"/>
              <w:rPr>
                <w:sz w:val="20"/>
                <w:szCs w:val="20"/>
                <w:color w:val="auto"/>
              </w:rPr>
            </w:pPr>
            <w:r>
              <w:rPr>
                <w:rFonts w:ascii="Arial" w:cs="Arial" w:eastAsia="Arial" w:hAnsi="Arial"/>
                <w:sz w:val="14"/>
                <w:szCs w:val="14"/>
                <w:color w:val="auto"/>
              </w:rPr>
              <w:t>April 30, 2022</w:t>
            </w:r>
          </w:p>
        </w:tc>
        <w:tc>
          <w:tcPr>
            <w:tcW w:w="820" w:type="dxa"/>
            <w:vAlign w:val="bottom"/>
          </w:tcPr>
          <w:p>
            <w:pPr>
              <w:spacing w:after="0"/>
              <w:rPr>
                <w:sz w:val="15"/>
                <w:szCs w:val="15"/>
                <w:color w:val="auto"/>
              </w:rPr>
            </w:pPr>
          </w:p>
        </w:tc>
        <w:tc>
          <w:tcPr>
            <w:tcW w:w="1740" w:type="dxa"/>
            <w:vAlign w:val="bottom"/>
            <w:gridSpan w:val="2"/>
          </w:tcPr>
          <w:p>
            <w:pPr>
              <w:jc w:val="right"/>
              <w:ind w:right="960"/>
              <w:spacing w:after="0"/>
              <w:rPr>
                <w:sz w:val="20"/>
                <w:szCs w:val="20"/>
                <w:color w:val="auto"/>
              </w:rPr>
            </w:pPr>
            <w:r>
              <w:rPr>
                <w:rFonts w:ascii="Arial" w:cs="Arial" w:eastAsia="Arial" w:hAnsi="Arial"/>
                <w:sz w:val="14"/>
                <w:szCs w:val="14"/>
                <w:color w:val="auto"/>
                <w:w w:val="98"/>
              </w:rPr>
              <w:t>May 1, 2021</w:t>
            </w:r>
          </w:p>
        </w:tc>
      </w:tr>
      <w:tr>
        <w:trPr>
          <w:trHeight w:val="169"/>
        </w:trPr>
        <w:tc>
          <w:tcPr>
            <w:tcW w:w="6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 from operating activities (GAAP basis)</w:t>
            </w:r>
          </w:p>
        </w:tc>
        <w:tc>
          <w:tcPr>
            <w:tcW w:w="360" w:type="dxa"/>
            <w:vAlign w:val="bottom"/>
            <w:tcBorders>
              <w:top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38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84"/>
              </w:rPr>
              <w:t>)</w:t>
            </w:r>
          </w:p>
        </w:tc>
        <w:tc>
          <w:tcPr>
            <w:tcW w:w="820" w:type="dxa"/>
            <w:vAlign w:val="bottom"/>
            <w:tcBorders>
              <w:top w:val="single" w:sz="8" w:color="auto"/>
            </w:tcBorders>
            <w:shd w:val="clear" w:color="auto" w:fill="CFF0FC"/>
          </w:tcPr>
          <w:p>
            <w:pPr>
              <w:jc w:val="right"/>
              <w:ind w:right="64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FF0FC"/>
          </w:tcPr>
          <w:p>
            <w:pPr>
              <w:spacing w:after="0"/>
              <w:rPr>
                <w:sz w:val="14"/>
                <w:szCs w:val="14"/>
                <w:color w:val="auto"/>
              </w:rPr>
            </w:pPr>
          </w:p>
        </w:tc>
      </w:tr>
      <w:tr>
        <w:trPr>
          <w:trHeight w:val="175"/>
        </w:trPr>
        <w:tc>
          <w:tcPr>
            <w:tcW w:w="618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360" w:type="dxa"/>
            <w:vAlign w:val="bottom"/>
          </w:tcPr>
          <w:p>
            <w:pPr>
              <w:spacing w:after="0"/>
              <w:rPr>
                <w:sz w:val="15"/>
                <w:szCs w:val="15"/>
                <w:color w:val="auto"/>
              </w:rPr>
            </w:pPr>
          </w:p>
        </w:tc>
        <w:tc>
          <w:tcPr>
            <w:tcW w:w="2140" w:type="dxa"/>
            <w:vAlign w:val="bottom"/>
            <w:gridSpan w:val="2"/>
          </w:tcPr>
          <w:p>
            <w:pPr>
              <w:jc w:val="right"/>
              <w:ind w:right="248"/>
              <w:spacing w:after="0"/>
              <w:rPr>
                <w:sz w:val="20"/>
                <w:szCs w:val="20"/>
                <w:color w:val="auto"/>
              </w:rPr>
            </w:pPr>
            <w:r>
              <w:rPr>
                <w:rFonts w:ascii="Arial" w:cs="Arial" w:eastAsia="Arial" w:hAnsi="Arial"/>
                <w:sz w:val="14"/>
                <w:szCs w:val="14"/>
                <w:color w:val="auto"/>
              </w:rPr>
              <w:t>(1.2 )</w:t>
            </w:r>
          </w:p>
        </w:tc>
        <w:tc>
          <w:tcPr>
            <w:tcW w:w="820" w:type="dxa"/>
            <w:vAlign w:val="bottom"/>
          </w:tcPr>
          <w:p>
            <w:pPr>
              <w:spacing w:after="0"/>
              <w:rPr>
                <w:sz w:val="15"/>
                <w:szCs w:val="15"/>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4"/>
                <w:szCs w:val="14"/>
                <w:color w:val="auto"/>
              </w:rPr>
              <w:t>(0.8 )</w:t>
            </w:r>
          </w:p>
        </w:tc>
      </w:tr>
      <w:tr>
        <w:trPr>
          <w:trHeight w:val="209"/>
        </w:trPr>
        <w:tc>
          <w:tcPr>
            <w:tcW w:w="618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Free Cash Flow (non-GAAP basis)</w:t>
            </w:r>
          </w:p>
        </w:tc>
        <w:tc>
          <w:tcPr>
            <w:tcW w:w="360" w:type="dxa"/>
            <w:vAlign w:val="bottom"/>
            <w:tcBorders>
              <w:top w:val="single" w:sz="8" w:color="auto"/>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w:t>
            </w:r>
          </w:p>
        </w:tc>
        <w:tc>
          <w:tcPr>
            <w:tcW w:w="380" w:type="dxa"/>
            <w:vAlign w:val="bottom"/>
            <w:tcBorders>
              <w:bottom w:val="single" w:sz="8" w:color="CFF0FC"/>
            </w:tcBorders>
            <w:shd w:val="clear" w:color="auto" w:fill="CFF0FC"/>
          </w:tcPr>
          <w:p>
            <w:pPr>
              <w:jc w:val="right"/>
              <w:ind w:right="248"/>
              <w:spacing w:after="0" w:line="155" w:lineRule="exact"/>
              <w:rPr>
                <w:sz w:val="20"/>
                <w:szCs w:val="20"/>
                <w:color w:val="auto"/>
              </w:rPr>
            </w:pPr>
            <w:r>
              <w:rPr>
                <w:rFonts w:ascii="Arial" w:cs="Arial" w:eastAsia="Arial" w:hAnsi="Arial"/>
                <w:sz w:val="14"/>
                <w:szCs w:val="14"/>
                <w:color w:val="auto"/>
                <w:w w:val="84"/>
              </w:rPr>
              <w:t>)</w:t>
            </w:r>
          </w:p>
        </w:tc>
        <w:tc>
          <w:tcPr>
            <w:tcW w:w="820" w:type="dxa"/>
            <w:vAlign w:val="bottom"/>
            <w:tcBorders>
              <w:top w:val="single" w:sz="8" w:color="auto"/>
              <w:bottom w:val="single" w:sz="8" w:color="auto"/>
            </w:tcBorders>
            <w:shd w:val="clear" w:color="auto" w:fill="CFF0FC"/>
          </w:tcPr>
          <w:p>
            <w:pPr>
              <w:jc w:val="right"/>
              <w:ind w:right="648"/>
              <w:spacing w:after="0" w:line="155" w:lineRule="exact"/>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-24765</wp:posOffset>
            </wp:positionV>
            <wp:extent cx="186880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68805" cy="17145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75" w:lineRule="exact"/>
        <w:rPr>
          <w:sz w:val="20"/>
          <w:szCs w:val="20"/>
          <w:color w:val="auto"/>
        </w:rPr>
      </w:pPr>
    </w:p>
    <w:p>
      <w:pPr>
        <w:ind w:right="280"/>
        <w:spacing w:after="0" w:line="288" w:lineRule="auto"/>
        <w:rPr>
          <w:sz w:val="20"/>
          <w:szCs w:val="20"/>
          <w:color w:val="auto"/>
        </w:rPr>
      </w:pPr>
      <w:r>
        <w:rPr>
          <w:rFonts w:ascii="Arial" w:cs="Arial" w:eastAsia="Arial" w:hAnsi="Arial"/>
          <w:sz w:val="20"/>
          <w:szCs w:val="20"/>
          <w:color w:val="auto"/>
        </w:rPr>
        <w:t>Adjusted EBITDA and free cash flow are non-GAAP financial measures. Please see “Non-GAAP Measures” below and reconciliations of these non-GAAP measures to the comparable GAAP measures that follow in the tables below.</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i w:val="1"/>
          <w:iCs w:val="1"/>
          <w:color w:val="auto"/>
        </w:rPr>
        <w:t>Balance Sheet &amp; Liquidity</w:t>
      </w:r>
    </w:p>
    <w:p>
      <w:pPr>
        <w:spacing w:after="0" w:line="135" w:lineRule="exact"/>
        <w:rPr>
          <w:sz w:val="20"/>
          <w:szCs w:val="20"/>
          <w:color w:val="auto"/>
        </w:rPr>
      </w:pPr>
    </w:p>
    <w:p>
      <w:pPr>
        <w:ind w:right="280"/>
        <w:spacing w:after="0" w:line="322" w:lineRule="auto"/>
        <w:rPr>
          <w:sz w:val="20"/>
          <w:szCs w:val="20"/>
          <w:color w:val="auto"/>
        </w:rPr>
      </w:pPr>
      <w:r>
        <w:rPr>
          <w:rFonts w:ascii="Arial" w:cs="Arial" w:eastAsia="Arial" w:hAnsi="Arial"/>
          <w:sz w:val="18"/>
          <w:szCs w:val="18"/>
          <w:color w:val="auto"/>
        </w:rPr>
        <w:t>At April 30, 2022, we had a cash balance of $7.5 million and no debt outstanding as compared to total debt, net of cash of $44.3 million at May 1, 2021. Availability under the revolving credit facility was $85.0 million at April 30, 2022, as compared to $51.1 million at May 1, 2021. As discussed below, we used approximately $4.8 million during the first quarter of fiscal 2022 for our stock repurchase program.</w:t>
      </w:r>
    </w:p>
    <w:p>
      <w:pPr>
        <w:spacing w:after="0" w:line="44" w:lineRule="exact"/>
        <w:rPr>
          <w:sz w:val="20"/>
          <w:szCs w:val="20"/>
          <w:color w:val="auto"/>
        </w:rPr>
      </w:pPr>
    </w:p>
    <w:p>
      <w:pPr>
        <w:ind w:right="80"/>
        <w:spacing w:after="0" w:line="272" w:lineRule="auto"/>
        <w:rPr>
          <w:sz w:val="20"/>
          <w:szCs w:val="20"/>
          <w:color w:val="auto"/>
        </w:rPr>
      </w:pPr>
      <w:r>
        <w:rPr>
          <w:rFonts w:ascii="Arial" w:cs="Arial" w:eastAsia="Arial" w:hAnsi="Arial"/>
          <w:sz w:val="20"/>
          <w:szCs w:val="20"/>
          <w:color w:val="auto"/>
        </w:rPr>
        <w:t>As of April 30, 2022, our inventory increased approximately $8.5 million to $96.9 million, as compared to $88.4 million at May 1, 2021. We are in a stronger inventory position at April 30, 2022 than at the end of the first quarter last year. Managing our inventory remains a primary focus for us given the ongoing issues with the global supply chain. We believe that we will be able to secure sufficient inventory to support our sales forecasts for fiscal 2022. At April 30, 2022, our clearance inventory was 6.9% of our total inventory, as compared to 10.1% at May 1, 2021.</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Stock Repurchase Program</w:t>
      </w:r>
    </w:p>
    <w:p>
      <w:pPr>
        <w:spacing w:after="0" w:line="141" w:lineRule="exact"/>
        <w:rPr>
          <w:sz w:val="20"/>
          <w:szCs w:val="20"/>
          <w:color w:val="auto"/>
        </w:rPr>
      </w:pPr>
    </w:p>
    <w:p>
      <w:pPr>
        <w:ind w:right="80"/>
        <w:spacing w:after="0" w:line="272" w:lineRule="auto"/>
        <w:rPr>
          <w:sz w:val="20"/>
          <w:szCs w:val="20"/>
          <w:color w:val="auto"/>
        </w:rPr>
      </w:pPr>
      <w:r>
        <w:rPr>
          <w:rFonts w:ascii="Arial" w:cs="Arial" w:eastAsia="Arial" w:hAnsi="Arial"/>
          <w:sz w:val="20"/>
          <w:szCs w:val="20"/>
          <w:color w:val="auto"/>
        </w:rPr>
        <w:t>In March 2022, the Company’s Board of Directors approved a stock repurchase program. Under the stock repurchase program, the Company may repurchase up to $15.0 million of its common stock through open market and privately negotiated transactions. For the first quarter of fiscal 2022, the Company repurchased 946,101 shares at an aggregate cost, including fees, of $4.8 million. Shares of repurchased common stock are held as treasury stock. The stock repurchase program will expire in March 2023, unless terminated earlier by the Company's Board of Directors.</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Total retail square footage has steadily decreased since the end of fiscal 2019:</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220" w:type="dxa"/>
            <w:vAlign w:val="bottom"/>
          </w:tcPr>
          <w:p>
            <w:pPr>
              <w:spacing w:after="0"/>
              <w:rPr>
                <w:sz w:val="17"/>
                <w:szCs w:val="17"/>
                <w:color w:val="auto"/>
              </w:rPr>
            </w:pPr>
          </w:p>
        </w:tc>
        <w:tc>
          <w:tcPr>
            <w:tcW w:w="2180" w:type="dxa"/>
            <w:vAlign w:val="bottom"/>
            <w:gridSpan w:val="4"/>
          </w:tcPr>
          <w:p>
            <w:pPr>
              <w:jc w:val="right"/>
              <w:ind w:right="519"/>
              <w:spacing w:after="0"/>
              <w:rPr>
                <w:sz w:val="20"/>
                <w:szCs w:val="20"/>
                <w:color w:val="auto"/>
              </w:rPr>
            </w:pPr>
            <w:r>
              <w:rPr>
                <w:rFonts w:ascii="Arial" w:cs="Arial" w:eastAsia="Arial" w:hAnsi="Arial"/>
                <w:sz w:val="16"/>
                <w:szCs w:val="16"/>
                <w:color w:val="auto"/>
              </w:rPr>
              <w:t>Year End 2019</w:t>
            </w:r>
          </w:p>
        </w:tc>
        <w:tc>
          <w:tcPr>
            <w:tcW w:w="140" w:type="dxa"/>
            <w:vAlign w:val="bottom"/>
          </w:tcPr>
          <w:p>
            <w:pPr>
              <w:spacing w:after="0"/>
              <w:rPr>
                <w:sz w:val="17"/>
                <w:szCs w:val="17"/>
                <w:color w:val="auto"/>
              </w:rPr>
            </w:pPr>
          </w:p>
        </w:tc>
        <w:tc>
          <w:tcPr>
            <w:tcW w:w="2140" w:type="dxa"/>
            <w:vAlign w:val="bottom"/>
            <w:gridSpan w:val="3"/>
          </w:tcPr>
          <w:p>
            <w:pPr>
              <w:jc w:val="right"/>
              <w:ind w:right="519"/>
              <w:spacing w:after="0"/>
              <w:rPr>
                <w:sz w:val="20"/>
                <w:szCs w:val="20"/>
                <w:color w:val="auto"/>
              </w:rPr>
            </w:pPr>
            <w:r>
              <w:rPr>
                <w:rFonts w:ascii="Arial" w:cs="Arial" w:eastAsia="Arial" w:hAnsi="Arial"/>
                <w:sz w:val="16"/>
                <w:szCs w:val="16"/>
                <w:color w:val="auto"/>
              </w:rPr>
              <w:t>Year End 2020</w:t>
            </w:r>
          </w:p>
        </w:tc>
        <w:tc>
          <w:tcPr>
            <w:tcW w:w="100" w:type="dxa"/>
            <w:vAlign w:val="bottom"/>
          </w:tcPr>
          <w:p>
            <w:pPr>
              <w:spacing w:after="0"/>
              <w:rPr>
                <w:sz w:val="17"/>
                <w:szCs w:val="17"/>
                <w:color w:val="auto"/>
              </w:rPr>
            </w:pPr>
          </w:p>
        </w:tc>
        <w:tc>
          <w:tcPr>
            <w:tcW w:w="2120" w:type="dxa"/>
            <w:vAlign w:val="bottom"/>
            <w:gridSpan w:val="3"/>
          </w:tcPr>
          <w:p>
            <w:pPr>
              <w:jc w:val="right"/>
              <w:ind w:right="499"/>
              <w:spacing w:after="0"/>
              <w:rPr>
                <w:sz w:val="20"/>
                <w:szCs w:val="20"/>
                <w:color w:val="auto"/>
              </w:rPr>
            </w:pPr>
            <w:r>
              <w:rPr>
                <w:rFonts w:ascii="Arial" w:cs="Arial" w:eastAsia="Arial" w:hAnsi="Arial"/>
                <w:sz w:val="16"/>
                <w:szCs w:val="16"/>
                <w:color w:val="auto"/>
              </w:rPr>
              <w:t>Year End 2021</w:t>
            </w:r>
          </w:p>
        </w:tc>
        <w:tc>
          <w:tcPr>
            <w:tcW w:w="120" w:type="dxa"/>
            <w:vAlign w:val="bottom"/>
          </w:tcPr>
          <w:p>
            <w:pPr>
              <w:spacing w:after="0"/>
              <w:rPr>
                <w:sz w:val="17"/>
                <w:szCs w:val="17"/>
                <w:color w:val="auto"/>
              </w:rPr>
            </w:pPr>
          </w:p>
        </w:tc>
        <w:tc>
          <w:tcPr>
            <w:tcW w:w="2220" w:type="dxa"/>
            <w:vAlign w:val="bottom"/>
            <w:gridSpan w:val="4"/>
          </w:tcPr>
          <w:p>
            <w:pPr>
              <w:ind w:left="480"/>
              <w:spacing w:after="0"/>
              <w:rPr>
                <w:sz w:val="20"/>
                <w:szCs w:val="20"/>
                <w:color w:val="auto"/>
              </w:rPr>
            </w:pPr>
            <w:r>
              <w:rPr>
                <w:rFonts w:ascii="Arial" w:cs="Arial" w:eastAsia="Arial" w:hAnsi="Arial"/>
                <w:sz w:val="16"/>
                <w:szCs w:val="16"/>
                <w:color w:val="auto"/>
              </w:rPr>
              <w:t>At April 30, 2022</w:t>
            </w:r>
          </w:p>
        </w:tc>
      </w:tr>
      <w:tr>
        <w:trPr>
          <w:trHeight w:val="152"/>
        </w:trPr>
        <w:tc>
          <w:tcPr>
            <w:tcW w:w="2220" w:type="dxa"/>
            <w:vAlign w:val="bottom"/>
            <w:shd w:val="clear" w:color="auto" w:fill="CFF0FC"/>
          </w:tcPr>
          <w:p>
            <w:pPr>
              <w:spacing w:after="0"/>
              <w:rPr>
                <w:sz w:val="13"/>
                <w:szCs w:val="13"/>
                <w:color w:val="auto"/>
              </w:rPr>
            </w:pPr>
          </w:p>
        </w:tc>
        <w:tc>
          <w:tcPr>
            <w:tcW w:w="740" w:type="dxa"/>
            <w:vAlign w:val="bottom"/>
            <w:shd w:val="clear" w:color="auto" w:fill="CFF0FC"/>
          </w:tcPr>
          <w:p>
            <w:pPr>
              <w:jc w:val="center"/>
              <w:ind w:left="199"/>
              <w:spacing w:after="0" w:line="152" w:lineRule="exact"/>
              <w:rPr>
                <w:sz w:val="20"/>
                <w:szCs w:val="20"/>
                <w:color w:val="auto"/>
              </w:rPr>
            </w:pPr>
            <w:r>
              <w:rPr>
                <w:rFonts w:ascii="Arial" w:cs="Arial" w:eastAsia="Arial" w:hAnsi="Arial"/>
                <w:sz w:val="16"/>
                <w:szCs w:val="16"/>
                <w:color w:val="auto"/>
                <w:w w:val="97"/>
              </w:rPr>
              <w:t># of</w:t>
            </w: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259"/>
              <w:spacing w:after="0" w:line="152" w:lineRule="exact"/>
              <w:rPr>
                <w:sz w:val="20"/>
                <w:szCs w:val="20"/>
                <w:color w:val="auto"/>
              </w:rPr>
            </w:pPr>
            <w:r>
              <w:rPr>
                <w:rFonts w:ascii="Arial" w:cs="Arial" w:eastAsia="Arial" w:hAnsi="Arial"/>
                <w:sz w:val="16"/>
                <w:szCs w:val="16"/>
                <w:color w:val="auto"/>
              </w:rPr>
              <w:t>Sq Ft.</w:t>
            </w: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299"/>
              <w:spacing w:after="0" w:line="152" w:lineRule="exact"/>
              <w:rPr>
                <w:sz w:val="20"/>
                <w:szCs w:val="20"/>
                <w:color w:val="auto"/>
              </w:rPr>
            </w:pPr>
            <w:r>
              <w:rPr>
                <w:rFonts w:ascii="Arial" w:cs="Arial" w:eastAsia="Arial" w:hAnsi="Arial"/>
                <w:sz w:val="16"/>
                <w:szCs w:val="16"/>
                <w:color w:val="auto"/>
              </w:rPr>
              <w:t># of</w:t>
            </w: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259"/>
              <w:spacing w:after="0" w:line="152" w:lineRule="exact"/>
              <w:rPr>
                <w:sz w:val="20"/>
                <w:szCs w:val="20"/>
                <w:color w:val="auto"/>
              </w:rPr>
            </w:pPr>
            <w:r>
              <w:rPr>
                <w:rFonts w:ascii="Arial" w:cs="Arial" w:eastAsia="Arial" w:hAnsi="Arial"/>
                <w:sz w:val="16"/>
                <w:szCs w:val="16"/>
                <w:color w:val="auto"/>
              </w:rPr>
              <w:t>Sq Ft.</w:t>
            </w: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299"/>
              <w:spacing w:after="0" w:line="152" w:lineRule="exact"/>
              <w:rPr>
                <w:sz w:val="20"/>
                <w:szCs w:val="20"/>
                <w:color w:val="auto"/>
              </w:rPr>
            </w:pPr>
            <w:r>
              <w:rPr>
                <w:rFonts w:ascii="Arial" w:cs="Arial" w:eastAsia="Arial" w:hAnsi="Arial"/>
                <w:sz w:val="16"/>
                <w:szCs w:val="16"/>
                <w:color w:val="auto"/>
              </w:rPr>
              <w:t># of</w:t>
            </w: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259"/>
              <w:spacing w:after="0" w:line="152" w:lineRule="exact"/>
              <w:rPr>
                <w:sz w:val="20"/>
                <w:szCs w:val="20"/>
                <w:color w:val="auto"/>
              </w:rPr>
            </w:pPr>
            <w:r>
              <w:rPr>
                <w:rFonts w:ascii="Arial" w:cs="Arial" w:eastAsia="Arial" w:hAnsi="Arial"/>
                <w:sz w:val="16"/>
                <w:szCs w:val="16"/>
                <w:color w:val="auto"/>
              </w:rPr>
              <w:t>Sq Ft.</w:t>
            </w: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279"/>
              <w:spacing w:after="0" w:line="152" w:lineRule="exact"/>
              <w:rPr>
                <w:sz w:val="20"/>
                <w:szCs w:val="20"/>
                <w:color w:val="auto"/>
              </w:rPr>
            </w:pPr>
            <w:r>
              <w:rPr>
                <w:rFonts w:ascii="Arial" w:cs="Arial" w:eastAsia="Arial" w:hAnsi="Arial"/>
                <w:sz w:val="16"/>
                <w:szCs w:val="16"/>
                <w:color w:val="auto"/>
              </w:rPr>
              <w:t># of</w:t>
            </w:r>
          </w:p>
        </w:tc>
        <w:tc>
          <w:tcPr>
            <w:tcW w:w="1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ind w:left="300"/>
              <w:spacing w:after="0" w:line="152" w:lineRule="exact"/>
              <w:rPr>
                <w:sz w:val="20"/>
                <w:szCs w:val="20"/>
                <w:color w:val="auto"/>
              </w:rPr>
            </w:pPr>
            <w:r>
              <w:rPr>
                <w:rFonts w:ascii="Arial" w:cs="Arial" w:eastAsia="Arial" w:hAnsi="Arial"/>
                <w:sz w:val="16"/>
                <w:szCs w:val="16"/>
                <w:color w:val="auto"/>
              </w:rPr>
              <w:t>Sq Ft.</w:t>
            </w:r>
          </w:p>
        </w:tc>
      </w:tr>
      <w:tr>
        <w:trPr>
          <w:trHeight w:val="199"/>
        </w:trPr>
        <w:tc>
          <w:tcPr>
            <w:tcW w:w="22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center"/>
              <w:ind w:left="239"/>
              <w:spacing w:after="0"/>
              <w:rPr>
                <w:sz w:val="20"/>
                <w:szCs w:val="20"/>
                <w:color w:val="auto"/>
              </w:rPr>
            </w:pPr>
            <w:r>
              <w:rPr>
                <w:rFonts w:ascii="Arial" w:cs="Arial" w:eastAsia="Arial" w:hAnsi="Arial"/>
                <w:sz w:val="16"/>
                <w:szCs w:val="16"/>
                <w:color w:val="auto"/>
                <w:w w:val="90"/>
              </w:rPr>
              <w:t>Stores</w:t>
            </w:r>
          </w:p>
        </w:tc>
        <w:tc>
          <w:tcPr>
            <w:tcW w:w="2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(000’s)</w:t>
            </w:r>
          </w:p>
        </w:tc>
        <w:tc>
          <w:tcPr>
            <w:tcW w:w="1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Stores</w:t>
            </w: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(000’s)</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Stores</w:t>
            </w: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(000’s)</w:t>
            </w: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Stores</w:t>
            </w:r>
          </w:p>
        </w:tc>
        <w:tc>
          <w:tcPr>
            <w:tcW w:w="1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(000’s)</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296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DXL retail</w:t>
            </w: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w w:val="89"/>
              </w:rPr>
              <w:t>228</w:t>
            </w:r>
          </w:p>
        </w:tc>
        <w:tc>
          <w:tcPr>
            <w:tcW w:w="11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1,729</w:t>
            </w:r>
          </w:p>
        </w:tc>
        <w:tc>
          <w:tcPr>
            <w:tcW w:w="11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226</w:t>
            </w:r>
          </w:p>
        </w:tc>
        <w:tc>
          <w:tcPr>
            <w:tcW w:w="11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1,718</w:t>
            </w:r>
          </w:p>
        </w:tc>
        <w:tc>
          <w:tcPr>
            <w:tcW w:w="11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220</w:t>
            </w:r>
          </w:p>
        </w:tc>
        <w:tc>
          <w:tcPr>
            <w:tcW w:w="11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1,678</w:t>
            </w:r>
          </w:p>
        </w:tc>
        <w:tc>
          <w:tcPr>
            <w:tcW w:w="11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219</w:t>
            </w:r>
          </w:p>
        </w:tc>
        <w:tc>
          <w:tcPr>
            <w:tcW w:w="11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1,671</w:t>
            </w:r>
          </w:p>
        </w:tc>
        <w:tc>
          <w:tcPr>
            <w:tcW w:w="100" w:type="dxa"/>
            <w:vAlign w:val="bottom"/>
          </w:tcPr>
          <w:p>
            <w:pPr>
              <w:spacing w:after="0"/>
              <w:rPr>
                <w:sz w:val="15"/>
                <w:szCs w:val="15"/>
                <w:color w:val="auto"/>
              </w:rPr>
            </w:pPr>
          </w:p>
        </w:tc>
      </w:tr>
      <w:tr>
        <w:trPr>
          <w:trHeight w:val="189"/>
        </w:trPr>
        <w:tc>
          <w:tcPr>
            <w:tcW w:w="29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FF0FC"/>
          </w:tcPr>
          <w:p>
            <w:pPr>
              <w:spacing w:after="0"/>
              <w:rPr>
                <w:sz w:val="16"/>
                <w:szCs w:val="16"/>
                <w:color w:val="auto"/>
              </w:rPr>
            </w:pPr>
          </w:p>
        </w:tc>
      </w:tr>
      <w:tr>
        <w:trPr>
          <w:trHeight w:val="189"/>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CMXL retail</w:t>
            </w:r>
          </w:p>
        </w:tc>
        <w:tc>
          <w:tcPr>
            <w:tcW w:w="280" w:type="dxa"/>
            <w:vAlign w:val="bottom"/>
          </w:tcPr>
          <w:p>
            <w:pPr>
              <w:jc w:val="right"/>
              <w:spacing w:after="0"/>
              <w:rPr>
                <w:sz w:val="20"/>
                <w:szCs w:val="20"/>
                <w:color w:val="auto"/>
              </w:rPr>
            </w:pPr>
            <w:r>
              <w:rPr>
                <w:rFonts w:ascii="Arial" w:cs="Arial" w:eastAsia="Arial" w:hAnsi="Arial"/>
                <w:sz w:val="16"/>
                <w:szCs w:val="16"/>
                <w:color w:val="auto"/>
              </w:rPr>
              <w:t>50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164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115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6"/>
                <w:szCs w:val="16"/>
                <w:color w:val="auto"/>
              </w:rPr>
            </w:pPr>
          </w:p>
        </w:tc>
      </w:tr>
      <w:tr>
        <w:trPr>
          <w:trHeight w:val="189"/>
        </w:trPr>
        <w:tc>
          <w:tcPr>
            <w:tcW w:w="29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CMXL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FF0FC"/>
          </w:tcPr>
          <w:p>
            <w:pPr>
              <w:spacing w:after="0"/>
              <w:rPr>
                <w:sz w:val="16"/>
                <w:szCs w:val="16"/>
                <w:color w:val="auto"/>
              </w:rPr>
            </w:pPr>
          </w:p>
        </w:tc>
      </w:tr>
      <w:tr>
        <w:trPr>
          <w:trHeight w:val="206"/>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spacing w:after="0"/>
              <w:rPr>
                <w:sz w:val="20"/>
                <w:szCs w:val="20"/>
                <w:color w:val="auto"/>
              </w:rPr>
            </w:pPr>
            <w:r>
              <w:rPr>
                <w:rFonts w:ascii="Arial" w:cs="Arial" w:eastAsia="Arial" w:hAnsi="Arial"/>
                <w:sz w:val="16"/>
                <w:szCs w:val="16"/>
                <w:color w:val="auto"/>
                <w:w w:val="89"/>
              </w:rPr>
              <w:t>323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2,060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311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2,018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290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1,930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286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1,914</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-615950</wp:posOffset>
            </wp:positionV>
            <wp:extent cx="7683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-615950</wp:posOffset>
            </wp:positionV>
            <wp:extent cx="7747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-615950</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-615950</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-615950</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-615950</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-615950</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-615950</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20"/>
          <w:szCs w:val="20"/>
          <w:color w:val="auto"/>
        </w:rPr>
        <w:t>During fiscal 2022, we are planning on rebranding up to 4 of our Casual Male XL retail stores to DXL retail stores. We are also reviewing white space opportunities in markets where our store footprint is underpenetrated. We believe that our store portfolio is a vital asset to our business strategy and we expect to continue to invest in stores over the next several years as we further strengthen the store portfolio. Over the next three to five years, based on our preliminary store development plan, we believe that we could potentially open up, on a net basis, 50 new and relocated stores.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E-Commerce Information</w:t>
      </w:r>
    </w:p>
    <w:p>
      <w:pPr>
        <w:spacing w:after="0" w:line="154" w:lineRule="exact"/>
        <w:rPr>
          <w:sz w:val="20"/>
          <w:szCs w:val="20"/>
          <w:color w:val="auto"/>
        </w:rPr>
      </w:pPr>
    </w:p>
    <w:p>
      <w:pPr>
        <w:ind w:right="40"/>
        <w:spacing w:after="0" w:line="271" w:lineRule="auto"/>
        <w:rPr>
          <w:sz w:val="20"/>
          <w:szCs w:val="20"/>
          <w:color w:val="auto"/>
        </w:rPr>
      </w:pPr>
      <w:r>
        <w:rPr>
          <w:rFonts w:ascii="Arial" w:cs="Arial" w:eastAsia="Arial" w:hAnsi="Arial"/>
          <w:sz w:val="20"/>
          <w:szCs w:val="20"/>
          <w:color w:val="auto"/>
        </w:rPr>
        <w:t>The Company distributes its licensed branded and private label products directly to consumers through its stores, website, and third-party marketplaces. E-commerce sales, which we also refer to as direct sales, are defined as sales that originate online, whether through our website, at the store level or through a third-party marketplace. Our direct business is a critical component of our business and an area of significant growth opportunity for us. Although we saw some softening in our direct business as store traffic increased to our stores in the first quarter, our comparable sales in our direct business grew by 16.7% from the first quarter of fiscal 2021. For the first quarter of fiscal 2022, our direct sales were $39.0 million, or 30.6% of retail segment sales, as compared to $33.5 million, or 30.9% of retail segment sales, in the first quarter of fiscal 2021.</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Outlook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7" w:name="page8"/>
    <w:bookmarkEnd w:id="7"/>
    <w:p>
      <w:pPr>
        <w:spacing w:after="0" w:line="290" w:lineRule="auto"/>
        <w:rPr>
          <w:sz w:val="20"/>
          <w:szCs w:val="20"/>
          <w:color w:val="auto"/>
        </w:rPr>
      </w:pPr>
      <w:r>
        <w:rPr>
          <w:rFonts w:ascii="Arial" w:cs="Arial" w:eastAsia="Arial" w:hAnsi="Arial"/>
          <w:sz w:val="19"/>
          <w:szCs w:val="19"/>
          <w:color w:val="auto"/>
        </w:rPr>
        <w:t>Based on our first quarter of fiscal 2022 results, we are reaffirming our sales guidance for fiscal 2022 in a range of $510.0 million to $530.0 million and that the Adjusted EBITDA margin for fiscal 2022 is expected to be greater than 10%. Our first-quarter sales exceeded our expectations and we are trending toward the high-end of our range. We remain cautious in our guidance given the continuing uncertainty with respect to global supply chain disruptions, inflation, labor shortages, COVID-19 and geopolitical instability from the Russian invasion of Ukraine, all of which could adversely impact our business in the remainder of fiscal 2022.</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35" w:lineRule="exact"/>
        <w:rPr>
          <w:sz w:val="20"/>
          <w:szCs w:val="20"/>
          <w:color w:val="auto"/>
        </w:rPr>
      </w:pPr>
    </w:p>
    <w:p>
      <w:pPr>
        <w:ind w:right="180"/>
        <w:spacing w:after="0" w:line="274" w:lineRule="auto"/>
        <w:rPr>
          <w:sz w:val="20"/>
          <w:szCs w:val="20"/>
          <w:color w:val="auto"/>
        </w:rPr>
      </w:pPr>
      <w:r>
        <w:rPr>
          <w:rFonts w:ascii="Arial" w:cs="Arial" w:eastAsia="Arial" w:hAnsi="Arial"/>
          <w:sz w:val="20"/>
          <w:szCs w:val="20"/>
          <w:color w:val="auto"/>
        </w:rPr>
        <w:t>The Company will hold a conference call to review its financial results on Thursday, May 26, 2022, at 9:00 a.m. ET. To listen to the live webcast, visit the Company's investor relations website: https://investor.dxl.com. The live call also can be accessed by dialing: (866) 680-2311. Please reference conference ID: 9575348. An archived version of the webcast may be accessed by visiting the "Events" section of the Company's investor relations website for up to one year.</w:t>
      </w:r>
    </w:p>
    <w:p>
      <w:pPr>
        <w:spacing w:after="0" w:line="192" w:lineRule="exact"/>
        <w:rPr>
          <w:sz w:val="20"/>
          <w:szCs w:val="20"/>
          <w:color w:val="auto"/>
        </w:rPr>
      </w:pPr>
    </w:p>
    <w:p>
      <w:pPr>
        <w:ind w:right="60"/>
        <w:spacing w:after="0" w:line="278"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249"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In addition to financial measures prepared in accordance with U.S. generally accepted accounting principles (“GAAP”), this press release contains non-GAAP financial measures, including adjusted EBITDA and free cash flow and makes projections about EBITDA margin. The presentation of these non-GAAP measures is not in accordance with GAAP, and should not be considered superior to or as a substitute for net income, net income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 The Company has not reconciled forward-looking adjusted EBITDA margin contained in this press release to its most directly comparable GAAP measure, as such reconciliation would require unreasonable efforts at this time to estimate and quantify with a reasonable degree of certainty various necessary GAAP components, including for example those related to impairment and tax items, that may arise during the year. These components and other factors could materially impact the amount of the future directly comparable GAAP measure, which may differ significantly from non-GAAP adjusted EBITDA margin.</w:t>
      </w:r>
    </w:p>
    <w:p>
      <w:pPr>
        <w:spacing w:after="0" w:line="341" w:lineRule="exact"/>
        <w:rPr>
          <w:sz w:val="20"/>
          <w:szCs w:val="20"/>
          <w:color w:val="auto"/>
        </w:rPr>
      </w:pPr>
    </w:p>
    <w:p>
      <w:pPr>
        <w:jc w:val="both"/>
        <w:ind w:right="100"/>
        <w:spacing w:after="0" w:line="274" w:lineRule="auto"/>
        <w:rPr>
          <w:sz w:val="20"/>
          <w:szCs w:val="20"/>
          <w:color w:val="auto"/>
        </w:rPr>
      </w:pPr>
      <w:r>
        <w:rPr>
          <w:rFonts w:ascii="Arial" w:cs="Arial" w:eastAsia="Arial" w:hAnsi="Arial"/>
          <w:sz w:val="20"/>
          <w:szCs w:val="20"/>
          <w:color w:val="auto"/>
        </w:rPr>
        <w:t>Adjusted EBITDA is calculated as earnings before interest, taxes, depreciation and amortization and adjusted for asset impairment charges. Adjusted EBITDA margin is calculated as adjusted EBITDA divided by total sales. The Company believes that providing adjusted EBITDA and adjusted EBITDA margin is useful to investors to evaluate the Company’s performance and are key metrics to measure profitability and economic productivity.</w:t>
      </w:r>
    </w:p>
    <w:p>
      <w:pPr>
        <w:spacing w:after="0" w:line="232" w:lineRule="exact"/>
        <w:rPr>
          <w:sz w:val="20"/>
          <w:szCs w:val="20"/>
          <w:color w:val="auto"/>
        </w:rPr>
      </w:pPr>
    </w:p>
    <w:p>
      <w:pPr>
        <w:ind w:right="160"/>
        <w:spacing w:after="0" w:line="377" w:lineRule="auto"/>
        <w:rPr>
          <w:sz w:val="20"/>
          <w:szCs w:val="20"/>
          <w:color w:val="auto"/>
        </w:rPr>
      </w:pPr>
      <w:r>
        <w:rPr>
          <w:rFonts w:ascii="Arial" w:cs="Arial" w:eastAsia="Arial" w:hAnsi="Arial"/>
          <w:sz w:val="16"/>
          <w:szCs w:val="16"/>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8" w:name="page9"/>
    <w:bookmarkEnd w:id="8"/>
    <w:p>
      <w:pPr>
        <w:ind w:right="120"/>
        <w:spacing w:after="0" w:line="307" w:lineRule="auto"/>
        <w:rPr>
          <w:sz w:val="20"/>
          <w:szCs w:val="20"/>
          <w:color w:val="auto"/>
        </w:rPr>
      </w:pPr>
      <w:r>
        <w:rPr>
          <w:rFonts w:ascii="Arial" w:cs="Arial" w:eastAsia="Arial" w:hAnsi="Arial"/>
          <w:sz w:val="18"/>
          <w:szCs w:val="18"/>
          <w:color w:val="auto"/>
        </w:rPr>
        <w:t>Destination XL Group, Inc. is the leading retailer of Men’s Big + Tall apparel that delivers a Big + Tall shopping experience that fits -- fits his body, fits his style, fits his life.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62" w:lineRule="exact"/>
        <w:rPr>
          <w:sz w:val="20"/>
          <w:szCs w:val="20"/>
          <w:color w:val="auto"/>
        </w:rPr>
      </w:pPr>
    </w:p>
    <w:p>
      <w:pPr>
        <w:spacing w:after="0" w:line="285" w:lineRule="auto"/>
        <w:rPr>
          <w:sz w:val="20"/>
          <w:szCs w:val="20"/>
          <w:color w:val="auto"/>
        </w:rPr>
      </w:pPr>
      <w:r>
        <w:rPr>
          <w:rFonts w:ascii="Arial" w:cs="Arial" w:eastAsia="Arial" w:hAnsi="Arial"/>
          <w:sz w:val="18"/>
          <w:szCs w:val="18"/>
          <w:i w:val="1"/>
          <w:iCs w:val="1"/>
          <w:color w:val="auto"/>
        </w:rPr>
        <w:t>Certain statements and information contained in this press release constitute forward-looking statements under the federal securities laws, including statements regarding our guidance for fiscal 2022, including expected sales and adjusted EBITDA margin; our marketing strategy and marketing costs for fiscal 2022; our ability to continue to attract new customers; expected increased freight costs and increased costs for certain raw materials; expected capital expenditure in fiscal 2022; expected decrease in gross margin rate for fiscal 2022; our ability to manage and maintain sufficient inventory; and expected changes in our store portfolio and plan for new or relocated stores.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17, 2022, its Quarterly Reports on Form 10-Q and other filings with the Securities and Exchange Commission that set forth certain risks and uncertainties that may have an impact on future results and direction of the Company, including risks relating to: the global COVID-19 pandemic and its impact on the Company’s results of operations; the impact of rising inflation and the Russian invasion on Ukraine on the global economy; supply chain challenges due to ongoing global supply chain disruption; potential labor shortages; and the Company’s ability to execute on its digital and store strategy and ability to grow its market share, predict customer tastes and fashion trends, forecast sales growth trends and compete successfully in the United States men’s big and tall apparel market.</w:t>
      </w:r>
    </w:p>
    <w:p>
      <w:pPr>
        <w:spacing w:after="0" w:line="77" w:lineRule="exact"/>
        <w:rPr>
          <w:sz w:val="20"/>
          <w:szCs w:val="20"/>
          <w:color w:val="auto"/>
        </w:rPr>
      </w:pPr>
    </w:p>
    <w:p>
      <w:pPr>
        <w:ind w:right="40"/>
        <w:spacing w:after="0" w:line="248" w:lineRule="auto"/>
        <w:rPr>
          <w:sz w:val="20"/>
          <w:szCs w:val="20"/>
          <w:color w:val="auto"/>
        </w:rPr>
      </w:pPr>
      <w:r>
        <w:rPr>
          <w:rFonts w:ascii="Arial" w:cs="Arial" w:eastAsia="Arial" w:hAnsi="Arial"/>
          <w:sz w:val="19"/>
          <w:szCs w:val="19"/>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 occurring after such date may render these statements incomplete or out of date. The Company undertakes no obligation and expressly disclaims any duty to update such statements.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color w:val="auto"/>
        </w:rPr>
        <w:t>DESTINATION XL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320" w:type="dxa"/>
            <w:vAlign w:val="bottom"/>
            <w:gridSpan w:val="5"/>
          </w:tcPr>
          <w:p>
            <w:pPr>
              <w:jc w:val="right"/>
              <w:ind w:right="1520"/>
              <w:spacing w:after="0"/>
              <w:rPr>
                <w:sz w:val="20"/>
                <w:szCs w:val="20"/>
                <w:color w:val="auto"/>
              </w:rPr>
            </w:pPr>
            <w:r>
              <w:rPr>
                <w:rFonts w:ascii="Arial" w:cs="Arial" w:eastAsia="Arial" w:hAnsi="Arial"/>
                <w:sz w:val="14"/>
                <w:szCs w:val="14"/>
                <w:color w:val="auto"/>
              </w:rPr>
              <w:t>For the three months ended</w:t>
            </w:r>
          </w:p>
        </w:tc>
      </w:tr>
      <w:tr>
        <w:trPr>
          <w:trHeight w:val="181"/>
        </w:trPr>
        <w:tc>
          <w:tcPr>
            <w:tcW w:w="6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gridSpan w:val="2"/>
          </w:tcPr>
          <w:p>
            <w:pPr>
              <w:jc w:val="right"/>
              <w:ind w:right="920"/>
              <w:spacing w:after="0"/>
              <w:rPr>
                <w:sz w:val="20"/>
                <w:szCs w:val="20"/>
                <w:color w:val="auto"/>
              </w:rPr>
            </w:pPr>
            <w:r>
              <w:rPr>
                <w:rFonts w:ascii="Arial" w:cs="Arial" w:eastAsia="Arial" w:hAnsi="Arial"/>
                <w:sz w:val="14"/>
                <w:szCs w:val="14"/>
                <w:color w:val="auto"/>
              </w:rPr>
              <w:t>April 30, 2022</w:t>
            </w:r>
          </w:p>
        </w:tc>
        <w:tc>
          <w:tcPr>
            <w:tcW w:w="360" w:type="dxa"/>
            <w:vAlign w:val="bottom"/>
          </w:tcPr>
          <w:p>
            <w:pPr>
              <w:spacing w:after="0"/>
              <w:rPr>
                <w:sz w:val="15"/>
                <w:szCs w:val="15"/>
                <w:color w:val="auto"/>
              </w:rPr>
            </w:pPr>
          </w:p>
        </w:tc>
        <w:tc>
          <w:tcPr>
            <w:tcW w:w="1980" w:type="dxa"/>
            <w:vAlign w:val="bottom"/>
            <w:gridSpan w:val="2"/>
          </w:tcPr>
          <w:p>
            <w:pPr>
              <w:jc w:val="right"/>
              <w:ind w:right="960"/>
              <w:spacing w:after="0"/>
              <w:rPr>
                <w:sz w:val="20"/>
                <w:szCs w:val="20"/>
                <w:color w:val="auto"/>
              </w:rPr>
            </w:pPr>
            <w:r>
              <w:rPr>
                <w:rFonts w:ascii="Arial" w:cs="Arial" w:eastAsia="Arial" w:hAnsi="Arial"/>
                <w:sz w:val="14"/>
                <w:szCs w:val="14"/>
                <w:color w:val="auto"/>
              </w:rPr>
              <w:t>May 1, 2021</w:t>
            </w:r>
          </w:p>
        </w:tc>
      </w:tr>
      <w:tr>
        <w:trPr>
          <w:trHeight w:val="183"/>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Sales</w:t>
            </w:r>
          </w:p>
        </w:tc>
        <w:tc>
          <w:tcPr>
            <w:tcW w:w="320" w:type="dxa"/>
            <w:vAlign w:val="bottom"/>
            <w:tcBorders>
              <w:top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127,655</w:t>
            </w:r>
          </w:p>
        </w:tc>
        <w:tc>
          <w:tcPr>
            <w:tcW w:w="380" w:type="dxa"/>
            <w:vAlign w:val="bottom"/>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111,494</w:t>
            </w:r>
          </w:p>
        </w:tc>
        <w:tc>
          <w:tcPr>
            <w:tcW w:w="320" w:type="dxa"/>
            <w:vAlign w:val="bottom"/>
            <w:shd w:val="clear" w:color="auto" w:fill="CFF0FC"/>
          </w:tcPr>
          <w:p>
            <w:pPr>
              <w:spacing w:after="0"/>
              <w:rPr>
                <w:sz w:val="15"/>
                <w:szCs w:val="15"/>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6"/>
                <w:szCs w:val="16"/>
                <w:color w:val="auto"/>
              </w:rPr>
              <w:t>Cost of goods sold including occupancy</w:t>
            </w: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63,788</w:t>
            </w:r>
          </w:p>
        </w:tc>
        <w:tc>
          <w:tcPr>
            <w:tcW w:w="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60,661</w:t>
            </w:r>
          </w:p>
        </w:tc>
        <w:tc>
          <w:tcPr>
            <w:tcW w:w="320" w:type="dxa"/>
            <w:vAlign w:val="bottom"/>
          </w:tcPr>
          <w:p>
            <w:pPr>
              <w:spacing w:after="0"/>
              <w:rPr>
                <w:sz w:val="16"/>
                <w:szCs w:val="16"/>
                <w:color w:val="auto"/>
              </w:rPr>
            </w:pPr>
          </w:p>
        </w:tc>
      </w:tr>
      <w:tr>
        <w:trPr>
          <w:trHeight w:val="183"/>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Gross profit</w:t>
            </w:r>
          </w:p>
        </w:tc>
        <w:tc>
          <w:tcPr>
            <w:tcW w:w="3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63,867</w:t>
            </w:r>
          </w:p>
        </w:tc>
        <w:tc>
          <w:tcPr>
            <w:tcW w:w="3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50,833</w:t>
            </w:r>
          </w:p>
        </w:tc>
        <w:tc>
          <w:tcPr>
            <w:tcW w:w="320" w:type="dxa"/>
            <w:vAlign w:val="bottom"/>
            <w:shd w:val="clear" w:color="auto" w:fill="CFF0FC"/>
          </w:tcPr>
          <w:p>
            <w:pPr>
              <w:spacing w:after="0"/>
              <w:rPr>
                <w:sz w:val="15"/>
                <w:szCs w:val="15"/>
                <w:color w:val="auto"/>
              </w:rPr>
            </w:pPr>
          </w:p>
        </w:tc>
      </w:tr>
      <w:tr>
        <w:trPr>
          <w:trHeight w:val="189"/>
        </w:trPr>
        <w:tc>
          <w:tcPr>
            <w:tcW w:w="6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9"/>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Expenses:</w:t>
            </w:r>
          </w:p>
        </w:tc>
        <w:tc>
          <w:tcPr>
            <w:tcW w:w="32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r>
      <w:tr>
        <w:trPr>
          <w:trHeight w:val="189"/>
        </w:trPr>
        <w:tc>
          <w:tcPr>
            <w:tcW w:w="660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46,597</w:t>
            </w: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37,118</w:t>
            </w:r>
          </w:p>
        </w:tc>
        <w:tc>
          <w:tcPr>
            <w:tcW w:w="320" w:type="dxa"/>
            <w:vAlign w:val="bottom"/>
          </w:tcPr>
          <w:p>
            <w:pPr>
              <w:spacing w:after="0"/>
              <w:rPr>
                <w:sz w:val="16"/>
                <w:szCs w:val="16"/>
                <w:color w:val="auto"/>
              </w:rPr>
            </w:pPr>
          </w:p>
        </w:tc>
      </w:tr>
      <w:tr>
        <w:trPr>
          <w:trHeight w:val="189"/>
        </w:trPr>
        <w:tc>
          <w:tcPr>
            <w:tcW w:w="6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Impairment (gain) of assets</w:t>
            </w:r>
          </w:p>
        </w:tc>
        <w:tc>
          <w:tcPr>
            <w:tcW w:w="320" w:type="dxa"/>
            <w:vAlign w:val="bottom"/>
            <w:shd w:val="clear" w:color="auto" w:fill="CFF0FC"/>
          </w:tcPr>
          <w:p>
            <w:pPr>
              <w:spacing w:after="0"/>
              <w:rPr>
                <w:sz w:val="16"/>
                <w:szCs w:val="16"/>
                <w:color w:val="auto"/>
              </w:rPr>
            </w:pPr>
          </w:p>
        </w:tc>
        <w:tc>
          <w:tcPr>
            <w:tcW w:w="19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(351 )</w:t>
            </w:r>
          </w:p>
        </w:tc>
        <w:tc>
          <w:tcPr>
            <w:tcW w:w="360" w:type="dxa"/>
            <w:vAlign w:val="bottom"/>
            <w:shd w:val="clear" w:color="auto" w:fill="CFF0FC"/>
          </w:tcPr>
          <w:p>
            <w:pPr>
              <w:spacing w:after="0"/>
              <w:rPr>
                <w:sz w:val="16"/>
                <w:szCs w:val="16"/>
                <w:color w:val="auto"/>
              </w:rPr>
            </w:pPr>
          </w:p>
        </w:tc>
        <w:tc>
          <w:tcPr>
            <w:tcW w:w="1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(652 )</w:t>
            </w:r>
          </w:p>
        </w:tc>
      </w:tr>
      <w:tr>
        <w:trPr>
          <w:trHeight w:val="189"/>
        </w:trPr>
        <w:tc>
          <w:tcPr>
            <w:tcW w:w="66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3,987</w:t>
            </w:r>
          </w:p>
        </w:tc>
        <w:tc>
          <w:tcPr>
            <w:tcW w:w="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w:t>
            </w:r>
          </w:p>
        </w:tc>
        <w:tc>
          <w:tcPr>
            <w:tcW w:w="320" w:type="dxa"/>
            <w:vAlign w:val="bottom"/>
          </w:tcPr>
          <w:p>
            <w:pPr>
              <w:spacing w:after="0"/>
              <w:rPr>
                <w:sz w:val="16"/>
                <w:szCs w:val="16"/>
                <w:color w:val="auto"/>
              </w:rPr>
            </w:pPr>
          </w:p>
        </w:tc>
      </w:tr>
      <w:tr>
        <w:trPr>
          <w:trHeight w:val="183"/>
        </w:trPr>
        <w:tc>
          <w:tcPr>
            <w:tcW w:w="66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expenses</w:t>
            </w:r>
          </w:p>
        </w:tc>
        <w:tc>
          <w:tcPr>
            <w:tcW w:w="320" w:type="dxa"/>
            <w:vAlign w:val="bottom"/>
            <w:tcBorders>
              <w:bottom w:val="single" w:sz="8" w:color="auto"/>
            </w:tcBorders>
            <w:shd w:val="clear" w:color="auto" w:fill="CFF0FC"/>
          </w:tcPr>
          <w:p>
            <w:pPr>
              <w:spacing w:after="0"/>
              <w:rPr>
                <w:sz w:val="15"/>
                <w:szCs w:val="15"/>
                <w:color w:val="auto"/>
              </w:rPr>
            </w:pP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50,233</w:t>
            </w:r>
          </w:p>
        </w:tc>
        <w:tc>
          <w:tcPr>
            <w:tcW w:w="3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6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40,966</w:t>
            </w:r>
          </w:p>
        </w:tc>
        <w:tc>
          <w:tcPr>
            <w:tcW w:w="320" w:type="dxa"/>
            <w:vAlign w:val="bottom"/>
            <w:tcBorders>
              <w:bottom w:val="single" w:sz="8" w:color="CFF0FC"/>
            </w:tcBorders>
            <w:shd w:val="clear" w:color="auto" w:fill="CFF0FC"/>
          </w:tcPr>
          <w:p>
            <w:pPr>
              <w:spacing w:after="0"/>
              <w:rPr>
                <w:sz w:val="15"/>
                <w:szCs w:val="15"/>
                <w:color w:val="auto"/>
              </w:rPr>
            </w:pPr>
          </w:p>
        </w:tc>
      </w:tr>
      <w:tr>
        <w:trPr>
          <w:trHeight w:val="183"/>
        </w:trPr>
        <w:tc>
          <w:tcPr>
            <w:tcW w:w="6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9"/>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FF0FC"/>
          </w:tcPr>
          <w:p>
            <w:pPr>
              <w:spacing w:after="0"/>
              <w:rPr>
                <w:sz w:val="16"/>
                <w:szCs w:val="16"/>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13,634</w:t>
            </w:r>
          </w:p>
        </w:tc>
        <w:tc>
          <w:tcPr>
            <w:tcW w:w="3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9,867</w:t>
            </w:r>
          </w:p>
        </w:tc>
        <w:tc>
          <w:tcPr>
            <w:tcW w:w="320" w:type="dxa"/>
            <w:vAlign w:val="bottom"/>
            <w:shd w:val="clear" w:color="auto" w:fill="CFF0FC"/>
          </w:tcPr>
          <w:p>
            <w:pPr>
              <w:spacing w:after="0"/>
              <w:rPr>
                <w:sz w:val="16"/>
                <w:szCs w:val="16"/>
                <w:color w:val="auto"/>
              </w:rPr>
            </w:pPr>
          </w:p>
        </w:tc>
      </w:tr>
      <w:tr>
        <w:trPr>
          <w:trHeight w:val="189"/>
        </w:trPr>
        <w:tc>
          <w:tcPr>
            <w:tcW w:w="6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gridSpan w:val="2"/>
          </w:tcPr>
          <w:p>
            <w:pPr>
              <w:spacing w:after="0"/>
              <w:rPr>
                <w:sz w:val="16"/>
                <w:szCs w:val="16"/>
                <w:color w:val="auto"/>
              </w:rPr>
            </w:pPr>
          </w:p>
        </w:tc>
      </w:tr>
      <w:tr>
        <w:trPr>
          <w:trHeight w:val="189"/>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shd w:val="clear" w:color="auto" w:fill="CFF0FC"/>
          </w:tcPr>
          <w:p>
            <w:pPr>
              <w:spacing w:after="0"/>
              <w:rPr>
                <w:sz w:val="16"/>
                <w:szCs w:val="16"/>
                <w:color w:val="auto"/>
              </w:rPr>
            </w:pPr>
          </w:p>
        </w:tc>
        <w:tc>
          <w:tcPr>
            <w:tcW w:w="19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(143 )</w:t>
            </w:r>
          </w:p>
        </w:tc>
        <w:tc>
          <w:tcPr>
            <w:tcW w:w="360" w:type="dxa"/>
            <w:vAlign w:val="bottom"/>
            <w:shd w:val="clear" w:color="auto" w:fill="CFF0FC"/>
          </w:tcPr>
          <w:p>
            <w:pPr>
              <w:spacing w:after="0"/>
              <w:rPr>
                <w:sz w:val="16"/>
                <w:szCs w:val="16"/>
                <w:color w:val="auto"/>
              </w:rPr>
            </w:pPr>
          </w:p>
        </w:tc>
        <w:tc>
          <w:tcPr>
            <w:tcW w:w="1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(1,142 )</w:t>
            </w:r>
          </w:p>
        </w:tc>
      </w:tr>
      <w:tr>
        <w:trPr>
          <w:trHeight w:val="183"/>
        </w:trPr>
        <w:tc>
          <w:tcPr>
            <w:tcW w:w="660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38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r>
      <w:tr>
        <w:trPr>
          <w:trHeight w:val="189"/>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320" w:type="dxa"/>
            <w:vAlign w:val="bottom"/>
            <w:shd w:val="clear" w:color="auto" w:fill="CFF0FC"/>
          </w:tcPr>
          <w:p>
            <w:pPr>
              <w:spacing w:after="0"/>
              <w:rPr>
                <w:sz w:val="16"/>
                <w:szCs w:val="16"/>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13,491</w:t>
            </w:r>
          </w:p>
        </w:tc>
        <w:tc>
          <w:tcPr>
            <w:tcW w:w="3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8,725</w:t>
            </w:r>
          </w:p>
        </w:tc>
        <w:tc>
          <w:tcPr>
            <w:tcW w:w="320" w:type="dxa"/>
            <w:vAlign w:val="bottom"/>
            <w:shd w:val="clear" w:color="auto" w:fill="CFF0FC"/>
          </w:tcPr>
          <w:p>
            <w:pPr>
              <w:spacing w:after="0"/>
              <w:rPr>
                <w:sz w:val="16"/>
                <w:szCs w:val="16"/>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16"/>
                <w:szCs w:val="16"/>
                <w:color w:val="auto"/>
              </w:rPr>
            </w:pPr>
          </w:p>
        </w:tc>
      </w:tr>
      <w:tr>
        <w:trPr>
          <w:trHeight w:val="183"/>
        </w:trPr>
        <w:tc>
          <w:tcPr>
            <w:tcW w:w="6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r>
      <w:tr>
        <w:trPr>
          <w:trHeight w:val="189"/>
        </w:trPr>
        <w:tc>
          <w:tcPr>
            <w:tcW w:w="6600" w:type="dxa"/>
            <w:vAlign w:val="bottom"/>
          </w:tcPr>
          <w:p>
            <w:pPr>
              <w:ind w:left="20"/>
              <w:spacing w:after="0" w:line="169" w:lineRule="exact"/>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39"/>
              <w:spacing w:after="0" w:line="169" w:lineRule="exact"/>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13,388</w:t>
            </w:r>
          </w:p>
        </w:tc>
        <w:tc>
          <w:tcPr>
            <w:tcW w:w="380" w:type="dxa"/>
            <w:vAlign w:val="bottom"/>
          </w:tcPr>
          <w:p>
            <w:pPr>
              <w:spacing w:after="0"/>
              <w:rPr>
                <w:sz w:val="16"/>
                <w:szCs w:val="16"/>
                <w:color w:val="auto"/>
              </w:rPr>
            </w:pPr>
          </w:p>
        </w:tc>
        <w:tc>
          <w:tcPr>
            <w:tcW w:w="36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8,697</w:t>
            </w:r>
          </w:p>
        </w:tc>
        <w:tc>
          <w:tcPr>
            <w:tcW w:w="320" w:type="dxa"/>
            <w:vAlign w:val="bottom"/>
          </w:tcPr>
          <w:p>
            <w:pPr>
              <w:spacing w:after="0"/>
              <w:rPr>
                <w:sz w:val="16"/>
                <w:szCs w:val="16"/>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9"/>
        </w:trPr>
        <w:tc>
          <w:tcPr>
            <w:tcW w:w="66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r>
      <w:tr>
        <w:trPr>
          <w:trHeight w:val="203"/>
        </w:trPr>
        <w:tc>
          <w:tcPr>
            <w:tcW w:w="6600" w:type="dxa"/>
            <w:vAlign w:val="bottom"/>
          </w:tcPr>
          <w:p>
            <w:pPr>
              <w:ind w:left="20"/>
              <w:spacing w:after="0"/>
              <w:rPr>
                <w:sz w:val="20"/>
                <w:szCs w:val="20"/>
                <w:color w:val="auto"/>
              </w:rPr>
            </w:pPr>
            <w:r>
              <w:rPr>
                <w:rFonts w:ascii="Arial" w:cs="Arial" w:eastAsia="Arial" w:hAnsi="Arial"/>
                <w:sz w:val="16"/>
                <w:szCs w:val="16"/>
                <w:color w:val="auto"/>
              </w:rPr>
              <w:t>Net income per share:</w:t>
            </w: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0.21</w:t>
            </w:r>
          </w:p>
        </w:tc>
        <w:tc>
          <w:tcPr>
            <w:tcW w:w="3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0.14</w:t>
            </w:r>
          </w:p>
        </w:tc>
        <w:tc>
          <w:tcPr>
            <w:tcW w:w="32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0.20</w:t>
            </w:r>
          </w:p>
        </w:tc>
        <w:tc>
          <w:tcPr>
            <w:tcW w:w="380" w:type="dxa"/>
            <w:vAlign w:val="bottom"/>
          </w:tcPr>
          <w:p>
            <w:pPr>
              <w:spacing w:after="0"/>
              <w:rPr>
                <w:sz w:val="17"/>
                <w:szCs w:val="17"/>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0.14</w:t>
            </w:r>
          </w:p>
        </w:tc>
        <w:tc>
          <w:tcPr>
            <w:tcW w:w="320" w:type="dxa"/>
            <w:vAlign w:val="bottom"/>
          </w:tcPr>
          <w:p>
            <w:pPr>
              <w:spacing w:after="0"/>
              <w:rPr>
                <w:sz w:val="17"/>
                <w:szCs w:val="17"/>
                <w:color w:val="auto"/>
              </w:rPr>
            </w:pPr>
          </w:p>
        </w:tc>
      </w:tr>
      <w:tr>
        <w:trPr>
          <w:trHeight w:val="203"/>
        </w:trPr>
        <w:tc>
          <w:tcPr>
            <w:tcW w:w="66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w:t>
            </w: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89"/>
        </w:trPr>
        <w:tc>
          <w:tcPr>
            <w:tcW w:w="6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FF0FC"/>
          </w:tcPr>
          <w:p>
            <w:pPr>
              <w:spacing w:after="0"/>
              <w:rPr>
                <w:sz w:val="16"/>
                <w:szCs w:val="16"/>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64,080</w:t>
            </w:r>
          </w:p>
        </w:tc>
        <w:tc>
          <w:tcPr>
            <w:tcW w:w="3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62,153</w:t>
            </w:r>
          </w:p>
        </w:tc>
        <w:tc>
          <w:tcPr>
            <w:tcW w:w="320" w:type="dxa"/>
            <w:vAlign w:val="bottom"/>
            <w:shd w:val="clear" w:color="auto" w:fill="CFF0FC"/>
          </w:tcPr>
          <w:p>
            <w:pPr>
              <w:spacing w:after="0"/>
              <w:rPr>
                <w:sz w:val="16"/>
                <w:szCs w:val="16"/>
                <w:color w:val="auto"/>
              </w:rPr>
            </w:pPr>
          </w:p>
        </w:tc>
      </w:tr>
      <w:tr>
        <w:trPr>
          <w:trHeight w:val="206"/>
        </w:trPr>
        <w:tc>
          <w:tcPr>
            <w:tcW w:w="6600" w:type="dxa"/>
            <w:vAlign w:val="bottom"/>
          </w:tcPr>
          <w:p>
            <w:pPr>
              <w:ind w:left="20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68,370</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63,000</w:t>
            </w:r>
          </w:p>
        </w:tc>
        <w:tc>
          <w:tcPr>
            <w:tcW w:w="3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-2141855</wp:posOffset>
            </wp:positionV>
            <wp:extent cx="7747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-2141855</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-1653540</wp:posOffset>
            </wp:positionV>
            <wp:extent cx="7747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-1653540</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0" w:name="page11"/>
    <w:bookmarkEnd w:id="10"/>
    <w:p>
      <w:pPr>
        <w:jc w:val="center"/>
        <w:ind w:right="100"/>
        <w:spacing w:after="0"/>
        <w:rPr>
          <w:sz w:val="20"/>
          <w:szCs w:val="20"/>
          <w:color w:val="auto"/>
        </w:rPr>
      </w:pPr>
      <w:r>
        <w:rPr>
          <w:rFonts w:ascii="Arial" w:cs="Arial" w:eastAsia="Arial" w:hAnsi="Arial"/>
          <w:sz w:val="18"/>
          <w:szCs w:val="18"/>
          <w:color w:val="auto"/>
        </w:rPr>
        <w:t>DESTINATION XL GROUP, INC.</w:t>
      </w:r>
    </w:p>
    <w:p>
      <w:pPr>
        <w:spacing w:after="0" w:line="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CONDENSED CONSOLIDATED BALANCE SHEETS</w:t>
      </w:r>
    </w:p>
    <w:p>
      <w:pPr>
        <w:jc w:val="center"/>
        <w:ind w:right="100"/>
        <w:spacing w:after="0" w:line="234" w:lineRule="auto"/>
        <w:rPr>
          <w:sz w:val="20"/>
          <w:szCs w:val="20"/>
          <w:color w:val="auto"/>
        </w:rPr>
      </w:pPr>
      <w:r>
        <w:rPr>
          <w:rFonts w:ascii="Arial" w:cs="Arial" w:eastAsia="Arial" w:hAnsi="Arial"/>
          <w:sz w:val="18"/>
          <w:szCs w:val="18"/>
          <w:color w:val="auto"/>
        </w:rPr>
        <w:t>April 30, 2022, January 29, 2022 and May 1, 2021</w:t>
      </w:r>
    </w:p>
    <w:p>
      <w:pPr>
        <w:jc w:val="center"/>
        <w:ind w:right="100"/>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right"/>
              <w:ind w:right="472"/>
              <w:spacing w:after="0"/>
              <w:rPr>
                <w:sz w:val="20"/>
                <w:szCs w:val="20"/>
                <w:color w:val="auto"/>
              </w:rPr>
            </w:pPr>
            <w:r>
              <w:rPr>
                <w:rFonts w:ascii="Arial" w:cs="Arial" w:eastAsia="Arial" w:hAnsi="Arial"/>
                <w:sz w:val="14"/>
                <w:szCs w:val="14"/>
                <w:color w:val="auto"/>
              </w:rPr>
              <w:t>April 30,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372"/>
              <w:spacing w:after="0"/>
              <w:rPr>
                <w:sz w:val="20"/>
                <w:szCs w:val="20"/>
                <w:color w:val="auto"/>
              </w:rPr>
            </w:pPr>
            <w:r>
              <w:rPr>
                <w:rFonts w:ascii="Arial" w:cs="Arial" w:eastAsia="Arial" w:hAnsi="Arial"/>
                <w:sz w:val="14"/>
                <w:szCs w:val="14"/>
                <w:color w:val="auto"/>
              </w:rPr>
              <w:t>January 29,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532"/>
              <w:spacing w:after="0"/>
              <w:rPr>
                <w:sz w:val="20"/>
                <w:szCs w:val="20"/>
                <w:color w:val="auto"/>
              </w:rPr>
            </w:pPr>
            <w:r>
              <w:rPr>
                <w:rFonts w:ascii="Arial" w:cs="Arial" w:eastAsia="Arial" w:hAnsi="Arial"/>
                <w:sz w:val="14"/>
                <w:szCs w:val="14"/>
                <w:color w:val="auto"/>
              </w:rPr>
              <w:t>May 1,</w:t>
            </w:r>
          </w:p>
        </w:tc>
        <w:tc>
          <w:tcPr>
            <w:tcW w:w="100" w:type="dxa"/>
            <w:vAlign w:val="bottom"/>
          </w:tcPr>
          <w:p>
            <w:pPr>
              <w:spacing w:after="0"/>
              <w:rPr>
                <w:sz w:val="15"/>
                <w:szCs w:val="15"/>
                <w:color w:val="auto"/>
              </w:rPr>
            </w:pPr>
          </w:p>
        </w:tc>
      </w:tr>
      <w:tr>
        <w:trPr>
          <w:trHeight w:val="181"/>
        </w:trPr>
        <w:tc>
          <w:tcPr>
            <w:tcW w:w="5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2022</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r>
      <w:tr>
        <w:trPr>
          <w:trHeight w:val="196"/>
        </w:trPr>
        <w:tc>
          <w:tcPr>
            <w:tcW w:w="5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7,540</w:t>
            </w:r>
          </w:p>
        </w:tc>
        <w:tc>
          <w:tcPr>
            <w:tcW w:w="5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15,506</w:t>
            </w:r>
          </w:p>
        </w:tc>
        <w:tc>
          <w:tcPr>
            <w:tcW w:w="4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5,843</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20"/>
              <w:spacing w:after="0" w:line="202" w:lineRule="exact"/>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96,868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81,764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88,390</w:t>
            </w:r>
          </w:p>
        </w:tc>
        <w:tc>
          <w:tcPr>
            <w:tcW w:w="100" w:type="dxa"/>
            <w:vAlign w:val="bottom"/>
          </w:tcPr>
          <w:p>
            <w:pPr>
              <w:spacing w:after="0"/>
              <w:rPr>
                <w:sz w:val="17"/>
                <w:szCs w:val="17"/>
                <w:color w:val="auto"/>
              </w:rPr>
            </w:pPr>
          </w:p>
        </w:tc>
      </w:tr>
      <w:tr>
        <w:trPr>
          <w:trHeight w:val="203"/>
        </w:trPr>
        <w:tc>
          <w:tcPr>
            <w:tcW w:w="5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9,249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8,725</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11,052</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42,150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44,442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52,591</w:t>
            </w:r>
          </w:p>
        </w:tc>
        <w:tc>
          <w:tcPr>
            <w:tcW w:w="100" w:type="dxa"/>
            <w:vAlign w:val="bottom"/>
          </w:tcPr>
          <w:p>
            <w:pPr>
              <w:spacing w:after="0"/>
              <w:rPr>
                <w:sz w:val="17"/>
                <w:szCs w:val="17"/>
                <w:color w:val="auto"/>
              </w:rPr>
            </w:pPr>
          </w:p>
        </w:tc>
      </w:tr>
      <w:tr>
        <w:trPr>
          <w:trHeight w:val="203"/>
        </w:trPr>
        <w:tc>
          <w:tcPr>
            <w:tcW w:w="5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129,877</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127,812</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130,061</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1,150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1,150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1,150</w:t>
            </w:r>
          </w:p>
        </w:tc>
        <w:tc>
          <w:tcPr>
            <w:tcW w:w="100" w:type="dxa"/>
            <w:vAlign w:val="bottom"/>
          </w:tcPr>
          <w:p>
            <w:pPr>
              <w:spacing w:after="0"/>
              <w:rPr>
                <w:sz w:val="17"/>
                <w:szCs w:val="17"/>
                <w:color w:val="auto"/>
              </w:rPr>
            </w:pPr>
          </w:p>
        </w:tc>
      </w:tr>
      <w:tr>
        <w:trPr>
          <w:trHeight w:val="203"/>
        </w:trPr>
        <w:tc>
          <w:tcPr>
            <w:tcW w:w="59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560</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559</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900" w:type="dxa"/>
            <w:vAlign w:val="bottom"/>
          </w:tcPr>
          <w:p>
            <w:pPr>
              <w:ind w:left="200"/>
              <w:spacing w:after="0" w:line="182" w:lineRule="exact"/>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287,394</w:t>
            </w:r>
          </w:p>
        </w:tc>
        <w:tc>
          <w:tcPr>
            <w:tcW w:w="54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279,958</w:t>
            </w:r>
          </w:p>
        </w:tc>
        <w:tc>
          <w:tcPr>
            <w:tcW w:w="46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289,685</w:t>
            </w:r>
          </w:p>
        </w:tc>
        <w:tc>
          <w:tcPr>
            <w:tcW w:w="100" w:type="dxa"/>
            <w:vAlign w:val="bottom"/>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9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900" w:type="dxa"/>
            <w:vAlign w:val="bottom"/>
          </w:tcPr>
          <w:p>
            <w:pPr>
              <w:ind w:left="20"/>
              <w:spacing w:after="0" w:line="202" w:lineRule="exact"/>
              <w:rPr>
                <w:sz w:val="20"/>
                <w:szCs w:val="20"/>
                <w:color w:val="auto"/>
              </w:rPr>
            </w:pPr>
            <w:r>
              <w:rPr>
                <w:rFonts w:ascii="Arial" w:cs="Arial" w:eastAsia="Arial" w:hAnsi="Arial"/>
                <w:sz w:val="18"/>
                <w:szCs w:val="18"/>
                <w:color w:val="auto"/>
              </w:rPr>
              <w:t>LIABILITIES AND STOCKHOLDERS' EQUITY</w:t>
            </w: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9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540" w:type="dxa"/>
            <w:vAlign w:val="bottom"/>
            <w:gridSpan w:val="2"/>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29,413</w:t>
            </w: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25,165</w:t>
            </w:r>
          </w:p>
        </w:tc>
        <w:tc>
          <w:tcPr>
            <w:tcW w:w="4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31,639</w:t>
            </w:r>
          </w:p>
        </w:tc>
        <w:tc>
          <w:tcPr>
            <w:tcW w:w="100" w:type="dxa"/>
            <w:vAlign w:val="bottom"/>
          </w:tcPr>
          <w:p>
            <w:pPr>
              <w:spacing w:after="0"/>
              <w:rPr>
                <w:sz w:val="17"/>
                <w:szCs w:val="17"/>
                <w:color w:val="auto"/>
              </w:rPr>
            </w:pPr>
          </w:p>
        </w:tc>
      </w:tr>
      <w:tr>
        <w:trPr>
          <w:trHeight w:val="203"/>
        </w:trPr>
        <w:tc>
          <w:tcPr>
            <w:tcW w:w="5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expenses and other liabilities</w:t>
            </w: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34,476</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40,969</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30,261</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20"/>
              <w:spacing w:after="0" w:line="202" w:lineRule="exact"/>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155,445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155,605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168,187</w:t>
            </w:r>
          </w:p>
        </w:tc>
        <w:tc>
          <w:tcPr>
            <w:tcW w:w="100" w:type="dxa"/>
            <w:vAlign w:val="bottom"/>
          </w:tcPr>
          <w:p>
            <w:pPr>
              <w:spacing w:after="0"/>
              <w:rPr>
                <w:sz w:val="17"/>
                <w:szCs w:val="17"/>
                <w:color w:val="auto"/>
              </w:rPr>
            </w:pPr>
          </w:p>
        </w:tc>
      </w:tr>
      <w:tr>
        <w:trPr>
          <w:trHeight w:val="203"/>
        </w:trPr>
        <w:tc>
          <w:tcPr>
            <w:tcW w:w="5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debt</w:t>
            </w: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16,743</w:t>
            </w:r>
          </w:p>
        </w:tc>
        <w:tc>
          <w:tcPr>
            <w:tcW w:w="100" w:type="dxa"/>
            <w:vAlign w:val="bottom"/>
            <w:shd w:val="clear" w:color="auto" w:fill="CFF0FC"/>
          </w:tcPr>
          <w:p>
            <w:pPr>
              <w:spacing w:after="0"/>
              <w:rPr>
                <w:sz w:val="17"/>
                <w:szCs w:val="17"/>
                <w:color w:val="auto"/>
              </w:rPr>
            </w:pPr>
          </w:p>
        </w:tc>
      </w:tr>
      <w:tr>
        <w:trPr>
          <w:trHeight w:val="203"/>
        </w:trPr>
        <w:tc>
          <w:tcPr>
            <w:tcW w:w="5900" w:type="dxa"/>
            <w:vAlign w:val="bottom"/>
          </w:tcPr>
          <w:p>
            <w:pPr>
              <w:ind w:left="20"/>
              <w:spacing w:after="0" w:line="202" w:lineRule="exact"/>
              <w:rPr>
                <w:sz w:val="20"/>
                <w:szCs w:val="20"/>
                <w:color w:val="auto"/>
              </w:rPr>
            </w:pPr>
            <w:r>
              <w:rPr>
                <w:rFonts w:ascii="Arial" w:cs="Arial" w:eastAsia="Arial" w:hAnsi="Arial"/>
                <w:sz w:val="18"/>
                <w:szCs w:val="18"/>
                <w:color w:val="auto"/>
              </w:rPr>
              <w:t>Borrowings under credit facility</w:t>
            </w:r>
          </w:p>
        </w:tc>
        <w:tc>
          <w:tcPr>
            <w:tcW w:w="3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33,371</w:t>
            </w:r>
          </w:p>
        </w:tc>
        <w:tc>
          <w:tcPr>
            <w:tcW w:w="100" w:type="dxa"/>
            <w:vAlign w:val="bottom"/>
          </w:tcPr>
          <w:p>
            <w:pPr>
              <w:spacing w:after="0"/>
              <w:rPr>
                <w:sz w:val="17"/>
                <w:szCs w:val="17"/>
                <w:color w:val="auto"/>
              </w:rPr>
            </w:pPr>
          </w:p>
        </w:tc>
      </w:tr>
      <w:tr>
        <w:trPr>
          <w:trHeight w:val="203"/>
        </w:trPr>
        <w:tc>
          <w:tcPr>
            <w:tcW w:w="59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3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68,060</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58,219</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900" w:type="dxa"/>
            <w:vAlign w:val="bottom"/>
          </w:tcPr>
          <w:p>
            <w:pPr>
              <w:ind w:left="20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287,394</w:t>
            </w:r>
          </w:p>
        </w:tc>
        <w:tc>
          <w:tcPr>
            <w:tcW w:w="54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279,958</w:t>
            </w:r>
          </w:p>
        </w:tc>
        <w:tc>
          <w:tcPr>
            <w:tcW w:w="46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289,685</w:t>
            </w:r>
          </w:p>
        </w:tc>
        <w:tc>
          <w:tcPr>
            <w:tcW w:w="100" w:type="dxa"/>
            <w:vAlign w:val="bottom"/>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-1479550</wp:posOffset>
            </wp:positionV>
            <wp:extent cx="7747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-1479550</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-1479550</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-159385</wp:posOffset>
            </wp:positionV>
            <wp:extent cx="7747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-159385</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i w:val="1"/>
          <w:iCs w:val="1"/>
          <w:color w:val="auto"/>
        </w:rPr>
        <w:t>CERTAIN COLUMNS IN THE FOLLOWING TABLES MAY NOT FOOT DUE TO ROUNDING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 OF ADJUSTED EBITDA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80" w:type="dxa"/>
            <w:vAlign w:val="bottom"/>
            <w:gridSpan w:val="3"/>
          </w:tcPr>
          <w:p>
            <w:pPr>
              <w:jc w:val="right"/>
              <w:spacing w:after="0"/>
              <w:rPr>
                <w:sz w:val="20"/>
                <w:szCs w:val="20"/>
                <w:color w:val="auto"/>
              </w:rPr>
            </w:pPr>
            <w:r>
              <w:rPr>
                <w:rFonts w:ascii="Arial" w:cs="Arial" w:eastAsia="Arial" w:hAnsi="Arial"/>
                <w:sz w:val="14"/>
                <w:szCs w:val="14"/>
                <w:color w:val="auto"/>
              </w:rPr>
              <w:t>For the three months ended</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gridSpan w:val="2"/>
          </w:tcPr>
          <w:p>
            <w:pPr>
              <w:jc w:val="right"/>
              <w:ind w:right="980"/>
              <w:spacing w:after="0"/>
              <w:rPr>
                <w:sz w:val="20"/>
                <w:szCs w:val="20"/>
                <w:color w:val="auto"/>
              </w:rPr>
            </w:pPr>
            <w:r>
              <w:rPr>
                <w:rFonts w:ascii="Arial" w:cs="Arial" w:eastAsia="Arial" w:hAnsi="Arial"/>
                <w:sz w:val="14"/>
                <w:szCs w:val="14"/>
                <w:color w:val="auto"/>
              </w:rPr>
              <w:t>April 30, 2022</w:t>
            </w:r>
          </w:p>
        </w:tc>
        <w:tc>
          <w:tcPr>
            <w:tcW w:w="600" w:type="dxa"/>
            <w:vAlign w:val="bottom"/>
          </w:tcPr>
          <w:p>
            <w:pPr>
              <w:spacing w:after="0"/>
              <w:rPr>
                <w:sz w:val="15"/>
                <w:szCs w:val="15"/>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4"/>
                <w:szCs w:val="14"/>
                <w:color w:val="auto"/>
                <w:w w:val="95"/>
              </w:rPr>
              <w:t>May 1, 2021</w:t>
            </w:r>
          </w:p>
        </w:tc>
      </w:tr>
      <w:tr>
        <w:trPr>
          <w:trHeight w:val="142"/>
        </w:trPr>
        <w:tc>
          <w:tcPr>
            <w:tcW w:w="20" w:type="dxa"/>
            <w:vAlign w:val="bottom"/>
          </w:tcPr>
          <w:p>
            <w:pPr>
              <w:spacing w:after="0"/>
              <w:rPr>
                <w:sz w:val="12"/>
                <w:szCs w:val="12"/>
                <w:color w:val="auto"/>
              </w:rPr>
            </w:pPr>
          </w:p>
        </w:tc>
        <w:tc>
          <w:tcPr>
            <w:tcW w:w="672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3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720" w:type="dxa"/>
            <w:vAlign w:val="bottom"/>
            <w:gridSpan w:val="2"/>
          </w:tcPr>
          <w:p>
            <w:pPr>
              <w:spacing w:after="0"/>
              <w:rPr>
                <w:sz w:val="20"/>
                <w:szCs w:val="20"/>
                <w:color w:val="auto"/>
              </w:rPr>
            </w:pPr>
            <w:r>
              <w:rPr>
                <w:rFonts w:ascii="Arial" w:cs="Arial" w:eastAsia="Arial" w:hAnsi="Arial"/>
                <w:sz w:val="14"/>
                <w:szCs w:val="14"/>
                <w:color w:val="auto"/>
              </w:rPr>
              <w:t>Net income (GAAP basis)</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13.4</w:t>
            </w:r>
          </w:p>
        </w:tc>
        <w:tc>
          <w:tcPr>
            <w:tcW w:w="400" w:type="dxa"/>
            <w:vAlign w:val="bottom"/>
          </w:tcPr>
          <w:p>
            <w:pPr>
              <w:spacing w:after="0"/>
              <w:rPr>
                <w:sz w:val="15"/>
                <w:szCs w:val="15"/>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r>
      <w:tr>
        <w:trPr>
          <w:trHeight w:val="176"/>
        </w:trPr>
        <w:tc>
          <w:tcPr>
            <w:tcW w:w="67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Add back:</w:t>
            </w:r>
          </w:p>
        </w:tc>
        <w:tc>
          <w:tcPr>
            <w:tcW w:w="32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740" w:type="dxa"/>
            <w:vAlign w:val="bottom"/>
            <w:gridSpan w:val="3"/>
          </w:tcPr>
          <w:p>
            <w:pPr>
              <w:ind w:left="20"/>
              <w:spacing w:after="0"/>
              <w:rPr>
                <w:sz w:val="20"/>
                <w:szCs w:val="20"/>
                <w:color w:val="auto"/>
              </w:rPr>
            </w:pPr>
            <w:r>
              <w:rPr>
                <w:rFonts w:ascii="Arial" w:cs="Arial" w:eastAsia="Arial" w:hAnsi="Arial"/>
                <w:sz w:val="14"/>
                <w:szCs w:val="14"/>
                <w:color w:val="auto"/>
              </w:rPr>
              <w:t>Impairment (gain) of assets</w:t>
            </w:r>
          </w:p>
        </w:tc>
        <w:tc>
          <w:tcPr>
            <w:tcW w:w="320" w:type="dxa"/>
            <w:vAlign w:val="bottom"/>
          </w:tcPr>
          <w:p>
            <w:pPr>
              <w:spacing w:after="0"/>
              <w:rPr>
                <w:sz w:val="15"/>
                <w:szCs w:val="15"/>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4"/>
                <w:szCs w:val="14"/>
                <w:color w:val="auto"/>
              </w:rPr>
              <w:t>(0.4 )</w:t>
            </w:r>
          </w:p>
        </w:tc>
        <w:tc>
          <w:tcPr>
            <w:tcW w:w="600" w:type="dxa"/>
            <w:vAlign w:val="bottom"/>
          </w:tcPr>
          <w:p>
            <w:pPr>
              <w:spacing w:after="0"/>
              <w:rPr>
                <w:sz w:val="15"/>
                <w:szCs w:val="15"/>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4"/>
                <w:szCs w:val="14"/>
                <w:color w:val="auto"/>
              </w:rPr>
              <w:t>(0.7 )</w:t>
            </w:r>
          </w:p>
        </w:tc>
      </w:tr>
      <w:tr>
        <w:trPr>
          <w:trHeight w:val="176"/>
        </w:trPr>
        <w:tc>
          <w:tcPr>
            <w:tcW w:w="67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Provision for income taxes</w:t>
            </w:r>
          </w:p>
        </w:tc>
        <w:tc>
          <w:tcPr>
            <w:tcW w:w="32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4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r>
      <w:tr>
        <w:trPr>
          <w:trHeight w:val="175"/>
        </w:trPr>
        <w:tc>
          <w:tcPr>
            <w:tcW w:w="6740" w:type="dxa"/>
            <w:vAlign w:val="bottom"/>
            <w:gridSpan w:val="3"/>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0.1</w:t>
            </w: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r>
      <w:tr>
        <w:trPr>
          <w:trHeight w:val="176"/>
        </w:trPr>
        <w:tc>
          <w:tcPr>
            <w:tcW w:w="67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Borders>
              <w:bottom w:val="single" w:sz="8" w:color="auto"/>
            </w:tcBorders>
            <w:shd w:val="clear" w:color="auto" w:fill="CFF0FC"/>
          </w:tcPr>
          <w:p>
            <w:pPr>
              <w:spacing w:after="0"/>
              <w:rPr>
                <w:sz w:val="15"/>
                <w:szCs w:val="15"/>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4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740" w:type="dxa"/>
            <w:vAlign w:val="bottom"/>
            <w:gridSpan w:val="3"/>
          </w:tcPr>
          <w:p>
            <w:pPr>
              <w:ind w:left="20"/>
              <w:spacing w:after="0"/>
              <w:rPr>
                <w:sz w:val="20"/>
                <w:szCs w:val="20"/>
                <w:color w:val="auto"/>
              </w:rPr>
            </w:pPr>
            <w:r>
              <w:rPr>
                <w:rFonts w:ascii="Arial" w:cs="Arial" w:eastAsia="Arial" w:hAnsi="Arial"/>
                <w:sz w:val="14"/>
                <w:szCs w:val="14"/>
                <w:color w:val="auto"/>
              </w:rPr>
              <w:t>Adjusted EBITDA (non-GAAP basis)</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400" w:type="dxa"/>
            <w:vAlign w:val="bottom"/>
          </w:tcPr>
          <w:p>
            <w:pPr>
              <w:spacing w:after="0"/>
              <w:rPr>
                <w:sz w:val="14"/>
                <w:szCs w:val="14"/>
                <w:color w:val="auto"/>
              </w:rPr>
            </w:pPr>
          </w:p>
        </w:tc>
        <w:tc>
          <w:tcPr>
            <w:tcW w:w="6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-142240</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 OF FREE CASH FLOW</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80" w:type="dxa"/>
            <w:vAlign w:val="bottom"/>
            <w:gridSpan w:val="3"/>
          </w:tcPr>
          <w:p>
            <w:pPr>
              <w:jc w:val="center"/>
              <w:ind w:left="1248"/>
              <w:spacing w:after="0"/>
              <w:rPr>
                <w:sz w:val="20"/>
                <w:szCs w:val="20"/>
                <w:color w:val="auto"/>
              </w:rPr>
            </w:pPr>
            <w:r>
              <w:rPr>
                <w:rFonts w:ascii="Arial" w:cs="Arial" w:eastAsia="Arial" w:hAnsi="Arial"/>
                <w:sz w:val="14"/>
                <w:szCs w:val="14"/>
                <w:color w:val="auto"/>
                <w:w w:val="91"/>
              </w:rPr>
              <w:t>For the three months ended</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20" w:type="dxa"/>
            <w:vAlign w:val="bottom"/>
            <w:gridSpan w:val="2"/>
          </w:tcPr>
          <w:p>
            <w:pPr>
              <w:jc w:val="right"/>
              <w:ind w:right="928"/>
              <w:spacing w:after="0"/>
              <w:rPr>
                <w:sz w:val="20"/>
                <w:szCs w:val="20"/>
                <w:color w:val="auto"/>
              </w:rPr>
            </w:pPr>
            <w:r>
              <w:rPr>
                <w:rFonts w:ascii="Arial" w:cs="Arial" w:eastAsia="Arial" w:hAnsi="Arial"/>
                <w:sz w:val="14"/>
                <w:szCs w:val="14"/>
                <w:color w:val="auto"/>
              </w:rPr>
              <w:t>April 30, 2022</w:t>
            </w:r>
          </w:p>
        </w:tc>
        <w:tc>
          <w:tcPr>
            <w:tcW w:w="860" w:type="dxa"/>
            <w:vAlign w:val="bottom"/>
          </w:tcPr>
          <w:p>
            <w:pPr>
              <w:spacing w:after="0"/>
              <w:rPr>
                <w:sz w:val="15"/>
                <w:szCs w:val="15"/>
                <w:color w:val="auto"/>
              </w:rPr>
            </w:pPr>
          </w:p>
        </w:tc>
        <w:tc>
          <w:tcPr>
            <w:tcW w:w="1780" w:type="dxa"/>
            <w:vAlign w:val="bottom"/>
            <w:gridSpan w:val="2"/>
          </w:tcPr>
          <w:p>
            <w:pPr>
              <w:jc w:val="right"/>
              <w:ind w:right="1020"/>
              <w:spacing w:after="0"/>
              <w:rPr>
                <w:sz w:val="20"/>
                <w:szCs w:val="20"/>
                <w:color w:val="auto"/>
              </w:rPr>
            </w:pPr>
            <w:r>
              <w:rPr>
                <w:rFonts w:ascii="Arial" w:cs="Arial" w:eastAsia="Arial" w:hAnsi="Arial"/>
                <w:sz w:val="14"/>
                <w:szCs w:val="14"/>
                <w:color w:val="auto"/>
                <w:w w:val="95"/>
              </w:rPr>
              <w:t>May 1, 2021</w:t>
            </w:r>
          </w:p>
        </w:tc>
        <w:tc>
          <w:tcPr>
            <w:tcW w:w="0" w:type="dxa"/>
            <w:vAlign w:val="bottom"/>
          </w:tcPr>
          <w:p>
            <w:pPr>
              <w:spacing w:after="0"/>
              <w:rPr>
                <w:sz w:val="1"/>
                <w:szCs w:val="1"/>
                <w:color w:val="auto"/>
              </w:rPr>
            </w:pPr>
          </w:p>
        </w:tc>
      </w:tr>
      <w:tr>
        <w:trPr>
          <w:trHeight w:val="169"/>
        </w:trPr>
        <w:tc>
          <w:tcPr>
            <w:tcW w:w="4240" w:type="dxa"/>
            <w:vAlign w:val="bottom"/>
          </w:tcPr>
          <w:p>
            <w:pPr>
              <w:ind w:left="20"/>
              <w:spacing w:after="0"/>
              <w:rPr>
                <w:sz w:val="20"/>
                <w:szCs w:val="20"/>
                <w:color w:val="auto"/>
              </w:rPr>
            </w:pPr>
            <w:r>
              <w:rPr>
                <w:rFonts w:ascii="Arial" w:cs="Arial" w:eastAsia="Arial" w:hAnsi="Arial"/>
                <w:sz w:val="14"/>
                <w:szCs w:val="14"/>
                <w:color w:val="auto"/>
              </w:rPr>
              <w:t>Cash flow from operating activities (GAAP basis)</w:t>
            </w:r>
          </w:p>
        </w:tc>
        <w:tc>
          <w:tcPr>
            <w:tcW w:w="1880" w:type="dxa"/>
            <w:vAlign w:val="bottom"/>
          </w:tcPr>
          <w:p>
            <w:pPr>
              <w:spacing w:after="0"/>
              <w:rPr>
                <w:sz w:val="14"/>
                <w:szCs w:val="14"/>
                <w:color w:val="auto"/>
              </w:rPr>
            </w:pPr>
          </w:p>
        </w:tc>
        <w:tc>
          <w:tcPr>
            <w:tcW w:w="3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380" w:type="dxa"/>
            <w:vAlign w:val="bottom"/>
          </w:tcPr>
          <w:p>
            <w:pPr>
              <w:jc w:val="right"/>
              <w:ind w:right="248"/>
              <w:spacing w:after="0"/>
              <w:rPr>
                <w:sz w:val="20"/>
                <w:szCs w:val="20"/>
                <w:color w:val="auto"/>
              </w:rPr>
            </w:pPr>
            <w:r>
              <w:rPr>
                <w:rFonts w:ascii="Arial" w:cs="Arial" w:eastAsia="Arial" w:hAnsi="Arial"/>
                <w:sz w:val="14"/>
                <w:szCs w:val="14"/>
                <w:color w:val="auto"/>
                <w:w w:val="84"/>
              </w:rPr>
              <w:t>)</w:t>
            </w:r>
          </w:p>
        </w:tc>
        <w:tc>
          <w:tcPr>
            <w:tcW w:w="860" w:type="dxa"/>
            <w:vAlign w:val="bottom"/>
            <w:tcBorders>
              <w:top w:val="single" w:sz="8" w:color="auto"/>
            </w:tcBorders>
          </w:tcPr>
          <w:p>
            <w:pPr>
              <w:jc w:val="center"/>
              <w:ind w:right="70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Capital expenditures</w:t>
            </w:r>
          </w:p>
        </w:tc>
        <w:tc>
          <w:tcPr>
            <w:tcW w:w="18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12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rPr>
              <w:t>(1.2 )</w:t>
            </w:r>
          </w:p>
        </w:tc>
        <w:tc>
          <w:tcPr>
            <w:tcW w:w="86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(0.8 )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18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40" w:type="dxa"/>
            <w:vAlign w:val="bottom"/>
          </w:tcPr>
          <w:p>
            <w:pPr>
              <w:ind w:left="20"/>
              <w:spacing w:after="0" w:line="155" w:lineRule="exact"/>
              <w:rPr>
                <w:sz w:val="20"/>
                <w:szCs w:val="20"/>
                <w:color w:val="auto"/>
              </w:rPr>
            </w:pPr>
            <w:r>
              <w:rPr>
                <w:rFonts w:ascii="Arial" w:cs="Arial" w:eastAsia="Arial" w:hAnsi="Arial"/>
                <w:sz w:val="14"/>
                <w:szCs w:val="14"/>
                <w:color w:val="auto"/>
              </w:rPr>
              <w:t>Free Cash Flow (non-GAAP basis)</w:t>
            </w:r>
          </w:p>
        </w:tc>
        <w:tc>
          <w:tcPr>
            <w:tcW w:w="1880" w:type="dxa"/>
            <w:vAlign w:val="bottom"/>
          </w:tcPr>
          <w:p>
            <w:pPr>
              <w:spacing w:after="0"/>
              <w:rPr>
                <w:sz w:val="14"/>
                <w:szCs w:val="14"/>
                <w:color w:val="auto"/>
              </w:rPr>
            </w:pPr>
          </w:p>
        </w:tc>
        <w:tc>
          <w:tcPr>
            <w:tcW w:w="360" w:type="dxa"/>
            <w:vAlign w:val="bottom"/>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2120" w:type="dxa"/>
            <w:vAlign w:val="bottom"/>
            <w:gridSpan w:val="2"/>
          </w:tcPr>
          <w:p>
            <w:pPr>
              <w:jc w:val="right"/>
              <w:ind w:right="248"/>
              <w:spacing w:after="0" w:line="155" w:lineRule="exact"/>
              <w:rPr>
                <w:sz w:val="20"/>
                <w:szCs w:val="20"/>
                <w:color w:val="auto"/>
              </w:rPr>
            </w:pPr>
            <w:r>
              <w:rPr>
                <w:rFonts w:ascii="Arial" w:cs="Arial" w:eastAsia="Arial" w:hAnsi="Arial"/>
                <w:sz w:val="14"/>
                <w:szCs w:val="14"/>
                <w:color w:val="auto"/>
              </w:rPr>
              <w:t>(2.7 )</w:t>
            </w:r>
          </w:p>
        </w:tc>
        <w:tc>
          <w:tcPr>
            <w:tcW w:w="860" w:type="dxa"/>
            <w:vAlign w:val="bottom"/>
          </w:tcPr>
          <w:p>
            <w:pPr>
              <w:jc w:val="center"/>
              <w:ind w:right="708"/>
              <w:spacing w:after="0" w:line="155" w:lineRule="exact"/>
              <w:rPr>
                <w:sz w:val="20"/>
                <w:szCs w:val="20"/>
                <w:color w:val="auto"/>
              </w:rPr>
            </w:pPr>
            <w:r>
              <w:rPr>
                <w:rFonts w:ascii="Arial" w:cs="Arial" w:eastAsia="Arial" w:hAnsi="Arial"/>
                <w:sz w:val="14"/>
                <w:szCs w:val="14"/>
                <w:color w:val="auto"/>
              </w:rPr>
              <w:t>$</w:t>
            </w:r>
          </w:p>
        </w:tc>
        <w:tc>
          <w:tcPr>
            <w:tcW w:w="1680" w:type="dxa"/>
            <w:vAlign w:val="bottom"/>
          </w:tcPr>
          <w:p>
            <w:pPr>
              <w:jc w:val="right"/>
              <w:spacing w:after="0" w:line="155" w:lineRule="exact"/>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80" w:type="dxa"/>
            <w:vAlign w:val="bottom"/>
            <w:vMerge w:val="restart"/>
          </w:tcPr>
          <w:p>
            <w:pPr>
              <w:jc w:val="right"/>
              <w:ind w:right="341"/>
              <w:spacing w:after="0"/>
              <w:rPr>
                <w:sz w:val="20"/>
                <w:szCs w:val="20"/>
                <w:color w:val="auto"/>
              </w:rPr>
            </w:pPr>
            <w:r>
              <w:rPr>
                <w:rFonts w:ascii="Arial" w:cs="Arial" w:eastAsia="Arial" w:hAnsi="Arial"/>
                <w:sz w:val="20"/>
                <w:szCs w:val="20"/>
                <w:color w:val="auto"/>
              </w:rPr>
              <w:t>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2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2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-630555</wp:posOffset>
            </wp:positionV>
            <wp:extent cx="685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-630555</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2022-05-26T07:09:03Z</dcterms:created>
  <dcterms:modified xsi:type="dcterms:W3CDTF">2022-05-26T07:09:03Z</dcterms:modified>
</cp:coreProperties>
</file>