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333-256990</w:t>
      </w:r>
    </w:p>
    <w:p>
      <w:pPr>
        <w:spacing w:after="0" w:line="139" w:lineRule="exact"/>
        <w:rPr>
          <w:sz w:val="24"/>
          <w:szCs w:val="24"/>
          <w:color w:val="auto"/>
        </w:rPr>
      </w:pPr>
    </w:p>
    <w:p>
      <w:pPr>
        <w:ind w:left="120" w:right="4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the selling stockholder is not soliciting offers to buy these securities in any jurisdiction where the offer or sale is not permitted.</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SEPTEMBER 9, 2021</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June 21, 2021)</w:t>
      </w:r>
    </w:p>
    <w:p>
      <w:pPr>
        <w:spacing w:after="0" w:line="29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5,733,076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178435</wp:posOffset>
            </wp:positionV>
            <wp:extent cx="107124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This prospectus supplement relates to the sale by Red Mountain Partners, L.P. of 5,733,076 shares of common stock of Destination XL Group, Inc. We are not selling any shares under this prospectus, and we will not receive any proceeds from the sale of shares by the selling stockholder.</w:t>
      </w:r>
    </w:p>
    <w:p>
      <w:pPr>
        <w:spacing w:after="0" w:line="124" w:lineRule="exact"/>
        <w:rPr>
          <w:sz w:val="24"/>
          <w:szCs w:val="24"/>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“DXLG.” On September 8, 2021, the closing price of our common stock on the Nasdaq Global Market was $6.74 per share.</w:t>
      </w:r>
    </w:p>
    <w:p>
      <w:pPr>
        <w:spacing w:after="0" w:line="157" w:lineRule="exact"/>
        <w:rPr>
          <w:sz w:val="24"/>
          <w:szCs w:val="24"/>
          <w:color w:val="auto"/>
        </w:rPr>
      </w:pPr>
    </w:p>
    <w:p>
      <w:pPr>
        <w:ind w:left="120" w:right="600" w:firstLine="44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and in the documents incorporated by reference herein for a discussion of information that should be considered in connection with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205105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54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Underwriting discounts and commissions (1)</w:t>
            </w:r>
          </w:p>
        </w:tc>
        <w:tc>
          <w:tcPr>
            <w:tcW w:w="21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selling stockholder</w:t>
            </w:r>
          </w:p>
        </w:tc>
        <w:tc>
          <w:tcPr>
            <w:tcW w:w="212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 including reimbursement of certain expenses.</w:t>
      </w:r>
    </w:p>
    <w:p>
      <w:pPr>
        <w:spacing w:after="0" w:line="329" w:lineRule="exact"/>
        <w:rPr>
          <w:sz w:val="24"/>
          <w:szCs w:val="24"/>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supplement. Any representation to the contrary is a criminal offense.</w:t>
      </w:r>
    </w:p>
    <w:p>
      <w:pPr>
        <w:spacing w:after="0" w:line="144"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7520" w:type="dxa"/>
            <w:vAlign w:val="bottom"/>
            <w:gridSpan w:val="3"/>
          </w:tcPr>
          <w:p>
            <w:pPr>
              <w:spacing w:after="0"/>
              <w:rPr>
                <w:sz w:val="20"/>
                <w:szCs w:val="20"/>
                <w:color w:val="auto"/>
              </w:rPr>
            </w:pPr>
            <w:r>
              <w:rPr>
                <w:rFonts w:ascii="Arial" w:cs="Arial" w:eastAsia="Arial" w:hAnsi="Arial"/>
                <w:sz w:val="18"/>
                <w:szCs w:val="18"/>
                <w:color w:val="auto"/>
                <w:w w:val="90"/>
              </w:rPr>
              <w:t>The underwriters expect to deliver the shares of common stock against payment on or about September</w:t>
            </w:r>
          </w:p>
        </w:tc>
        <w:tc>
          <w:tcPr>
            <w:tcW w:w="3500" w:type="dxa"/>
            <w:vAlign w:val="bottom"/>
          </w:tcPr>
          <w:p>
            <w:pPr>
              <w:jc w:val="right"/>
              <w:ind w:right="2803"/>
              <w:spacing w:after="0"/>
              <w:rPr>
                <w:sz w:val="20"/>
                <w:szCs w:val="20"/>
                <w:color w:val="auto"/>
              </w:rPr>
            </w:pPr>
            <w:r>
              <w:rPr>
                <w:rFonts w:ascii="Arial" w:cs="Arial" w:eastAsia="Arial" w:hAnsi="Arial"/>
                <w:sz w:val="18"/>
                <w:szCs w:val="18"/>
                <w:color w:val="auto"/>
              </w:rPr>
              <w:t>, 2021.</w:t>
            </w: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i w:val="1"/>
                <w:iCs w:val="1"/>
                <w:color w:val="auto"/>
              </w:rPr>
              <w:t>Joint Book-Running Managers</w:t>
            </w:r>
          </w:p>
        </w:tc>
        <w:tc>
          <w:tcPr>
            <w:tcW w:w="3500" w:type="dxa"/>
            <w:vAlign w:val="bottom"/>
          </w:tcPr>
          <w:p>
            <w:pPr>
              <w:spacing w:after="0"/>
              <w:rPr>
                <w:sz w:val="24"/>
                <w:szCs w:val="24"/>
                <w:color w:val="auto"/>
              </w:rPr>
            </w:pPr>
          </w:p>
        </w:tc>
      </w:tr>
      <w:tr>
        <w:trPr>
          <w:trHeight w:val="694"/>
        </w:trPr>
        <w:tc>
          <w:tcPr>
            <w:tcW w:w="7520" w:type="dxa"/>
            <w:vAlign w:val="bottom"/>
            <w:gridSpan w:val="3"/>
          </w:tcPr>
          <w:p>
            <w:pPr>
              <w:spacing w:after="0"/>
              <w:rPr>
                <w:sz w:val="20"/>
                <w:szCs w:val="20"/>
                <w:color w:val="auto"/>
              </w:rPr>
            </w:pPr>
            <w:r>
              <w:rPr>
                <w:rFonts w:ascii="Arial" w:cs="Arial" w:eastAsia="Arial" w:hAnsi="Arial"/>
                <w:sz w:val="29"/>
                <w:szCs w:val="29"/>
                <w:b w:val="1"/>
                <w:bCs w:val="1"/>
                <w:color w:val="auto"/>
              </w:rPr>
              <w:t>D.A. DAVIDSON &amp; CO.</w:t>
            </w:r>
          </w:p>
        </w:tc>
        <w:tc>
          <w:tcPr>
            <w:tcW w:w="3500" w:type="dxa"/>
            <w:vAlign w:val="bottom"/>
          </w:tcPr>
          <w:p>
            <w:pPr>
              <w:jc w:val="right"/>
              <w:spacing w:after="0"/>
              <w:rPr>
                <w:sz w:val="20"/>
                <w:szCs w:val="20"/>
                <w:color w:val="auto"/>
              </w:rPr>
            </w:pPr>
            <w:r>
              <w:rPr>
                <w:rFonts w:ascii="Arial" w:cs="Arial" w:eastAsia="Arial" w:hAnsi="Arial"/>
                <w:sz w:val="29"/>
                <w:szCs w:val="29"/>
                <w:b w:val="1"/>
                <w:bCs w:val="1"/>
                <w:color w:val="auto"/>
              </w:rPr>
              <w:t>CRAIG-HALLUM</w:t>
            </w:r>
          </w:p>
        </w:tc>
      </w:tr>
    </w:tbl>
    <w:p>
      <w:pPr>
        <w:spacing w:after="0" w:line="197" w:lineRule="exact"/>
        <w:rPr>
          <w:sz w:val="24"/>
          <w:szCs w:val="24"/>
          <w:color w:val="auto"/>
        </w:rPr>
      </w:pPr>
    </w:p>
    <w:p>
      <w:pPr>
        <w:sectPr>
          <w:pgSz w:w="11900" w:h="16838" w:orient="portrait"/>
          <w:cols w:equalWidth="0" w:num="1">
            <w:col w:w="11140"/>
          </w:cols>
          <w:pgMar w:left="320" w:top="230" w:right="439" w:bottom="1440" w:gutter="0" w:footer="0" w:header="0"/>
        </w:sectPr>
      </w:pPr>
    </w:p>
    <w:p>
      <w:pPr>
        <w:jc w:val="center"/>
        <w:ind w:right="-119"/>
        <w:spacing w:after="0"/>
        <w:tabs>
          <w:tab w:leader="none" w:pos="160" w:val="left"/>
        </w:tabs>
        <w:rPr>
          <w:sz w:val="20"/>
          <w:szCs w:val="20"/>
          <w:color w:val="auto"/>
        </w:rPr>
      </w:pPr>
      <w:r>
        <w:rPr>
          <w:rFonts w:ascii="Arial" w:cs="Arial" w:eastAsia="Arial" w:hAnsi="Arial"/>
          <w:sz w:val="18"/>
          <w:szCs w:val="18"/>
          <w:color w:val="auto"/>
        </w:rPr>
        <w:t>The date of this prospectus supplement is September</w:t>
      </w:r>
      <w:r>
        <w:rPr>
          <w:sz w:val="20"/>
          <w:szCs w:val="20"/>
          <w:color w:val="auto"/>
        </w:rPr>
        <w:tab/>
      </w:r>
      <w:r>
        <w:rPr>
          <w:rFonts w:ascii="Arial" w:cs="Arial" w:eastAsia="Arial" w:hAnsi="Arial"/>
          <w:sz w:val="16"/>
          <w:szCs w:val="16"/>
          <w:color w:val="auto"/>
        </w:rPr>
        <w:t>,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tcPr>
          <w:p>
            <w:pPr>
              <w:jc w:val="right"/>
              <w:ind w:right="4471"/>
              <w:spacing w:after="0"/>
              <w:rPr>
                <w:sz w:val="20"/>
                <w:szCs w:val="20"/>
                <w:color w:val="auto"/>
              </w:rPr>
            </w:pPr>
            <w:r>
              <w:rPr>
                <w:rFonts w:ascii="Arial" w:cs="Arial" w:eastAsia="Arial" w:hAnsi="Arial"/>
                <w:sz w:val="18"/>
                <w:szCs w:val="18"/>
                <w:b w:val="1"/>
                <w:bCs w:val="1"/>
                <w:color w:val="auto"/>
                <w:w w:val="98"/>
              </w:rPr>
              <w:t>Prospectus Supplement</w:t>
            </w: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54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1800" w:type="dxa"/>
            <w:vAlign w:val="bottom"/>
            <w:gridSpan w:val="3"/>
          </w:tcPr>
          <w:p>
            <w:pPr>
              <w:spacing w:after="0"/>
              <w:rPr>
                <w:sz w:val="16"/>
                <w:szCs w:val="16"/>
                <w:color w:val="auto"/>
              </w:rPr>
            </w:pPr>
          </w:p>
        </w:tc>
        <w:tc>
          <w:tcPr>
            <w:tcW w:w="662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920" w:type="dxa"/>
            <w:vAlign w:val="bottom"/>
            <w:gridSpan w:val="4"/>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Cautionary Note Regarding Forward-Looking Statements</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4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200" w:type="dxa"/>
            <w:vAlign w:val="bottom"/>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Selling Stockholder</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2920" w:type="dxa"/>
            <w:vAlign w:val="bottom"/>
            <w:gridSpan w:val="6"/>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340" w:type="dxa"/>
            <w:vAlign w:val="bottom"/>
            <w:gridSpan w:val="8"/>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6"/>
        </w:trPr>
        <w:tc>
          <w:tcPr>
            <w:tcW w:w="434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3"/>
          </w:tcPr>
          <w:p>
            <w:pPr>
              <w:spacing w:after="0"/>
              <w:rPr>
                <w:sz w:val="17"/>
                <w:szCs w:val="17"/>
                <w:color w:val="auto"/>
              </w:rPr>
            </w:pPr>
          </w:p>
        </w:tc>
        <w:tc>
          <w:tcPr>
            <w:tcW w:w="1480" w:type="dxa"/>
            <w:vAlign w:val="bottom"/>
            <w:gridSpan w:val="2"/>
          </w:tcPr>
          <w:p>
            <w:pPr>
              <w:spacing w:after="0"/>
              <w:rPr>
                <w:sz w:val="17"/>
                <w:szCs w:val="17"/>
                <w:color w:val="auto"/>
              </w:rPr>
            </w:pPr>
          </w:p>
        </w:tc>
        <w:tc>
          <w:tcPr>
            <w:tcW w:w="662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40" w:type="dxa"/>
            <w:vAlign w:val="bottom"/>
          </w:tcPr>
          <w:p>
            <w:pPr>
              <w:jc w:val="right"/>
              <w:ind w:right="4951"/>
              <w:spacing w:after="0"/>
              <w:rPr>
                <w:sz w:val="20"/>
                <w:szCs w:val="20"/>
                <w:color w:val="auto"/>
              </w:rPr>
            </w:pPr>
            <w:r>
              <w:rPr>
                <w:rFonts w:ascii="Arial" w:cs="Arial" w:eastAsia="Arial" w:hAnsi="Arial"/>
                <w:sz w:val="18"/>
                <w:szCs w:val="18"/>
                <w:b w:val="1"/>
                <w:bCs w:val="1"/>
                <w:color w:val="auto"/>
              </w:rPr>
              <w:t>Prospectus</w:t>
            </w:r>
          </w:p>
        </w:tc>
      </w:tr>
      <w:tr>
        <w:trPr>
          <w:trHeight w:val="37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64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About This Prospectus</w:t>
              </w:r>
            </w:hyperlink>
          </w:p>
        </w:tc>
        <w:tc>
          <w:tcPr>
            <w:tcW w:w="2880" w:type="dxa"/>
            <w:vAlign w:val="bottom"/>
            <w:gridSpan w:val="10"/>
          </w:tcPr>
          <w:p>
            <w:pPr>
              <w:spacing w:after="0"/>
              <w:rPr>
                <w:sz w:val="16"/>
                <w:szCs w:val="16"/>
                <w:color w:val="auto"/>
              </w:rPr>
            </w:pPr>
          </w:p>
        </w:tc>
        <w:tc>
          <w:tcPr>
            <w:tcW w:w="6440" w:type="dxa"/>
            <w:vAlign w:val="bottom"/>
          </w:tcPr>
          <w:p>
            <w:pPr>
              <w:jc w:val="right"/>
              <w:spacing w:after="0" w:line="190" w:lineRule="exact"/>
              <w:rPr>
                <w:sz w:val="20"/>
                <w:szCs w:val="20"/>
                <w:color w:val="auto"/>
              </w:rPr>
            </w:pPr>
            <w:r>
              <w:rPr>
                <w:rFonts w:ascii="Arial" w:cs="Arial" w:eastAsia="Arial" w:hAnsi="Arial"/>
                <w:sz w:val="18"/>
                <w:szCs w:val="18"/>
                <w:color w:val="auto"/>
              </w:rPr>
              <w:t>ii</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Prospectus Summary</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000" w:type="dxa"/>
            <w:vAlign w:val="bottom"/>
            <w:gridSpan w:val="12"/>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Special Note Regarding Forward-Looking Information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580" w:type="dxa"/>
            <w:vAlign w:val="bottom"/>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Description of Common Stock</w:t>
              </w:r>
            </w:hyperlink>
          </w:p>
        </w:tc>
        <w:tc>
          <w:tcPr>
            <w:tcW w:w="2300" w:type="dxa"/>
            <w:vAlign w:val="bottom"/>
            <w:gridSpan w:val="6"/>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Preferred Stock</w:t>
              </w:r>
            </w:hyperlink>
          </w:p>
        </w:tc>
        <w:tc>
          <w:tcPr>
            <w:tcW w:w="2320" w:type="dxa"/>
            <w:vAlign w:val="bottom"/>
            <w:gridSpan w:val="7"/>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Depositary Shares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Warrants</w:t>
              </w:r>
            </w:hyperlink>
          </w:p>
        </w:tc>
        <w:tc>
          <w:tcPr>
            <w:tcW w:w="2140" w:type="dxa"/>
            <w:vAlign w:val="bottom"/>
            <w:gridSpan w:val="5"/>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Description of Debt Securities</w:t>
              </w:r>
            </w:hyperlink>
          </w:p>
        </w:tc>
        <w:tc>
          <w:tcPr>
            <w:tcW w:w="2340" w:type="dxa"/>
            <w:vAlign w:val="bottom"/>
            <w:gridSpan w:val="8"/>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Purchase Contracts</w:t>
              </w:r>
            </w:hyperlink>
          </w:p>
        </w:tc>
        <w:tc>
          <w:tcPr>
            <w:tcW w:w="2060" w:type="dxa"/>
            <w:vAlign w:val="bottom"/>
            <w:gridSpan w:val="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Rights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54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Description of Units</w:t>
              </w:r>
            </w:hyperlink>
          </w:p>
        </w:tc>
        <w:tc>
          <w:tcPr>
            <w:tcW w:w="2980" w:type="dxa"/>
            <w:vAlign w:val="bottom"/>
            <w:gridSpan w:val="11"/>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Selling Stockholders</w:t>
              </w:r>
            </w:hyperlink>
          </w:p>
        </w:tc>
        <w:tc>
          <w:tcPr>
            <w:tcW w:w="3020" w:type="dxa"/>
            <w:vAlign w:val="bottom"/>
            <w:gridSpan w:val="13"/>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3060" w:type="dxa"/>
            <w:vAlign w:val="bottom"/>
            <w:gridSpan w:val="14"/>
          </w:tcPr>
          <w:p>
            <w:pPr>
              <w:spacing w:after="0"/>
              <w:rPr>
                <w:sz w:val="17"/>
                <w:szCs w:val="17"/>
                <w:color w:val="auto"/>
              </w:rPr>
            </w:pPr>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gridSpan w:val="1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196"/>
        </w:trPr>
        <w:tc>
          <w:tcPr>
            <w:tcW w:w="452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6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supplement and the accompanying base prospectus are part of a registration statement on Form S-3 (Registration</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No. 333-256990) we filed with the Securities and Exchange Commission, or the “SEC,” using a “shelf” registration process. This document is in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only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9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You should rely only on information contained in or incorporated by reference in this prospectus supplement and the accompanying prospectus. None of the Company, the selling stockholder or the underwriter has authorized anyone to provide you with any information or to make any representations other than those contained or incorporated by reference herein.</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None of the Company, the selling stockholder or the underwriter takes responsibility for, and can provide no assurance as to the reliability of, any other information that others may give you. This prospectus supplement is an offer to sell only the shares offered hereby, but only under circumstances and in jurisdictions where it is lawful to do so. Neither the selling stockholder nor the underwriter are making an offer to sell or seeking offers to buy the shares in any jurisdiction where an offer or sale is not permitted. The information contained in this prospectus supplement is current only as of the date of this prospectus supplement regardless of the time of delivery of this prospectus supplement or of any sale of our common stock. Our business, financial condition, results of operation and prospects may have changed since that date.</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We own various U.S. federal trademark registrations and applications, and unregistered trademarks and service marks, including “DXL” and our corporate logo. All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us by, any other companies.</w:t>
      </w:r>
    </w:p>
    <w:p>
      <w:pPr>
        <w:spacing w:after="0" w:line="16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supplement also includes references to our “net promoter score,” or NPS, which we use to gauge our customers’ brand loyalty and satisfaction, and can range from -100 to +100. Responses to a single question “Based on your experience, would you recommend DXL?” are collected on a scale from 0 to 10. Based on the rating, customers are then classified into three categories: detractors (responding 0 through 6); passives (responding 7 through 8); and promoters (responding 9 through 10). Our net promoter score was calculated by using the standard methodology of subtracting the detractors from the promoters. The NPS gives no weight to customers who decline to answer the survey question. While the NPS benchmark can vary significantly by industry, we believe this method is substantially consistent with how businesses across our industry typically calculate their NPS.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8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08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firstLine="426"/>
        <w:spacing w:after="0" w:line="289" w:lineRule="auto"/>
        <w:rPr>
          <w:sz w:val="20"/>
          <w:szCs w:val="20"/>
          <w:color w:val="auto"/>
        </w:rPr>
      </w:pPr>
      <w:r>
        <w:rPr>
          <w:rFonts w:ascii="Arial" w:cs="Arial" w:eastAsia="Arial" w:hAnsi="Arial"/>
          <w:sz w:val="16"/>
          <w:szCs w:val="16"/>
          <w:i w:val="1"/>
          <w:iCs w:val="1"/>
          <w:color w:val="auto"/>
        </w:rPr>
        <w:t>This summary description about us and our business highlights selected information contained elsewhere in this prospectus supplement or incorporated by reference in this prospectus supplement and the accompanying prospectus. This summary does not contain all of the information you should consider before deciding to invest in our common stock. You should carefully read this entire prospectus supplement, the accompanying prospectus and any related free writing prospectus, including each of the documents incorporated by reference herein or therein, before making an investment decision. Investors should carefully consider the information set forth under “Risk Factors” and the financial statements and related notes incorporated by reference into this prospectus supplement, the accompanying prospectus and in any related free writing prospectus, and under similar headings in the other documents that are incorporated by reference into this prospectus supplement before deciding to invest in shares of our common stock. Unless the context requires otherwise, references in this prospectus supplement to “our company,” “we,” “us” and “our” refer to Destination XL Group, Inc. and its consolidated subsidiaries, except where the context otherwise requires.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Destination XL Group, Inc., together with its subsidiaries (the “Company”), is the largest specialty retailer of big &amp; tall men’s clothing and shoes with retail, wholesale and direct operations in the United States and Toronto, Canada. We operate under the trade names of Destination XL</w:t>
      </w:r>
      <w:r>
        <w:rPr>
          <w:rFonts w:ascii="Arial" w:cs="Arial" w:eastAsia="Arial" w:hAnsi="Arial"/>
          <w:sz w:val="15"/>
          <w:szCs w:val="15"/>
          <w:color w:val="auto"/>
        </w:rPr>
        <w:t>®</w:t>
      </w:r>
      <w:r>
        <w:rPr>
          <w:rFonts w:ascii="Arial" w:cs="Arial" w:eastAsia="Arial" w:hAnsi="Arial"/>
          <w:sz w:val="18"/>
          <w:szCs w:val="18"/>
          <w:color w:val="auto"/>
        </w:rPr>
        <w:t>, DXL</w:t>
      </w:r>
      <w:r>
        <w:rPr>
          <w:rFonts w:ascii="Arial" w:cs="Arial" w:eastAsia="Arial" w:hAnsi="Arial"/>
          <w:sz w:val="15"/>
          <w:szCs w:val="15"/>
          <w:color w:val="auto"/>
        </w:rPr>
        <w:t>®</w:t>
      </w:r>
      <w:r>
        <w:rPr>
          <w:rFonts w:ascii="Arial" w:cs="Arial" w:eastAsia="Arial" w:hAnsi="Arial"/>
          <w:sz w:val="18"/>
          <w:szCs w:val="18"/>
          <w:color w:val="auto"/>
        </w:rPr>
        <w:t>, DXL outlets, Casual Male XL</w:t>
      </w:r>
      <w:r>
        <w:rPr>
          <w:rFonts w:ascii="Arial" w:cs="Arial" w:eastAsia="Arial" w:hAnsi="Arial"/>
          <w:sz w:val="15"/>
          <w:szCs w:val="15"/>
          <w:color w:val="auto"/>
        </w:rPr>
        <w:t>®</w:t>
      </w:r>
      <w:r>
        <w:rPr>
          <w:rFonts w:ascii="Arial" w:cs="Arial" w:eastAsia="Arial" w:hAnsi="Arial"/>
          <w:sz w:val="18"/>
          <w:szCs w:val="18"/>
          <w:color w:val="auto"/>
        </w:rPr>
        <w:t xml:space="preserve"> and Casual Male XL outlets. At July 31, 2021, we operated 221 DXL retail stores, 16 DXL outlet stores, 40 Casual Male XL retail stores, 20 Casual Male XL outlet stores and a digital business, including an e-commerce site at </w:t>
      </w:r>
      <w:r>
        <w:rPr>
          <w:rFonts w:ascii="Arial" w:cs="Arial" w:eastAsia="Arial" w:hAnsi="Arial"/>
          <w:sz w:val="18"/>
          <w:szCs w:val="18"/>
          <w:i w:val="1"/>
          <w:iCs w:val="1"/>
          <w:color w:val="auto"/>
        </w:rPr>
        <w:t>www.dxl.com</w:t>
      </w:r>
      <w:r>
        <w:rPr>
          <w:rFonts w:ascii="Arial" w:cs="Arial" w:eastAsia="Arial" w:hAnsi="Arial"/>
          <w:sz w:val="18"/>
          <w:szCs w:val="18"/>
          <w:color w:val="auto"/>
        </w:rPr>
        <w:t xml:space="preserve"> and a mobile site </w:t>
      </w:r>
      <w:r>
        <w:rPr>
          <w:rFonts w:ascii="Arial" w:cs="Arial" w:eastAsia="Arial" w:hAnsi="Arial"/>
          <w:sz w:val="18"/>
          <w:szCs w:val="18"/>
          <w:i w:val="1"/>
          <w:iCs w:val="1"/>
          <w:color w:val="auto"/>
        </w:rPr>
        <w:t>m.destinationXL.com</w:t>
      </w:r>
      <w:r>
        <w:rPr>
          <w:rFonts w:ascii="Arial" w:cs="Arial" w:eastAsia="Arial" w:hAnsi="Arial"/>
          <w:sz w:val="18"/>
          <w:szCs w:val="18"/>
          <w:color w:val="auto"/>
        </w:rPr>
        <w:t xml:space="preserve"> and mobile app.</w:t>
      </w:r>
    </w:p>
    <w:p>
      <w:pPr>
        <w:spacing w:after="0" w:line="188"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We define the big &amp; tall men’s clothing market as starting at a waist size of 36” and greater, as well as tops sized 1XL and greater. Growth in this segment historically has been driven by rapidly changing market demographics. We believe that we can increase our market share by catering to the broader target market, attracting customers from various income, age and lifestyle segments and offering the widest selection of sizes and styles that fit well. We believe opportunity continues to exist for market share growth from the lower-size range of our market, that is, men with a 38” to 43” waist size, which are usually the size range for most men’s apparel retailers that are not core to their mix. In addition to these lower sizes, opportunity for further growth also exists with men with a 54” or greater waist size.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We operate as an omni-channel retailer of big &amp; tall men’s clothing and shoes. Through our multiple brands, which include both branded apparel and private-label, we provide a premium, personalized shopping experience, whether in-store or digitally, with a broad range of merchandise at varying price points, catering from the value-oriented customer to the luxury customer. In addition to our retail channels, we also launched a wholesale channel in fiscal 2018. We believe the total core addressable market for big &amp; tall men’s clothing and shoes is approximately $10 billion. We determined this core market, defined as sizes XXL+ and waist sizes 42”+, with assistance from The NPD Group. The following illustrates the markets in which we operate, identified based</w:t>
      </w:r>
    </w:p>
    <w:p>
      <w:pPr>
        <w:spacing w:after="0" w:line="3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on The NPD Group data and Company research, and our estimate of the Company’s market share in each (based on the low-end of the Company’s guidance for fiscal 2021 of $490 million):</w:t>
      </w:r>
    </w:p>
    <w:p>
      <w:pPr>
        <w:spacing w:after="0" w:line="18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auto"/>
                <w:w w:val="93"/>
              </w:rPr>
              <w:t>Market</w:t>
            </w:r>
          </w:p>
        </w:tc>
        <w:tc>
          <w:tcPr>
            <w:tcW w:w="33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Arial" w:cs="Arial" w:eastAsia="Arial" w:hAnsi="Arial"/>
                <w:sz w:val="14"/>
                <w:szCs w:val="14"/>
                <w:color w:val="auto"/>
              </w:rPr>
              <w:t>Estimated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Estimated DXL</w:t>
            </w:r>
          </w:p>
        </w:tc>
        <w:tc>
          <w:tcPr>
            <w:tcW w:w="0" w:type="dxa"/>
            <w:vAlign w:val="bottom"/>
          </w:tcPr>
          <w:p>
            <w:pPr>
              <w:spacing w:after="0"/>
              <w:rPr>
                <w:sz w:val="1"/>
                <w:szCs w:val="1"/>
                <w:color w:val="auto"/>
              </w:rPr>
            </w:pPr>
          </w:p>
        </w:tc>
      </w:tr>
      <w:tr>
        <w:trPr>
          <w:trHeight w:val="159"/>
        </w:trPr>
        <w:tc>
          <w:tcPr>
            <w:tcW w:w="420" w:type="dxa"/>
            <w:vAlign w:val="bottom"/>
            <w:tcBorders>
              <w:bottom w:val="single" w:sz="8" w:color="auto"/>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1180" w:type="dxa"/>
            <w:vAlign w:val="bottom"/>
          </w:tcPr>
          <w:p>
            <w:pPr>
              <w:jc w:val="center"/>
              <w:spacing w:after="0" w:line="154" w:lineRule="exact"/>
              <w:rPr>
                <w:sz w:val="20"/>
                <w:szCs w:val="20"/>
                <w:color w:val="auto"/>
              </w:rPr>
            </w:pPr>
            <w:r>
              <w:rPr>
                <w:rFonts w:ascii="Arial" w:cs="Arial" w:eastAsia="Arial" w:hAnsi="Arial"/>
                <w:sz w:val="14"/>
                <w:szCs w:val="14"/>
                <w:color w:val="auto"/>
                <w:w w:val="94"/>
              </w:rPr>
              <w:t>Market Scope</w:t>
            </w:r>
          </w:p>
        </w:tc>
        <w:tc>
          <w:tcPr>
            <w:tcW w:w="520" w:type="dxa"/>
            <w:vAlign w:val="bottom"/>
          </w:tcPr>
          <w:p>
            <w:pPr>
              <w:spacing w:after="0"/>
              <w:rPr>
                <w:sz w:val="13"/>
                <w:szCs w:val="13"/>
                <w:color w:val="auto"/>
              </w:rPr>
            </w:pPr>
          </w:p>
        </w:tc>
        <w:tc>
          <w:tcPr>
            <w:tcW w:w="23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Market Size</w:t>
            </w:r>
          </w:p>
        </w:tc>
        <w:tc>
          <w:tcPr>
            <w:tcW w:w="116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w w:val="99"/>
              </w:rPr>
              <w:t>Market Share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Men’s Apparel</w:t>
            </w:r>
          </w:p>
        </w:tc>
        <w:tc>
          <w:tcPr>
            <w:tcW w:w="11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1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All sizes</w:t>
            </w: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5"/>
              </w:rPr>
              <w:t>56 billion</w:t>
            </w:r>
          </w:p>
        </w:tc>
        <w:tc>
          <w:tcPr>
            <w:tcW w:w="152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DXL Big &amp; Tall Market</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4"/>
              </w:rPr>
              <w:t>Sizes: XL+</w:t>
            </w: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rPr>
              <w:t>19 billion</w:t>
            </w:r>
          </w:p>
        </w:tc>
        <w:tc>
          <w:tcPr>
            <w:tcW w:w="11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All Sizes DXL Offers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Waist sizes: 36”</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Core Big &amp; Tall Market</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Sizes: XXL+</w:t>
            </w:r>
          </w:p>
        </w:tc>
        <w:tc>
          <w:tcPr>
            <w:tcW w:w="6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 billion</w:t>
            </w:r>
          </w:p>
        </w:tc>
        <w:tc>
          <w:tcPr>
            <w:tcW w:w="11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Waist sizes: 42”</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NPD Big &amp; Tall Market</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3"/>
              </w:rPr>
              <w:t>Sizes: 3XL+</w:t>
            </w: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22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7 billion*</w:t>
            </w:r>
          </w:p>
        </w:tc>
        <w:tc>
          <w:tcPr>
            <w:tcW w:w="11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Waist sizes: 46”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40" w:hanging="523"/>
        <w:spacing w:after="0"/>
        <w:tabs>
          <w:tab w:leader="none" w:pos="12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NPD Group/U.S. Consumer Tracking Service/Men’s Apparel Dollar Sales, 12 months ended January 2021</w:t>
      </w:r>
    </w:p>
    <w:p>
      <w:pPr>
        <w:spacing w:after="0" w:line="225"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Our objective is to appeal to all of our customers by providing a good, better, best array of product assortments in all primary lifestyles with multiple and convenient ways to shop. Our DXL retail stores, dxl.com and mobile app cater to all income demographics and offer our customers merchandise to fit a variety of lifestyles from casual to business, young to mature, in all price ranges and in all large sizes from XL and up. In addition, a complete offering of shoes in sizes 10W to 18W is available at dxl.com. Our Casual Male XL retail stores primarily carry moderate-priced branded and private-label casual sportswear and dresswear. We also operate Casual Male XL outlets and DXL outlets for our value-oriented customer. Beginning in the third quarter of fiscal 2020, we started to shift our merchandising strategy to more full-price messaging and lower volumes of merchandise discounts. As of the end of the second quarter of fiscal 2021, our forecasted product mix consisted of 82% casual sportswear, 13% tailored clothing and 5% footwear, with a mix of 52% private label brands and 48% collection.</w:t>
      </w:r>
    </w:p>
    <w:p>
      <w:pPr>
        <w:spacing w:after="0" w:line="178"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Through digital marketplaces, we are able to extend our reach, by providing a select offering of our merchandise to new customers who may not be current DXL customers. We experienced a 709% increase in mobile app revenue and a 72% increase in mobile downloads in the second quarter of 2021 as compared to the second quarter of 2019. Our net promoter score in our retail stores was 73 year-to-date through the end of the second quarter of 2021, and our sales return rate of 7% on e-commerce sales for fiscal year 2019 was substantially lower than an industry average of 20%.</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i w:val="1"/>
          <w:iCs w:val="1"/>
          <w:color w:val="auto"/>
        </w:rPr>
        <w:t>Fiscal 2021 Forecast</w:t>
      </w:r>
      <w:r>
        <w:rPr>
          <w:rFonts w:ascii="Arial" w:cs="Arial" w:eastAsia="Arial" w:hAnsi="Arial"/>
          <w:sz w:val="17"/>
          <w:szCs w:val="17"/>
          <w:color w:val="auto"/>
        </w:rPr>
        <w:t>. In August 2021 we announced our results for the second quarter of fiscal 2021 which exceeded our expectations.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our sales performance and trend, we increased our guidance for fiscal 2021. The high-end of our revised guidance is based on achieving a comparable sales increase for fiscal 2021 in the low double-digits as compared to fiscal 2019 (which we believe provides a more meaningful comparison than fiscal 2020 due to the COVID-19 pandemic), with our direct business representing approximately 30% of our total retail sales. We expect our gross margin rate to decrease slightly in the second half of fiscal 2021 as a result of holiday promotions, and for the full fiscal year we expect a gross margin rate in the range of 45% to 50%. We remain cautious that the current sales trend may shift for a number of reasons, including increased spread of variants of the COVID-19 virus that may result in prolonged restrictions, store closures, supply chain challenges, increased commodity costs and reduced demand for apparel.</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revised guidance for fiscal 2021 is as follows:</w:t>
      </w:r>
    </w:p>
    <w:p>
      <w:pPr>
        <w:spacing w:after="0" w:line="131" w:lineRule="exact"/>
        <w:rPr>
          <w:sz w:val="20"/>
          <w:szCs w:val="20"/>
          <w:color w:val="auto"/>
        </w:rPr>
      </w:pPr>
    </w:p>
    <w:p>
      <w:pPr>
        <w:ind w:left="1240" w:right="7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approximately $490.0 million to $505.0 million (an increase from our previously revised guidance of approximately $415.0 million to $435.0 million).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is expected to be $0.64 to $0.76 per diluted share.</w:t>
      </w:r>
    </w:p>
    <w:p>
      <w:pPr>
        <w:spacing w:after="0" w:line="130" w:lineRule="exact"/>
        <w:rPr>
          <w:rFonts w:ascii="Arial" w:cs="Arial" w:eastAsia="Arial" w:hAnsi="Arial"/>
          <w:sz w:val="18"/>
          <w:szCs w:val="18"/>
          <w:color w:val="auto"/>
        </w:rPr>
      </w:pPr>
    </w:p>
    <w:p>
      <w:pPr>
        <w:ind w:left="1240" w:right="9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approximately $65.0 million to $72.0 million (an increase from our previously revised guidance of approximately $20.0 million to $30.0 million).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operating activities in excess of $54.3 million.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excess of $50.0 million.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Adjusted EBITDA and free cash flow are non-GAAP financial measures, see “Non-GAAP Measures” below.</w:t>
      </w:r>
    </w:p>
    <w:p>
      <w:pPr>
        <w:spacing w:after="0" w:line="225"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i w:val="1"/>
          <w:iCs w:val="1"/>
          <w:color w:val="auto"/>
        </w:rPr>
        <w:t>Nasdaq Global Market Listing</w:t>
      </w:r>
      <w:r>
        <w:rPr>
          <w:rFonts w:ascii="Arial" w:cs="Arial" w:eastAsia="Arial" w:hAnsi="Arial"/>
          <w:sz w:val="18"/>
          <w:szCs w:val="18"/>
          <w:color w:val="auto"/>
        </w:rPr>
        <w:t>. In September 2021, The Nasdaq Stock Market approved our application to list our common stock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Global Market, and shares of our common stock began trading on The Nasdaq Global Market on September 8, 2021. The Company previously traded on the OTCQX market.</w:t>
      </w:r>
    </w:p>
    <w:p>
      <w:pPr>
        <w:spacing w:after="0" w:line="184"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i w:val="1"/>
          <w:iCs w:val="1"/>
          <w:color w:val="auto"/>
        </w:rPr>
        <w:t>FILO Repayment</w:t>
      </w:r>
      <w:r>
        <w:rPr>
          <w:rFonts w:ascii="Arial" w:cs="Arial" w:eastAsia="Arial" w:hAnsi="Arial"/>
          <w:sz w:val="18"/>
          <w:szCs w:val="18"/>
          <w:color w:val="auto"/>
        </w:rPr>
        <w:t>. On September 3, 2021, the Company repaid in full its outstanding $17.5 million “first-in, last-out” (FILO) term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its existing credit facility with Bank of America. The total amount paid to satisfy the loan was $18.625 million, which included approximately $1.120 million of accrued interest and prepayment fees, and was paid from available cash.</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left="300" w:right="160" w:firstLine="426"/>
        <w:spacing w:after="0" w:line="259" w:lineRule="auto"/>
        <w:rPr>
          <w:sz w:val="20"/>
          <w:szCs w:val="20"/>
          <w:color w:val="auto"/>
        </w:rPr>
      </w:pPr>
      <w:r>
        <w:rPr>
          <w:rFonts w:ascii="Arial" w:cs="Arial" w:eastAsia="Arial" w:hAnsi="Arial"/>
          <w:sz w:val="18"/>
          <w:szCs w:val="18"/>
          <w:color w:val="auto"/>
        </w:rPr>
        <w:t>Destination XL Group, Inc. was incorporated in Delaware in 1976 under the name “Kara Enterprises, Inc.” Our principal executive offices are located at 555 Turnpike Street, Canton, Massachusetts 02021 and our telephone number is (781) 828-9300. Our corporate website address is www.dxl.com. Information contained on our website is not a part of this prospectus supplement, and the inclusion of our website address in this prospectus supplement is an inactive textual reference only.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this prospectus supplement contains non-GAAP financial measures, including adjusted EBITDA and free cash flow. The presentation of these non-GAAP measures is not in accordance with GAAP, and should not be considered superior to or as a substitute for net income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65"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The Company believes that adjusted EBITDA (calculated as earnings before interest, taxes, depreciation and amortization and excluding asset impairment charges, if applicable) is useful to investors in evaluating its performance and is a key metric to measure profitability and economic productivity. 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w:t>
      </w:r>
    </w:p>
    <w:p>
      <w:pPr>
        <w:spacing w:after="0" w:line="3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60"/>
          </w:cols>
          <w:pgMar w:left="320" w:top="459" w:right="7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13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3013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80"/>
        <w:spacing w:after="0" w:line="277" w:lineRule="auto"/>
        <w:rPr>
          <w:sz w:val="20"/>
          <w:szCs w:val="20"/>
          <w:color w:val="auto"/>
        </w:rPr>
      </w:pPr>
      <w:r>
        <w:rPr>
          <w:rFonts w:ascii="Arial" w:cs="Arial" w:eastAsia="Arial" w:hAnsi="Arial"/>
          <w:sz w:val="18"/>
          <w:szCs w:val="18"/>
          <w:color w:val="auto"/>
        </w:rPr>
        <w:t>the mandatory and discretionary repayment of debt. A reconciliation of adjusted EBITDA to net income and of free cash flows to cash flow from operating activities follows:</w:t>
      </w:r>
    </w:p>
    <w:p>
      <w:pPr>
        <w:spacing w:after="0" w:line="189"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GAAP TO NON-GAAP RECONCILIATION OF ADJUSTED EBITDA (unaudited)</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5"/>
          </w:tcPr>
          <w:p>
            <w:pPr>
              <w:ind w:left="180"/>
              <w:spacing w:after="0" w:line="142" w:lineRule="exact"/>
              <w:rPr>
                <w:sz w:val="20"/>
                <w:szCs w:val="20"/>
                <w:color w:val="auto"/>
              </w:rPr>
            </w:pPr>
            <w:r>
              <w:rPr>
                <w:rFonts w:ascii="Arial" w:cs="Arial" w:eastAsia="Arial" w:hAnsi="Arial"/>
                <w:sz w:val="14"/>
                <w:szCs w:val="14"/>
                <w:b w:val="1"/>
                <w:bCs w:val="1"/>
                <w:color w:val="auto"/>
              </w:rPr>
              <w:t>Projected Fiscal 2021</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4"/>
              </w:rPr>
              <w:t>(in millions)</w:t>
            </w:r>
          </w:p>
        </w:tc>
        <w:tc>
          <w:tcPr>
            <w:tcW w:w="428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Net income (GAAP basis)</w:t>
            </w:r>
          </w:p>
        </w:tc>
        <w:tc>
          <w:tcPr>
            <w:tcW w:w="62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43.9 – $51.8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for:</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Impairment of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 – 0.8</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 – 3.6</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 – 17.7</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Adjusted EBITDA (non-GAAP basis)</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 to $72.0</w:t>
            </w:r>
          </w:p>
        </w:tc>
        <w:tc>
          <w:tcPr>
            <w:tcW w:w="2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GAAP TO NON-GAAP RECONCILIATION OF FREE CASH FLOW (unaudited)</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80" w:type="dxa"/>
            <w:vAlign w:val="bottom"/>
          </w:tcPr>
          <w:p>
            <w:pPr>
              <w:spacing w:after="0"/>
              <w:rPr>
                <w:sz w:val="24"/>
                <w:szCs w:val="24"/>
                <w:color w:val="auto"/>
              </w:rPr>
            </w:pPr>
          </w:p>
        </w:tc>
        <w:tc>
          <w:tcPr>
            <w:tcW w:w="518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Projected Fiscal 2021</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4"/>
              </w:rPr>
              <w:t>(in millions)</w:t>
            </w:r>
          </w:p>
        </w:tc>
        <w:tc>
          <w:tcPr>
            <w:tcW w:w="428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Cash flow from operating activities (GAAP basis)</w:t>
            </w:r>
          </w:p>
        </w:tc>
        <w:tc>
          <w:tcPr>
            <w:tcW w:w="86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&gt;54.3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Free cash flow (non-GAAP basis)</w:t>
            </w:r>
          </w:p>
        </w:tc>
        <w:tc>
          <w:tcPr>
            <w:tcW w:w="62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&gt;50.0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80" w:type="dxa"/>
            <w:vAlign w:val="bottom"/>
            <w:gridSpan w:val="2"/>
          </w:tcPr>
          <w:p>
            <w:pPr>
              <w:ind w:left="2600"/>
              <w:spacing w:after="0"/>
              <w:rPr>
                <w:sz w:val="20"/>
                <w:szCs w:val="20"/>
                <w:color w:val="auto"/>
              </w:rPr>
            </w:pPr>
            <w:r>
              <w:rPr>
                <w:rFonts w:ascii="Arial" w:cs="Arial" w:eastAsia="Arial" w:hAnsi="Arial"/>
                <w:sz w:val="18"/>
                <w:szCs w:val="18"/>
                <w:color w:val="auto"/>
              </w:rPr>
              <w:t>S-4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76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i w:val="1"/>
          <w:iCs w:val="1"/>
          <w:color w:val="auto"/>
        </w:rPr>
        <w:t>The following summary contains basic terms about this offering and the common stock and is not intended to be complete. It may not contain all of the information that is important to you. You should read the more detailed information contained in this prospectus supplement, including but not limited to, the risk factors beginning on page S-6 and the other risks described in the accompanying prospectus and the annual and quarterly reports incorporated by reference therein.</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Common stock offered by the selling stockholder</w:t>
            </w:r>
          </w:p>
        </w:tc>
        <w:tc>
          <w:tcPr>
            <w:tcW w:w="6540" w:type="dxa"/>
            <w:vAlign w:val="bottom"/>
            <w:gridSpan w:val="2"/>
          </w:tcPr>
          <w:p>
            <w:pPr>
              <w:ind w:left="80"/>
              <w:spacing w:after="0"/>
              <w:rPr>
                <w:sz w:val="20"/>
                <w:szCs w:val="20"/>
                <w:color w:val="auto"/>
              </w:rPr>
            </w:pPr>
            <w:r>
              <w:rPr>
                <w:rFonts w:ascii="Arial" w:cs="Arial" w:eastAsia="Arial" w:hAnsi="Arial"/>
                <w:sz w:val="18"/>
                <w:szCs w:val="18"/>
                <w:color w:val="auto"/>
              </w:rPr>
              <w:t>5,733,076 shares of common stock</w:t>
            </w:r>
          </w:p>
        </w:tc>
      </w:tr>
      <w:tr>
        <w:trPr>
          <w:trHeight w:val="458"/>
        </w:trPr>
        <w:tc>
          <w:tcPr>
            <w:tcW w:w="3960" w:type="dxa"/>
            <w:vAlign w:val="bottom"/>
          </w:tcPr>
          <w:p>
            <w:pPr>
              <w:spacing w:after="0"/>
              <w:rPr>
                <w:sz w:val="20"/>
                <w:szCs w:val="20"/>
                <w:color w:val="auto"/>
              </w:rPr>
            </w:pPr>
            <w:r>
              <w:rPr>
                <w:rFonts w:ascii="Arial" w:cs="Arial" w:eastAsia="Arial" w:hAnsi="Arial"/>
                <w:sz w:val="18"/>
                <w:szCs w:val="18"/>
                <w:color w:val="auto"/>
                <w:w w:val="91"/>
              </w:rPr>
              <w:t>Common stock to be outstanding before and after this</w:t>
            </w:r>
          </w:p>
        </w:tc>
        <w:tc>
          <w:tcPr>
            <w:tcW w:w="6540" w:type="dxa"/>
            <w:vAlign w:val="bottom"/>
            <w:gridSpan w:val="2"/>
          </w:tcPr>
          <w:p>
            <w:pPr>
              <w:ind w:left="80"/>
              <w:spacing w:after="0"/>
              <w:rPr>
                <w:sz w:val="20"/>
                <w:szCs w:val="20"/>
                <w:color w:val="auto"/>
              </w:rPr>
            </w:pPr>
            <w:r>
              <w:rPr>
                <w:rFonts w:ascii="Arial" w:cs="Arial" w:eastAsia="Arial" w:hAnsi="Arial"/>
                <w:sz w:val="18"/>
                <w:szCs w:val="18"/>
                <w:color w:val="auto"/>
              </w:rPr>
              <w:t>63,549,426 shares of common stock</w:t>
            </w:r>
          </w:p>
        </w:tc>
      </w:tr>
      <w:tr>
        <w:trPr>
          <w:trHeight w:val="230"/>
        </w:trPr>
        <w:tc>
          <w:tcPr>
            <w:tcW w:w="3960" w:type="dxa"/>
            <w:vAlign w:val="bottom"/>
          </w:tcPr>
          <w:p>
            <w:pPr>
              <w:ind w:left="80"/>
              <w:spacing w:after="0"/>
              <w:rPr>
                <w:sz w:val="20"/>
                <w:szCs w:val="20"/>
                <w:color w:val="auto"/>
              </w:rPr>
            </w:pPr>
            <w:r>
              <w:rPr>
                <w:rFonts w:ascii="Arial" w:cs="Arial" w:eastAsia="Arial" w:hAnsi="Arial"/>
                <w:sz w:val="18"/>
                <w:szCs w:val="18"/>
                <w:color w:val="auto"/>
              </w:rPr>
              <w:t>offering</w:t>
            </w:r>
          </w:p>
        </w:tc>
        <w:tc>
          <w:tcPr>
            <w:tcW w:w="80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473"/>
        </w:trPr>
        <w:tc>
          <w:tcPr>
            <w:tcW w:w="3960" w:type="dxa"/>
            <w:vAlign w:val="bottom"/>
          </w:tcPr>
          <w:p>
            <w:pPr>
              <w:spacing w:after="0"/>
              <w:rPr>
                <w:sz w:val="20"/>
                <w:szCs w:val="20"/>
                <w:color w:val="auto"/>
              </w:rPr>
            </w:pPr>
            <w:r>
              <w:rPr>
                <w:rFonts w:ascii="Arial" w:cs="Arial" w:eastAsia="Arial" w:hAnsi="Arial"/>
                <w:sz w:val="18"/>
                <w:szCs w:val="18"/>
                <w:color w:val="auto"/>
              </w:rPr>
              <w:t>Public offering price</w:t>
            </w:r>
          </w:p>
        </w:tc>
        <w:tc>
          <w:tcPr>
            <w:tcW w:w="800" w:type="dxa"/>
            <w:vAlign w:val="bottom"/>
          </w:tcPr>
          <w:p>
            <w:pPr>
              <w:ind w:left="80"/>
              <w:spacing w:after="0"/>
              <w:rPr>
                <w:sz w:val="20"/>
                <w:szCs w:val="20"/>
                <w:color w:val="auto"/>
              </w:rPr>
            </w:pPr>
            <w:r>
              <w:rPr>
                <w:rFonts w:ascii="Arial" w:cs="Arial" w:eastAsia="Arial" w:hAnsi="Arial"/>
                <w:sz w:val="18"/>
                <w:szCs w:val="18"/>
                <w:color w:val="auto"/>
              </w:rPr>
              <w:t>$</w:t>
            </w:r>
          </w:p>
        </w:tc>
        <w:tc>
          <w:tcPr>
            <w:tcW w:w="5740" w:type="dxa"/>
            <w:vAlign w:val="bottom"/>
          </w:tcPr>
          <w:p>
            <w:pPr>
              <w:ind w:left="80"/>
              <w:spacing w:after="0"/>
              <w:rPr>
                <w:sz w:val="20"/>
                <w:szCs w:val="20"/>
                <w:color w:val="auto"/>
              </w:rPr>
            </w:pPr>
            <w:r>
              <w:rPr>
                <w:rFonts w:ascii="Arial" w:cs="Arial" w:eastAsia="Arial" w:hAnsi="Arial"/>
                <w:sz w:val="18"/>
                <w:szCs w:val="18"/>
                <w:color w:val="auto"/>
              </w:rPr>
              <w:t>per share</w:t>
            </w:r>
          </w:p>
        </w:tc>
      </w:tr>
      <w:tr>
        <w:trPr>
          <w:trHeight w:val="458"/>
        </w:trPr>
        <w:tc>
          <w:tcPr>
            <w:tcW w:w="3960" w:type="dxa"/>
            <w:vAlign w:val="bottom"/>
          </w:tcPr>
          <w:p>
            <w:pPr>
              <w:spacing w:after="0"/>
              <w:rPr>
                <w:sz w:val="20"/>
                <w:szCs w:val="20"/>
                <w:color w:val="auto"/>
              </w:rPr>
            </w:pPr>
            <w:r>
              <w:rPr>
                <w:rFonts w:ascii="Arial" w:cs="Arial" w:eastAsia="Arial" w:hAnsi="Arial"/>
                <w:sz w:val="18"/>
                <w:szCs w:val="18"/>
                <w:color w:val="auto"/>
              </w:rPr>
              <w:t>Use of proceeds</w:t>
            </w:r>
          </w:p>
        </w:tc>
        <w:tc>
          <w:tcPr>
            <w:tcW w:w="6540" w:type="dxa"/>
            <w:vAlign w:val="bottom"/>
            <w:gridSpan w:val="2"/>
          </w:tcPr>
          <w:p>
            <w:pPr>
              <w:ind w:left="80"/>
              <w:spacing w:after="0"/>
              <w:rPr>
                <w:sz w:val="20"/>
                <w:szCs w:val="20"/>
                <w:color w:val="auto"/>
              </w:rPr>
            </w:pPr>
            <w:r>
              <w:rPr>
                <w:rFonts w:ascii="Arial" w:cs="Arial" w:eastAsia="Arial" w:hAnsi="Arial"/>
                <w:sz w:val="18"/>
                <w:szCs w:val="18"/>
                <w:color w:val="auto"/>
                <w:w w:val="92"/>
              </w:rPr>
              <w:t>The selling stockholder will receive all of the net proceeds from this offering. We will not</w:t>
            </w:r>
          </w:p>
        </w:tc>
      </w:tr>
      <w:tr>
        <w:trPr>
          <w:trHeight w:val="216"/>
        </w:trPr>
        <w:tc>
          <w:tcPr>
            <w:tcW w:w="3960" w:type="dxa"/>
            <w:vAlign w:val="bottom"/>
          </w:tcPr>
          <w:p>
            <w:pPr>
              <w:spacing w:after="0"/>
              <w:rPr>
                <w:sz w:val="18"/>
                <w:szCs w:val="18"/>
                <w:color w:val="auto"/>
              </w:rPr>
            </w:pPr>
          </w:p>
        </w:tc>
        <w:tc>
          <w:tcPr>
            <w:tcW w:w="6540" w:type="dxa"/>
            <w:vAlign w:val="bottom"/>
            <w:gridSpan w:val="2"/>
          </w:tcPr>
          <w:p>
            <w:pPr>
              <w:ind w:left="80"/>
              <w:spacing w:after="0"/>
              <w:rPr>
                <w:sz w:val="20"/>
                <w:szCs w:val="20"/>
                <w:color w:val="auto"/>
              </w:rPr>
            </w:pPr>
            <w:r>
              <w:rPr>
                <w:rFonts w:ascii="Arial" w:cs="Arial" w:eastAsia="Arial" w:hAnsi="Arial"/>
                <w:sz w:val="18"/>
                <w:szCs w:val="18"/>
                <w:color w:val="auto"/>
              </w:rPr>
              <w:t>receive any proceeds from the sale of shares of our common stock by the selling</w:t>
            </w:r>
          </w:p>
        </w:tc>
      </w:tr>
      <w:tr>
        <w:trPr>
          <w:trHeight w:val="230"/>
        </w:trPr>
        <w:tc>
          <w:tcPr>
            <w:tcW w:w="3960" w:type="dxa"/>
            <w:vAlign w:val="bottom"/>
          </w:tcPr>
          <w:p>
            <w:pPr>
              <w:spacing w:after="0"/>
              <w:rPr>
                <w:sz w:val="20"/>
                <w:szCs w:val="20"/>
                <w:color w:val="auto"/>
              </w:rPr>
            </w:pPr>
          </w:p>
        </w:tc>
        <w:tc>
          <w:tcPr>
            <w:tcW w:w="6540" w:type="dxa"/>
            <w:vAlign w:val="bottom"/>
            <w:gridSpan w:val="2"/>
          </w:tcPr>
          <w:p>
            <w:pPr>
              <w:ind w:left="80"/>
              <w:spacing w:after="0"/>
              <w:rPr>
                <w:sz w:val="20"/>
                <w:szCs w:val="20"/>
                <w:color w:val="auto"/>
              </w:rPr>
            </w:pPr>
            <w:r>
              <w:rPr>
                <w:rFonts w:ascii="Arial" w:cs="Arial" w:eastAsia="Arial" w:hAnsi="Arial"/>
                <w:sz w:val="18"/>
                <w:szCs w:val="18"/>
                <w:color w:val="auto"/>
              </w:rPr>
              <w:t>stockholder. See “Use of Proceeds.”</w:t>
            </w: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Risk factors</w:t>
            </w:r>
          </w:p>
        </w:tc>
        <w:tc>
          <w:tcPr>
            <w:tcW w:w="6540" w:type="dxa"/>
            <w:vAlign w:val="bottom"/>
            <w:gridSpan w:val="2"/>
          </w:tcPr>
          <w:p>
            <w:pPr>
              <w:ind w:left="80"/>
              <w:spacing w:after="0"/>
              <w:rPr>
                <w:sz w:val="20"/>
                <w:szCs w:val="20"/>
                <w:color w:val="auto"/>
              </w:rPr>
            </w:pPr>
            <w:r>
              <w:rPr>
                <w:rFonts w:ascii="Arial" w:cs="Arial" w:eastAsia="Arial" w:hAnsi="Arial"/>
                <w:sz w:val="18"/>
                <w:szCs w:val="18"/>
                <w:color w:val="auto"/>
                <w:w w:val="97"/>
              </w:rPr>
              <w:t>See the section titled “Risk Factors” of this prospectus supplement and in our base</w:t>
            </w:r>
          </w:p>
        </w:tc>
      </w:tr>
      <w:tr>
        <w:trPr>
          <w:trHeight w:val="216"/>
        </w:trPr>
        <w:tc>
          <w:tcPr>
            <w:tcW w:w="3960" w:type="dxa"/>
            <w:vAlign w:val="bottom"/>
          </w:tcPr>
          <w:p>
            <w:pPr>
              <w:spacing w:after="0"/>
              <w:rPr>
                <w:sz w:val="18"/>
                <w:szCs w:val="18"/>
                <w:color w:val="auto"/>
              </w:rPr>
            </w:pPr>
          </w:p>
        </w:tc>
        <w:tc>
          <w:tcPr>
            <w:tcW w:w="6540" w:type="dxa"/>
            <w:vAlign w:val="bottom"/>
            <w:gridSpan w:val="2"/>
          </w:tcPr>
          <w:p>
            <w:pPr>
              <w:ind w:left="80"/>
              <w:spacing w:after="0"/>
              <w:rPr>
                <w:sz w:val="20"/>
                <w:szCs w:val="20"/>
                <w:color w:val="auto"/>
              </w:rPr>
            </w:pPr>
            <w:r>
              <w:rPr>
                <w:rFonts w:ascii="Arial" w:cs="Arial" w:eastAsia="Arial" w:hAnsi="Arial"/>
                <w:sz w:val="18"/>
                <w:szCs w:val="18"/>
                <w:color w:val="auto"/>
                <w:w w:val="93"/>
              </w:rPr>
              <w:t>prospectus and the Annual Report incorporated by reference herein for a discussion of</w:t>
            </w:r>
          </w:p>
        </w:tc>
      </w:tr>
      <w:tr>
        <w:trPr>
          <w:trHeight w:val="230"/>
        </w:trPr>
        <w:tc>
          <w:tcPr>
            <w:tcW w:w="3960" w:type="dxa"/>
            <w:vAlign w:val="bottom"/>
          </w:tcPr>
          <w:p>
            <w:pPr>
              <w:spacing w:after="0"/>
              <w:rPr>
                <w:sz w:val="20"/>
                <w:szCs w:val="20"/>
                <w:color w:val="auto"/>
              </w:rPr>
            </w:pPr>
          </w:p>
        </w:tc>
        <w:tc>
          <w:tcPr>
            <w:tcW w:w="6540" w:type="dxa"/>
            <w:vAlign w:val="bottom"/>
            <w:gridSpan w:val="2"/>
          </w:tcPr>
          <w:p>
            <w:pPr>
              <w:ind w:left="80"/>
              <w:spacing w:after="0"/>
              <w:rPr>
                <w:sz w:val="20"/>
                <w:szCs w:val="20"/>
                <w:color w:val="auto"/>
              </w:rPr>
            </w:pPr>
            <w:r>
              <w:rPr>
                <w:rFonts w:ascii="Arial" w:cs="Arial" w:eastAsia="Arial" w:hAnsi="Arial"/>
                <w:sz w:val="18"/>
                <w:szCs w:val="18"/>
                <w:color w:val="auto"/>
                <w:w w:val="96"/>
              </w:rPr>
              <w:t>factors you should consider carefully before deciding to invest in our common stock.</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Nasdaq trading symbol</w:t>
            </w:r>
          </w:p>
        </w:tc>
        <w:tc>
          <w:tcPr>
            <w:tcW w:w="800" w:type="dxa"/>
            <w:vAlign w:val="bottom"/>
          </w:tcPr>
          <w:p>
            <w:pPr>
              <w:ind w:left="80"/>
              <w:spacing w:after="0"/>
              <w:rPr>
                <w:sz w:val="20"/>
                <w:szCs w:val="20"/>
                <w:color w:val="auto"/>
              </w:rPr>
            </w:pPr>
            <w:r>
              <w:rPr>
                <w:rFonts w:ascii="Arial" w:cs="Arial" w:eastAsia="Arial" w:hAnsi="Arial"/>
                <w:sz w:val="18"/>
                <w:szCs w:val="18"/>
                <w:color w:val="auto"/>
              </w:rPr>
              <w:t>“DXLG”</w:t>
            </w:r>
          </w:p>
        </w:tc>
        <w:tc>
          <w:tcPr>
            <w:tcW w:w="5740" w:type="dxa"/>
            <w:vAlign w:val="bottom"/>
          </w:tcPr>
          <w:p>
            <w:pPr>
              <w:spacing w:after="0"/>
              <w:rPr>
                <w:sz w:val="24"/>
                <w:szCs w:val="24"/>
                <w:color w:val="auto"/>
              </w:rPr>
            </w:pPr>
          </w:p>
        </w:tc>
      </w:tr>
    </w:tbl>
    <w:p>
      <w:pPr>
        <w:spacing w:after="0" w:line="215" w:lineRule="exact"/>
        <w:rPr>
          <w:sz w:val="20"/>
          <w:szCs w:val="20"/>
          <w:color w:val="auto"/>
        </w:rPr>
      </w:pPr>
    </w:p>
    <w:p>
      <w:pPr>
        <w:ind w:left="300" w:right="660" w:firstLine="426"/>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63,549,426 shares of our common stock outstanding as of August 31, 2021, which number excludes:</w:t>
      </w:r>
    </w:p>
    <w:p>
      <w:pPr>
        <w:spacing w:after="0" w:line="76" w:lineRule="exact"/>
        <w:rPr>
          <w:sz w:val="20"/>
          <w:szCs w:val="20"/>
          <w:color w:val="auto"/>
        </w:rPr>
      </w:pPr>
    </w:p>
    <w:p>
      <w:pPr>
        <w:ind w:left="1240" w:right="2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5,135,923 shares of common stock issuable upon exercise of stock options outstanding as of August 31, 2021, with exercise prices ranging from $0.53 to $5.50 per share and a weighted average exercise price of $0.96 per share;</w:t>
      </w:r>
    </w:p>
    <w:p>
      <w:pPr>
        <w:spacing w:after="0" w:line="75"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435,568 shares of deferred stock, 515,291 shares of common stock issuable upon vesting of outstanding restricted stock units and 720,000 shares issuable upon vesting of outstanding performances stock units; and</w:t>
      </w:r>
    </w:p>
    <w:p>
      <w:pPr>
        <w:spacing w:after="0" w:line="75" w:lineRule="exact"/>
        <w:rPr>
          <w:rFonts w:ascii="Arial" w:cs="Arial" w:eastAsia="Arial" w:hAnsi="Arial"/>
          <w:sz w:val="18"/>
          <w:szCs w:val="18"/>
          <w:color w:val="auto"/>
        </w:rPr>
      </w:pPr>
    </w:p>
    <w:p>
      <w:pPr>
        <w:ind w:left="1240" w:right="12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aggregate of 4,800,385 shares of common stock reserved for future issuance under our equity incentive plans and an aggregate of 777,522 shares of common stock reserved for future issuance under our Non-Employee Director Compensation Plan.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An investment in our common stock involves various risks. You should carefully consider the following risks and all of the other information contained or incorporated by reference in this prospectus supplement and the accompanying prospectus before investing in our common stock. In addition, you should read and consider the risk factors associated with our business included in the documents incorporated by reference in this prospectus supplement and the accompanying prospectus, including in “Item 1A. Risk Factors” in our Annual Report on Form 10-K for the year ended January 30, 2021 and in our quarterly reports on Form 10-Q for the quarters ended May 1, 2021 and July 31, 2021. See “Where You Can Find More Information” for information about how to obtain a copy of this and other documents. If any of those risks actually occurs, our business, prospects, operating results and financial condition could suffer materially, the trading price of our common stock could decline and you could lose all or part of your investment.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240" w:firstLine="440"/>
        <w:spacing w:after="0" w:line="375" w:lineRule="auto"/>
        <w:rPr>
          <w:sz w:val="20"/>
          <w:szCs w:val="20"/>
          <w:color w:val="auto"/>
        </w:rPr>
      </w:pPr>
      <w:r>
        <w:rPr>
          <w:rFonts w:ascii="Arial" w:cs="Arial" w:eastAsia="Arial" w:hAnsi="Arial"/>
          <w:sz w:val="15"/>
          <w:szCs w:val="15"/>
          <w:b w:val="1"/>
          <w:bCs w:val="1"/>
          <w:i w:val="1"/>
          <w:iCs w:val="1"/>
          <w:color w:val="auto"/>
        </w:rPr>
        <w:t>You may experience future dilution as a result of future equity offerings and other issuances of our securities. In addition, this offering and future equity offerings and other issuances of our common stock or other securities may adversely affect the price of our common stock.</w:t>
      </w:r>
    </w:p>
    <w:p>
      <w:pPr>
        <w:spacing w:after="0" w:line="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order to raise additional capital, we may in the future offer additional shares of common stock or other securities convertible into or exchangeable for our common stock prices that may not be the same as the price per share in this offering. We may not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securities convertible into shares of common stock in future transactions may be higher or lower than the price per share in this offering. You will incur dilution upon exercise of any outstanding stock options, warrants or upon the issuance of shares of common stock under our stock incentive programs and Non-Employee Director Compensation Plan.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substantial number of shares of our common stock may be sold in this offering, which could cause the price of our common stock to decline.</w:t>
      </w:r>
    </w:p>
    <w:p>
      <w:pPr>
        <w:spacing w:after="0" w:line="15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of common stock offered hereby represent approximately 9.0% of our outstanding common stock as of August 31, 2021. The sale of shares in this offering in the public market, or any future sales of a substantial number of shares of our common stock in the public market, or the perception that such sales may occur, could adversely affect the price of our common stock on The Nasdaq Global Market. We cannot predict the effect, if any, that market sales of those shares of common stock or the availability of those shares of common stock for sale will have on the market price of our common stock.</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We may issue shares of our common and/or preferred stock in the future which could reduce the equity interest of our stockholders and might cause a change in control of our ownership.</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certificate of incorporation authorizes the issuance of up to 125,000,000 shares of common stock, and 1,000,000 shares of preferred stock, par value $0.01 per share. We may issue shares of our common stock or preferred stock, or a combination of common and preferred stock, to raise additional funds or in connection with any strategic acquisitions. The issuance of additional shares of our common stock or any number of shares of our preferred stock:</w:t>
      </w:r>
    </w:p>
    <w:p>
      <w:pPr>
        <w:spacing w:after="0" w:line="92"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our common stockholders;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cause a change in control if a substantial number of our shares of common stock are issued, which may affect, among other things, our ability to use our net operating loss carryforwards, if any, and most likely also result in the resignation or removal of some or all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common stock.</w:t>
      </w:r>
    </w:p>
    <w:p>
      <w:pPr>
        <w:spacing w:after="0" w:line="33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volatile and fluctuate substantially. As a result, you may not be able to resell your shares at or above your purchase price.</w:t>
      </w:r>
    </w:p>
    <w:p>
      <w:pPr>
        <w:spacing w:after="0" w:line="6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market price of our common stock has been and will likely continue to fluctuate substantially as a result of many factors, some of which are beyond our control. For example, between January 4, 2021 and August 31, 2021, the last reported sale price of our common stock on the OTCQX ranged from a low of $0.26 to a high of $5.99. These fluctuations could cause you to lose all or part of the value of your investment in our common stock. Factors that could cause fluctuations in the market price of our common stock include the following:</w:t>
      </w:r>
    </w:p>
    <w:p>
      <w:pPr>
        <w:spacing w:after="0" w:line="7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changes in the economy and general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news announcements regarding our quarterly or annual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comparable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regulation (such as increased wage and paid benefits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affecting us;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views as to the prospects of the retail industry generally.</w:t>
      </w:r>
    </w:p>
    <w:p>
      <w:pPr>
        <w:spacing w:after="0" w:line="33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outstanding indebtedness and may be limited by covenants of any future indebtedness we or our subsidiaries incur, including pursuant to our credit agreement. As a result, you may not receive any return on an investment in our common stock unless you sell our common stock for a price greater than that which you paid for it.</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as amended, limits transfers of our common stock and may, along with state law, inhibit potential acquisition bids that could be beneficial to our stockholders.</w:t>
      </w:r>
    </w:p>
    <w:p>
      <w:pPr>
        <w:spacing w:after="0" w:line="6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certificate of incorporation, as amended, contains provisions that restrict any person or entity from attempting to purchase our stock, without prior permission from the Board of Directors, to the extent that such transfer would (i) create or result in an individual or entity becoming a five-percent stockholder of our stock, or (ii) increase the stock ownership percentage of any existing five-percent stockholder. These provisions provide that any transfer that violates such provisions shall be null and void and would require the purported transferee, upon demand by us, to transfer the shares that exceed the five percent limit to an agent designated by us for the purpose of conducting a sale of such excess shares. These provisions would make the acquisition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Company more expensive to the acquirer and could significantly delay, discourage, or prevent third parties from acquiring our Company without the approval of our Board of Directors.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860"/>
          </w:cols>
          <w:pgMar w:left="320" w:top="459"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prospectus supplement, including information incorporated by reference herein, contains certain “forward-looking statements” and information relating to us that are based on the beliefs of our management as well as assumptions made by, and information currently available to, us. Forward-looking statements include, but are not limited to, those statements that are based upon management’s current plans and expectations as opposed to historical and current facts and are often identified in this report by use of words including but not limited to “estimates,” “expects,” “contemplates,” “anticipates,” “projects,” “plans,” “intends,” “believes,” “forecasts,” “may,” “should” and variations of such words or similar expressions, and includes statements regarding our expected market share growth and guidance with respect to the Company’s financial performance for fiscal 2021, including expected sales, gross margin rate, adjusted EBITDA, net income and free cash flow for fiscal 2021. These statements are based upon estimates and assumptions made by our management that, although believed to be reasonable, are subject to numerous factors, risks and uncertainties that could cause actual outcomes and results to be materially different from those projected. These and other important factors, including those identified under the heading “Risk Factors” in this prospectus supplement, as such risk factors may be updated from time to time in our periodic filings with the SEC, may cause our actual results, performance or achievements to differ materially from any future results, performance or achievements expressed or implied by these forward-looking statements. Some of the factors that could cause actual results to differ materially from those expressed or implied by the forward-looking statements include, among others, the following:</w:t>
      </w:r>
    </w:p>
    <w:p>
      <w:pPr>
        <w:spacing w:after="0" w:line="79" w:lineRule="exact"/>
        <w:rPr>
          <w:sz w:val="20"/>
          <w:szCs w:val="20"/>
          <w:color w:val="auto"/>
        </w:rPr>
      </w:pPr>
    </w:p>
    <w:p>
      <w:pPr>
        <w:ind w:left="1080" w:right="2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impact of the COVID-19 pandemic that has had and will likely continue to have on our business, financial results, liquidity, supply chain and workforce;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disruptions in the global supply chain;</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our strategy and grow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operations at our central distribution center;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manage our store portfolio and obtain acceptable lease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with economic, health and political issues abroad and in the U.S.;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the price, availability and quality of raw materials and finished goods;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stock price to withstand volatility due to many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listing of our common stock on The Nasdaq Global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should evaluate all forward-looking statements made in this prospectus supplement in the context of these risks and uncertainties.</w:t>
      </w:r>
    </w:p>
    <w:p>
      <w:pPr>
        <w:spacing w:after="0" w:line="23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caution you that the risks, uncertainties and other factors referenced above, many of which are beyond our control,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supplement apply only as of the date made and are expressly qualified in their entirety by the cautionary statements included in this prospectus supplement. We undertake no obligation to publicly update or revise any forward-looking statements to reflect subsequent events or circumstances.</w:t>
      </w:r>
    </w:p>
    <w:p>
      <w:pPr>
        <w:spacing w:after="0" w:line="19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All subsequent written and oral forward-looking statements attributable to us, or persons acting on our behalf, are expressly qualified in their entirety by these cautionary statements.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00"/>
          </w:cols>
          <w:pgMar w:left="32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selling stockholder is selling the shares of common stock being sold in this offering. Accordingly, we will not receive any proceeds from the sale of common stock by the selling stockholder. The principal purpose of this offering is to facilitate an orderly distribution of common stock for the selling stockholder in the offering.</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80"/>
          </w:cols>
          <w:pgMar w:left="320" w:top="459" w:right="5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following table sets forth certain information as of August 31, 2021, regarding the selling stockholder and the shares offered by it in this prospectus supplement. The percentage of ownership of the selling stockholder in the following table is based upon 63,549,426 shares of common stock outstanding as of August 31, 2021. All information with respect to share ownership has been furnished by the selling stockholder. The common stock being offered is being registered to permit secondary trading of the shares, and the selling stockholder is offering the following shares of common stock for sale. The selling stockholder is not a registered broker-dealer or an affiliate of a registered broker-dealer.</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selling stockholder is affiliated with one of our directors, Willem Mesdag. RMCP GP LLC is the general partner of the selling stockholder. Red Mountain Capital Partners LLC (“RMCP”) is the managing member of RMCP GP LLC. Red Mountain Capital Management, Inc. (“RMCM”) is the managing member of RMCP. Mr. Mesdag is the president, sole executive officer, sole director and sole shareholder of RMCM. Each of Mr. Mesdag, RMCM and RMCP GP LLC, by virtue of their direct or indirect control of the selling stockholder, may be deemed to beneficially own some or all of the securities reported as being held by the selling stockholder. RMCP owns directly 1,269,683 shares of our common stock, which represents approximately 2.0% of our issued and outstanding common stock. In addition, Mr. Mesdag beneficially owns 15,000 shares of common stock issuable upon exercise of outstanding options, all of which are currently exercisable, and 435,568 shares of common stock receivable upon settlement of deferred stock upon his separation of service from our Board. Neither RMCP nor Mr. Mesdag is selling any shares in this offering.</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Pursuant to letter agreements between RMCP and the Company, RMCP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and its affiliates collectively would beneficially own, for purposes of Section 13(d) of the Securities Exchange Act of 1934, as amended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Company’s Board of Directors or a reduction in the number of shares of common stock issued and outstanding, or (ii) any assets of the Company or any subsidiary thereof or any successor to or person in control of the Company.</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term “selling stockholder” also includes any transferees, assignees, pledges, donees, or other successors in interest (including equity holders of the entity listed below) to the selling stockholder named in the table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Maximum</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 to be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Owned</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Sold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after</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Offering</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this</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Assuming</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Assuming All</w:t>
            </w:r>
          </w:p>
        </w:tc>
        <w:tc>
          <w:tcPr>
            <w:tcW w:w="0" w:type="dxa"/>
            <w:vAlign w:val="bottom"/>
          </w:tcPr>
          <w:p>
            <w:pPr>
              <w:spacing w:after="0"/>
              <w:rPr>
                <w:sz w:val="1"/>
                <w:szCs w:val="1"/>
                <w:color w:val="auto"/>
              </w:rPr>
            </w:pPr>
          </w:p>
        </w:tc>
      </w:tr>
      <w:tr>
        <w:trPr>
          <w:trHeight w:val="144"/>
        </w:trPr>
        <w:tc>
          <w:tcPr>
            <w:tcW w:w="540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3"/>
              </w:rPr>
              <w:t>Prior to the</w:t>
            </w:r>
          </w:p>
        </w:tc>
        <w:tc>
          <w:tcPr>
            <w:tcW w:w="124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89"/>
              </w:rPr>
              <w:t>Prospectus</w:t>
            </w:r>
          </w:p>
        </w:tc>
        <w:tc>
          <w:tcPr>
            <w:tcW w:w="122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90"/>
              </w:rPr>
              <w:t>All Shares</w:t>
            </w:r>
          </w:p>
        </w:tc>
        <w:tc>
          <w:tcPr>
            <w:tcW w:w="104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Shares are</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Selling Stockholder</w:t>
            </w:r>
          </w:p>
        </w:tc>
        <w:tc>
          <w:tcPr>
            <w:tcW w:w="4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Offering</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Supplement</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are Sold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Sold</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Red Mountain Partners, L.P.*</w:t>
            </w: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7,522,354</w:t>
            </w:r>
          </w:p>
        </w:tc>
        <w:tc>
          <w:tcPr>
            <w:tcW w:w="44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5,733,076</w:t>
            </w:r>
          </w:p>
        </w:tc>
        <w:tc>
          <w:tcPr>
            <w:tcW w:w="44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1,789,278</w:t>
            </w:r>
          </w:p>
        </w:tc>
        <w:tc>
          <w:tcPr>
            <w:tcW w:w="4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340" w:right="260" w:hanging="224"/>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reflected in the table reflect only the shares owned and being offered by Red Mountain Partners, L.P. as selling stockholder. As noted above, RMCP and Mr. Mesdag, affiliates of the selling stockholder, own shares of our common stock that are not being offered hereby.</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D.A. Davidson &amp; Co. is acting as representative of the underwriters named below. Under the terms of an underwriting agreement, which we will file as an exhibit to our current report on Form 8-K and incorporate by reference in this prospectus supplement and the accompanying prospectus, each of the underwriters named below has severally agreed to purchase from the selling stockholder the respective number of shares of common stock shown opposite its name below:</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620" w:type="dxa"/>
            <w:vAlign w:val="bottom"/>
          </w:tcPr>
          <w:p>
            <w:pPr>
              <w:jc w:val="center"/>
              <w:ind w:left="28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3620" w:type="dxa"/>
            <w:vAlign w:val="bottom"/>
          </w:tcPr>
          <w:p>
            <w:pPr>
              <w:jc w:val="center"/>
              <w:ind w:left="288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D.A. Davidson &amp; Co.</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Craig-Hallum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4457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22860</wp:posOffset>
            </wp:positionV>
            <wp:extent cx="4457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4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shares of common stock depends on the satisfaction of the conditions contained in the underwriting agreement including:</w:t>
      </w:r>
    </w:p>
    <w:p>
      <w:pPr>
        <w:spacing w:after="0" w:line="76" w:lineRule="exact"/>
        <w:rPr>
          <w:sz w:val="20"/>
          <w:szCs w:val="20"/>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prospectus has been filed with the Commission and no stop order suspending the effectiveness of the Registration Statement shall have been issued and no proceedings for that purpose shall have been instituted;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purchase all of the shares of common stock offered hereby, if any of the shares are purchased;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and the selling stockholder to the underwriters are true;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no material adverse change in our business or the financial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the selling stockholder deliver customary closing documents to the underwriters.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public offering price, underwriting discount and proceeds before expenses to the selling stockholder.</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7"/>
              </w:rPr>
              <w:t>Per Share</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selling stockholder has agreed to (i) reimburse the underwriters for certain of their expenses, including reasonable fees and expenses of the underwriters’ counsel, in an amount up to $150,000, and (ii) to pay the Company’s costs of obtaining a comfort letter from the Company’s independent auditor. We have agreed to pay all other expenses of the offering (excluding underwriting discounts and commissions). The expenses of the offering to be incurred by us and the selling stockholder are estimated to be approximately $325,000 (excluding underwriting discounts and commissions).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have agreed that, without the prior written consent of D.A. Davidson &amp; Co. on behalf of the underwriters, we will not, during the period ending 30 days after the date of this prospectus supplement, or the restricted period, (i) offer, sell, issue, contract to sell, pledge or otherwise dispose of Lock-Up Securities, (ii) offer, sell, issue, contract to sell, contract to purchase or grant any option, right or warrant to purchase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restrictions described in the immediately preceding paragraph do not apply to: (1) the sale of shares of our common stock to the underwriters hereunder; (2) the issuance of shares of our common stock upon the exercise or conversion of a security outstanding at the time the Underwriting Agreement is executed; (3) the issuance of shares of common stock pursuant to any equity incentive plan, stock ownership plan, or dividend reinvestment plan in effect at the time the Underwriting Agreement is executed.</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addition, all of our directors and named executive officers and the selling stockholder (the “Lock-Up Parties”) have agreed that, without the prior written consent of D.A. Davidson &amp; Co. on behalf of the underwriters, they will not, for a period of 30 days (or 90 days in the case of the selling stockholder and affiliated director Willem Mesdag), after the date of this prospectus supplement (such applicable period of time, the “Lock-Up Period”), offer, sell, contract to sell (including any short sale), pledge, hypothecate, establish an open “put equivalent position” within the meaning of Rule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16a-1(h) under the Exchange Act, grant any option, right or warrant for the sale of, purchase any option or contract to sell, sell any option or contract to purchase, or otherwise encumber, dispose of or transfer, or grant any rights with respect to, directly or indirectly, any shares of Common Stock or securities convertible into or exchangeable or exercisable for any shares of Common Stock, enter into a transaction which would have the same effect, or enter into any swap, hedge or other arrangement that transfers, in whole or in part, any of the economic consequences of ownership of the Common Stock, whether any such aforementioned transaction is to be settled by delivery of the Common Stock or such other securities, in cash or otherwise, or publicly announce an intention to effect any such transaction.</w:t>
      </w:r>
    </w:p>
    <w:p>
      <w:pPr>
        <w:spacing w:after="0" w:line="194"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The restrictions described in the immediately preceding paragraph do not apply to transfers: (1) provided that such transfer does not involve a disposition for value and for which each resulting transferee executes an agreement to be bound to such lock-up agreement: (a) as bona fide gifts; (b) to any trust or other entity for the direct or indirect benefit of the Lock-Up Party or the immediate family of the Lock-Up Parties; (c) if a Lock-Up Party is an entity, transfers to another entity that is a direct or indirect affiliate or distributions to partners, members, or stockholders of such entity or (d) by operation of law or as required pursuant to a divorce settlement; (2) via transfer by testate succession or intestate succession; (2) via transfer by testate succession or intestate succession; (3) if the Lock-Up Party is an employee of the Company and transfers to the Company upon death, disability or termination of employment of such employee; (4) upon a vesting event of the Company’s securities or upon the exercise of options to purchase the Company’s securities, in each case on a “cashless” or “net exercise” basis or to cover tax obligations in connection with such vesting or exercise or</w:t>
      </w:r>
    </w:p>
    <w:p>
      <w:pPr>
        <w:spacing w:after="0" w:line="1" w:lineRule="exact"/>
        <w:rPr>
          <w:sz w:val="20"/>
          <w:szCs w:val="20"/>
          <w:color w:val="auto"/>
        </w:rPr>
      </w:pPr>
    </w:p>
    <w:p>
      <w:pPr>
        <w:ind w:left="120" w:right="220" w:hanging="4"/>
        <w:spacing w:after="0" w:line="260" w:lineRule="auto"/>
        <w:tabs>
          <w:tab w:leader="none" w:pos="3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establishment of a trading plan pursuant to Rule 10b5-1 of the Exchange Act, provided that such plan does not provide for the transfer of Common Stock during the Lock-Up Period.</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Lock-Up Parties agreed that, during the applicable period set forth above, without the prior written consent of D.A. Davidson &amp; Co. (which consent may be withheld in its sole discretion): (a) the Lock-Up Party will not request, make any demand for or exercise any right with respect to, the registration of any common stock or any security convertible into or exercisable or exchangeable for common stock and (b) the Lock-Up Party waives any and all notice requirements and rights with respect to the registration of any such security pursuant to any agreement, understanding or otherwise to which the Lock-Up Party is a party.</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D.A. Davidson &amp; Co., in its sole discretion, may release the common stock and other securities subject to the lock-up agreements described above in whole or in part at any time. In addition, D. A. Davidson’s consent shall not be required for a transfer or distribution of shares of Common Stock by the selling stockholder to its unaffiliated limited partners.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and the selling stockholder have agreed to indemnify the underwriters against certain liabilities, including liabilities under the Securities Act, and to contribute to payments that the underwriters may be required to make for these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21"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The representative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2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hanging="424"/>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naked short position, the number of shares involved is greater than the number of shares in their option to purchase additional shares. The underwriters may close out any short position by purchasing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3"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w:t>
      </w:r>
    </w:p>
    <w:p>
      <w:pPr>
        <w:spacing w:after="0" w:line="75"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Nasdaq Global Market or otherwise and, if commenced, may be discontinued at any time.</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 will engage in these stabilizing transactions or that any transaction,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offering, underwriters and selling group members may engage in passive market making transactions in the common stock on the Nasdaq Global Market in accordance with Rule 103 of Regulation M under the Exchange Act during the period before the commencement of offers or sales of common stock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and/or selling group members participating in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on the Nasdaq Global Market under the symbol “DXLG.”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supplement does not constitute an offer to sell to, or a solicitation of an offer to buy from, anyone in any country or jurisdiction</w:t>
      </w:r>
    </w:p>
    <w:p>
      <w:pPr>
        <w:spacing w:after="0" w:line="46" w:lineRule="exact"/>
        <w:rPr>
          <w:sz w:val="20"/>
          <w:szCs w:val="20"/>
          <w:color w:val="auto"/>
        </w:rPr>
      </w:pPr>
    </w:p>
    <w:p>
      <w:pPr>
        <w:ind w:left="120" w:right="40" w:hanging="4"/>
        <w:spacing w:after="0" w:line="251"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common stock or possession or distribution of this prospectus supplement or any other offering or publicity material relating to the shares of common stock in any country or jurisdiction (other than the United States) where any such action for that purpose is required. Accordingly, each underwriter has undertaken that it will not, directly or indirectly, offer or sell any shares of common stock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shares of common stock by it will be made on the same terms.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of common stock have been offered or will be offered pursuant to the offering of our common stock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98"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provided that no such offer of shares of common stock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right="2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Residents of Canada</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amendments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780"/>
          </w:cols>
          <w:pgMar w:left="320" w:top="459" w:right="7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validity of the shares of common stock offered by this prospectus supplement will be passed upon for the Company by Greenberg Traurig LLP, Boston, Massachusetts. The underwriters have been represented in connection with this offering by Dorsey &amp; Whitney LLP, Salt Lake City, Utah. Munger, Tolles &amp; Olson, LLP, Los Angeles, California, is acting as counsel for the selling stockholder in connection with this offering.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consolidated financial statements of Destination XL Group, Inc. as of January 30, 2021 and February 1, 2020 and for each of the years in the three-year period ending January 30,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 report refers to a change in the method of accounting for leases due to the adoption of a new standard as of February 3, 2019.</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8"/>
          <w:szCs w:val="18"/>
          <w:i w:val="1"/>
          <w:iCs w:val="1"/>
          <w:color w:val="auto"/>
        </w:rPr>
        <w:t>https://investor.dxl.com/investor-relations.</w:t>
      </w:r>
      <w:r>
        <w:rPr>
          <w:rFonts w:ascii="Arial" w:cs="Arial" w:eastAsia="Arial" w:hAnsi="Arial"/>
          <w:sz w:val="18"/>
          <w:szCs w:val="18"/>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92" w:lineRule="exact"/>
        <w:rPr>
          <w:sz w:val="20"/>
          <w:szCs w:val="20"/>
          <w:color w:val="auto"/>
        </w:rPr>
      </w:pPr>
    </w:p>
    <w:p>
      <w:pPr>
        <w:jc w:val="both"/>
        <w:ind w:left="120" w:right="180" w:firstLine="991"/>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S-3 filed with the SEC. This prospectus supplement and the accompanying prospectus do not contain all of the information included in the registration statement, certain parts of which are omitted in accordance with the rules and regulations of the SEC.</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incorporate by reference the documents listed below and any future filings (other than Current Reports on Form 8-K furnished under Item 2.02 or Item 7.01 and exhibits filed on such form that are related to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items) we make with the SEC under Sections 13(a), 13(c), 14 or 15(d) of the Exchange Act after the date of the prospectus supplement and before the sale of all the securities covered by this prospectus supplement:</w:t>
      </w:r>
    </w:p>
    <w:p>
      <w:pPr>
        <w:spacing w:after="0" w:line="76" w:lineRule="exact"/>
        <w:rPr>
          <w:sz w:val="20"/>
          <w:szCs w:val="20"/>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January 30, 2021, filed on March 19, 2021, as amended by the </w:t>
      </w:r>
      <w:hyperlink r:id="rId45">
        <w:r>
          <w:rPr>
            <w:rFonts w:ascii="Arial" w:cs="Arial" w:eastAsia="Arial" w:hAnsi="Arial"/>
            <w:sz w:val="18"/>
            <w:szCs w:val="18"/>
            <w:u w:val="single" w:color="auto"/>
            <w:color w:val="0000EE"/>
          </w:rPr>
          <w:t>Form 10-K/A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June 1,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w:t>
      </w:r>
      <w:hyperlink r:id="rId46">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July 2,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May 1, 2021, filed on May 27,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July 31, 2021, filed on August 31, 2021;</w:t>
      </w:r>
    </w:p>
    <w:p>
      <w:pPr>
        <w:spacing w:after="0" w:line="130"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18"/>
        </w:numPr>
        <w:rPr>
          <w:rFonts w:ascii="Arial" w:cs="Arial" w:eastAsia="Arial" w:hAnsi="Arial"/>
          <w:sz w:val="17"/>
          <w:szCs w:val="17"/>
          <w:color w:val="0000EE"/>
        </w:rPr>
      </w:pPr>
      <w:hyperlink r:id="rId49">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February 5,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10,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18,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15, 2021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August 6,</w:t>
        </w:r>
      </w:hyperlink>
      <w:r>
        <w:rPr>
          <w:rFonts w:ascii="Arial" w:cs="Arial" w:eastAsia="Arial" w:hAnsi="Arial"/>
          <w:sz w:val="17"/>
          <w:szCs w:val="17"/>
          <w:color w:val="auto"/>
        </w:rPr>
        <w:t xml:space="preserve"> </w:t>
      </w:r>
      <w:hyperlink r:id="rId49">
        <w:r>
          <w:rPr>
            <w:rFonts w:ascii="Arial" w:cs="Arial" w:eastAsia="Arial" w:hAnsi="Arial"/>
            <w:sz w:val="17"/>
            <w:szCs w:val="17"/>
            <w:u w:val="single" w:color="auto"/>
            <w:color w:val="0000EE"/>
          </w:rPr>
          <w:t>2021</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0">
        <w:r>
          <w:rPr>
            <w:rFonts w:ascii="Arial" w:cs="Arial" w:eastAsia="Arial" w:hAnsi="Arial"/>
            <w:sz w:val="17"/>
            <w:szCs w:val="17"/>
            <w:u w:val="single" w:color="auto"/>
            <w:color w:val="0000EE"/>
          </w:rPr>
          <w:t xml:space="preserve">September 7, 2021 </w:t>
        </w:r>
      </w:hyperlink>
      <w:hyperlink r:id="rId49">
        <w:r>
          <w:rPr>
            <w:rFonts w:ascii="Arial" w:cs="Arial" w:eastAsia="Arial" w:hAnsi="Arial"/>
            <w:sz w:val="17"/>
            <w:szCs w:val="17"/>
            <w:color w:val="000000"/>
          </w:rPr>
          <w:t>and two Form 8-K/As filed with the SEC on</w:t>
        </w:r>
        <w:r>
          <w:rPr>
            <w:rFonts w:ascii="Arial" w:cs="Arial" w:eastAsia="Arial" w:hAnsi="Arial"/>
            <w:sz w:val="17"/>
            <w:szCs w:val="17"/>
            <w:color w:val="0000EE"/>
          </w:rPr>
          <w:t xml:space="preserve"> </w:t>
        </w:r>
      </w:hyperlink>
      <w:hyperlink r:id="rId51">
        <w:r>
          <w:rPr>
            <w:rFonts w:ascii="Arial" w:cs="Arial" w:eastAsia="Arial" w:hAnsi="Arial"/>
            <w:sz w:val="17"/>
            <w:szCs w:val="17"/>
            <w:u w:val="single" w:color="auto"/>
            <w:color w:val="0000EE"/>
          </w:rPr>
          <w:t xml:space="preserve">February 5, 2021 </w:t>
        </w:r>
      </w:hyperlink>
      <w:hyperlink r:id="rId49">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52">
        <w:r>
          <w:rPr>
            <w:rFonts w:ascii="Arial" w:cs="Arial" w:eastAsia="Arial" w:hAnsi="Arial"/>
            <w:sz w:val="17"/>
            <w:szCs w:val="17"/>
            <w:u w:val="single" w:color="auto"/>
            <w:color w:val="0000EE"/>
          </w:rPr>
          <w:t>February 5, 2021</w:t>
        </w:r>
      </w:hyperlink>
      <w:hyperlink r:id="rId49">
        <w:r>
          <w:rPr>
            <w:rFonts w:ascii="Arial" w:cs="Arial" w:eastAsia="Arial" w:hAnsi="Arial"/>
            <w:sz w:val="17"/>
            <w:szCs w:val="17"/>
            <w:color w:val="000000"/>
          </w:rPr>
          <w:t>, respectively; and</w:t>
        </w:r>
      </w:hyperlink>
    </w:p>
    <w:p>
      <w:pPr>
        <w:spacing w:after="0" w:line="51" w:lineRule="exact"/>
        <w:rPr>
          <w:rFonts w:ascii="Arial" w:cs="Arial" w:eastAsia="Arial" w:hAnsi="Arial"/>
          <w:sz w:val="17"/>
          <w:szCs w:val="17"/>
          <w:color w:val="0000EE"/>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included in the </w:t>
      </w:r>
      <w:hyperlink r:id="rId53">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September 7, 2021.</w:t>
      </w:r>
    </w:p>
    <w:p>
      <w:pPr>
        <w:spacing w:after="0" w:line="225" w:lineRule="exact"/>
        <w:rPr>
          <w:rFonts w:ascii="Arial" w:cs="Arial" w:eastAsia="Arial" w:hAnsi="Arial"/>
          <w:sz w:val="17"/>
          <w:szCs w:val="17"/>
          <w:color w:val="0000EE"/>
        </w:rPr>
      </w:pPr>
    </w:p>
    <w:p>
      <w:pPr>
        <w:ind w:left="560"/>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117"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7"/>
          <w:szCs w:val="17"/>
          <w:color w:val="0000EE"/>
        </w:rPr>
      </w:pPr>
    </w:p>
    <w:p>
      <w:pPr>
        <w:jc w:val="center"/>
        <w:ind w:right="-99"/>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(781) 828-9300</w:t>
      </w:r>
    </w:p>
    <w:p>
      <w:pPr>
        <w:spacing w:after="0" w:line="211" w:lineRule="exact"/>
        <w:rPr>
          <w:rFonts w:ascii="Arial" w:cs="Arial" w:eastAsia="Arial" w:hAnsi="Arial"/>
          <w:sz w:val="17"/>
          <w:szCs w:val="17"/>
          <w:color w:val="0000EE"/>
        </w:rPr>
      </w:pPr>
    </w:p>
    <w:p>
      <w:pPr>
        <w:ind w:left="120" w:firstLine="440"/>
        <w:spacing w:after="0" w:line="254"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including information incorporated by reference as described above. We have not authorized anyone else to provide you with different information. You should not assume that the information in this prospectus supplement and the accompanying prospectus is accurate as of any date other than the date on the front of those documents or that any document incorporated by reference is accurate as of any date other than its filing date. You should not consider this prospectus supplement or the accompanying prospectus to be an offer or solicitation relating to the securities in any jurisdiction in which such an offer or solicitation relating to the securities is not authorized. Furthermore, you should not consider this prospectus supplement or the accompanying prospectus to be an offer or solicitation relating to the securities if the person making the offer or solicitation is not qualified to do so, or if it is unlawful for you to receive such an offer or solicitation.</w:t>
      </w:r>
    </w:p>
    <w:p>
      <w:pPr>
        <w:spacing w:after="0" w:line="124" w:lineRule="exact"/>
        <w:rPr>
          <w:rFonts w:ascii="Arial" w:cs="Arial" w:eastAsia="Arial" w:hAnsi="Arial"/>
          <w:sz w:val="17"/>
          <w:szCs w:val="17"/>
          <w:color w:val="0000EE"/>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60325</wp:posOffset>
            </wp:positionV>
            <wp:extent cx="1071245" cy="625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7124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$75,000,000</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Offered by the Company</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and</w:t>
      </w:r>
    </w:p>
    <w:p>
      <w:pPr>
        <w:spacing w:after="0" w:line="6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7,500,000 Shares of 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offer and sell from time to time, in one or more transactions, common stock, preferred stock, depositary shares, warrants, debt securities, purchase contracts, rights and units that include any of these securities, up to a total public offering price of $75,000,000 on terms to be determined at the time of sale, and the selling stockholders to be named in a supplement to this prospectus may offer and sell up to an aggregate of 7,500,000 shares of our common stock, in each case from time to time in one or more offerings. We will not receive any of the proceeds from the sale of our common stock by the selling stockholders.</w:t>
      </w:r>
    </w:p>
    <w:p>
      <w:pPr>
        <w:spacing w:after="0" w:line="2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these securities and the specific manner in which we or such selling stockholders may offer these securities in supplements to this prospectus. You should read this prospectus and any supplement carefully before you invest. This prospectus may not be used to offer and sell securities unless accompanied by a prospectus supplement for those securities.</w:t>
      </w:r>
    </w:p>
    <w:p>
      <w:pPr>
        <w:spacing w:after="0" w:line="2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offer and sell these securities directly to investors, to or through one or more underwriters, dealers and agents, or through a combination of these methods, on a continuous or delayed basis. In addition, the selling stockholders may offer and sell shares of our common stock from time to time, together or separately. We or such selling stockholders may also describe the plan of distribution for any particular offering of these securities in a prospectus supplement. If any underwriters, dealers or agents are involved in the sale of any securities in respect of which this prospectus is delivered, their names and the nature of arrangements between or among them will be disclosed in a prospectus supplement. For more information, see “Plan of Distribution” in this prospectus. No securities may be sold without delivery of this prospectus and the applicable prospectus supplement describing the method and terms of the offering of such securities</w:t>
      </w:r>
    </w:p>
    <w:p>
      <w:pPr>
        <w:spacing w:after="0" w:line="15" w:lineRule="exact"/>
        <w:rPr>
          <w:sz w:val="20"/>
          <w:szCs w:val="20"/>
          <w:color w:val="auto"/>
        </w:rPr>
      </w:pPr>
    </w:p>
    <w:p>
      <w:pPr>
        <w:ind w:left="120" w:right="560"/>
        <w:spacing w:after="0" w:line="274" w:lineRule="auto"/>
        <w:rPr>
          <w:sz w:val="20"/>
          <w:szCs w:val="20"/>
          <w:color w:val="auto"/>
        </w:rPr>
      </w:pPr>
      <w:r>
        <w:rPr>
          <w:rFonts w:ascii="Arial" w:cs="Arial" w:eastAsia="Arial" w:hAnsi="Arial"/>
          <w:sz w:val="18"/>
          <w:szCs w:val="18"/>
          <w:color w:val="auto"/>
        </w:rPr>
        <w:t>Our common stock is quoted on the OTCQX Market under the symbol “DXLG.” On June 8, 2021, the closing price of our common stock on the OTCQX Market was $3.75 per share.</w:t>
      </w:r>
    </w:p>
    <w:p>
      <w:pPr>
        <w:ind w:left="120" w:right="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See “</w:t>
      </w:r>
      <w:hyperlink w:anchor="page2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We may include additional risk factors in an applicable prospectus supplement under the heading “Risk Factors.” You should review that section of the prospectus supplement for a discussion of matters that investors in our securities should consider.</w:t>
      </w:r>
    </w:p>
    <w:p>
      <w:pPr>
        <w:spacing w:after="0" w:line="27" w:lineRule="exact"/>
        <w:rPr>
          <w:sz w:val="20"/>
          <w:szCs w:val="20"/>
          <w:color w:val="auto"/>
        </w:rPr>
      </w:pPr>
    </w:p>
    <w:p>
      <w:pPr>
        <w:ind w:left="120"/>
        <w:spacing w:after="0" w:line="30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date of this prospectus is June 21, 2021.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4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9"/>
            <w:vMerge w:val="restart"/>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About this Prospectus</w:t>
              </w:r>
            </w:hyperlink>
          </w:p>
        </w:tc>
        <w:tc>
          <w:tcPr>
            <w:tcW w:w="2660" w:type="dxa"/>
            <w:vAlign w:val="bottom"/>
            <w:gridSpan w:val="10"/>
            <w:vMerge w:val="restart"/>
          </w:tcPr>
          <w:p>
            <w:pPr>
              <w:spacing w:after="0"/>
              <w:rPr>
                <w:sz w:val="24"/>
                <w:szCs w:val="24"/>
                <w:color w:val="auto"/>
              </w:rPr>
            </w:pPr>
          </w:p>
        </w:tc>
        <w:tc>
          <w:tcPr>
            <w:tcW w:w="64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9"/>
            <w:vMerge w:val="continue"/>
          </w:tcPr>
          <w:p>
            <w:pPr>
              <w:spacing w:after="0"/>
              <w:rPr>
                <w:sz w:val="14"/>
                <w:szCs w:val="14"/>
                <w:color w:val="auto"/>
              </w:rPr>
            </w:pPr>
          </w:p>
        </w:tc>
        <w:tc>
          <w:tcPr>
            <w:tcW w:w="2660" w:type="dxa"/>
            <w:vAlign w:val="bottom"/>
            <w:gridSpan w:val="10"/>
            <w:vMerge w:val="continue"/>
          </w:tcPr>
          <w:p>
            <w:pPr>
              <w:spacing w:after="0"/>
              <w:rPr>
                <w:sz w:val="14"/>
                <w:szCs w:val="14"/>
                <w:color w:val="auto"/>
              </w:rPr>
            </w:pPr>
          </w:p>
        </w:tc>
        <w:tc>
          <w:tcPr>
            <w:tcW w:w="642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Prospectus Summary</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720" w:type="dxa"/>
            <w:vAlign w:val="bottom"/>
            <w:gridSpan w:val="12"/>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Special Note Regarding Forward-Looking Information</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300" w:type="dxa"/>
            <w:vAlign w:val="bottom"/>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Description of Common Stock</w:t>
              </w:r>
            </w:hyperlink>
          </w:p>
        </w:tc>
        <w:tc>
          <w:tcPr>
            <w:tcW w:w="2020" w:type="dxa"/>
            <w:vAlign w:val="bottom"/>
            <w:gridSpan w:val="6"/>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Description of Preferred Stock</w:t>
              </w:r>
            </w:hyperlink>
          </w:p>
        </w:tc>
        <w:tc>
          <w:tcPr>
            <w:tcW w:w="2040" w:type="dxa"/>
            <w:vAlign w:val="bottom"/>
            <w:gridSpan w:val="7"/>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Depositary Shares</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Warrants</w:t>
              </w:r>
            </w:hyperlink>
          </w:p>
        </w:tc>
        <w:tc>
          <w:tcPr>
            <w:tcW w:w="1860" w:type="dxa"/>
            <w:vAlign w:val="bottom"/>
            <w:gridSpan w:val="5"/>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Description of Debt Securities</w:t>
              </w:r>
            </w:hyperlink>
          </w:p>
        </w:tc>
        <w:tc>
          <w:tcPr>
            <w:tcW w:w="2060" w:type="dxa"/>
            <w:vAlign w:val="bottom"/>
            <w:gridSpan w:val="8"/>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Purchase Contracts</w:t>
              </w:r>
            </w:hyperlink>
          </w:p>
        </w:tc>
        <w:tc>
          <w:tcPr>
            <w:tcW w:w="1780" w:type="dxa"/>
            <w:vAlign w:val="bottom"/>
            <w:gridSpan w:val="4"/>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Rights</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54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Description of Units</w:t>
              </w:r>
            </w:hyperlink>
          </w:p>
        </w:tc>
        <w:tc>
          <w:tcPr>
            <w:tcW w:w="2700" w:type="dxa"/>
            <w:vAlign w:val="bottom"/>
            <w:gridSpan w:val="11"/>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Selling Stockholders</w:t>
              </w:r>
            </w:hyperlink>
          </w:p>
        </w:tc>
        <w:tc>
          <w:tcPr>
            <w:tcW w:w="2740" w:type="dxa"/>
            <w:vAlign w:val="bottom"/>
            <w:gridSpan w:val="13"/>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Where You Can Find More Information</w:t>
              </w:r>
            </w:hyperlink>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860" w:type="dxa"/>
            <w:vAlign w:val="bottom"/>
            <w:gridSpan w:val="16"/>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Incorporation of Certain Documents By Reference</w:t>
              </w:r>
            </w:hyperlink>
          </w:p>
        </w:tc>
        <w:tc>
          <w:tcPr>
            <w:tcW w:w="600" w:type="dxa"/>
            <w:vAlign w:val="bottom"/>
            <w:gridSpan w:val="2"/>
          </w:tcPr>
          <w:p>
            <w:pPr>
              <w:spacing w:after="0"/>
              <w:rPr>
                <w:sz w:val="17"/>
                <w:szCs w:val="17"/>
                <w:color w:val="auto"/>
              </w:rPr>
            </w:pPr>
          </w:p>
        </w:tc>
        <w:tc>
          <w:tcPr>
            <w:tcW w:w="67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up to a total dollar amount of $75,000,000. In addition, under this shelf process, the selling stockholders to be named in a supplement to this prospectus may, from time to time, sell up to 7,500,000 shares of common stock, as described in this prospectus, in one or more offerings. This prospectus provides you with a general description of the securities we may offer.</w:t>
      </w:r>
    </w:p>
    <w:p>
      <w:pPr>
        <w:spacing w:after="0" w:line="188"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Each time we or the selling stockholders offer and sell securities, we or the selling stockholders will provide a prospectus supplement that will contain specific information about the securities being offered and the terms of that offering. The prospectus supplement may also add to, update or change information contained in this prospectus. If there is any inconsistency between the information in this prospectus and the applicable prospectus supplement, you should rely on the prospectus supplement. You should read both this prospectus and any prospectus supplement together with the additional information described under the heading “Where You Can Find More Information” carefully before making an investment decision.</w:t>
      </w:r>
    </w:p>
    <w:p>
      <w:pPr>
        <w:spacing w:after="0" w:line="16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Neither we, nor any selling stockholder,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any selling stockholder or to which we or any selling stockholder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7" w:lineRule="exact"/>
        <w:rPr>
          <w:sz w:val="20"/>
          <w:szCs w:val="20"/>
          <w:color w:val="auto"/>
        </w:rPr>
      </w:pPr>
    </w:p>
    <w:p>
      <w:pPr>
        <w:ind w:left="120" w:right="600" w:firstLine="440"/>
        <w:spacing w:after="0" w:line="301" w:lineRule="auto"/>
        <w:rPr>
          <w:sz w:val="20"/>
          <w:szCs w:val="20"/>
          <w:color w:val="auto"/>
        </w:rPr>
      </w:pPr>
      <w:r>
        <w:rPr>
          <w:rFonts w:ascii="Arial" w:cs="Arial" w:eastAsia="Arial" w:hAnsi="Arial"/>
          <w:sz w:val="16"/>
          <w:szCs w:val="16"/>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the context otherwise requires, the terms “Destination XL Group, Inc.,” “DXLG,” “the Company,” “our company,” “we,” “us,” “our” and similar names refer collectively to Destination XL Group, Inc. and its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80" w:firstLine="426"/>
        <w:spacing w:after="0" w:line="296" w:lineRule="auto"/>
        <w:rPr>
          <w:sz w:val="20"/>
          <w:szCs w:val="20"/>
          <w:color w:val="auto"/>
        </w:rPr>
      </w:pPr>
      <w:r>
        <w:rPr>
          <w:rFonts w:ascii="Arial" w:cs="Arial" w:eastAsia="Arial" w:hAnsi="Arial"/>
          <w:sz w:val="16"/>
          <w:szCs w:val="16"/>
          <w:color w:val="auto"/>
        </w:rPr>
        <w:t>We are the largest specialty retailer of big and tall men’s clothing and shoes with retail locations in the United States and Toronto, Canada. We operate under the trade names of Destination XL</w:t>
      </w:r>
      <w:r>
        <w:rPr>
          <w:rFonts w:ascii="Arial" w:cs="Arial" w:eastAsia="Arial" w:hAnsi="Arial"/>
          <w:sz w:val="13"/>
          <w:szCs w:val="13"/>
          <w:color w:val="auto"/>
        </w:rPr>
        <w:t>®</w:t>
      </w:r>
      <w:r>
        <w:rPr>
          <w:rFonts w:ascii="Arial" w:cs="Arial" w:eastAsia="Arial" w:hAnsi="Arial"/>
          <w:sz w:val="16"/>
          <w:szCs w:val="16"/>
          <w:color w:val="auto"/>
        </w:rPr>
        <w:t>, DXL</w:t>
      </w:r>
      <w:r>
        <w:rPr>
          <w:rFonts w:ascii="Arial" w:cs="Arial" w:eastAsia="Arial" w:hAnsi="Arial"/>
          <w:sz w:val="13"/>
          <w:szCs w:val="13"/>
          <w:color w:val="auto"/>
        </w:rPr>
        <w:t>®</w:t>
      </w:r>
      <w:r>
        <w:rPr>
          <w:rFonts w:ascii="Arial" w:cs="Arial" w:eastAsia="Arial" w:hAnsi="Arial"/>
          <w:sz w:val="16"/>
          <w:szCs w:val="16"/>
          <w:color w:val="auto"/>
        </w:rPr>
        <w:t>, DXL Men’s Apparel, DXL outlets, Casual Male XL</w:t>
      </w:r>
      <w:r>
        <w:rPr>
          <w:rFonts w:ascii="Arial" w:cs="Arial" w:eastAsia="Arial" w:hAnsi="Arial"/>
          <w:sz w:val="13"/>
          <w:szCs w:val="13"/>
          <w:color w:val="auto"/>
        </w:rPr>
        <w:t>®</w:t>
      </w:r>
      <w:r>
        <w:rPr>
          <w:rFonts w:ascii="Arial" w:cs="Arial" w:eastAsia="Arial" w:hAnsi="Arial"/>
          <w:sz w:val="16"/>
          <w:szCs w:val="16"/>
          <w:color w:val="auto"/>
        </w:rPr>
        <w:t xml:space="preserve"> and Casual Male XL outlets. At January 30, 2021, we operated 226 DXL retail stores, 17 DXL outlet stores, 46 Casual Male XL retail stores, 22 Casual Male XL outlet stores and a digital business, including an e-commerce site at dxl.com and a mobile site m.destinationXL.com. In fiscal 2018, we launched a wholesale business unit focused on product development and distribution relationships with key retailers offering co-branded men’s big &amp; tall apparel lines.</w:t>
      </w:r>
    </w:p>
    <w:p>
      <w:pPr>
        <w:spacing w:after="0" w:line="16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We are incorporated in the state of Delaware. Our principal executive offices are located at 555 Turnpike Street, Canton, Massachusetts 02021. Our telephone number is (781) 828-9300. Our Internet address is www.dxl.com. Information contained on our website or that is accessible through our website should not be considered to be part of this prospectus.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Offerings under this Prospectus</w:t>
      </w:r>
    </w:p>
    <w:p>
      <w:pPr>
        <w:spacing w:after="0" w:line="121"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Under this prospectus, we may offer: shares of our common stock; preferred stock; depositary shares; warrants to purchase common stock, preferred stock, depositary shares or units; debt securities; purchase contracts; rights to purchase common stock, preferred stock, depositary shares or warrants; or units comprised of common stock, preferred stock, depositary shares, debt securities, warrants and purchase contracts in any combination, with a total value of up to $75,000,000, from time to time at prices and on terms to be determined by market conditions at the time of the offering. In addition to the securities we may offer, the selling stockholders to be named in a supplement to this prospectus may offer and sell from time to time up to 7,500,000 shares of our common stock.</w:t>
      </w:r>
    </w:p>
    <w:p>
      <w:pPr>
        <w:spacing w:after="0" w:line="1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descriptions of the securities contained in this prospectus, together with the applicable prospectus supplements, summarize the material terms and provisions of the various types of securities that we or the selling stockholders may offer. Each time we or the selling stockholders offer a type or series of securities under this prospectus, we or the selling stockholders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95"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ind w:left="300" w:right="60" w:firstLine="426"/>
        <w:spacing w:after="0" w:line="275" w:lineRule="auto"/>
        <w:rPr>
          <w:sz w:val="20"/>
          <w:szCs w:val="20"/>
          <w:color w:val="auto"/>
        </w:rPr>
      </w:pPr>
      <w:r>
        <w:rPr>
          <w:rFonts w:ascii="Arial" w:cs="Arial" w:eastAsia="Arial" w:hAnsi="Arial"/>
          <w:sz w:val="17"/>
          <w:szCs w:val="17"/>
          <w:color w:val="auto"/>
        </w:rPr>
        <w:t>We or the selling stockholders may sell the securities directly to investors or to or through agents, underwriters or dealers. We, the selling stockholders, and our respective agents or underwriters, reserve the right to accept or reject all or part of any proposed purchase of securities. If we or the selling stockholders offer securities through agents or underwriters, we or the selling stockholders, as applicable, will include in the applicable prospectus supplement: the names of those agents or underwriters; applicable fees, discounts and commissions to be paid to them; details regarding over-allotment options, if any; and the net proceeds to us or the selling stockholders, as applicable.</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prospectus may not be used to consummate a sale of securities unless it is accompanied by a prospectus supplement.</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Investing in our securities involves significant risks. Please see the risk factors under the heading “Risk Factors” in our most recent Annual Report on Form 10-K, as revised or supplemented by our Quarterly Reports on Form 10-Q filed with the SEC since the filing of our most recent Annual Report on Form 10-K, each of which are on file with the SEC and are incorporated by reference in this prospectus. Before making an investment decision, you should carefully consider these risks as well as other information we include or incorporate by reference in this prospectus and any prospectus supplement. The risks and uncertainties we have described are not the only ones facing our company. Additional risks and uncertainties not presently known to us or that we currently deem immaterial may also affect our business operations.</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prospectus includes and incorporates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in this prospectus regarding our strategy, future operations, financial position, future revenues, projected costs, prospects, plans and objectives of management are forward-looking statements. In some cases, forward-looking statements can be identified by the use of forward-looking terminology such as “may,” “will,” “estimate,” “intend,” “plan,” “continue,” “believe,” “expect” or “anticipate” or the negatives thereof, variations thereon or similar terminology, although not all forward-looking statements contain these identifying words. These forward-looking statements, which are not exhaustive, generally relate to plans and objectives for future operations and are based upon management’s reasonable estimates of future results or trends. Such statements include our financial outlook for fiscal 2021 with respect to sales, comparable sales, adjusted EBITDA and free cash flows, statements regarding our ability to withstand the impact of the COVID-19 pandemic on our business, our efforts to restructure and reduce costs and right size our lease structure, expected annualized savings from restructuring actions taken since fiscal 2020, expected additional borrowing capacity under our new FILO loan, and our expected liquidity for the next 12 months. We cannot guarantee that we actually will achieve the plans, intentions or expectations disclosed in our forward-looking statements and you should not place undue reliance on our forward-looking statements. These forward-looking statements are subject to a number of known and unknown risks, uncertainties and assumptions, including risks described in the section titled “Risk Factors” and elsewhere in this prospectus, and in the documents we incorporate by reference in this prospectus. You should read these factors and other cautionary statements made in this prospectus and any accompanying prospectus supplement, and in the documents we incorporate by reference as being applicable to all related forward-looking statements wherever they appear in the prospectus and any accompanying prospectus supplement, and in the documents incorporated by reference. These factors include, among other things:</w:t>
      </w:r>
    </w:p>
    <w:p>
      <w:pPr>
        <w:spacing w:after="0" w:line="7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global impact of the COVID-19 pandemic on our business, financial results, liquidity, supply chain and workforce;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operate and expand our business and to respond to changing business and economic conditions and availability of adequate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execute our strategy and grow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execute marketing programs to drive traffic and convert that traffic into a loyal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direct business and develop our e-commerce and internet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implement our omni-channel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grow our wholesale segment;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our central distribution center;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disruptions in the global supply chain that may impact our ability to import inventory in a timely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our store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be successful in a highly competitive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engage third parties to manufacture our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the proprietary information of our customers and our security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predict fashion trends and customer preferences successfully;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key trademarks and licenses;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impairment of long-lived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LIBOR that could impact our LIBOR-based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labor shortages or increases in labor costs due to new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price, availability and quality of raw materials and finished goods that could increase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laws, rules and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stock price to withstand volatility due to many factors.</w:t>
      </w:r>
    </w:p>
    <w:p>
      <w:pPr>
        <w:spacing w:after="0" w:line="22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currently intend to use the estimated net proceeds from the sale of the securities as set forth in the applicable prospectus supplement. We will not receive any of the proceeds from the sale of common stock being offered by the selling stockholders.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a description of our common stock, please see the Description of Securities of the Company filed as Exhibit 4.1 to our Annual Report on Form 10-K for the fiscal year ended February 1, 2020 filed with the SEC on March 19, 2020, and any future description of capital stock filed thereafter for the purpose of updating such description.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Under our certificate of incorporation, we have authority to issue 1,000,000 shares of preferred stock, par value $.01 per share. Of these shares, 50,000 shares have been designated as “Series A Junior Participating Preferred Stock,” none of which are outstanding, and 200,000 shares have been designated as “Series B Convertible Preferred Stock,” none of which are outstanding.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Shares of preferred stock may be issued from time to time, in one or more series, as authorized by our board of directors. Prior to the issuance of shares of each series, the board of directors is required by the Delaware General Corporation Law and our certificate of incorporation to fix, for each series, the designations, powers and preferences and the relative, participating, optional or other special rights of the shares of each series and any qualifications, limitations and restrictions thereof, as are permitted by Delaware law. Our board of directors could authorize the issuance of shares of preferred stock with terms and conditions that could have the effect of discouraging a takeover or other transactions that holders of common stock might believe to be in their best interests or in which holders of some, or a majority, of the shares of common stock might receive a premium for their shares over the then market price of such shares of common stock. When issued, the preferred stock will be fully paid and nonassessable and will have no preemptive rights.</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we decide to issue any preferred stock pursuant to this prospectus, we will describe in a prospectus supplement the terms of the preferred stock, including, if applicable, the following:</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series and stated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number of shares of the series of preferred stock offered, the liquidation preference per share, if applicable, and the offering price;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applicable dividend rate(s) or amount(s), period(s) and payment date(s) or method(s) of calculation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from which dividends on the preferred stock will accumulate, if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procedures for auction and remarketing;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a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applicable provision for redemption and the price or prices, terms and conditions on which preferred stock may be redeemed;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securities exchange listing;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voting rights and powers;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applicable, of conversion into shares of our common stock, including the conversion price or rate or manner of calculation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relative ranking and preference as to dividend rights and rights upon our liquidation, dissolution or the winding up of our affairs;</w:t>
      </w:r>
    </w:p>
    <w:p>
      <w:pPr>
        <w:spacing w:after="0" w:line="142"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stock ranking senior to or on a parity with such series of preferred stock as to dividend rights and rights upon our liquidation, dissolution or the winding up of our affairs;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such series of preferred stock.</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may issue receipts for depositary shares representing fractional shares of preferred stock. The fractional share of the applicable series of preferred stock represented by each depositary share will be set forth in the applicable prospectus supplement.</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shares of any series of preferred stock underlying any depositary shares that we may sell under this prospectus will be deposited under a deposit agreement between us and a depositary selected by us. Subject to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terms of the deposit agreement, each holder of a depositary share will be entitled, in proportion to the applicable fraction of a share of the preferred stock underlying the depositary share, to all of the rights, preferences, and privileges, and will be subject to the qualifications and restrictions, of the preferred stock underlying that depositary share.</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depositary shares will be evidenced by depositary receipts issued under the deposit agreement. Depositary receipts will be distributed to the holders of the depositary shares that are sold in the applicable offering. We will incorporate by reference into the registration statement of which this prospectus is a part the form of any deposit agreement, including a form of depositary receipt, that describes the terms of any depositary shares we are offering before the issuance of the related depositary shares. The following summaries of material provisions of the deposit agreement, the depositary shares, and the depositary receipts are subject to, and qualified in their entirety by reference to, all of the provisions of the deposit agreement applicable to a particular offering of depositary shares. We urge you to read the prospectus supplements relating to any depositary shares that are sold under this prospectus, as well as the complete deposit agreement and depositary receipt.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Pending the preparation of definitive depositary receipts, the depositary may, upon our written order, issue temporary depositary receipts substantially identical to the definitive depositary receipts but not in definitive form. These temporary depositary receipts will entitle their holders to all of the rights of definitive depositary receipts. Temporary depositary receipts will then be exchangeable for definitive depositary receipts at our expense.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depositary will distribute all cash dividends or other cash distributions received with respect to the underlying preferred stock to the record holders of depositary shares in proportion to the number of depositary shares owned by those holders.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received by it to the record holders of depositary shares in proportion to the number of depositary shares owned by those holders, unless the depositary determines that it is not feasible to do so. If this occurs, the depositary may, with our approval, sell the property and distribute the net proceeds from the sale to those holders in proportion to the number of depositary shares owned by them.</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amount distributed to holders of depositary shares will be reduced by any amounts required to be withheld by us or the depositary on account of taxes or other governmental charges.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Underlying Preferred Stock</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Except as otherwise provided in a prospectus supplement, holders may surrender depositary receipts at the principal office of the depositary and, upon payment of any unpaid amount due to the depositary, be entitled to receive the number of whole shares of underlying preferred stock and all money and other property represented by the related depositary shares. We will not issue any partial shares of preferred stock. If the holder delivers depositary receipts evidencing a number of depositary shares that represent more than a whole number of shares of preferred stock, the depositary will issue a new depositary receipt evidencing the excess number of depositary shares to the holder.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the preferred stock underlying any depositary shares we may sell under this prospectus is subject to redemption, the depositary shares will be redeemed from the proceeds received by the depositary resulting from any such redemption, in whole or in part, of that underlying preferred stock. The redemption price per depositary share will be equal to the applicable fraction of the redemption price per share payable with respect to the underlying preferred stock. Whenever we redeem shares of underlying preferred stock that are held by the depositary, the depositary will redeem, as of the same redemption date, the number of depositary shares representing the shares of underlying preferred stock so redeemed. If fewer than all of the depositary shares are to be redeemed, the depositary shares to be redeemed will be selected by lot or proportionately, as may be determined by the depositary.</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the date fixed for redemption, the depositary shares called for redemption will no longer be deemed to be outstanding, and all rights of the holders of the depositary shares will cease, except the right to receive the monies payable and any other property to which the holders were entitled upon the redemption upon surrender to the depositary of the depositary receipts evidencing the depositary shares. Any funds deposited by us with the depositary for any depositary shares that the holders fail to redeem will be returned to us after a period of two years from the date the funds are deposited.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Upon receipt of notice of any meeting at which holders of the preferred stock underlying any depositary shares that we may sell under this prospectus are entitled to vote, the depositary will mail the information contained in the notice to the record holders of the depositary shares. Each record holder of the depositary shares on the record date, which will be the same date as the record date for the underlying preferred stock, will be entitled to instruct the depositary as to the exercise of the voting rights pertaining to the amount of the underlying preferred stock represented by the holder’s depositary shares. The depositary will then try, as far as practicable, to vote the number of shares of preferred stock underlying those depositary shares in accordance with those instructions, and we will agree to take all reasonable actions which may be deemed necessary by the depositary to enable the depositary to do so. The depositary will not vote the underlying preferred stock to the extent it does not receive specific instructions with respect to the depositary shares representing such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Preferred Stock</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prospectus supplement relating to any depositary shares that we may sell under this prospectus states that the underlying preferred stock is convertible into our common stock or other securities, the following will apply. The depositary shares, as such, will not be convertible into any of our securities. Rather, any holder of the depositary shares may surrender the related depositary receipts to the depositary with written instructions that direct us to cause conversion of the preferred stock represented by the depositary shares into or for whole shares of our common stock or other securities, as applicable. Upon receipt of those instructions and any amounts payable by the holder in connection with the conversion, we will cause the conversion using the same procedures as those provided for conversion of the underlying preferred stock. If only some of a holder’s depositary shares are converted, a new depositary receipt or receipts will be issued to the holder for any depositary shares not converted.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form of depositary receipt evidencing the depositary shares and any provision of the deposit agreement may at any time be amended by agreement between us and the depositary. However, any amendment which materially and adversely alters the rights of the holders of depositary shares will not be effective until 90 days after notice of that amendment has been given to the holders. Each holder of depositary shares at the time any amendment becomes effective shall be deemed to consent and agree to that amendment and to be bound by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deposit agreement as so amended. The deposit agreement may be terminated by us or by the depositary only if all outstanding depositary shares have been redeemed or converted into any other securities into which the underlying preferred stock is convertible or there has been a final distribution, including to holders of depositary receipts, of the underlying preferred stock in connection with our liquidation, dissolution, or winding up.</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 the initial deposit of the preferred stock, the initial issuance of the depositary shares, any redemption of the preferred stock, and all withdrawals of preferred stock by owners of depositary shares. Holders of depositary receipts will pay transfer, income, and other taxes and governmental charges and other specified charges as provided in the deposit arrangement for their accounts. If these charges have not been paid, the depositary may refuse to transfer depositary shares, withhold dividends and distributions, and sell the depositary shares evidenced by the depositary receipt.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Neither we nor the depositary will be liable if either of us is prevented or delayed by law or any circumstance beyond our control in performing our respective obligations under the deposit agreement. Our obligations and those of the depositary will be limited to performance of our respective duties under the deposit agreement without, in our case, negligence or bad faith or, in the case of the depositary, negligence or willful misconduct. We and the depositary may rely upon advice of counsel or accountants, or upon information provided by persons presenting the underlying preferred stock for deposit, holders of depositary receipts, or other persons believed by us in good faith to be competent and on documents believed to be genuine.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Trust Office of Depositary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depositary’s corporate trust office will be set forth in the applicable prospectus supplement relating to a series of depositary shares. The depositary will act as transfer agent and registrar for depositary receipts, and, if shares of a series of preferred stock are redeemable, the depositary will act as redemption agent for the corresponding depositary receipts.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depositary may resign at any time by delivering to us notice of its intent to do so, and we may at any time remove the depositary, any such resignation or removal to take effect upon the appointment of a successor depositary meeting the requirements specified in the deposit agreement and its acceptance of such appointment.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 to Holders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will deliver all required reports and communications to holders of the preferred stock to the depositary, and it will forward those reports and communications to the holders of depositary shares. Upon request, the depositary will provide for inspection to the holders of depositary shares the transfer books of the depositary and the list of holders of receipts; provided that any requesting holder certifies to the depositary that such inspection is for a proper purpose reasonably related to such person’s interest as an owner of depositary shares evidenced by the receipts.</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applicable prospectus supplement will describe the terms of any warrants in respect of which this prospectus is being delivered, including:</w:t>
      </w:r>
    </w:p>
    <w:p>
      <w:pPr>
        <w:spacing w:after="0" w:line="154"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securities purchasable upon exercise of such warrants;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spacing w:after="0" w:line="17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Prior to the exercise of their warrants, holders of warrants exercisable for debt securities will not have any of the rights of holders of the debt securities purchasable upon such exercise and will not be entitled to payments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A warrant will entitle the holder to purchase an amount of securities at an exercise price that will be stated in, or that will be determinable as described in, the applicable prospectus supplement or information incorporated by reference therein. Holders of warrants may exercise the warrants at any time up to the specified time on the expiration date set forth in the applicable prospectus supplement or information incorporated by reference therein. After the close of business on the expiration date, unexercised warrants will become void. Warrants may be redeemed as set forth in the applicable prospectus supplement or information incorporated by reference therein.</w:t>
      </w:r>
    </w:p>
    <w:p>
      <w:pPr>
        <w:spacing w:after="0" w:line="1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Warrants may be exercised as set forth in the applicable prospectus supplement or information incorporated by reference therein. Upon receipt of payment and the warrant certificate properly completed and duly executed at the corporate trust office of the warrant agent or any other office indicated in the prospectus supplement or information incorporated by reference therein, we will forward, as soon as practicable, the securities purchasable upon such exercise. If less than all of the warrants represented by such warrant certificate are exercised, a new warrant certificate will be issued for the remaining warrants.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Our debt securities may be issued from time to time in one or more series and may include senior debt securities, subordinated debt securities, convertible debt securities and exchangeable debt securities. The particular terms of any series of debt securities and the extent to which the general provisions may apply to a particular series of debt securities will be described in the prospectus supplement relating to that series. When describing any debt securities, references to “we,” “us” and “our” refer to the issuer of those debt securities and not to any of its subsidiaries.</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debt securities we offer will be issued under an indenture between us and the trustee named in the indenture. You should also read the indenture under which the debt securities are to be issued. We have filed a form of indenture governing different types of debt securities with the SEC as an exhibit to the registration statement of which this prospectus is a part. The following summary of the indenture does not purport to be complete and is subject to, and qualified in its entirety by reference to, all of the provisions of the indenture, including definitions therein of certain terms. A form of each debt security, reflecting the specific terms and provisions of that series of debt securities, will be filed with the SEC in connection with each offering and will be incorporated by reference in the registration statement of which this prospectus forms a part. You may obtain a copy of the indenture and any form of debt security that has been filed in the manner described under “Where You Can Find More Information.”</w:t>
      </w:r>
    </w:p>
    <w:p>
      <w:pPr>
        <w:spacing w:after="0" w:line="16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a comprehensive description of any series of debt securities being offered to you pursuant to this prospectus, you should read this prospectus and the applicable prospectus supplement, indenture (including any amendments or supplements we may enter into from time to time that are permitted under the debt securities or indenture) and form of debt security.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indenture does not limit the amount of debt securities that we may issue. The indenture does provide that we may issue debt securities up to the principal amount that we may authorize, which may be in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prospectus supplement relating to a particular series of debt securities will describe the terms of the debt securities offered by that prospectus supplement and by this prospectus, including the following:</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and authorized denominations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that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guarantors, if any, of our obligations under the debt securities;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the currency or currencies in which, and other terms and conditions upon which those debt securities may be redeemed, in whole or in part, at our option or the option of a holder of those securities, if we or a holder is to have that option;</w:t>
      </w:r>
    </w:p>
    <w:p>
      <w:pPr>
        <w:spacing w:after="0" w:line="89"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and any guarantees thereof will be subordinate in right and priority of payment to our other debt;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those debt securities will be issued in fully registered form without coupons or in a form registered as to principal only with coupons or in bearer form with coupons;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United States dollars, the currency or currencies in which payment of principal of or any premium or interest on those debt securities will be payable;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covenants relating to the debt securities that are in addition to, modify or delete those described in this prospectus, including the merger, consolidation and sale covenant;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events of default relating to the debt securities that are in addition to, modify or delete those described in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and Transfer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applicable prospectus supplement, each series of debt securities will be issued in registered form only, without coupons, and such registered securities will be issued in denominations of $1,000 or any integral multiple thereof.</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otherwise indicated in the applicable prospectus supplement, we will pay interest on the debt securities to the persons who are their registered holders at the close of business on a certain date preceding the respective interest payment date. We will not be required to register the transfer or exchange of debt securities of any series during a period beginning 15 days before the mailing of a notice of redemption of or an offer to repurchase debt securities of that series or 15 days before an interest payment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common stock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5540" w:right="2700" w:hanging="4884"/>
        <w:spacing w:after="0" w:line="449" w:lineRule="auto"/>
        <w:tabs>
          <w:tab w:leader="none" w:pos="10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 11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indenture generally permits a consolidation or merger between us and another entity, and another corporation, if the surviving corporation meets certain limitations and conditions. Subject to these conditions, the indenture also permits the sale or transfer by us of all or substantially all of our property and assets. If this happens, the remaining or acquiring corporation shall assume all of our responsibilities and liabilities under the indenture including the payment of all amounts due on the debt securities and performance of the covenants in the indenture.</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only permitted to consolidate or merge with or into any other corporation or sell all or substantially all of our assets according to the terms and conditions of the indenture, as indicated in the applicable prospectus supplement. The remaining or acquiring corporation will be substituted for us in the indenture with the same effect as if it had been an original party to the indenture. Thereafter, the successor corporation may exercise our rights and powers under any indenture, in our name or in its own name.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and Repurchase</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debt securities may be redeemable at our option, may be subject to mandatory redemption pursuant to a sinking fund or otherwise, or may be subject to repurchase by us at the option of the holders, in each case upon the terms, at the times and at the prices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for 90 days after the date payment is due and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other covenants for 90 days after notice of such default or breach and request for it to be remedied;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the holders of a majority in principal amount of the outstanding debt securities of any series may, on behalf of holders of all those debt securities, waive any past default and consequences of such default.</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costs, expenses and liabilities that may be incurred by bringing the action;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90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denominated in the currency of the debt securities, as trust funds, in an amount certified to be enough to pay when due, whether at maturity, upon redemption or otherwise, the principal of, and any premium and interest on, the debt securities and any mandatory sinking fund payments.</w:t>
      </w:r>
    </w:p>
    <w:p>
      <w:pPr>
        <w:spacing w:after="0" w:line="17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Unless otherwise provided in the applicable prospectus supplement, we may also discharge certain of our obligations to holders of any series of debt securities at any time, which we refer to as defeasance. We may also be released from the obligations imposed by certain covenants of outstanding series of debt securities and provisions of the indenture, and we may omit to comply with those covenants without creating an event of default under the indenture, which we refer to as covenant defeasance. We may effect defeasance and covenant defeasance only if, among other things, we irrevocably deposit with the trustee cash or government obligations denominated in the currency of the debt securities, as trust funds, in an amount certified by a nationally recognized firm of independent certified accountants to be enough to pay at maturity, or upon redemption, the principal (including any mandatory sinking fund payments) of, and any premium and interest on, all outstanding debt securities of the series.</w:t>
      </w:r>
    </w:p>
    <w:p>
      <w:pPr>
        <w:spacing w:after="0" w:line="16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Although we may discharge or decrease our obligations under the indenture as described in the preceding paragraphs, we may not discharge certain enumerated obligations, including but not limited to,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 and Waivers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securities;</w:t>
      </w:r>
    </w:p>
    <w:p>
      <w:pPr>
        <w:spacing w:after="0" w:line="130" w:lineRule="exact"/>
        <w:rPr>
          <w:rFonts w:ascii="Arial" w:cs="Arial" w:eastAsia="Arial" w:hAnsi="Arial"/>
          <w:sz w:val="18"/>
          <w:szCs w:val="18"/>
          <w:color w:val="auto"/>
        </w:rPr>
      </w:pPr>
    </w:p>
    <w:p>
      <w:pPr>
        <w:ind w:left="1080" w:right="80" w:hanging="424"/>
        <w:spacing w:after="0" w:line="275"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 to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indenture conferred upon us;</w:t>
      </w:r>
    </w:p>
    <w:p>
      <w:pPr>
        <w:spacing w:after="0" w:line="81" w:lineRule="exact"/>
        <w:rPr>
          <w:rFonts w:ascii="Arial" w:cs="Arial" w:eastAsia="Arial" w:hAnsi="Arial"/>
          <w:sz w:val="17"/>
          <w:szCs w:val="17"/>
          <w:color w:val="auto"/>
        </w:rPr>
      </w:pPr>
    </w:p>
    <w:p>
      <w:pPr>
        <w:ind w:left="1080" w:right="8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of any debt securities in any material respect;</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issuance of and establish the form and terms and conditions of the debt securities of any series as provided in the indenture, to establish the form of any certifications required to be furnished pursuant to the terms of the indenture or any series of debt securities, or to add to the rights of the holders of any series of debt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by a successor trustee;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any requirements of the SEC in connection with the qualification of the indenture under the Trust Indenture Act of 1939, as amended (the “Trust Indenture Act”).</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provision of the indenture shall automatically be deemed to have been modified, eliminated or added to the extent required to be made as a result of an amendment to the Trust Indenture Act.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 the fixed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amount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 on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upon redemption of any debt security;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indenture provides that the holders of not less than a majority in aggregate principal amount of the then outstanding debt securities of any series, by notice to the trustee, may on behalf of the holders of the debt securities of that series waive any default and its consequences under the indenture except:</w:t>
      </w:r>
    </w:p>
    <w:p>
      <w:pPr>
        <w:spacing w:after="0" w:line="29" w:lineRule="exact"/>
        <w:rPr>
          <w:sz w:val="20"/>
          <w:szCs w:val="20"/>
          <w:color w:val="auto"/>
        </w:rPr>
      </w:pPr>
    </w:p>
    <w:p>
      <w:pPr>
        <w:ind w:left="5540" w:right="3160" w:hanging="4884"/>
        <w:spacing w:after="0" w:line="449" w:lineRule="auto"/>
        <w:tabs>
          <w:tab w:leader="none" w:pos="10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or interest on any such debt security; or 14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depositary or nominee for a depositary identified in the applicable prospectus supplement. Global debt securities may be issued in either registered or bearer form and in either temporary or permanent form. Unless and until it is exchanged in whole or in part for individual certificates evidencing debt securities, a global debt security may not be transferred except as a whole:</w:t>
      </w:r>
    </w:p>
    <w:p>
      <w:pPr>
        <w:spacing w:after="0" w:line="7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the depository to a nominee of such depository;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a nominee of such depository to such depository or another nominee of such depository;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by such depository, or any such nominee to a successor of such depository, or a nominee of such successor.</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specific terms of the depository arrangement with respect to a series of global debt securities and certain limitations and restrictions relating to a series of global bearer securities will be described in the applicable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indenture provides that in the event that the trustee resigns or is removed with respect to less than all series of debt securities outstanding under the indenture, there may be more than one trustee under the indenture. If there are different trustees for different series of debt securities under the indenture, each such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trustee may engage in other transactions with us. If the trustee acquires any conflicting interest relating to any duties concerning the debt securities, however, the trustee must eliminate the conflict or resign as trustee.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is, and any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varying number of shares of common stock or preferred stock, depositary shares, warrants, or any combination of the above, at a future date or dates. Alternatively, the purchase contracts may obligate us to purchase from holders, and obligate holders to sell to us, a specific or varying number of shares of common stock or preferred stock, depositary shares, warrants, or any combination of the above. The price of the securities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the other securities described in this prospectus or securities of third parties, including U.S. Treasury securities, securing the holder’s obligations under the purchase contract. If we issue a purchase contract as part of a unit, the applicable prospectus supplement will state whether the purchase contract will be separable from the other securities in the unit before the purchase contract settlement date.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 and in certain circumstances, we may deliver newly issued prepaid purchase contracts, often known as prepaid securities, upon release to a holder of any collateral securing such holder’s obligations under the original purchase contract.</w:t>
      </w:r>
    </w:p>
    <w:p>
      <w:pPr>
        <w:spacing w:after="0" w:line="18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76" w:lineRule="exact"/>
        <w:rPr>
          <w:sz w:val="20"/>
          <w:szCs w:val="20"/>
          <w:color w:val="auto"/>
        </w:rPr>
      </w:pPr>
    </w:p>
    <w:p>
      <w:pPr>
        <w:ind w:left="1080" w:right="28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will be issued as part of a unit and, if so, the other securities comprising the unit;</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Material U.S. federal income tax consideration applicable to the purchase contracts will also be discussed in the applicable prospectus supplement.</w:t>
      </w: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rights to purchase common stock, preferred stock, depositary shares, debt securities or warrants that we may offer to our security holders.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rights agent will act solely as our agent in connection with the rights and will not assume any obligation or relationship of agency or trust for or with any holders of rights certificates or beneficial owners of rights.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54"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number of shares of common stock, preferred stock, depositary shares, debt securities or warrants purchasable upon exercise of the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right would entitle the holder of the rights to purchase for cash the amount of shares of common stock, preferred stock, depositary shares or warrants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the material terms and provisions of the units that we may offer under this prospectus. Units may be offered independently or together with common stock, preferred stock, depositary shares, debt securities, purchase contracts, and/or warrants offered by any prospectus supplement, and may be attached to or separate from those securities.</w:t>
      </w:r>
    </w:p>
    <w:p>
      <w:pPr>
        <w:spacing w:after="0" w:line="18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may issue units consisting of common stock, preferred stock, depositary shares, debt securities, warrants, purchase contracts or any combination thereof. Each unit will be issued so that the holder of the unit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 the following:</w:t>
      </w:r>
    </w:p>
    <w:p>
      <w:pPr>
        <w:spacing w:after="0" w:line="131" w:lineRule="exact"/>
        <w:rPr>
          <w:sz w:val="20"/>
          <w:szCs w:val="20"/>
          <w:color w:val="auto"/>
        </w:rPr>
      </w:pPr>
    </w:p>
    <w:p>
      <w:pPr>
        <w:ind w:left="1080" w:right="3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provisions described in this section, as well as those described under “Description of Common Stock,” “Description of Preferred Stock,” “Description of Depositary Shares,” “Description of Debt Securities,” “Description of Warrants,” “Description of Purchase Contracts” and “Description of Units” will apply to each unit and to any common stock, preferred stock, depositary share or warrant included in each unit, respectively.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without the consent of the related unit agent or the holder of any other unit, may enforce by appropriate legal action its rights as holder under any security included in the unit.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prospectus also relates to the possible resale by certain of our stockholders, who we refer to in this prospectus as the “selling stockholders,” of up to 7,500,000 shares of our common stock that were issued and outstanding prior to the original date of filing of the registration statement of which this prospectus forms a part. The selling stockholders originally acquired the shares of our common stock included in this prospectus in open market purchases or as compensatory stock awards or compensation for services.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Information about the selling stockholders, where applicable, including their identities, the amount of shares of common stock owned by each selling stockholder prior to the offering, the number of shares of our common stock to be offered by each selling stockholder and the amount of common stock to be owned by each selling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stockholder after completion of the offering, will be set forth in an applicable prospectus supplement, documents incorporated by reference or in a free writing prospectus we file with the SEC. The applicable prospectus supplement will also disclose whether any of the selling stockholders has held any position or office with, has been employed by or otherwise has had a material relationship with us during the three years prior to the date of the prospectus supplement.</w:t>
      </w:r>
    </w:p>
    <w:p>
      <w:pPr>
        <w:spacing w:after="0" w:line="187" w:lineRule="exact"/>
        <w:rPr>
          <w:sz w:val="20"/>
          <w:szCs w:val="20"/>
          <w:color w:val="auto"/>
        </w:rPr>
      </w:pPr>
    </w:p>
    <w:p>
      <w:pPr>
        <w:ind w:left="120" w:right="700" w:firstLine="440"/>
        <w:spacing w:after="0" w:line="259" w:lineRule="auto"/>
        <w:rPr>
          <w:sz w:val="20"/>
          <w:szCs w:val="20"/>
          <w:color w:val="auto"/>
        </w:rPr>
      </w:pPr>
      <w:r>
        <w:rPr>
          <w:rFonts w:ascii="Arial" w:cs="Arial" w:eastAsia="Arial" w:hAnsi="Arial"/>
          <w:sz w:val="18"/>
          <w:szCs w:val="18"/>
          <w:color w:val="auto"/>
        </w:rPr>
        <w:t>The selling stockholders will not sell any shares of our common stock pursuant to this prospectus until we have identified such selling stockholders and the shares being offered for resale by such selling stockholders in a subsequent prospectus supplement. However, the selling stockholders may sell or transfer all or a portion of their shares of our common stock pursuant to any available exemption from the registration requirements of the Securities Act.</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the selling stockholders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one or more underwriters or dealers for resale to the public or to investors;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to or through a market maker or into an existing trading market, or an exchange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directly to investors in privately negotiated transactions;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securities that we or the selling stockholders distribute by any of these methods may be sold, in one or more transactions, at:</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a prospectus supplement the terms of the offering of securities by us or the selling stockholders, including:</w:t>
      </w:r>
    </w:p>
    <w:p>
      <w:pPr>
        <w:spacing w:after="0" w:line="1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proceeds we will receive from the sale of securities offered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 or the selling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agency fees or underwriting discounts and commissions and other items constituting agents’ or underwriters’ compensation;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exchanges on which such common stock may be listed.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or the selling stockholders and any profit on their resale of the securities may be treated as underwriting discounts and commissions under the Securities Act. We will identify in the applicable prospectus supplement any underwriters, dealers or agents and will describe their compensation. We or the selling stockholders may have agreements with the underwriters, dealers and agents to indemnify them against specified civil liabilities, including liabilities under the Securities Act. Underwriters, dealers and agents may engage in transactions with or perform services for us or our subsidiaries and/or the selling stockholders in the ordinary course of their businesses.</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we or the selling stockholders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offered if they purchase any of the securities offered. We or the selling stockholders may change from time to time any initial public offering price and any discounts or concessions the underwriters allow or reallow or pay to dealers. We or the selling stockholders may use underwriters with whom we and/or the selling stockholders have a material relationship. We will describe in the prospectus supplement naming the underwriters the nature of any such relationship.</w:t>
      </w:r>
    </w:p>
    <w:p>
      <w:pPr>
        <w:spacing w:after="0" w:line="166"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If indicated in the applicable prospectus supplement, we and/or the selling stockholders will authorize underwriters or other persons acting as our and/or the selling stockholders agents to solicit offers by particular institutions to purchase securities from us and/or the selling stockholders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and/or the selling stockholders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or the selling stockholders shall have sold to the underwriters the total principal amount of the securities less the principal amount thereof covered by the contracts. The underwriters and such other agents will not have any responsibility in respect of the validity or performance of such contracts.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or the selling stockholders may designate agents who agree to use their reasonable efforts to solicit purchases for the period of their appointment or to sell securities on a continuing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or the selling stockholders may also sell securities directly to one or more purchasers without using underwriters or agents.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offered by us will be a new issue with no established trading market, other than our common stock, which is traded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OTCQX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an offering, an underwriter may purchase and sell securities in the open market. These transactions may include short sales, stabilizing transactions and purchases to cover positions created by short sales. Shorts sales involve the sale by the underwriters of a greater number of securities than they are required to purchase in the offering. “Covered” short sales are sales made in an amount not greater than the underwriters’ option to purchase additional securities from us or the selling stockholders, if any, in the offering. If the underwriters have an over-allotment option to purchase additional securities from us or the selling stockholders,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effect the price of the securities to the extent that it discourages resale of the securities. The magnitude or effect of any stabilization or other transactions is uncertain. These transactions may be effected on the OTCQX Market or otherwise and, if commenced, may be discontinued at any time.</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consolidated financial statements of Destination XL Group, Inc. as of January 30, 2021 and February 1, 2020 and for each of the years in the three-year period ending January 30, 2021,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audit report refers to a change in the method of accounting for leases due to the adoption of a new standard as of February 3, 2019.</w:t>
      </w: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Certain legal matters, including the legality of the securities offered, will be passed upon for us by our counsel, Greenberg Traurig, LLP, Boston, Massachusetts. If the securities are distributed in an underwritten offering, certain legal matters will be passed upon for the underwriters by counsel identified in the applicable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The SEC’s website contains reports, proxy and information statements and other information regarding issuers, such as us, that file electronically with the SEC. The reports and other information filed by us with the SEC are also available at our website, </w:t>
      </w:r>
      <w:r>
        <w:rPr>
          <w:rFonts w:ascii="Arial" w:cs="Arial" w:eastAsia="Arial" w:hAnsi="Arial"/>
          <w:sz w:val="18"/>
          <w:szCs w:val="18"/>
          <w:i w:val="1"/>
          <w:iCs w:val="1"/>
          <w:color w:val="auto"/>
        </w:rPr>
        <w:t>https://investor.dxl.com/investor-relations.</w:t>
      </w:r>
      <w:r>
        <w:rPr>
          <w:rFonts w:ascii="Arial" w:cs="Arial" w:eastAsia="Arial" w:hAnsi="Arial"/>
          <w:sz w:val="18"/>
          <w:szCs w:val="18"/>
          <w:color w:val="auto"/>
        </w:rPr>
        <w:t xml:space="preserve"> Information contained on our website or that can be accessed through our website is not incorporated by reference into this prospectus or any prospectus supplement and should not be considered to be part of this prospectus or any prospectus supplement.</w:t>
      </w:r>
    </w:p>
    <w:p>
      <w:pPr>
        <w:spacing w:after="0" w:line="19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SEC allows us to “incorporate” into this prospectus information that we file with the SEC in other documents. This means that we can disclose important information to you by referring to other documents that contain that information. Any information that we incorporate by reference is considered part of this prospectus. The documents and reports that we list below are incorporated by reference into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5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7"/>
          <w:szCs w:val="17"/>
          <w:color w:val="0000EE"/>
        </w:rPr>
      </w:pPr>
      <w:hyperlink r:id="rId44">
        <w:r>
          <w:rPr>
            <w:rFonts w:ascii="Arial" w:cs="Arial" w:eastAsia="Arial" w:hAnsi="Arial"/>
            <w:sz w:val="17"/>
            <w:szCs w:val="17"/>
            <w:u w:val="single" w:color="auto"/>
            <w:color w:val="0000EE"/>
          </w:rPr>
          <w:t>Our Annual Report on Form 10-K for the fiscal year ended January 30,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as amended by the</w:t>
      </w:r>
      <w:r>
        <w:rPr>
          <w:rFonts w:ascii="Arial" w:cs="Arial" w:eastAsia="Arial" w:hAnsi="Arial"/>
          <w:sz w:val="17"/>
          <w:szCs w:val="17"/>
          <w:color w:val="0000EE"/>
        </w:rPr>
        <w:t xml:space="preserve"> </w:t>
      </w:r>
      <w:hyperlink r:id="rId45">
        <w:r>
          <w:rPr>
            <w:rFonts w:ascii="Arial" w:cs="Arial" w:eastAsia="Arial" w:hAnsi="Arial"/>
            <w:sz w:val="17"/>
            <w:szCs w:val="17"/>
            <w:u w:val="single" w:color="auto"/>
            <w:color w:val="0000EE"/>
          </w:rPr>
          <w:t>Form 10-K/A filed on June 1, 2021</w:t>
        </w:r>
      </w:hyperlink>
      <w:r>
        <w:rPr>
          <w:rFonts w:ascii="Arial" w:cs="Arial" w:eastAsia="Arial" w:hAnsi="Arial"/>
          <w:sz w:val="17"/>
          <w:szCs w:val="17"/>
          <w:color w:val="000000"/>
        </w:rPr>
        <w:t>;</w:t>
      </w:r>
    </w:p>
    <w:p>
      <w:pPr>
        <w:spacing w:after="0" w:line="142" w:lineRule="exact"/>
        <w:rPr>
          <w:rFonts w:ascii="Arial" w:cs="Arial" w:eastAsia="Arial" w:hAnsi="Arial"/>
          <w:sz w:val="17"/>
          <w:szCs w:val="17"/>
          <w:color w:val="0000EE"/>
        </w:rPr>
      </w:pPr>
    </w:p>
    <w:p>
      <w:pPr>
        <w:ind w:left="1080" w:hanging="532"/>
        <w:spacing w:after="0"/>
        <w:tabs>
          <w:tab w:leader="none" w:pos="1080" w:val="left"/>
        </w:tabs>
        <w:numPr>
          <w:ilvl w:val="0"/>
          <w:numId w:val="40"/>
        </w:numPr>
        <w:rPr>
          <w:rFonts w:ascii="Arial" w:cs="Arial" w:eastAsia="Arial" w:hAnsi="Arial"/>
          <w:sz w:val="18"/>
          <w:szCs w:val="18"/>
          <w:color w:val="0000EE"/>
        </w:rPr>
      </w:pPr>
      <w:hyperlink r:id="rId47">
        <w:r>
          <w:rPr>
            <w:rFonts w:ascii="Arial" w:cs="Arial" w:eastAsia="Arial" w:hAnsi="Arial"/>
            <w:sz w:val="18"/>
            <w:szCs w:val="18"/>
            <w:u w:val="single" w:color="auto"/>
            <w:color w:val="0000EE"/>
          </w:rPr>
          <w:t>Our Quarterly Report on Form 10-Q for the quarter ended May 1, 2021</w:t>
        </w:r>
      </w:hyperlink>
      <w:r>
        <w:rPr>
          <w:rFonts w:ascii="Arial" w:cs="Arial" w:eastAsia="Arial" w:hAnsi="Arial"/>
          <w:sz w:val="18"/>
          <w:szCs w:val="18"/>
          <w:color w:val="000000"/>
        </w:rPr>
        <w:t>;</w:t>
      </w:r>
    </w:p>
    <w:p>
      <w:pPr>
        <w:spacing w:after="0" w:line="130" w:lineRule="exact"/>
        <w:rPr>
          <w:rFonts w:ascii="Arial" w:cs="Arial" w:eastAsia="Arial" w:hAnsi="Arial"/>
          <w:sz w:val="18"/>
          <w:szCs w:val="18"/>
          <w:color w:val="0000EE"/>
        </w:rPr>
      </w:pPr>
    </w:p>
    <w:p>
      <w:pPr>
        <w:ind w:left="1080" w:right="320" w:hanging="532"/>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82">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EE"/>
          </w:rPr>
          <w:t>March 10, 2021</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EE"/>
          </w:rPr>
          <w:t>March 18, 2021</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and two Form 8-K/As filed with the SEC on </w:t>
      </w:r>
      <w:hyperlink r:id="rId52">
        <w:r>
          <w:rPr>
            <w:rFonts w:ascii="Arial" w:cs="Arial" w:eastAsia="Arial" w:hAnsi="Arial"/>
            <w:sz w:val="18"/>
            <w:szCs w:val="18"/>
            <w:u w:val="single" w:color="auto"/>
            <w:color w:val="0000EE"/>
          </w:rPr>
          <w:t>February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6">
        <w:r>
          <w:rPr>
            <w:rFonts w:ascii="Arial" w:cs="Arial" w:eastAsia="Arial" w:hAnsi="Arial"/>
            <w:sz w:val="18"/>
            <w:szCs w:val="18"/>
            <w:u w:val="single" w:color="auto"/>
            <w:color w:val="0000EE"/>
          </w:rPr>
          <w:t>February 5, 2021</w:t>
        </w:r>
      </w:hyperlink>
      <w:r>
        <w:rPr>
          <w:rFonts w:ascii="Arial" w:cs="Arial" w:eastAsia="Arial" w:hAnsi="Arial"/>
          <w:sz w:val="18"/>
          <w:szCs w:val="18"/>
          <w:color w:val="auto"/>
        </w:rPr>
        <w:t>, respectively; and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40"/>
        </w:numPr>
        <w:rPr>
          <w:rFonts w:ascii="Arial" w:cs="Arial" w:eastAsia="Arial" w:hAnsi="Arial"/>
          <w:sz w:val="18"/>
          <w:szCs w:val="18"/>
          <w:color w:val="0000EE"/>
        </w:rPr>
      </w:pPr>
      <w:hyperlink r:id="rId87">
        <w:r>
          <w:rPr>
            <w:rFonts w:ascii="Arial" w:cs="Arial" w:eastAsia="Arial" w:hAnsi="Arial"/>
            <w:sz w:val="18"/>
            <w:szCs w:val="18"/>
            <w:color w:val="auto"/>
          </w:rPr>
          <w:t xml:space="preserve">The description of our common stock contained in </w:t>
        </w:r>
        <w:r>
          <w:rPr>
            <w:rFonts w:ascii="Arial" w:cs="Arial" w:eastAsia="Arial" w:hAnsi="Arial"/>
            <w:sz w:val="18"/>
            <w:szCs w:val="18"/>
            <w:u w:val="single" w:color="auto"/>
            <w:color w:val="0000EE"/>
          </w:rPr>
          <w:t>Exhibit 4.1 to our Annual Report on Form 10-K for the fiscal year ended February 1,</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filed with the SEC on March 19, 2020.</w:t>
        </w:r>
      </w:hyperlink>
    </w:p>
    <w:p>
      <w:pPr>
        <w:spacing w:after="0" w:line="170" w:lineRule="exact"/>
        <w:rPr>
          <w:rFonts w:ascii="Arial" w:cs="Arial" w:eastAsia="Arial" w:hAnsi="Arial"/>
          <w:sz w:val="18"/>
          <w:szCs w:val="18"/>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we also incorporate by reference all documents and reports which we file pursuant to Section 13(a), 13(c), 14 or 15(d) of the Exchange Act (i) after the date of the initial registration statement and prior to the effectiveness of the registration statement and (ii) after the date of this prospectus and prior to the termination of the offering of the securities under this Registration Statement (except in each case for the information contained in such documents that is deemed to be “furnished” and not “filed”).</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may request, orally or upon written request, a copy of these documents, which will be provided to you at no cost, by contacting:</w:t>
      </w:r>
    </w:p>
    <w:p>
      <w:pPr>
        <w:spacing w:after="0" w:line="2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Destination XL Group,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555 Turnpike Street</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Canton, MA 02021</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828-9300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rely only on the information contained in this prospectus, including information incorporated by reference as described above, or any prospectus supplement that we have specifically referred you to. We have not authorized anyone else to provide you with different information. You should not assume that the information in this prospectus or any prospectus supplement is accurate as of any date other than the date on the front of those documents or that any document incorporated by reference is accurate as of any date other than its filing date.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5,733,076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337820</wp:posOffset>
            </wp:positionV>
            <wp:extent cx="1071245" cy="6261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10712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1040765</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328930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330" w:lineRule="exact"/>
        <w:rPr>
          <w:sz w:val="20"/>
          <w:szCs w:val="20"/>
          <w:color w:val="auto"/>
        </w:rPr>
      </w:pPr>
    </w:p>
    <w:p>
      <w:pPr>
        <w:ind w:left="120"/>
        <w:spacing w:after="0"/>
        <w:tabs>
          <w:tab w:leader="none" w:pos="8760" w:val="left"/>
        </w:tabs>
        <w:rPr>
          <w:sz w:val="20"/>
          <w:szCs w:val="20"/>
          <w:color w:val="auto"/>
        </w:rPr>
      </w:pPr>
      <w:r>
        <w:rPr>
          <w:rFonts w:ascii="Arial" w:cs="Arial" w:eastAsia="Arial" w:hAnsi="Arial"/>
          <w:sz w:val="29"/>
          <w:szCs w:val="29"/>
          <w:b w:val="1"/>
          <w:bCs w:val="1"/>
          <w:color w:val="auto"/>
        </w:rPr>
        <w:t>D.A. DAVIDSON &amp; CO.</w:t>
      </w:r>
      <w:r>
        <w:rPr>
          <w:sz w:val="20"/>
          <w:szCs w:val="20"/>
          <w:color w:val="auto"/>
        </w:rPr>
        <w:tab/>
      </w:r>
      <w:r>
        <w:rPr>
          <w:rFonts w:ascii="Arial" w:cs="Arial" w:eastAsia="Arial" w:hAnsi="Arial"/>
          <w:sz w:val="29"/>
          <w:szCs w:val="29"/>
          <w:b w:val="1"/>
          <w:bCs w:val="1"/>
          <w:color w:val="auto"/>
        </w:rPr>
        <w:t>CRAIG-HALLUM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417195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5"/>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jpe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jpe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44" Type="http://schemas.openxmlformats.org/officeDocument/2006/relationships/hyperlink" Target="http://www.sec.gov/ix?doc=/Archives/edgar/data/813298/000156459021014278/dxlg-10k_20210130.htm" TargetMode="External"/><Relationship Id="rId45" Type="http://schemas.openxmlformats.org/officeDocument/2006/relationships/hyperlink" Target="http://www.sec.gov/ix?doc=/Archives/edgar/data/813298/000156459021031160/dxlg-10ka_20210130.htm" TargetMode="External"/><Relationship Id="rId46" Type="http://schemas.openxmlformats.org/officeDocument/2006/relationships/hyperlink" Target="http://www.sec.gov/Archives/edgar/data/813298/000156459021035581/dxlg-def14a_20210805.htm" TargetMode="External"/><Relationship Id="rId47" Type="http://schemas.openxmlformats.org/officeDocument/2006/relationships/hyperlink" Target="http://www.sec.gov/ix?doc=/Archives/edgar/data/813298/000156459021030359/dxlg-10q_20210501.htm" TargetMode="External"/><Relationship Id="rId48" Type="http://schemas.openxmlformats.org/officeDocument/2006/relationships/hyperlink" Target="http://www.sec.gov/ix?doc=/Archives/edgar/data/813298/000156459021046526/dxlg-10q_20210731.htm" TargetMode="External"/><Relationship Id="rId49" Type="http://schemas.openxmlformats.org/officeDocument/2006/relationships/hyperlink" Target="http://www.sec.gov/ix?doc=/Archives/edgar/data/813298/000156459021041917/dxlg-8k_20210805.htm" TargetMode="External"/><Relationship Id="rId50" Type="http://schemas.openxmlformats.org/officeDocument/2006/relationships/hyperlink" Target="http://www.sec.gov/ix?doc=/Archives/edgar/data/813298/000156459021047145/dxlg-8k_20210903.htm" TargetMode="External"/><Relationship Id="rId51" Type="http://schemas.openxmlformats.org/officeDocument/2006/relationships/hyperlink" Target="http://www.sec.gov/ix?doc=/Archives/edgar/data/813298/000119312521030948/d132525d8ka.htm" TargetMode="External"/><Relationship Id="rId52" Type="http://schemas.openxmlformats.org/officeDocument/2006/relationships/hyperlink" Target="http://www.sec.gov/ix?doc=/Archives/edgar/data/813298/000119312521030271/d100599d8ka.htm" TargetMode="External"/><Relationship Id="rId53" Type="http://schemas.openxmlformats.org/officeDocument/2006/relationships/hyperlink" Target="http://www.sec.gov/Archives/edgar/data/813298/000119312521266010/d202788d8a12b.htm" TargetMode="External"/><Relationship Id="rId82" Type="http://schemas.openxmlformats.org/officeDocument/2006/relationships/hyperlink" Target="http://www.sec.gov/ix?doc=/Archives/edgar/data/813298/000119312521030022/d115175d8k.htm" TargetMode="External"/><Relationship Id="rId83" Type="http://schemas.openxmlformats.org/officeDocument/2006/relationships/hyperlink" Target="http://www.sec.gov/ix?doc=/Archives/edgar/data/813298/000156459021012109/dxlg-8k_20210309.htm" TargetMode="External"/><Relationship Id="rId84" Type="http://schemas.openxmlformats.org/officeDocument/2006/relationships/hyperlink" Target="http://www.sec.gov/ix?doc=/Archives/edgar/data/813298/000156459021014007/dxlg-8k_20210316.htm" TargetMode="External"/><Relationship Id="rId85" Type="http://schemas.openxmlformats.org/officeDocument/2006/relationships/hyperlink" Target="http://www.sec.gov/ix?doc=/Archives/edgar/data/813298/000156459021018901/dxlg-8k_20210414.htm" TargetMode="External"/><Relationship Id="rId86" Type="http://schemas.openxmlformats.org/officeDocument/2006/relationships/hyperlink" Target="http://www.sec.gov/Archives/edgar/data/813298/000119312521030948/d132525d8ka.htm" TargetMode="External"/><Relationship Id="rId87" Type="http://schemas.openxmlformats.org/officeDocument/2006/relationships/hyperlink" Target="http://www.sec.gov/Archives/edgar/data/813298/000156459020011796/dxlg-ex41_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2021-09-09T15:26:32Z</dcterms:created>
  <dcterms:modified xsi:type="dcterms:W3CDTF">2021-09-09T15:26:32Z</dcterms:modified>
</cp:coreProperties>
</file>