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079"/>
        <w:spacing w:after="0"/>
        <w:rPr>
          <w:sz w:val="20"/>
          <w:szCs w:val="20"/>
          <w:color w:val="auto"/>
        </w:rPr>
      </w:pPr>
      <w:r>
        <w:rPr>
          <w:rFonts w:ascii="Courier New" w:cs="Courier New" w:eastAsia="Courier New" w:hAnsi="Courier New"/>
          <w:sz w:val="15"/>
          <w:szCs w:val="15"/>
          <w:color w:val="auto"/>
        </w:rPr>
        <w:t>As filed with the Securities and Exchange Commission on September 9, 2002.</w:t>
      </w:r>
    </w:p>
    <w:p>
      <w:pPr>
        <w:spacing w:after="0" w:line="174" w:lineRule="exact"/>
        <w:rPr>
          <w:sz w:val="24"/>
          <w:szCs w:val="24"/>
          <w:color w:val="auto"/>
        </w:rPr>
      </w:pPr>
    </w:p>
    <w:p>
      <w:pPr>
        <w:jc w:val="right"/>
        <w:ind w:right="3079"/>
        <w:spacing w:after="0"/>
        <w:rPr>
          <w:sz w:val="20"/>
          <w:szCs w:val="20"/>
          <w:color w:val="auto"/>
        </w:rPr>
      </w:pPr>
      <w:r>
        <w:rPr>
          <w:rFonts w:ascii="Courier New" w:cs="Courier New" w:eastAsia="Courier New" w:hAnsi="Courier New"/>
          <w:sz w:val="15"/>
          <w:szCs w:val="15"/>
          <w:color w:val="auto"/>
        </w:rPr>
        <w:t>Registration No. 333-90742</w:t>
      </w:r>
    </w:p>
    <w:p>
      <w:pPr>
        <w:spacing w:after="0" w:line="346"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9"/>
        <w:spacing w:after="0"/>
        <w:rPr>
          <w:sz w:val="20"/>
          <w:szCs w:val="20"/>
          <w:color w:val="auto"/>
        </w:rPr>
      </w:pPr>
      <w:r>
        <w:rPr>
          <w:rFonts w:ascii="Courier New" w:cs="Courier New" w:eastAsia="Courier New" w:hAnsi="Courier New"/>
          <w:sz w:val="15"/>
          <w:szCs w:val="15"/>
          <w:color w:val="auto"/>
        </w:rPr>
        <w:t>Washington, D.C. 20549</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AMENDMENT NO. 2</w:t>
      </w:r>
    </w:p>
    <w:p>
      <w:pPr>
        <w:spacing w:after="0" w:line="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S-3</w:t>
      </w:r>
    </w:p>
    <w:p>
      <w:pPr>
        <w:spacing w:after="0" w:line="2"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THE SECURITIES ACT OF 1933</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220"/>
        <w:spacing w:after="0"/>
        <w:rPr>
          <w:sz w:val="20"/>
          <w:szCs w:val="20"/>
          <w:color w:val="auto"/>
        </w:rPr>
      </w:pPr>
      <w:r>
        <w:rPr>
          <w:rFonts w:ascii="Courier New" w:cs="Courier New" w:eastAsia="Courier New" w:hAnsi="Courier New"/>
          <w:sz w:val="15"/>
          <w:szCs w:val="15"/>
          <w:color w:val="auto"/>
        </w:rPr>
        <w:t>CASUAL MALE RETAIL GROUP, INC.</w:t>
      </w:r>
    </w:p>
    <w:p>
      <w:pPr>
        <w:spacing w:after="0" w:line="2" w:lineRule="exact"/>
        <w:rPr>
          <w:sz w:val="24"/>
          <w:szCs w:val="24"/>
          <w:color w:val="auto"/>
        </w:rPr>
      </w:pPr>
    </w:p>
    <w:p>
      <w:pPr>
        <w:ind w:left="2140"/>
        <w:spacing w:after="0"/>
        <w:rPr>
          <w:sz w:val="20"/>
          <w:szCs w:val="20"/>
          <w:color w:val="auto"/>
        </w:rPr>
      </w:pPr>
      <w:r>
        <w:rPr>
          <w:rFonts w:ascii="Courier New" w:cs="Courier New" w:eastAsia="Courier New" w:hAnsi="Courier New"/>
          <w:sz w:val="15"/>
          <w:szCs w:val="15"/>
          <w:color w:val="auto"/>
        </w:rPr>
        <w:t>(formerly known as Designs, Inc.)</w:t>
      </w:r>
    </w:p>
    <w:p>
      <w:pPr>
        <w:spacing w:after="0" w:line="2" w:lineRule="exact"/>
        <w:rPr>
          <w:sz w:val="24"/>
          <w:szCs w:val="24"/>
          <w:color w:val="auto"/>
        </w:rPr>
      </w:pPr>
    </w:p>
    <w:p>
      <w:pPr>
        <w:ind w:left="116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c>
          <w:tcPr>
            <w:tcW w:w="19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04-2623104</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196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incorporation or organization)</w:t>
            </w:r>
          </w:p>
        </w:tc>
        <w:tc>
          <w:tcPr>
            <w:tcW w:w="1960" w:type="dxa"/>
            <w:vAlign w:val="bottom"/>
          </w:tcPr>
          <w:p>
            <w:pPr>
              <w:spacing w:after="0"/>
              <w:rPr>
                <w:sz w:val="20"/>
                <w:szCs w:val="20"/>
                <w:color w:val="auto"/>
              </w:rPr>
            </w:pPr>
            <w:r>
              <w:rPr>
                <w:rFonts w:ascii="Courier New" w:cs="Courier New" w:eastAsia="Courier New" w:hAnsi="Courier New"/>
                <w:sz w:val="15"/>
                <w:szCs w:val="15"/>
                <w:color w:val="auto"/>
                <w:w w:val="97"/>
              </w:rPr>
              <w:t>Identification Number)</w:t>
            </w:r>
          </w:p>
        </w:tc>
      </w:tr>
      <w:tr>
        <w:trPr>
          <w:trHeight w:val="516"/>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555 Turnpike Street</w:t>
            </w:r>
          </w:p>
        </w:tc>
        <w:tc>
          <w:tcPr>
            <w:tcW w:w="1960" w:type="dxa"/>
            <w:vAlign w:val="bottom"/>
          </w:tcPr>
          <w:p>
            <w:pPr>
              <w:spacing w:after="0"/>
              <w:rPr>
                <w:sz w:val="24"/>
                <w:szCs w:val="2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Canton, Massachusetts 02021</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9"/>
              </w:rPr>
              <w:t>(781) 828-9300</w:t>
            </w:r>
          </w:p>
        </w:tc>
        <w:tc>
          <w:tcPr>
            <w:tcW w:w="1960" w:type="dxa"/>
            <w:vAlign w:val="bottom"/>
          </w:tcPr>
          <w:p>
            <w:pPr>
              <w:spacing w:after="0"/>
              <w:rPr>
                <w:sz w:val="14"/>
                <w:szCs w:val="14"/>
                <w:color w:val="auto"/>
              </w:rPr>
            </w:pPr>
          </w:p>
        </w:tc>
      </w:tr>
      <w:tr>
        <w:trPr>
          <w:trHeight w:val="172"/>
        </w:trPr>
        <w:tc>
          <w:tcPr>
            <w:tcW w:w="6780" w:type="dxa"/>
            <w:vAlign w:val="bottom"/>
            <w:gridSpan w:val="2"/>
          </w:tcPr>
          <w:p>
            <w:pPr>
              <w:jc w:val="center"/>
              <w:ind w:left="385"/>
              <w:spacing w:after="0"/>
              <w:rPr>
                <w:sz w:val="20"/>
                <w:szCs w:val="20"/>
                <w:color w:val="auto"/>
              </w:rPr>
            </w:pPr>
            <w:r>
              <w:rPr>
                <w:rFonts w:ascii="Courier New" w:cs="Courier New" w:eastAsia="Courier New" w:hAnsi="Courier New"/>
                <w:sz w:val="15"/>
                <w:szCs w:val="15"/>
                <w:color w:val="auto"/>
                <w:w w:val="99"/>
              </w:rPr>
              <w:t>(Address, including zip code, and telephone number,</w:t>
            </w:r>
          </w:p>
        </w:tc>
      </w:tr>
      <w:tr>
        <w:trPr>
          <w:trHeight w:val="172"/>
        </w:trPr>
        <w:tc>
          <w:tcPr>
            <w:tcW w:w="6780" w:type="dxa"/>
            <w:vAlign w:val="bottom"/>
            <w:gridSpan w:val="2"/>
          </w:tcPr>
          <w:p>
            <w:pPr>
              <w:jc w:val="center"/>
              <w:ind w:left="365"/>
              <w:spacing w:after="0"/>
              <w:rPr>
                <w:sz w:val="20"/>
                <w:szCs w:val="20"/>
                <w:color w:val="auto"/>
              </w:rPr>
            </w:pPr>
            <w:r>
              <w:rPr>
                <w:rFonts w:ascii="Courier New" w:cs="Courier New" w:eastAsia="Courier New" w:hAnsi="Courier New"/>
                <w:sz w:val="15"/>
                <w:szCs w:val="15"/>
                <w:color w:val="auto"/>
                <w:w w:val="99"/>
              </w:rPr>
              <w:t>including area code, of Registrant's principal executive offices)</w:t>
            </w:r>
          </w:p>
        </w:tc>
      </w:tr>
      <w:tr>
        <w:trPr>
          <w:trHeight w:val="172"/>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8"/>
              </w:rPr>
              <w:t>----------------</w:t>
            </w:r>
          </w:p>
        </w:tc>
        <w:tc>
          <w:tcPr>
            <w:tcW w:w="1960" w:type="dxa"/>
            <w:vAlign w:val="bottom"/>
          </w:tcPr>
          <w:p>
            <w:pPr>
              <w:spacing w:after="0"/>
              <w:rPr>
                <w:sz w:val="14"/>
                <w:szCs w:val="14"/>
                <w:color w:val="auto"/>
              </w:rPr>
            </w:pPr>
          </w:p>
        </w:tc>
      </w:tr>
      <w:tr>
        <w:trPr>
          <w:trHeight w:val="344"/>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Dennis R. Hernreich</w:t>
            </w:r>
          </w:p>
        </w:tc>
        <w:tc>
          <w:tcPr>
            <w:tcW w:w="1960" w:type="dxa"/>
            <w:vAlign w:val="bottom"/>
          </w:tcPr>
          <w:p>
            <w:pPr>
              <w:spacing w:after="0"/>
              <w:rPr>
                <w:sz w:val="24"/>
                <w:szCs w:val="2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Chief Financial Officer</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555 Turnpike Street</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325"/>
              <w:spacing w:after="0"/>
              <w:rPr>
                <w:sz w:val="20"/>
                <w:szCs w:val="20"/>
                <w:color w:val="auto"/>
              </w:rPr>
            </w:pPr>
            <w:r>
              <w:rPr>
                <w:rFonts w:ascii="Courier New" w:cs="Courier New" w:eastAsia="Courier New" w:hAnsi="Courier New"/>
                <w:sz w:val="15"/>
                <w:szCs w:val="15"/>
                <w:color w:val="auto"/>
                <w:w w:val="99"/>
              </w:rPr>
              <w:t>Canton, Massachusetts 02021</w:t>
            </w:r>
          </w:p>
        </w:tc>
        <w:tc>
          <w:tcPr>
            <w:tcW w:w="1960" w:type="dxa"/>
            <w:vAlign w:val="bottom"/>
          </w:tcPr>
          <w:p>
            <w:pPr>
              <w:spacing w:after="0"/>
              <w:rPr>
                <w:sz w:val="14"/>
                <w:szCs w:val="14"/>
                <w:color w:val="auto"/>
              </w:rPr>
            </w:pPr>
          </w:p>
        </w:tc>
      </w:tr>
      <w:tr>
        <w:trPr>
          <w:trHeight w:val="172"/>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9"/>
              </w:rPr>
              <w:t>(781) 828-9300</w:t>
            </w:r>
          </w:p>
        </w:tc>
        <w:tc>
          <w:tcPr>
            <w:tcW w:w="1960" w:type="dxa"/>
            <w:vAlign w:val="bottom"/>
          </w:tcPr>
          <w:p>
            <w:pPr>
              <w:spacing w:after="0"/>
              <w:rPr>
                <w:sz w:val="14"/>
                <w:szCs w:val="14"/>
                <w:color w:val="auto"/>
              </w:rPr>
            </w:pPr>
          </w:p>
        </w:tc>
      </w:tr>
      <w:tr>
        <w:trPr>
          <w:trHeight w:val="172"/>
        </w:trPr>
        <w:tc>
          <w:tcPr>
            <w:tcW w:w="6780" w:type="dxa"/>
            <w:vAlign w:val="bottom"/>
            <w:gridSpan w:val="2"/>
          </w:tcPr>
          <w:p>
            <w:pPr>
              <w:jc w:val="center"/>
              <w:ind w:left="365"/>
              <w:spacing w:after="0"/>
              <w:rPr>
                <w:sz w:val="20"/>
                <w:szCs w:val="20"/>
                <w:color w:val="auto"/>
              </w:rPr>
            </w:pPr>
            <w:r>
              <w:rPr>
                <w:rFonts w:ascii="Courier New" w:cs="Courier New" w:eastAsia="Courier New" w:hAnsi="Courier New"/>
                <w:sz w:val="15"/>
                <w:szCs w:val="15"/>
                <w:color w:val="auto"/>
                <w:w w:val="99"/>
              </w:rPr>
              <w:t>(Name, address, including zip code, and telephone number,</w:t>
            </w:r>
          </w:p>
        </w:tc>
      </w:tr>
      <w:tr>
        <w:trPr>
          <w:trHeight w:val="172"/>
        </w:trPr>
        <w:tc>
          <w:tcPr>
            <w:tcW w:w="6780" w:type="dxa"/>
            <w:vAlign w:val="bottom"/>
            <w:gridSpan w:val="2"/>
          </w:tcPr>
          <w:p>
            <w:pPr>
              <w:jc w:val="center"/>
              <w:ind w:left="285"/>
              <w:spacing w:after="0"/>
              <w:rPr>
                <w:sz w:val="20"/>
                <w:szCs w:val="20"/>
                <w:color w:val="auto"/>
              </w:rPr>
            </w:pPr>
            <w:r>
              <w:rPr>
                <w:rFonts w:ascii="Courier New" w:cs="Courier New" w:eastAsia="Courier New" w:hAnsi="Courier New"/>
                <w:sz w:val="15"/>
                <w:szCs w:val="15"/>
                <w:color w:val="auto"/>
                <w:w w:val="98"/>
              </w:rPr>
              <w:t>including area code, of agent for service)</w:t>
            </w:r>
          </w:p>
        </w:tc>
      </w:tr>
      <w:tr>
        <w:trPr>
          <w:trHeight w:val="172"/>
        </w:trPr>
        <w:tc>
          <w:tcPr>
            <w:tcW w:w="4820" w:type="dxa"/>
            <w:vAlign w:val="bottom"/>
          </w:tcPr>
          <w:p>
            <w:pPr>
              <w:jc w:val="center"/>
              <w:ind w:left="2345"/>
              <w:spacing w:after="0"/>
              <w:rPr>
                <w:sz w:val="20"/>
                <w:szCs w:val="20"/>
                <w:color w:val="auto"/>
              </w:rPr>
            </w:pPr>
            <w:r>
              <w:rPr>
                <w:rFonts w:ascii="Courier New" w:cs="Courier New" w:eastAsia="Courier New" w:hAnsi="Courier New"/>
                <w:sz w:val="15"/>
                <w:szCs w:val="15"/>
                <w:color w:val="auto"/>
                <w:w w:val="99"/>
              </w:rPr>
              <w:t>-----------------</w:t>
            </w:r>
          </w:p>
        </w:tc>
        <w:tc>
          <w:tcPr>
            <w:tcW w:w="1960" w:type="dxa"/>
            <w:vAlign w:val="bottom"/>
          </w:tcPr>
          <w:p>
            <w:pPr>
              <w:spacing w:after="0"/>
              <w:rPr>
                <w:sz w:val="14"/>
                <w:szCs w:val="14"/>
                <w:color w:val="auto"/>
              </w:rPr>
            </w:pPr>
          </w:p>
        </w:tc>
      </w:tr>
      <w:tr>
        <w:trPr>
          <w:trHeight w:val="344"/>
        </w:trPr>
        <w:tc>
          <w:tcPr>
            <w:tcW w:w="4820" w:type="dxa"/>
            <w:vAlign w:val="bottom"/>
          </w:tcPr>
          <w:p>
            <w:pPr>
              <w:jc w:val="center"/>
              <w:ind w:left="2245"/>
              <w:spacing w:after="0"/>
              <w:rPr>
                <w:sz w:val="20"/>
                <w:szCs w:val="20"/>
                <w:color w:val="auto"/>
              </w:rPr>
            </w:pPr>
            <w:r>
              <w:rPr>
                <w:rFonts w:ascii="Courier New" w:cs="Courier New" w:eastAsia="Courier New" w:hAnsi="Courier New"/>
                <w:sz w:val="15"/>
                <w:szCs w:val="15"/>
                <w:color w:val="auto"/>
                <w:w w:val="97"/>
              </w:rPr>
              <w:t>Copy to:</w:t>
            </w:r>
          </w:p>
        </w:tc>
        <w:tc>
          <w:tcPr>
            <w:tcW w:w="1960" w:type="dxa"/>
            <w:vAlign w:val="bottom"/>
          </w:tcPr>
          <w:p>
            <w:pPr>
              <w:spacing w:after="0"/>
              <w:rPr>
                <w:sz w:val="24"/>
                <w:szCs w:val="24"/>
                <w:color w:val="auto"/>
              </w:rPr>
            </w:pPr>
          </w:p>
        </w:tc>
      </w:tr>
    </w:tbl>
    <w:p>
      <w:pPr>
        <w:spacing w:after="0" w:line="174" w:lineRule="exact"/>
        <w:rPr>
          <w:sz w:val="24"/>
          <w:szCs w:val="24"/>
          <w:color w:val="auto"/>
        </w:rPr>
      </w:pPr>
    </w:p>
    <w:p>
      <w:pPr>
        <w:ind w:left="2680"/>
        <w:spacing w:after="0"/>
        <w:rPr>
          <w:sz w:val="20"/>
          <w:szCs w:val="20"/>
          <w:color w:val="auto"/>
        </w:rPr>
      </w:pPr>
      <w:r>
        <w:rPr>
          <w:rFonts w:ascii="Courier New" w:cs="Courier New" w:eastAsia="Courier New" w:hAnsi="Courier New"/>
          <w:sz w:val="15"/>
          <w:szCs w:val="15"/>
          <w:color w:val="auto"/>
        </w:rPr>
        <w:t>Peter G. Smith, Esq.</w:t>
      </w:r>
    </w:p>
    <w:p>
      <w:pPr>
        <w:spacing w:after="0" w:line="2" w:lineRule="exact"/>
        <w:rPr>
          <w:sz w:val="24"/>
          <w:szCs w:val="24"/>
          <w:color w:val="auto"/>
        </w:rPr>
      </w:pPr>
    </w:p>
    <w:p>
      <w:pPr>
        <w:ind w:left="2040"/>
        <w:spacing w:after="0"/>
        <w:rPr>
          <w:sz w:val="20"/>
          <w:szCs w:val="20"/>
          <w:color w:val="auto"/>
        </w:rPr>
      </w:pPr>
      <w:r>
        <w:rPr>
          <w:rFonts w:ascii="Courier New" w:cs="Courier New" w:eastAsia="Courier New" w:hAnsi="Courier New"/>
          <w:sz w:val="15"/>
          <w:szCs w:val="15"/>
          <w:color w:val="auto"/>
        </w:rPr>
        <w:t>Kramer Levin Naftalis &amp; Frankel LLP</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5"/>
          <w:szCs w:val="15"/>
          <w:color w:val="auto"/>
        </w:rPr>
        <w:t>919 Third Avenue</w:t>
      </w:r>
    </w:p>
    <w:p>
      <w:pPr>
        <w:spacing w:after="0" w:line="2" w:lineRule="exact"/>
        <w:rPr>
          <w:sz w:val="24"/>
          <w:szCs w:val="24"/>
          <w:color w:val="auto"/>
        </w:rPr>
      </w:pPr>
    </w:p>
    <w:p>
      <w:pPr>
        <w:ind w:left="2500"/>
        <w:spacing w:after="0"/>
        <w:rPr>
          <w:sz w:val="20"/>
          <w:szCs w:val="20"/>
          <w:color w:val="auto"/>
        </w:rPr>
      </w:pPr>
      <w:r>
        <w:rPr>
          <w:rFonts w:ascii="Courier New" w:cs="Courier New" w:eastAsia="Courier New" w:hAnsi="Courier New"/>
          <w:sz w:val="15"/>
          <w:szCs w:val="15"/>
          <w:color w:val="auto"/>
        </w:rPr>
        <w:t>New York, New York 10022</w:t>
      </w:r>
    </w:p>
    <w:p>
      <w:pPr>
        <w:spacing w:after="0" w:line="2"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(212) 715-9100</w:t>
      </w:r>
    </w:p>
    <w:p>
      <w:pPr>
        <w:spacing w:after="0" w:line="176" w:lineRule="exact"/>
        <w:rPr>
          <w:sz w:val="24"/>
          <w:szCs w:val="24"/>
          <w:color w:val="auto"/>
        </w:rPr>
      </w:pPr>
    </w:p>
    <w:p>
      <w:pPr>
        <w:ind w:right="3079" w:firstLine="716"/>
        <w:spacing w:after="0" w:line="241" w:lineRule="auto"/>
        <w:rPr>
          <w:sz w:val="20"/>
          <w:szCs w:val="20"/>
          <w:color w:val="auto"/>
        </w:rPr>
      </w:pPr>
      <w:r>
        <w:rPr>
          <w:rFonts w:ascii="Courier New" w:cs="Courier New" w:eastAsia="Courier New" w:hAnsi="Courier New"/>
          <w:sz w:val="15"/>
          <w:szCs w:val="15"/>
          <w:color w:val="auto"/>
        </w:rPr>
        <w:t>Approximate date of commencement of proposed sale to the public: At such time or times as may be determined by the selling stockholders after this Registration Statement becomes effective.</w:t>
      </w:r>
    </w:p>
    <w:p>
      <w:pPr>
        <w:spacing w:after="0" w:line="176" w:lineRule="exact"/>
        <w:rPr>
          <w:sz w:val="24"/>
          <w:szCs w:val="24"/>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|_|</w:t>
      </w:r>
    </w:p>
    <w:p>
      <w:pPr>
        <w:spacing w:after="0" w:line="176" w:lineRule="exact"/>
        <w:rPr>
          <w:sz w:val="24"/>
          <w:szCs w:val="24"/>
          <w:color w:val="auto"/>
        </w:rPr>
      </w:pPr>
    </w:p>
    <w:p>
      <w:pPr>
        <w:ind w:right="3079" w:firstLine="716"/>
        <w:spacing w:after="0" w:line="267" w:lineRule="auto"/>
        <w:rPr>
          <w:sz w:val="20"/>
          <w:szCs w:val="20"/>
          <w:color w:val="auto"/>
        </w:rPr>
      </w:pPr>
      <w:r>
        <w:rPr>
          <w:rFonts w:ascii="Courier New" w:cs="Courier New" w:eastAsia="Courier New" w:hAnsi="Courier New"/>
          <w:sz w:val="14"/>
          <w:szCs w:val="14"/>
          <w:color w:val="auto"/>
        </w:rPr>
        <w:t>If any of the securities being registered on this Form are to be offered on a delayed or continuous basis pursuant to Rule 415 under the Securities Act of 1933, as amended (the "Securities Act"), check the following box. |X|</w:t>
      </w:r>
    </w:p>
    <w:p>
      <w:pPr>
        <w:spacing w:after="0" w:line="159"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 _______</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 _______</w:t>
      </w:r>
    </w:p>
    <w:p>
      <w:pPr>
        <w:spacing w:after="0" w:line="175" w:lineRule="exact"/>
        <w:rPr>
          <w:sz w:val="24"/>
          <w:szCs w:val="24"/>
          <w:color w:val="auto"/>
        </w:rPr>
      </w:pPr>
    </w:p>
    <w:p>
      <w:pPr>
        <w:ind w:right="3439" w:firstLine="716"/>
        <w:spacing w:after="0"/>
        <w:rPr>
          <w:sz w:val="20"/>
          <w:szCs w:val="20"/>
          <w:color w:val="auto"/>
        </w:rPr>
      </w:pPr>
      <w:r>
        <w:rPr>
          <w:rFonts w:ascii="Courier New" w:cs="Courier New" w:eastAsia="Courier New" w:hAnsi="Courier New"/>
          <w:sz w:val="15"/>
          <w:szCs w:val="15"/>
          <w:color w:val="auto"/>
        </w:rPr>
        <w:t>If the delivery of the prospectus is expected to be made pursuant to Rule 434, please check the following box. |_|</w:t>
      </w:r>
    </w:p>
    <w:p>
      <w:pPr>
        <w:spacing w:after="0" w:line="174"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ectPr>
          <w:pgSz w:w="11900" w:h="16838" w:orient="portrait"/>
          <w:cols w:equalWidth="0" w:num="1">
            <w:col w:w="10219"/>
          </w:cols>
          <w:pgMar w:left="240" w:top="231" w:right="1440" w:bottom="1103" w:gutter="0" w:footer="0" w:header="0"/>
        </w:sectPr>
      </w:pPr>
    </w:p>
    <w:bookmarkStart w:id="1" w:name="page2"/>
    <w:bookmarkEnd w:id="1"/>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4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September 9, 2002</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Preliminary Prospectus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24,809,338 SHARES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CASUAL MALE RETAIL GROUP, INC.</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This prospectus relates to the offer and sale by the selling stockholders listed beginning on page 10 of up to 24,809,338 shares of common stock, par value $0.01 per share, of Casual Male Retail Group, Inc. (formerly known as Designs, Inc.), consisting of (i) 1,379,300 shares of recently issued common stock, (ii) 18,016,200 shares of common stock issued following the conversion on August 8, 2002 of our series B convertible preferred stock, par value $0.01 per share, (iii) 3,391,471 shares of common stock issuable upon exercise of outstanding warrants, (iv) 1,140,000 shares of common stock issuable upon exercise of outstanding options and (v) 882,367 presently outstanding shares of common stock.</w:t>
      </w:r>
    </w:p>
    <w:p>
      <w:pPr>
        <w:spacing w:after="0" w:line="17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issued 1,379,300 shares of common stock and 180,162 shares of series B preferred stock to certain selling stockholders in various private placement transactions in April and May 2002. Each share of series B preferred stock was automatically converted into 100 shares of common stock following the approval of the issuance of such common stock by our stockholders at the annual meeting of stockholders held on August 8, 2002. The selling stockholders may sell all or some of their respective shares offered pursuant to is prospectus through public or private transactions, at prevailing market prices, or at privately negotiated prices. We will not receive any proceeds from the sale of any of the shares by the selling stockholders.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rPr>
              <w:t>Our common stock is listed on the Nasdaq</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National Market</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under the</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symbol "CMRG" (and was formerly listed under the</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symbol "DESI").</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w w:val="97"/>
              </w:rPr>
              <w:t>On September 6,</w:t>
            </w:r>
          </w:p>
        </w:tc>
      </w:tr>
      <w:tr>
        <w:trPr>
          <w:trHeight w:val="172"/>
        </w:trPr>
        <w:tc>
          <w:tcPr>
            <w:tcW w:w="4320" w:type="dxa"/>
            <w:vAlign w:val="bottom"/>
          </w:tcPr>
          <w:p>
            <w:pPr>
              <w:jc w:val="right"/>
              <w:spacing w:after="0"/>
              <w:rPr>
                <w:sz w:val="20"/>
                <w:szCs w:val="20"/>
                <w:color w:val="auto"/>
              </w:rPr>
            </w:pPr>
            <w:r>
              <w:rPr>
                <w:rFonts w:ascii="Courier New" w:cs="Courier New" w:eastAsia="Courier New" w:hAnsi="Courier New"/>
                <w:sz w:val="15"/>
                <w:szCs w:val="15"/>
                <w:color w:val="auto"/>
                <w:w w:val="98"/>
              </w:rPr>
              <w:t>2002, the last reported sale price of our common</w:t>
            </w:r>
          </w:p>
        </w:tc>
        <w:tc>
          <w:tcPr>
            <w:tcW w:w="1440" w:type="dxa"/>
            <w:vAlign w:val="bottom"/>
          </w:tcPr>
          <w:p>
            <w:pPr>
              <w:ind w:left="60"/>
              <w:spacing w:after="0"/>
              <w:rPr>
                <w:sz w:val="20"/>
                <w:szCs w:val="20"/>
                <w:color w:val="auto"/>
              </w:rPr>
            </w:pPr>
            <w:r>
              <w:rPr>
                <w:rFonts w:ascii="Courier New" w:cs="Courier New" w:eastAsia="Courier New" w:hAnsi="Courier New"/>
                <w:sz w:val="15"/>
                <w:szCs w:val="15"/>
                <w:color w:val="auto"/>
              </w:rPr>
              <w:t>stock was $4.89</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r>
    </w:tbl>
    <w:p>
      <w:pPr>
        <w:spacing w:after="0" w:line="34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Investing in our common stock involves risks. See "Risk Factors"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beginning on page 4.</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The date of this prospectus is [___________], 2002.</w:t>
      </w:r>
    </w:p>
    <w:p>
      <w:pPr>
        <w:sectPr>
          <w:pgSz w:w="11900" w:h="16838" w:orient="portrait"/>
          <w:cols w:equalWidth="0" w:num="1">
            <w:col w:w="10219"/>
          </w:cols>
          <w:pgMar w:left="240" w:top="63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6880" w:type="dxa"/>
            <w:vAlign w:val="bottom"/>
          </w:tcPr>
          <w:p>
            <w:pPr>
              <w:ind w:left="286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14"/>
                <w:szCs w:val="14"/>
                <w:color w:val="auto"/>
              </w:rPr>
            </w:pPr>
          </w:p>
        </w:tc>
      </w:tr>
      <w:tr>
        <w:trPr>
          <w:trHeight w:val="688"/>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THE COMPANY...................................................................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RECENT DEVELOPMENTS...........................................................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7"/>
              </w:rPr>
              <w:t>RISK FACTORS..................................................................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FORWARD-LOOKING STATEMENTS...................................................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DIVIDENDS....................................................................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USE OF PROCEEDS..............................................................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SELLING STOCKHOLDERS.........................................................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PLAN OF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44"/>
        </w:trPr>
        <w:tc>
          <w:tcPr>
            <w:tcW w:w="6880" w:type="dxa"/>
            <w:vAlign w:val="bottom"/>
          </w:tcPr>
          <w:p>
            <w:pPr>
              <w:spacing w:after="0"/>
              <w:rPr>
                <w:sz w:val="20"/>
                <w:szCs w:val="20"/>
                <w:color w:val="auto"/>
              </w:rPr>
            </w:pPr>
            <w:r>
              <w:rPr>
                <w:rFonts w:ascii="Courier New" w:cs="Courier New" w:eastAsia="Courier New" w:hAnsi="Courier New"/>
                <w:sz w:val="15"/>
                <w:szCs w:val="15"/>
                <w:color w:val="auto"/>
                <w:w w:val="98"/>
              </w:rPr>
              <w:t>WHERE YOU CAN FIND MORE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688"/>
        </w:trPr>
        <w:tc>
          <w:tcPr>
            <w:tcW w:w="6880" w:type="dxa"/>
            <w:vAlign w:val="bottom"/>
          </w:tcPr>
          <w:p>
            <w:pPr>
              <w:ind w:left="2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r>
    </w:tbl>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You should rely only on the information or representations provided in this prospectus or incorporated by reference into this prospectus. We have not authorized anyone to provide you with any different information or to make any different representations in connection with any offering made by this prospectus. This prospectus does not constitute an offer to sell, or a solicitation of an offer to buy, in any state where the offer or sale is prohibited. Neither the delivery of this prospectus, nor any sale made under this prospectus shall, under any circumstances, imply that the information in this prospectus is correct as of any date after the date of this prospectus.</w:t>
      </w:r>
    </w:p>
    <w:p>
      <w:pPr>
        <w:spacing w:after="0" w:line="17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3" w:name="page4"/>
    <w:bookmarkEnd w:id="3"/>
    <w:p>
      <w:pPr>
        <w:ind w:left="3120"/>
        <w:spacing w:after="0"/>
        <w:rPr>
          <w:sz w:val="20"/>
          <w:szCs w:val="20"/>
          <w:color w:val="auto"/>
        </w:rPr>
      </w:pPr>
      <w:r>
        <w:rPr>
          <w:rFonts w:ascii="Courier New" w:cs="Courier New" w:eastAsia="Courier New" w:hAnsi="Courier New"/>
          <w:sz w:val="15"/>
          <w:szCs w:val="15"/>
          <w:color w:val="auto"/>
        </w:rPr>
        <w:t>THE COMPANY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Casual Male Retail Group, Inc. (formerly known as Designs, Inc.) is a publicly traded, Massachusetts-based brand retail operator which has historically specialized in selling quality branded apparel and accessories in outlet malls throughout the eastern part of the United States and Puerto Rico. All references in this prospectus to "Casual Male Retail Group," the "Company," "we," "us" and "our" are to Casual Male Retail Group, Inc. and its subsidiaries. For over 25 years, through a license agreement with Levi Strauss &amp; Co., we owned and operated retail outlet stores selling exclusively Levi's(R) branded merchandise.</w:t>
      </w:r>
    </w:p>
    <w:p>
      <w:pPr>
        <w:spacing w:after="0" w:line="178" w:lineRule="exact"/>
        <w:rPr>
          <w:sz w:val="20"/>
          <w:szCs w:val="20"/>
          <w:color w:val="auto"/>
        </w:rPr>
      </w:pPr>
    </w:p>
    <w:p>
      <w:pPr>
        <w:ind w:right="3159" w:firstLine="716"/>
        <w:spacing w:after="0" w:line="241" w:lineRule="auto"/>
        <w:rPr>
          <w:sz w:val="20"/>
          <w:szCs w:val="20"/>
          <w:color w:val="auto"/>
        </w:rPr>
      </w:pPr>
      <w:r>
        <w:rPr>
          <w:rFonts w:ascii="Courier New" w:cs="Courier New" w:eastAsia="Courier New" w:hAnsi="Courier New"/>
          <w:sz w:val="15"/>
          <w:szCs w:val="15"/>
          <w:color w:val="auto"/>
        </w:rPr>
        <w:t>Expanding upon our core competency of operating retail stores for branded apparel in the outlet channel of distribution, we recently entered into the following arrangements with two well-known apparel manufacturers:</w:t>
      </w:r>
    </w:p>
    <w:p>
      <w:pPr>
        <w:spacing w:after="0" w:line="176" w:lineRule="exact"/>
        <w:rPr>
          <w:sz w:val="20"/>
          <w:szCs w:val="20"/>
          <w:color w:val="auto"/>
        </w:rPr>
      </w:pPr>
    </w:p>
    <w:p>
      <w:pPr>
        <w:ind w:left="880" w:right="3079" w:hanging="441"/>
        <w:spacing w:after="0" w:line="242" w:lineRule="auto"/>
        <w:tabs>
          <w:tab w:leader="none" w:pos="8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we entered into a license agreement with Candie's, Inc., a leading designer and marketer of young women's footwear, apparel and accessories. Under this license agreement, we plan, over the next five years, to open and operate 75 Candie's(R) branded retail stores in outlet malls and value centers throughout the United States. We plan to open 11 Candie's(R) branded stores in outlet malls during the fiscal year ending February 1, 2003.</w:t>
      </w:r>
    </w:p>
    <w:p>
      <w:pPr>
        <w:spacing w:after="0" w:line="176" w:lineRule="exact"/>
        <w:rPr>
          <w:rFonts w:ascii="Courier New" w:cs="Courier New" w:eastAsia="Courier New" w:hAnsi="Courier New"/>
          <w:sz w:val="15"/>
          <w:szCs w:val="15"/>
          <w:color w:val="auto"/>
        </w:rPr>
      </w:pPr>
    </w:p>
    <w:p>
      <w:pPr>
        <w:ind w:left="880" w:right="3339" w:hanging="441"/>
        <w:spacing w:after="0" w:line="262" w:lineRule="auto"/>
        <w:tabs>
          <w:tab w:leader="none" w:pos="8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2002, we finalized an exclusive joint venture agreement with EcKo Complex, LLC, a leading design-driven lifestyle brand targeting young men and women. EcKo has worldwide annual sales exceeding $200 million. Under the joint venture agreement, we will open and operate 75 EcKo(R) branded outlet stores throughout the United States over a six-year period. We plan to open five EcKo(R) branded outlet stores during fiscal 2003.</w:t>
      </w:r>
    </w:p>
    <w:p>
      <w:pPr>
        <w:spacing w:after="0" w:line="164"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are continuing discussions with several other manufacturers as we strive to become a premier operator of branded retail outlet stores. We believe that manufacturers will find Casual Male Retail Group as their logical solution for an outlet channel of distribution of their branded merchandise.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As of May 14, 2002, pursuant to an asset purchase agreement entered into as of May 2, 2002, by the Company, Casual Male Corp. and certain of its subsidiaries (which we refer to, collectively, as "old Casual Male"), we completed the acquisition of substantially all of the assets of old Casual Male for a purchase price of approximately $170 million, plus the assumption of certain operating liabilities. We were selected as the highest and best bidder for the old Casual Male assets at a bankruptcy court ordered auction commencing on May 1, 2002 and concluding on May 2, 2002, and our acquisition of old Casual Male was approved by the court on May 7, 2002.</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Old Casual Male was a leading independent specialty retailer of fashion, casual and dress apparel for big and tall men with annual sales that exceeded $350 million. Old Casual Male sold its branded merchandise through various channels of distribution including full price and outlet retail stores, direct mail and the internet. Old Casual Male had been operating under the protection of the U.S. Bankruptcy Court since May 2001.</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Casual Male acquisition, along with the payment of certain related fees and expenses, was completed with funds provided by: (i) approximately $30.2 million in additional borrowings from our amended three-year $120.0 million senior secured credit facility with our bank, Fleet Retail Finance, Inc., (ii) $15.0 million in a three-year term loan with a subsidiary of Fleet Retail Finance, (iii) proceeds from the private placement in April and May 2002 of $24.5 million principal amount of 12% senior subordinated notes due 2007 together with detachable warrants to acquire 1,715,000 shares of our common stock at an exercise price of $0.01 per share and additional detachable warrants to acquire 1,176,471 shares of our common stock at an exercise price of $8.50 per share, (iv) proceeds from the private placement in April and May 2002 of $11.0 million principal amount of 5% senior subordinated notes due 2007, (v) approximately $82.5 million of proceeds from the private placement in April and May 2002 of approximately 1,379,300 shares of newly issued common stock and 180,162 shares of series B preferred stock, and (vi) the assumption of a mortgage note in a principal amount of approximately $12.2 million.</w:t>
      </w:r>
    </w:p>
    <w:p>
      <w:pPr>
        <w:spacing w:after="0" w:line="183" w:lineRule="exact"/>
        <w:rPr>
          <w:sz w:val="20"/>
          <w:szCs w:val="20"/>
          <w:color w:val="auto"/>
        </w:rPr>
      </w:pPr>
    </w:p>
    <w:p>
      <w:pPr>
        <w:ind w:right="3519" w:firstLine="716"/>
        <w:spacing w:after="0" w:line="274" w:lineRule="auto"/>
        <w:rPr>
          <w:sz w:val="20"/>
          <w:szCs w:val="20"/>
          <w:color w:val="auto"/>
        </w:rPr>
      </w:pPr>
      <w:r>
        <w:rPr>
          <w:rFonts w:ascii="Courier New" w:cs="Courier New" w:eastAsia="Courier New" w:hAnsi="Courier New"/>
          <w:sz w:val="14"/>
          <w:szCs w:val="14"/>
          <w:color w:val="auto"/>
        </w:rPr>
        <w:t>Our principle executive offices are located at 555 Turnpike Street, Canton, Massachusetts 02021, and our telephone number is (781) 828-9300.</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4" w:name="page5"/>
    <w:bookmarkEnd w:id="4"/>
    <w:p>
      <w:pPr>
        <w:ind w:left="2760"/>
        <w:spacing w:after="0"/>
        <w:rPr>
          <w:sz w:val="20"/>
          <w:szCs w:val="20"/>
          <w:color w:val="auto"/>
        </w:rPr>
      </w:pPr>
      <w:r>
        <w:rPr>
          <w:rFonts w:ascii="Courier New" w:cs="Courier New" w:eastAsia="Courier New" w:hAnsi="Courier New"/>
          <w:sz w:val="15"/>
          <w:szCs w:val="15"/>
          <w:color w:val="auto"/>
        </w:rPr>
        <w:t>RECENT DEVELOPMENTS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At the Company's annual meeting of stockholders held on August 8, 2002, the stockholders of the Company voted in favor of changing the Company's corporate name from Designs, Inc. to Casual Male Retail Group, Inc. Also at the annual meeting, the stockholders voted in favor of (i) changing the Company's state of incorporation from Delaware to Nevada, (ii) increasing the number of authorized shares of common stock from 50,000,000 shares to 75,000,000 shares and (iii) issuing additional shares of common stock upon the conversion of the Company's series B preferred stock and the exercise of certain outstanding warrants.</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On August 7, 2002, the Company announced that due to the continued erosion of the Levi's brand in the marketplace and Levi Strauss &amp; Co.'s consistent inability to provide a balanced assortment of product for our Levi's(R) and Dockers(R) stores, the Company evaluated the current trends of its Levi's(R)/Dockers(R) outlet stores as a result of the continuing comparable store sale decreases the business was experiencing. As a result, the Company plans to close between 34 and 40 Levi's(R)/Dockers(R) stores, combine 6 to 8 other stores and reduce the square footage in another 20 to 25 stores. The Company expects to close between 15 and 20 Levi's(R) and Dockers(R) outlet stores over the next twelve to eighteen months, and has already started negotiations with several landlords to terminate leases on the remaining underperforming stores. At the same time, the Company is continuing to execute its integration plan to combine the operations of Designs, Inc. with Casual Male and is in the process of relocating the Company's distribution facility and corporate offices to Canton, Massachusetts.</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On August 23, 2002, the Company announced its second quarter financial results. For the second quarter of fiscal 2003, the Company reported a net loss of $12.9 million, which includes restructuring charges totaling $11.0 million, primarily related to the previously announced restructuring of the Company's Levi's(R)/Dockers(R) business and the integration of the Casual Male operations. This compares to a net income of $0.7 million in the corresponding period of the prior year. For the six months ended August 3, 2002, the Company reported a net loss of $14.7 million, of which $11.0 million relates to the aforementioned restructuring charges recorded in the second quarter of fiscal 2003. This compares to a net loss of $0.7 million in the corresponding period of the prior year. As a result of the restructuring charge, the income tax benefit previously recorded in the first quarter of the current year was reversed in the second quarter, such that no income tax benefit has been recognized in the year-to-date results. Without the impact of the $11.0 million restructuring charge, the Company would have reported a net loss of $0.5 million for the second quarter of fiscal 2003 and a net loss of $2.3 million for the six months ended August 3, 2002.</w:t>
      </w:r>
    </w:p>
    <w:p>
      <w:pPr>
        <w:spacing w:after="0" w:line="18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Investing in shares of our common stock involves a high degree of risk. You should carefully consider the following risk factors and all other information contained in this prospectus before purchasing our common stock. The risks and uncertainties described below are those that we currently believe may materially affect our company. Additional risks and uncertainties may also impair our business operations. If the following risks actually occur, our business, financial condition and results of operations could be seriously harmed, the trading price of our common stock could decline and you could lose all or part of your investment.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the Market in Which We Operate</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sales will suffer if we fail to accurately predict changing fashion trends and consumer preferences.</w:t>
      </w:r>
    </w:p>
    <w:p>
      <w:pPr>
        <w:spacing w:after="0" w:line="34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Our business is dependent upon our being able to predict fashion trends, customer preferences and other fashion-related factors. Customer tastes and fashion trends are volatile and tend to change rapidly. Our success depends in large part upon management's ability to effectively predict and respond to changing fashion tastes and consumer demands and to translate market trends to appropriate saleable product offerings far in advance. If we are unable to successfully predict or respond to changing styles or trends and misjudge the market for our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profit margins and profits. In addition, the failure to satisfy consumer demand could have serious longer-term consequences, such as an adverse impact on our brand recognition and the loss of market share to our competitors if our customer base comes to believe that other retailers are more successfully addressing their preferences.</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5" w:name="page6"/>
    <w:bookmarkEnd w:id="5"/>
    <w:p>
      <w:pPr>
        <w:ind w:right="3079"/>
        <w:spacing w:after="0"/>
        <w:rPr>
          <w:sz w:val="20"/>
          <w:szCs w:val="20"/>
          <w:color w:val="auto"/>
        </w:rPr>
      </w:pPr>
      <w:r>
        <w:rPr>
          <w:rFonts w:ascii="Courier New" w:cs="Courier New" w:eastAsia="Courier New" w:hAnsi="Courier New"/>
          <w:sz w:val="15"/>
          <w:szCs w:val="15"/>
          <w:color w:val="auto"/>
        </w:rPr>
        <w:t>Macroeconomic factors adversely affecting the retail industry could also cause a decrease our retail sales which would negatively impact our profitability.</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Our sales could be negatively impacted by a weak retail environment caused by a decline in consumer confidence and ultimately a reduction in consumer spending for such discretionary items such as apparel, which become a lower priority than necessities such as food and housing. Apparel retailers are subject to general economic conditions and purchases of apparel may decline at any time, especially during recessionary periods. In addition, our financial performance is also sensitive to changes in consumer spending trends and shopping patterns.</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understand that the retail industry can be adversely affected by certain economic factors outside of our control that would affect our costs as well as consumer spending behavior. Some of these factors include rising interest rates, negative consumer sentiment brought about by uncertainty over economic recovery and national security, inflation, and rising unemployment. Further, it is well-known in the apparel industry that when economic conditions worsen, men are more reluctant than women and children to shop for clothes for themselves. Because over 80% of our sales are attributable to men's apparel, we would be especially sensitive to such a decline. We have no ability to predict or control these economic and political variables.</w:t>
      </w:r>
    </w:p>
    <w:p>
      <w:pPr>
        <w:spacing w:after="0" w:line="17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We could lose market share to competitors in the retail industry, which would cause a decline in our revenues and have a serious adverse impact on our profitability.</w:t>
      </w:r>
    </w:p>
    <w:p>
      <w:pPr>
        <w:spacing w:after="0" w:line="348"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The United States casual apparel market, men's big and tall market and footwear industry are highly competitive with many national and regional department stores, specialty apparel retailers and discount stores offering a broad range of apparel products similar to the products that we sell. Besides retail competitors, we consider any casual apparel manufacturer operating in outlet parks throughout the United States to be a competitor in the casual apparel market. Due to consolidation in the men's apparel industry, it is possible that another competitor, either a mass merchant or a men's specialty store or specialty apparel catalog, could gain market share in men's big and tall apparel due to more favorable pricing, locations, brand and fashion assortment and size availability. Recently, sales of Levi's(R) brand jeans have been impacted by the increased competition from private labels as well as fashion jeans market entrants and by a decrease in national sales trends of Levi's(R) brand products. Our future Candie's(R) Outlet stores face substantial competition in each of our product lines from, among other brands, Skechers, Steve Madden and Esprit. The presence in the marketplace of various fashion trends and the limited availability of shelf space also can affect competition.</w:t>
      </w:r>
    </w:p>
    <w:p>
      <w:pPr>
        <w:spacing w:after="0" w:line="200" w:lineRule="exact"/>
        <w:rPr>
          <w:sz w:val="20"/>
          <w:szCs w:val="20"/>
          <w:color w:val="auto"/>
        </w:rPr>
      </w:pPr>
    </w:p>
    <w:p>
      <w:pPr>
        <w:spacing w:after="0" w:line="309" w:lineRule="exact"/>
        <w:rPr>
          <w:sz w:val="20"/>
          <w:szCs w:val="20"/>
          <w:color w:val="auto"/>
        </w:rPr>
      </w:pPr>
    </w:p>
    <w:p>
      <w:pPr>
        <w:jc w:val="both"/>
        <w:ind w:right="3159" w:firstLine="716"/>
        <w:spacing w:after="0" w:line="241" w:lineRule="auto"/>
        <w:rPr>
          <w:sz w:val="20"/>
          <w:szCs w:val="20"/>
          <w:color w:val="auto"/>
        </w:rPr>
      </w:pPr>
      <w:r>
        <w:rPr>
          <w:rFonts w:ascii="Courier New" w:cs="Courier New" w:eastAsia="Courier New" w:hAnsi="Courier New"/>
          <w:sz w:val="15"/>
          <w:szCs w:val="15"/>
          <w:color w:val="auto"/>
        </w:rPr>
        <w:t>We may not be able to compete successfully with our competitors in the future and could lose brand recognition and market share. A significant loss of market share would put the Company's revenues and profitability at risk.</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Our advertising and promotion efforts, while increasing costs, may not result in increased sales.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Our business is directly affected by the success or failure of the advertising and promotional efforts of the Company and our vendors. Future advertising efforts of our company, our vendors or our other licensors may be costly and may not result in increased sales. If a major advertising campaign were undertaken without success, then the Company's failure to realize any revenues from its advertising and promotional expenditures, together with the possible resulting erosion of brand recognition and loss of market share, would have a negative impact upon the Company's revenues. In either case, increased costs and decreased margins, accompanied by static or decreased revenues, would cause a decline in the Company's profitability.</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Operations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Our business is likely to be damaged if we are unable to keep certain key personnel.</w:t>
      </w:r>
    </w:p>
    <w:p>
      <w:pPr>
        <w:spacing w:after="0" w:line="34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Our future success is dependent on the personal efforts, performance and abilities of our key management. Although none of our senior executives is close to retirement age and we are not currently aware of any tensions between management and any senior executive, there is always the possibility that a key member of the management team could become unwilling or unable to continue in that capacity for other reasons. For example, the loss of the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right="3079"/>
        <w:spacing w:after="0" w:line="242" w:lineRule="auto"/>
        <w:rPr>
          <w:sz w:val="20"/>
          <w:szCs w:val="20"/>
          <w:color w:val="auto"/>
        </w:rPr>
      </w:pPr>
      <w:r>
        <w:rPr>
          <w:rFonts w:ascii="Courier New" w:cs="Courier New" w:eastAsia="Courier New" w:hAnsi="Courier New"/>
          <w:sz w:val="15"/>
          <w:szCs w:val="15"/>
          <w:color w:val="auto"/>
        </w:rPr>
        <w:t>services of the Company's chief executive officer, David Levin, or its chief financial officer, Dennis Hernreich, both of whom are an integral part of our daily operations and primary decision makers in all operating matters, could significantly impact the business, until adequate replacements can be identified and put in place, by causing a loss of organizational focus, poor operating execution, or both. In addition, the loss of our chief executive officer and chief financial officer, each of whom has many years of senior executive experience in the retail apparel industry, could materially reduce our ability to identify and execute potential strategic initiatives such as joint venture and licensing opportunities, the establishment of new store locations, and possible acquisitions. That could, among other things, reduce potential revenues, prevent us from diversifying from more limited product lines and geographic concentrations, and expose us to downturns in those markets. The loss of those individuals as well as our chairman,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an erosion in the Company's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360"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If we fail to adequately upgrade and enhance our information systems and control procedures, our systems may not be able to support our requirements.</w:t>
      </w:r>
    </w:p>
    <w:p>
      <w:pPr>
        <w:spacing w:after="0" w:line="348"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The Company depends heavily upon technology and information systems to control inventory, sales, markdowns, merchandise on hand and other critical information. We periodically review, improve and, under certain circumstances, replace our technology and management information systems to provide enhanced support to all operating areas of our company. Currently, the Company is undergoing a significant effort to replace Casual Male's existing antiquated legacy systems, as part of the process of integrating the historical Designs, Inc. and Casual Male operations.</w:t>
      </w:r>
    </w:p>
    <w:p>
      <w:pPr>
        <w:spacing w:after="0" w:line="177"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It is critically important to the successful operation of the Company that the implementation of the systems integration process, which entails the replacement, enhancement, or upgrade of all Casual Male's vital information systems, be completed timely without disruption to the daily operations of the Company. The Company anticipates that the implementation will require approximately 12 months to complete.</w:t>
      </w:r>
    </w:p>
    <w:p>
      <w:pPr>
        <w:spacing w:after="0" w:line="348"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However, we may not be able to successfully implement required enhancements to our operating systems in the future. If such upgrades and enhancements are not successfully implemented, then our current systems may not be able to continue to support adequately our future management information requirements.</w:t>
      </w:r>
    </w:p>
    <w:p>
      <w:pPr>
        <w:spacing w:after="0" w:line="34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Any significant deficiencies in our management information systems resulting in less than optimal systems performance could have a negative impact upon the business. For example, since the information systems provide vital information with respect to specific merchandise sales at the SKU level, replenishment requirements to maintain optimum inventory levels, and sell through data from which markdown requirements are identified to most productively sell through poor selling SKU's, if that information is not consistently provided on a timely and accurate basis the Company's sales could be severely impacted, or its gross margins could easily erode.</w:t>
      </w:r>
    </w:p>
    <w:p>
      <w:pPr>
        <w:spacing w:after="0" w:line="350"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If we fail to continue to improve upon and enhance our present management information systems, then we may not be able to resolve or eliminate any existing or potential difficulties, which could have a significant impact on our business and results of operations.</w:t>
      </w:r>
    </w:p>
    <w:p>
      <w:pPr>
        <w:spacing w:after="0" w:line="175"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If the third party manufacturers upon which we are dependent are unable or unwilling to meet our needs, then we may be unable to obtain sufficient products of adequate quality.</w:t>
      </w:r>
    </w:p>
    <w:p>
      <w:pPr>
        <w:spacing w:after="0" w:line="34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do not own or operate any manufacturing facilities and are therefore are entirely dependent on third parties for the manufacture of the products we sell, which are the core of our business. Without adequate supplies of merchandise to sell to our customers in the merchandise styles and fashions demanded by the Company's particular customer base, sales would decrease materially and the Company's business would be in jeopardy. Furthermore, approximately 75-80% of our merchandise are private label items made specifically for Casual Male and its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506" w:gutter="0" w:footer="0" w:header="0"/>
        </w:sectPr>
      </w:pPr>
    </w:p>
    <w:bookmarkStart w:id="7" w:name="page8"/>
    <w:bookmarkEnd w:id="7"/>
    <w:p>
      <w:pPr>
        <w:ind w:right="3159"/>
        <w:spacing w:after="0" w:line="242" w:lineRule="auto"/>
        <w:rPr>
          <w:sz w:val="20"/>
          <w:szCs w:val="20"/>
          <w:color w:val="auto"/>
        </w:rPr>
      </w:pPr>
      <w:r>
        <w:rPr>
          <w:rFonts w:ascii="Courier New" w:cs="Courier New" w:eastAsia="Courier New" w:hAnsi="Courier New"/>
          <w:sz w:val="15"/>
          <w:szCs w:val="15"/>
          <w:color w:val="auto"/>
        </w:rPr>
        <w:t>or qualify such manufacturers for existing or new products in a timely manner and such manufacturers might not allocate sufficient capacity to us in order to meet our requirements. The consequences of not securing adequate and timely supplies of private label merchandise would negatively impact proper inventory levels, sales and gross margin rates, and ultimately the profitability of the Company.</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and the amount of merchandise we sell, or the prices we charge for such merchandise, or both, would be reduced, decreasing our revenues and our profitability.</w:t>
      </w:r>
    </w:p>
    <w:p>
      <w:pPr>
        <w:spacing w:after="0" w:line="34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profit margins, or both, will suffer.</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If our trademarks or licenses are compromised, then the market for our products could decline.</w:t>
      </w:r>
    </w:p>
    <w:p>
      <w:pPr>
        <w:spacing w:after="0" w:line="176"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We own and use a number of trademarks and operate under certain trademark license agreements. We believe that these trademarks have significant value and are instrumental in our ability to create and sustain demand for and market our products. We cannot assure that these trademarks and licensing agreements will remain in effect or that they will be renewed. In addition, any future disputes concerning these trademarks and licenses may cause us to incur significant litigation costs or force us to suspend use of the trademarks. For additional details about our license agreements, you should refer to our Annual Report on Form 10-K for the fiscal year ended February 2, 2002 (which we refer to as the "Form 10-K"), which is incorporated herein by reference.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not be able to successfully expand our operations as planned.</w:t>
      </w:r>
    </w:p>
    <w:p>
      <w:pPr>
        <w:spacing w:after="0" w:line="176"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We plan to significantly expand our operations in fiscal 2003 by opening several new stores and we expect to have capital expenditures of approximately $4.0 million. Our expansion plans are discussed in detail in the Form 10-K. Our growth strategy depends on our ability to open and operate new retail stores on a profitable basis. Our operating complexity and management responsibilities will increase as we continue to grow, and we may face challenges in managing our future growth. This anticipated growth will require that we continue to expand and improve our operations, including our distribution infrastructure, and expand, train and manage our employee base. In addition, we may be unable to hire a sufficient number of qualified personnel to work in our new stores or to successfully integrate the stores into our business. Our expansion prospects also depend on a number of other factors, many of which are beyond our control, including, among other things: economic conditions, competition, and consumer preferences. We may not be able to achieve our store expansion goals and, even if we succeed in opening new stores as planned, our newly opened stores may not achieve revenue or profitability levels comparable to those of our existing stores in the time periods estimated by us, or at all.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Acts of terrorism or war could adversely impact our business.</w:t>
      </w:r>
    </w:p>
    <w:p>
      <w:pPr>
        <w:spacing w:after="0" w:line="176" w:lineRule="exact"/>
        <w:rPr>
          <w:sz w:val="20"/>
          <w:szCs w:val="20"/>
          <w:color w:val="auto"/>
        </w:rPr>
      </w:pPr>
    </w:p>
    <w:p>
      <w:pPr>
        <w:ind w:right="3259" w:firstLine="716"/>
        <w:spacing w:after="0" w:line="242" w:lineRule="auto"/>
        <w:rPr>
          <w:sz w:val="20"/>
          <w:szCs w:val="20"/>
          <w:color w:val="auto"/>
        </w:rPr>
      </w:pPr>
      <w:r>
        <w:rPr>
          <w:rFonts w:ascii="Courier New" w:cs="Courier New" w:eastAsia="Courier New" w:hAnsi="Courier New"/>
          <w:sz w:val="15"/>
          <w:szCs w:val="15"/>
          <w:color w:val="auto"/>
        </w:rPr>
        <w:t>Additional actual or threatened acts of terrorism or war could negatively impact availability of merchandise or consumer spending trends and may otherwise adversely impact our business. Depending upon the nature of an attack or threatened attack, consumers may be unwilling or unable to go to our retail outlets or may otherwise decrease spending in general. A significant decrease in consumer spending could have a significant adverse impact on our revenues.</w:t>
      </w:r>
    </w:p>
    <w:p>
      <w:pPr>
        <w:spacing w:after="0" w:line="34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addition, approximately 20% of the Company's merchandise is directly imported from other countries, and most of its remaining merchandise is supplied by U.S. domestic suppliers which source their goods from other countries. If imported goods become difficult or impossible to bring into the United States, and if we cannot obtain such merchandise from other sources at similar costs, then the Company's sales, gross margins and profit margins would significantly decline. Furthermore, in the event that commercial transportation is curtailed or substantially</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8" w:name="page9"/>
    <w:bookmarkEnd w:id="8"/>
    <w:p>
      <w:pPr>
        <w:ind w:right="3159"/>
        <w:spacing w:after="0" w:line="242" w:lineRule="auto"/>
        <w:rPr>
          <w:sz w:val="20"/>
          <w:szCs w:val="20"/>
          <w:color w:val="auto"/>
        </w:rPr>
      </w:pPr>
      <w:r>
        <w:rPr>
          <w:rFonts w:ascii="Courier New" w:cs="Courier New" w:eastAsia="Courier New" w:hAnsi="Courier New"/>
          <w:sz w:val="15"/>
          <w:szCs w:val="15"/>
          <w:color w:val="auto"/>
        </w:rPr>
        <w:t>delayed, the Company may not be able to maintain adequate inventory levels of important merchandise levels on a consistent basis, which would negatively impact the Company's sales and potentially erode the confidence of its customer base, leading to further loss of sales and decline in profitability.</w:t>
      </w:r>
    </w:p>
    <w:p>
      <w:pPr>
        <w:spacing w:after="0" w:line="175" w:lineRule="exact"/>
        <w:rPr>
          <w:sz w:val="20"/>
          <w:szCs w:val="20"/>
          <w:color w:val="auto"/>
        </w:rPr>
      </w:pPr>
    </w:p>
    <w:p>
      <w:pPr>
        <w:jc w:val="both"/>
        <w:ind w:right="3159" w:firstLine="716"/>
        <w:spacing w:after="0" w:line="242" w:lineRule="auto"/>
        <w:rPr>
          <w:sz w:val="20"/>
          <w:szCs w:val="20"/>
          <w:color w:val="auto"/>
        </w:rPr>
      </w:pPr>
      <w:r>
        <w:rPr>
          <w:rFonts w:ascii="Courier New" w:cs="Courier New" w:eastAsia="Courier New" w:hAnsi="Courier New"/>
          <w:sz w:val="15"/>
          <w:szCs w:val="15"/>
          <w:color w:val="auto"/>
        </w:rPr>
        <w:t>In extreme circumstances, it may be necessary to close less productive stores so as to consolidate important merchandise categories into the Company's most productive stores which would severely impact the Company's profitability and cash flow.</w:t>
      </w:r>
    </w:p>
    <w:p>
      <w:pPr>
        <w:spacing w:after="0" w:line="347"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Additional issuances of our common stock would cause you to incur immediate dilution.</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In private placement transactions in April and May 2002, we issued shares of common stock, preferred stock convertible into common stock and warrants to purchase common stock. The issuance of common stock upon conversion of the preferred stock and exercise of the warrants and other issuances of additional common stock by us, from time to time, subjects our common stock to the dilutive effects of such issuances.</w:t>
      </w:r>
    </w:p>
    <w:p>
      <w:pPr>
        <w:spacing w:after="0" w:line="176"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Several provisions of our governing law could discourage, delay or prevent transactions that stockholders might otherwise consider favorable.</w:t>
      </w:r>
    </w:p>
    <w:p>
      <w:pPr>
        <w:spacing w:after="0" w:line="154"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It is possible that certain provisions of the Delaware corporate law or, if we change our state of incorporation from Delaware to Nevada (as approved at our annual meeting of stockholders on August 8, 2002), the Nevada corporate law may make it more difficult to accomplish transactions which stockholders may otherwise deem to be in their best interests. Such provisions may be deemed to have an anti-takeover effect and may delay, defer or prevent a tender offer or takeover attempt that might result in the receipt of a premium over the market price for the securities held by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Our Acquisition of Casual Male</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We may fail to realize the cost savings we anticipated from the Casual Male acquisition.</w:t>
      </w:r>
    </w:p>
    <w:p>
      <w:pPr>
        <w:spacing w:after="0" w:line="34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anticipate significant cost savings following our May 2002 acquisition of substantially all the assets of Casual Male, primarily through headcount reductions, renegotiation of contractual arrangements for supplies and services associated with the operation for more favorable pricing terms, elimination of inefficient and costly business processes and costs by streamlining the Company's management information systems and economies of scale in purchasing. It is possible that some of the contemplated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and reducing our expected profitability. If there are substantial failures to achieve these cost savings, cash flow and the servicing of debt related to the acquisition could also be reduced.</w:t>
      </w:r>
    </w:p>
    <w:p>
      <w:pPr>
        <w:spacing w:after="0" w:line="35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We may not be able to successfully integrate the Company's prior operations with the Casual Male operations.</w:t>
      </w:r>
    </w:p>
    <w:p>
      <w:pPr>
        <w:spacing w:after="0" w:line="34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Following the Casual Male acquisition, we face execution risk on two fronts: (i) successful post-acquisition integration of Casual Male operations and (ii) on-schedule store openings as outlined in our licensing and joint venture agreements with Candie's, Inc. and EcKo Complex, LLC, respectively. It is possible that unforeseen pitfalls during the post-acquisition integration effort could adversely affect our historical operation of operating branded outlet stores as well as our ability to operate the Casual Male stores effectively. In such an event, the Company's anticipated revenue growth may not be realized and the expected profit margins may not be achieved, and therefore the Company may not reach the level of profitability anticipated by management in connection with the acquisition. In an extreme case, the historical levels of both sales and profit margins for the different businesses could also be adversely impacted.</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9" w:name="page10"/>
    <w:bookmarkEnd w:id="9"/>
    <w:p>
      <w:pPr>
        <w:ind w:right="3779"/>
        <w:spacing w:after="0"/>
        <w:rPr>
          <w:sz w:val="20"/>
          <w:szCs w:val="20"/>
          <w:color w:val="auto"/>
        </w:rPr>
      </w:pPr>
      <w:r>
        <w:rPr>
          <w:rFonts w:ascii="Courier New" w:cs="Courier New" w:eastAsia="Courier New" w:hAnsi="Courier New"/>
          <w:sz w:val="15"/>
          <w:szCs w:val="15"/>
          <w:color w:val="auto"/>
        </w:rPr>
        <w:t>We may not succeed in our efforts to manage multiple brands in different channels of distribution.</w:t>
      </w:r>
    </w:p>
    <w:p>
      <w:pPr>
        <w:spacing w:after="0" w:line="34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Several retailers have had problems executing a corporate strategy aimed at operating multiple brands in multiple channels. We have expertise in the outlet channel of distribution, but the Casual Male acquisition introduces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75-80% of Casual Male's merchandise inventory. Under the current operating model, this function is mostly the responsibility of the branded manufacturer. If the managing of multiple brands within multiple channels is poorly executed, the Company will not achieve its expected level of profitability, and could ultimately be compelled to eliminate the multiple brand strategy so that the organization may focus on a single brand strategy.</w:t>
      </w:r>
    </w:p>
    <w:p>
      <w:pPr>
        <w:spacing w:after="0" w:line="353"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If the size of our target demographic group shrinks, our sales are likely to decrease.</w:t>
      </w:r>
    </w:p>
    <w:p>
      <w:pPr>
        <w:spacing w:after="0" w:line="348" w:lineRule="exact"/>
        <w:rPr>
          <w:sz w:val="20"/>
          <w:szCs w:val="20"/>
          <w:color w:val="auto"/>
        </w:rPr>
      </w:pPr>
    </w:p>
    <w:p>
      <w:pPr>
        <w:jc w:val="both"/>
        <w:ind w:right="3159" w:firstLine="716"/>
        <w:spacing w:after="0" w:line="260" w:lineRule="auto"/>
        <w:rPr>
          <w:sz w:val="20"/>
          <w:szCs w:val="20"/>
          <w:color w:val="auto"/>
        </w:rPr>
      </w:pPr>
      <w:r>
        <w:rPr>
          <w:rFonts w:ascii="Courier New" w:cs="Courier New" w:eastAsia="Courier New" w:hAnsi="Courier New"/>
          <w:sz w:val="14"/>
          <w:szCs w:val="14"/>
          <w:color w:val="auto"/>
        </w:rPr>
        <w:t>Research provided to Casual Male by The NPD Group suggests that big and tall men accounted for approximately 11% of the total men's apparel market for 1999. Casual Male currently targets big and tall men in the 25-54 age group.</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However, as more and more food retailers begin to compete on the basis of providing more healthy menus, and American popular culture becomes more health conscious, the size of this target demographic could decrease, resulting in lower sales.</w:t>
      </w:r>
    </w:p>
    <w:p>
      <w:pPr>
        <w:spacing w:after="0" w:line="347"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Covenants with our lenders may prevent management from doing things that would otherwise be in the Company's best interests.</w:t>
      </w:r>
    </w:p>
    <w:p>
      <w:pPr>
        <w:spacing w:after="0" w:line="348" w:lineRule="exact"/>
        <w:rPr>
          <w:sz w:val="20"/>
          <w:szCs w:val="20"/>
          <w:color w:val="auto"/>
        </w:rPr>
      </w:pPr>
    </w:p>
    <w:p>
      <w:pPr>
        <w:ind w:right="3159" w:firstLine="716"/>
        <w:spacing w:after="0" w:line="261" w:lineRule="auto"/>
        <w:rPr>
          <w:sz w:val="20"/>
          <w:szCs w:val="20"/>
          <w:color w:val="auto"/>
        </w:rPr>
      </w:pPr>
      <w:r>
        <w:rPr>
          <w:rFonts w:ascii="Courier New" w:cs="Courier New" w:eastAsia="Courier New" w:hAnsi="Courier New"/>
          <w:sz w:val="14"/>
          <w:szCs w:val="14"/>
          <w:color w:val="auto"/>
        </w:rPr>
        <w:t>The Third Amended and Restated Loan and Security Agreement that we entered into with Fleet Retail Finance and other lenders on May 14, 2002 contains numerous operating covenants that will limit the discretion of management with respect to certain business matters, and which will place restrictions on, among other things, our ability to incur additional indebtedness, to create liens or other encumbrances, and to make certain payments or investments, loans and guarantees. These restrictions can have a negative impact upon the Company being able to expend funds as it deems necessary, including for the opening of new store locations or the pursuit of potential acquisitions, joint ventures or other strategic initiatives, or enter into important contractual relationships for the improvement of the operation, which could ultimately negatively impact the Company's financial performance.</w:t>
      </w:r>
    </w:p>
    <w:p>
      <w:pPr>
        <w:spacing w:after="0" w:line="200" w:lineRule="exact"/>
        <w:rPr>
          <w:sz w:val="20"/>
          <w:szCs w:val="20"/>
          <w:color w:val="auto"/>
        </w:rPr>
      </w:pPr>
    </w:p>
    <w:p>
      <w:pPr>
        <w:spacing w:after="0" w:line="311"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Changes in the Company's credit profile following the Casual Male acquisition could have a detrimental effect on its relationship with its suppliers.</w:t>
      </w:r>
    </w:p>
    <w:p>
      <w:pPr>
        <w:spacing w:after="0" w:line="154" w:lineRule="exact"/>
        <w:rPr>
          <w:sz w:val="20"/>
          <w:szCs w:val="20"/>
          <w:color w:val="auto"/>
        </w:rPr>
      </w:pPr>
    </w:p>
    <w:p>
      <w:pPr>
        <w:ind w:right="3079" w:firstLine="716"/>
        <w:spacing w:after="0" w:line="261" w:lineRule="auto"/>
        <w:rPr>
          <w:sz w:val="20"/>
          <w:szCs w:val="20"/>
          <w:color w:val="auto"/>
        </w:rPr>
      </w:pPr>
      <w:r>
        <w:rPr>
          <w:rFonts w:ascii="Courier New" w:cs="Courier New" w:eastAsia="Courier New" w:hAnsi="Courier New"/>
          <w:sz w:val="14"/>
          <w:szCs w:val="14"/>
          <w:color w:val="auto"/>
        </w:rPr>
        <w:t>As a result of the additional debt we incurred to finance the Casual Male acquisition, we have become a highly leveraged company. This will have several important effects on our future operations including, but not limited to, (i) a substantial portion of our cash flow from operations must be dedicated to the payment of interest on our indebtedness and will not be available for other purposes, (ii) certain restrictions related to our borrowing may limit our ability to borrow additional funds or dispose of assets and may affect our flexibility in planning for, and reacting to, changes in it business, including other possible acquisition activities, and (iii) our ability to obtain additional financing in the future for working capital, capital expenditures, acquisitions, general corporate or other purposes may be impaired.</w:t>
      </w:r>
    </w:p>
    <w:p>
      <w:pPr>
        <w:spacing w:after="0" w:line="339"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Based on the foregoing, our credit risk profile has changed from that of a historically unleveraged company to that of a highly leveraged company. As such, certain suppliers may change the terms under which they are willing to extend trade credit to us or the amount of such credit they are willing to extend at any one time. In both cases the amount of trade credit would be reduced, which would negatively impact the Company's working capital available for operating purposes, increase the borrowings under its revolving line of credit, and reduce the liquidity amount available under its revolving line of credit. In the event that suppliers reduce credit terms or place us on a cash-on-delivery (C.O.D.) basis, our working capital liquidity could be substantially reduced and we could have difficulty maintaining inventory levels or otherwise funding our operating needs.</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0" w:name="page11"/>
    <w:bookmarkEnd w:id="10"/>
    <w:p>
      <w:pPr>
        <w:jc w:val="center"/>
        <w:ind w:right="3079"/>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This prospectus contains forward looking statements, which include statements based on our current expectations, assumptions, estimates and projections about our business and our industry. The nature of forward-looking information is that such information involves assumptions, risks and uncertainties. Forward-looking information requires our management to make assumptions, estimates, forecasts and projections regarding our future results as well as the future effectiveness of our strategic plans and future operational decisions. Forward-looking statements made by us or on our behalf are subject to the risk that the forecasts, projections, and expectations of management, or assumptions underlying such forecasts, projections and expectations, may become inaccurate. Accordingly, our future financial positions, the actual results of our operations and the implementation of our plans and operations may differ materially from forward-looking statements made by us or on our behalf.</w:t>
      </w:r>
    </w:p>
    <w:p>
      <w:pPr>
        <w:spacing w:after="0" w:line="182"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use words such as "believes," "anticipates," "expects," "intends," "plans" and similar expressions to identify forward-looking statements, but these are not the exclusive means of identifying these statements. Actual results could differ materially from those projected in any forward-looking statements for the reasons detailed in "Risk Factors" or elsewhere in this prospectus. Before you decide to invest in our common stock, you should be aware that if any of the events described in the "Risk Factors" section and elsewhere in this prospectus occur, they could have an adverse affect on our business. We assume no obligation to update any forward-looking statement.</w:t>
      </w:r>
    </w:p>
    <w:p>
      <w:pPr>
        <w:spacing w:after="0" w:line="17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716"/>
        <w:spacing w:after="0" w:line="265" w:lineRule="auto"/>
        <w:rPr>
          <w:sz w:val="20"/>
          <w:szCs w:val="20"/>
          <w:color w:val="auto"/>
        </w:rPr>
      </w:pPr>
      <w:r>
        <w:rPr>
          <w:rFonts w:ascii="Courier New" w:cs="Courier New" w:eastAsia="Courier New" w:hAnsi="Courier New"/>
          <w:sz w:val="14"/>
          <w:szCs w:val="14"/>
          <w:color w:val="auto"/>
        </w:rPr>
        <w:t>We presently intend to retain earnings for working capital and to fund capital expenditures. Accordingly, there is no present intention to pay dividends on any shares of our common stock. In addition, the Third Amended and Restated Loan and Security Agreement further restricts the payment of dividends.</w:t>
      </w:r>
    </w:p>
    <w:p>
      <w:pPr>
        <w:spacing w:after="0" w:line="15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339" w:firstLine="716"/>
        <w:spacing w:after="0"/>
        <w:rPr>
          <w:sz w:val="20"/>
          <w:szCs w:val="20"/>
          <w:color w:val="auto"/>
        </w:rPr>
      </w:pPr>
      <w:r>
        <w:rPr>
          <w:rFonts w:ascii="Courier New" w:cs="Courier New" w:eastAsia="Courier New" w:hAnsi="Courier New"/>
          <w:sz w:val="15"/>
          <w:szCs w:val="15"/>
          <w:color w:val="auto"/>
        </w:rPr>
        <w:t>We will not receive any proceeds from any sales of the shares offered pursuant to this prospectus.</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SELLING STOCKHOLDERS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 May 2002, we issued to certain investors who are selling stockholders hereunder a total of 180,162 shares of series B preferred stock and 1,379,300 shares of common stock, and we have issued to the placement agent for certain such transactions warrants to purchase 500,000 shares of common stock at an exercise price of $4.25 per share. Each share of series B preferred stock was automatically converted into 100 shares of common stock upon approval by our stockholders of the proposal to approve the issuance of common stock upon conversion of the series B preferred stock at the annual meeting of our stockholders held on August 8, 2002. These transactions and the process of stockholder approval are described more fully in our Current Report on Form 8-K filed on May 23, 2002, as amended on May 23, 2002 and June 14, 2002, and our definitive proxy statement filed on July 8, 2002, all of which are incorporated herein by reference.</w:t>
      </w:r>
    </w:p>
    <w:p>
      <w:pPr>
        <w:spacing w:after="0" w:line="181"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Also in April and May 2002, in connection with the private placement of our senior subordinated notes, we issued certain purchasers of such notes who are selling stockholders hereunder detachable warrants to purchase an aggregate of 2,891,471 shares of common stock with initial exercise prices ranging from $0.01 to $8.50 per share.</w:t>
      </w:r>
    </w:p>
    <w:p>
      <w:pPr>
        <w:spacing w:after="0" w:line="175"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following table sets forth information as of June 3, 2002, regarding the beneficial ownership of shares of common stock by the selling stockholders. The table presents the total number of shares of common stock owned by the selling stockholders prior to the offering contemplated by this prospectus, the total number of shares included in the offering and, assuming the selling stockholders will offer all of the shares listed in the table below pursuant to the offering contemplated by this prospectus, the total number of shares of common stock owned by the selling stockholders after completion of the offering. This prospectus offers, and the registration statement of which this prospectus forms a part registers, only the shares which are listed in the table below in the column titled "Number of shares of Offered Common Stock." Selling stockholders may sell only those shares pursuant to the offering. The presentation is based on (i) 15,989,343 shares of our common stock that were reported as outstanding on June 3, 2002, (ii) 18,016,200 shares of our common stock issued upon conversion of the series B preferred stock on August</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1" w:name="page12"/>
    <w:bookmarkEnd w:id="11"/>
    <w:p>
      <w:pPr>
        <w:ind w:right="4460"/>
        <w:spacing w:after="0"/>
        <w:rPr>
          <w:sz w:val="20"/>
          <w:szCs w:val="20"/>
          <w:color w:val="auto"/>
        </w:rPr>
      </w:pPr>
      <w:r>
        <w:rPr>
          <w:rFonts w:ascii="Courier New" w:cs="Courier New" w:eastAsia="Courier New" w:hAnsi="Courier New"/>
          <w:sz w:val="15"/>
          <w:szCs w:val="15"/>
          <w:color w:val="auto"/>
        </w:rPr>
        <w:t>8, 2002 and (iii) 4,531,471 shares of our common stock anticipated to be issued or issuable upon exercise of warrants and options.</w:t>
      </w:r>
    </w:p>
    <w:p>
      <w:pPr>
        <w:spacing w:after="0" w:line="176" w:lineRule="exact"/>
        <w:rPr>
          <w:sz w:val="20"/>
          <w:szCs w:val="20"/>
          <w:color w:val="auto"/>
        </w:rPr>
      </w:pPr>
    </w:p>
    <w:p>
      <w:pPr>
        <w:ind w:right="4380" w:firstLine="716"/>
        <w:spacing w:after="0" w:line="242" w:lineRule="auto"/>
        <w:rPr>
          <w:sz w:val="20"/>
          <w:szCs w:val="20"/>
          <w:color w:val="auto"/>
        </w:rPr>
      </w:pPr>
      <w:r>
        <w:rPr>
          <w:rFonts w:ascii="Courier New" w:cs="Courier New" w:eastAsia="Courier New" w:hAnsi="Courier New"/>
          <w:sz w:val="15"/>
          <w:szCs w:val="15"/>
          <w:color w:val="auto"/>
        </w:rPr>
        <w:t>The following table and notes following the table were prepared based on information provided to us by the listed selling stockholders. Other than as set forth in the footnotes to the following table, the selling stockholders have not had any material relationship with Casual Male Retail Group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outstanding</w:t>
            </w:r>
          </w:p>
        </w:tc>
      </w:tr>
      <w:tr>
        <w:trPr>
          <w:trHeight w:val="172"/>
        </w:trPr>
        <w:tc>
          <w:tcPr>
            <w:tcW w:w="34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3480" w:type="dxa"/>
            <w:vAlign w:val="bottom"/>
          </w:tcPr>
          <w:p>
            <w:pPr>
              <w:spacing w:after="0"/>
              <w:rPr>
                <w:sz w:val="14"/>
                <w:szCs w:val="14"/>
                <w:color w:val="auto"/>
              </w:rPr>
            </w:pP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shares owned</w:t>
            </w:r>
          </w:p>
        </w:tc>
      </w:tr>
      <w:tr>
        <w:trPr>
          <w:trHeight w:val="172"/>
        </w:trPr>
        <w:tc>
          <w:tcPr>
            <w:tcW w:w="3480" w:type="dxa"/>
            <w:vAlign w:val="bottom"/>
          </w:tcPr>
          <w:p>
            <w:pPr>
              <w:spacing w:after="0"/>
              <w:rPr>
                <w:sz w:val="14"/>
                <w:szCs w:val="14"/>
                <w:color w:val="auto"/>
              </w:rPr>
            </w:pP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subsequent</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subsequent</w:t>
            </w:r>
          </w:p>
        </w:tc>
      </w:tr>
      <w:tr>
        <w:trPr>
          <w:trHeight w:val="172"/>
        </w:trPr>
        <w:tc>
          <w:tcPr>
            <w:tcW w:w="3480" w:type="dxa"/>
            <w:vAlign w:val="bottom"/>
          </w:tcPr>
          <w:p>
            <w:pPr>
              <w:spacing w:after="0"/>
              <w:rPr>
                <w:sz w:val="14"/>
                <w:szCs w:val="14"/>
                <w:color w:val="auto"/>
              </w:rPr>
            </w:pP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to the</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to the</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3440" w:type="dxa"/>
            <w:vAlign w:val="bottom"/>
          </w:tcPr>
          <w:p>
            <w:pPr>
              <w:jc w:val="center"/>
              <w:ind w:left="168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offering</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offering</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0"/>
                <w:szCs w:val="20"/>
                <w:color w:val="auto"/>
              </w:rPr>
            </w:pPr>
            <w:r>
              <w:rPr>
                <w:rFonts w:ascii="Courier New" w:cs="Courier New" w:eastAsia="Courier New" w:hAnsi="Courier New"/>
                <w:sz w:val="15"/>
                <w:szCs w:val="15"/>
                <w:color w:val="auto"/>
              </w:rPr>
              <w:t>300 Plaza Drive Associates</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Almarc Trading Corp. Defined Benefit</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Plan**</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AMT Asset Management,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Barclays Global Investors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Baron Asset Fund on behalf of</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3,760,353</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3,760,353</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the Small Cap Fund Series (1)**</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Benchmark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Bull Fund,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148,200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148,200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C.P.F.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66,800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Institutional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52,200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52,200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 Offshore,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94,200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46,100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Brahman Partners III,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The Branagh Revocable Trust, Peter W</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Branagh and Ramona Y. Branagh, Trustees</w:t>
            </w:r>
          </w:p>
        </w:tc>
        <w:tc>
          <w:tcPr>
            <w:tcW w:w="34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Bric Retail,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Bric6,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225,200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218,400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Enhanced,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219,400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219,300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Managed Trust</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48,900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48,900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Offshore,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361,900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361,000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305,500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304,700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238,500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12,400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Bricoleur-Plus Fund,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10,600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Allen Brill</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47,500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Brook Road Nominee Trust</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Int'l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Partners II,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51,800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Buckingham RAF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720,900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661,200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59,700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BY Partners,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289,800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289,800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Carafe Investment Co.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397,000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297,000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Clark Partners I, L.P. (2)</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2,346,359</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2,346,359</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Stewart L. Cohen</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Cragswood,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18,900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Kenneth C. Cummins (3)</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69,100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39,100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Walter Fischer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10,000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Glenhill Capital, LP</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1,129,500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w w:val="98"/>
              </w:rPr>
              <w:t>Glenhill Capital Overseas Partners Ltd.</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282,400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282,400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Howard Gonchar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8,000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Richard W. Greene IRA</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Jon D. Gruber &amp; Linda W. Gruber</w:t>
            </w:r>
          </w:p>
        </w:tc>
        <w:tc>
          <w:tcPr>
            <w:tcW w:w="34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58,900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344"/>
        </w:trPr>
        <w:tc>
          <w:tcPr>
            <w:tcW w:w="3480" w:type="dxa"/>
            <w:vAlign w:val="bottom"/>
          </w:tcPr>
          <w:p>
            <w:pPr>
              <w:spacing w:after="0"/>
              <w:rPr>
                <w:sz w:val="24"/>
                <w:szCs w:val="24"/>
                <w:color w:val="auto"/>
              </w:rPr>
            </w:pPr>
          </w:p>
        </w:tc>
        <w:tc>
          <w:tcPr>
            <w:tcW w:w="3440" w:type="dxa"/>
            <w:vAlign w:val="bottom"/>
          </w:tcPr>
          <w:p>
            <w:pPr>
              <w:jc w:val="right"/>
              <w:ind w:right="3185"/>
              <w:spacing w:after="0"/>
              <w:rPr>
                <w:sz w:val="20"/>
                <w:szCs w:val="20"/>
                <w:color w:val="auto"/>
              </w:rPr>
            </w:pPr>
            <w:r>
              <w:rPr>
                <w:rFonts w:ascii="Courier New" w:cs="Courier New" w:eastAsia="Courier New" w:hAnsi="Courier New"/>
                <w:sz w:val="15"/>
                <w:szCs w:val="15"/>
                <w:color w:val="auto"/>
                <w:w w:val="88"/>
              </w:rPr>
              <w:t>11</w:t>
            </w: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635" w:right="1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outstanding</w:t>
            </w:r>
          </w:p>
        </w:tc>
      </w:tr>
      <w:tr>
        <w:trPr>
          <w:trHeight w:val="172"/>
        </w:trPr>
        <w:tc>
          <w:tcPr>
            <w:tcW w:w="46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shares</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680" w:type="dxa"/>
            <w:vAlign w:val="bottom"/>
          </w:tcPr>
          <w:p>
            <w:pPr>
              <w:spacing w:after="0"/>
              <w:rPr>
                <w:sz w:val="14"/>
                <w:szCs w:val="14"/>
                <w:color w:val="auto"/>
              </w:rPr>
            </w:pP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shares owned</w:t>
            </w:r>
          </w:p>
        </w:tc>
      </w:tr>
      <w:tr>
        <w:trPr>
          <w:trHeight w:val="172"/>
        </w:trPr>
        <w:tc>
          <w:tcPr>
            <w:tcW w:w="4680" w:type="dxa"/>
            <w:vAlign w:val="bottom"/>
          </w:tcPr>
          <w:p>
            <w:pPr>
              <w:spacing w:after="0"/>
              <w:rPr>
                <w:sz w:val="14"/>
                <w:szCs w:val="14"/>
                <w:color w:val="auto"/>
              </w:rPr>
            </w:pP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7"/>
              </w:rPr>
              <w:t>subsequent</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rPr>
              <w:t>subsequent</w:t>
            </w:r>
          </w:p>
        </w:tc>
      </w:tr>
      <w:tr>
        <w:trPr>
          <w:trHeight w:val="172"/>
        </w:trPr>
        <w:tc>
          <w:tcPr>
            <w:tcW w:w="4680" w:type="dxa"/>
            <w:vAlign w:val="bottom"/>
          </w:tcPr>
          <w:p>
            <w:pPr>
              <w:spacing w:after="0"/>
              <w:rPr>
                <w:sz w:val="14"/>
                <w:szCs w:val="14"/>
                <w:color w:val="auto"/>
              </w:rPr>
            </w:pP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to the</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rPr>
              <w:t>to the</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2240" w:type="dxa"/>
            <w:vAlign w:val="bottom"/>
          </w:tcPr>
          <w:p>
            <w:pPr>
              <w:jc w:val="center"/>
              <w:ind w:left="48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jc w:val="center"/>
              <w:ind w:left="5"/>
              <w:spacing w:after="0"/>
              <w:rPr>
                <w:sz w:val="20"/>
                <w:szCs w:val="20"/>
                <w:color w:val="auto"/>
              </w:rPr>
            </w:pPr>
            <w:r>
              <w:rPr>
                <w:rFonts w:ascii="Courier New" w:cs="Courier New" w:eastAsia="Courier New" w:hAnsi="Courier New"/>
                <w:sz w:val="15"/>
                <w:szCs w:val="15"/>
                <w:color w:val="auto"/>
                <w:w w:val="99"/>
              </w:rPr>
              <w:t>offering</w:t>
            </w:r>
          </w:p>
        </w:tc>
        <w:tc>
          <w:tcPr>
            <w:tcW w:w="1280" w:type="dxa"/>
            <w:vAlign w:val="bottom"/>
          </w:tcPr>
          <w:p>
            <w:pPr>
              <w:ind w:left="220"/>
              <w:spacing w:after="0"/>
              <w:rPr>
                <w:sz w:val="20"/>
                <w:szCs w:val="20"/>
                <w:color w:val="auto"/>
              </w:rPr>
            </w:pPr>
            <w:r>
              <w:rPr>
                <w:rFonts w:ascii="Courier New" w:cs="Courier New" w:eastAsia="Courier New" w:hAnsi="Courier New"/>
                <w:sz w:val="15"/>
                <w:szCs w:val="15"/>
                <w:color w:val="auto"/>
              </w:rPr>
              <w:t>offering</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300"/>
              <w:spacing w:after="0"/>
              <w:rPr>
                <w:sz w:val="20"/>
                <w:szCs w:val="20"/>
                <w:color w:val="auto"/>
              </w:rPr>
            </w:pPr>
            <w:r>
              <w:rPr>
                <w:rFonts w:ascii="Courier New" w:cs="Courier New" w:eastAsia="Courier New" w:hAnsi="Courier New"/>
                <w:sz w:val="15"/>
                <w:szCs w:val="15"/>
                <w:color w:val="auto"/>
                <w:w w:val="96"/>
              </w:rPr>
              <w:t>-----------</w:t>
            </w:r>
          </w:p>
        </w:tc>
      </w:tr>
      <w:tr>
        <w:trPr>
          <w:trHeight w:val="516"/>
        </w:trPr>
        <w:tc>
          <w:tcPr>
            <w:tcW w:w="4680" w:type="dxa"/>
            <w:vAlign w:val="bottom"/>
          </w:tcPr>
          <w:p>
            <w:pPr>
              <w:spacing w:after="0"/>
              <w:rPr>
                <w:sz w:val="20"/>
                <w:szCs w:val="20"/>
                <w:color w:val="auto"/>
              </w:rPr>
            </w:pPr>
            <w:r>
              <w:rPr>
                <w:rFonts w:ascii="Courier New" w:cs="Courier New" w:eastAsia="Courier New" w:hAnsi="Courier New"/>
                <w:sz w:val="15"/>
                <w:szCs w:val="15"/>
                <w:color w:val="auto"/>
              </w:rPr>
              <w:t>Gruber &amp; McBaine International</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125,800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121,800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Patrick M. Guarini</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Guerrilla IRA Partners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14,000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Guerrilla Partners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33,100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33,100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Halpern Capital DBA UVEST Investment</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Services (4)</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Dennis R. Hernreich (5)</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109,268</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49,268</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Hocky Capital,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227,100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227,100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Hocky Capital QP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224,800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224,800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Allison Holtzman IRA, Bear Stearns</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Securities Corp. Custodian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Allison</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Olivia</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Garcia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Percy</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Rivers</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Sterling</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Garcia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7,200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Marc L. Holtzman, Trustee for Temple</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Steven Holtzman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Seymour Holtzman (6)</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4,050,739</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2,148,280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5.6%</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Interstate Properties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Jewelcor Management, Inc. (7)</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3,682,974</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1,602,459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2,080,515</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5.4%</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JLF Offshore Fund, Ltd.</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795,000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JLF Partners I,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616,800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Warren B. Kanders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Burton I.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Milton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Ruthanne Koffman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Lagunitas Partners LP</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422,700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407,700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David A. Levin (8)</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497,667</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465,500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32,167</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Carl M. Lieberman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45,000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Anne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Elizabeth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Lynch Childrens Trust FBO Mary Lynch**</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and Carolyn Lynch JWROS**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95,000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The Lynch Foundation**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54,500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25,000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Lead Annuity</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7,900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5,900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Remainder</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60,100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47,100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13,000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S. Lynch Charitable Unitrust**</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7,100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Allan R. Lyons</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Paul R. Mancia</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365,000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340,000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Peter R. McMullin</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Metrowest Ent. 401(K) Profit Sharing</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15,000</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Plan FBO Carl M. Lieberman</w:t>
            </w:r>
          </w:p>
        </w:tc>
        <w:tc>
          <w:tcPr>
            <w:tcW w:w="22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Jeremiah P. Murphy, Jr. (9)</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94,326</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69,326</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New Valu, Inc.</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Robert Patron (10)</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172"/>
        </w:trPr>
        <w:tc>
          <w:tcPr>
            <w:tcW w:w="4680" w:type="dxa"/>
            <w:vAlign w:val="bottom"/>
          </w:tcPr>
          <w:p>
            <w:pPr>
              <w:spacing w:after="0"/>
              <w:rPr>
                <w:sz w:val="20"/>
                <w:szCs w:val="20"/>
                <w:color w:val="auto"/>
              </w:rPr>
            </w:pPr>
            <w:r>
              <w:rPr>
                <w:rFonts w:ascii="Courier New" w:cs="Courier New" w:eastAsia="Courier New" w:hAnsi="Courier New"/>
                <w:sz w:val="15"/>
                <w:szCs w:val="15"/>
                <w:color w:val="auto"/>
              </w:rPr>
              <w:t>Joseph Pennacchio (11)</w:t>
            </w:r>
          </w:p>
        </w:tc>
        <w:tc>
          <w:tcPr>
            <w:tcW w:w="22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121,212</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71,212</w:t>
            </w:r>
          </w:p>
        </w:tc>
        <w:tc>
          <w:tcPr>
            <w:tcW w:w="128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r>
      <w:tr>
        <w:trPr>
          <w:trHeight w:val="344"/>
        </w:trPr>
        <w:tc>
          <w:tcPr>
            <w:tcW w:w="4680" w:type="dxa"/>
            <w:vAlign w:val="bottom"/>
          </w:tcPr>
          <w:p>
            <w:pPr>
              <w:ind w:left="3480"/>
              <w:spacing w:after="0"/>
              <w:rPr>
                <w:sz w:val="20"/>
                <w:szCs w:val="20"/>
                <w:color w:val="auto"/>
              </w:rPr>
            </w:pPr>
            <w:r>
              <w:rPr>
                <w:rFonts w:ascii="Courier New" w:cs="Courier New" w:eastAsia="Courier New" w:hAnsi="Courier New"/>
                <w:sz w:val="15"/>
                <w:szCs w:val="15"/>
                <w:color w:val="auto"/>
              </w:rPr>
              <w:t>12</w:t>
            </w:r>
          </w:p>
        </w:tc>
        <w:tc>
          <w:tcPr>
            <w:tcW w:w="2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520"/>
          </w:cols>
          <w:pgMar w:left="240" w:top="977" w:right="139" w:bottom="1440" w:gutter="0" w:footer="0" w:header="0"/>
        </w:sectPr>
      </w:pPr>
    </w:p>
    <w:bookmarkStart w:id="13" w:name="page14"/>
    <w:bookmarkEnd w:id="1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Percentage</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Percentage</w:t>
            </w:r>
          </w:p>
        </w:tc>
      </w:tr>
      <w:tr>
        <w:trPr>
          <w:trHeight w:val="172"/>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of</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outstanding</w:t>
            </w:r>
          </w:p>
        </w:tc>
      </w:tr>
      <w:tr>
        <w:trPr>
          <w:trHeight w:val="172"/>
        </w:trPr>
        <w:tc>
          <w:tcPr>
            <w:tcW w:w="46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Number of</w:t>
            </w:r>
          </w:p>
        </w:tc>
      </w:tr>
      <w:tr>
        <w:trPr>
          <w:trHeight w:val="172"/>
        </w:trPr>
        <w:tc>
          <w:tcPr>
            <w:tcW w:w="4600" w:type="dxa"/>
            <w:vAlign w:val="bottom"/>
          </w:tcPr>
          <w:p>
            <w:pPr>
              <w:spacing w:after="0"/>
              <w:rPr>
                <w:sz w:val="14"/>
                <w:szCs w:val="14"/>
                <w:color w:val="auto"/>
              </w:rPr>
            </w:pP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Number of</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Number of</w:t>
            </w:r>
          </w:p>
        </w:tc>
        <w:tc>
          <w:tcPr>
            <w:tcW w:w="14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shares owned</w:t>
            </w:r>
          </w:p>
        </w:tc>
      </w:tr>
      <w:tr>
        <w:trPr>
          <w:trHeight w:val="172"/>
        </w:trPr>
        <w:tc>
          <w:tcPr>
            <w:tcW w:w="4600" w:type="dxa"/>
            <w:vAlign w:val="bottom"/>
          </w:tcPr>
          <w:p>
            <w:pPr>
              <w:spacing w:after="0"/>
              <w:rPr>
                <w:sz w:val="14"/>
                <w:szCs w:val="14"/>
                <w:color w:val="auto"/>
              </w:rPr>
            </w:pP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shares owned</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shares of</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subsequent</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subsequent</w:t>
            </w:r>
          </w:p>
        </w:tc>
      </w:tr>
      <w:tr>
        <w:trPr>
          <w:trHeight w:val="172"/>
        </w:trPr>
        <w:tc>
          <w:tcPr>
            <w:tcW w:w="4600" w:type="dxa"/>
            <w:vAlign w:val="bottom"/>
          </w:tcPr>
          <w:p>
            <w:pPr>
              <w:spacing w:after="0"/>
              <w:rPr>
                <w:sz w:val="14"/>
                <w:szCs w:val="14"/>
                <w:color w:val="auto"/>
              </w:rPr>
            </w:pP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prior to the</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offered common</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to the</w:t>
            </w:r>
          </w:p>
        </w:tc>
        <w:tc>
          <w:tcPr>
            <w:tcW w:w="12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to the</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Selling Stockholder</w:t>
            </w:r>
          </w:p>
        </w:tc>
        <w:tc>
          <w:tcPr>
            <w:tcW w:w="2320" w:type="dxa"/>
            <w:vAlign w:val="bottom"/>
          </w:tcPr>
          <w:p>
            <w:pPr>
              <w:jc w:val="center"/>
              <w:ind w:left="565"/>
              <w:spacing w:after="0"/>
              <w:rPr>
                <w:sz w:val="20"/>
                <w:szCs w:val="20"/>
                <w:color w:val="auto"/>
              </w:rPr>
            </w:pPr>
            <w:r>
              <w:rPr>
                <w:rFonts w:ascii="Courier New" w:cs="Courier New" w:eastAsia="Courier New" w:hAnsi="Courier New"/>
                <w:sz w:val="15"/>
                <w:szCs w:val="15"/>
                <w:color w:val="auto"/>
                <w:w w:val="99"/>
              </w:rPr>
              <w:t>offering</w:t>
            </w:r>
          </w:p>
        </w:tc>
        <w:tc>
          <w:tcPr>
            <w:tcW w:w="1880" w:type="dxa"/>
            <w:vAlign w:val="bottom"/>
          </w:tcPr>
          <w:p>
            <w:pPr>
              <w:jc w:val="right"/>
              <w:ind w:right="865"/>
              <w:spacing w:after="0"/>
              <w:rPr>
                <w:sz w:val="20"/>
                <w:szCs w:val="20"/>
                <w:color w:val="auto"/>
              </w:rPr>
            </w:pPr>
            <w:r>
              <w:rPr>
                <w:rFonts w:ascii="Courier New" w:cs="Courier New" w:eastAsia="Courier New" w:hAnsi="Courier New"/>
                <w:sz w:val="15"/>
                <w:szCs w:val="15"/>
                <w:color w:val="auto"/>
              </w:rPr>
              <w:t>stock</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offering</w:t>
            </w:r>
          </w:p>
        </w:tc>
        <w:tc>
          <w:tcPr>
            <w:tcW w:w="12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offering</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8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4600" w:type="dxa"/>
            <w:vAlign w:val="bottom"/>
          </w:tcPr>
          <w:p>
            <w:pPr>
              <w:spacing w:after="0"/>
              <w:rPr>
                <w:sz w:val="20"/>
                <w:szCs w:val="20"/>
                <w:color w:val="auto"/>
              </w:rPr>
            </w:pPr>
            <w:r>
              <w:rPr>
                <w:rFonts w:ascii="Courier New" w:cs="Courier New" w:eastAsia="Courier New" w:hAnsi="Courier New"/>
                <w:sz w:val="15"/>
                <w:szCs w:val="15"/>
                <w:color w:val="auto"/>
              </w:rPr>
              <w:t>Permal U.S. Opportunities Fund, Ltd.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565,000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565,000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Pollack Investment Partnership,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Pollat, Evans &amp; Co. Inc.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George T. Porter, Jr. (12)</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92,906</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55,000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37,906</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Prism Partners I,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Prism Partners II Offshore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Investment Funds- Putnam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989,600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989,600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Variable Trust- Putnam VT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377,000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377,000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Putnam World Trust II: Putnam U.S. Small</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Cap Value Equity Fund (Dublin)**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12,700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12,700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Reservoir Capital Master Fund,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67,600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67,600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Reservoir Capital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403,100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403,100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Eugene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111,500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61,500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Estate of Marvin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Phillip W. Roth</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80,000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60,000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Sonia Seidman</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&amp; Associates, LLC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34,000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34,000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Investment Partnership II,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Seidman Investment Partnership,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16,500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John J. Sweeney (13)</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20,668</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3,500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17,168</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Tucker Anthony Incorporated (14)</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50,000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Hugh Sheldon Unger, Lincoln Trust TTEE</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IRA</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18,600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12,500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6,100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Jeffrey and Sheryl Unger (15)</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43,650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10,000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33,650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Michael H. Weiss</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55,800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50,000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5,800</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Weiss, Peck &amp; Greer, L.L.C</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1,529,500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1,529,500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Whiffletree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Willow Creek Capital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Willow Creek Offshore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WPG Tudor Fund**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235,300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235,300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Partners Small Cap Value,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126,300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126,300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Partners Small Cap Value, LP I</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181,800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181,800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Wynnefield Small Cap Value Offshore</w:t>
            </w:r>
          </w:p>
        </w:tc>
        <w:tc>
          <w:tcPr>
            <w:tcW w:w="2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4600" w:type="dxa"/>
            <w:vAlign w:val="bottom"/>
          </w:tcPr>
          <w:p>
            <w:pPr>
              <w:ind w:left="180"/>
              <w:spacing w:after="0"/>
              <w:rPr>
                <w:sz w:val="20"/>
                <w:szCs w:val="20"/>
                <w:color w:val="auto"/>
              </w:rPr>
            </w:pPr>
            <w:r>
              <w:rPr>
                <w:rFonts w:ascii="Courier New" w:cs="Courier New" w:eastAsia="Courier New" w:hAnsi="Courier New"/>
                <w:sz w:val="15"/>
                <w:szCs w:val="15"/>
                <w:color w:val="auto"/>
              </w:rPr>
              <w:t>Fund, Ltd.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92,000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92,000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Equity Neutral,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78,500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78,500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Offshore Limited</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571,500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571,500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Zaxis Partners, L.P.</w:t>
            </w:r>
          </w:p>
        </w:tc>
        <w:tc>
          <w:tcPr>
            <w:tcW w:w="23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138,000</w:t>
            </w:r>
          </w:p>
        </w:tc>
        <w:tc>
          <w:tcPr>
            <w:tcW w:w="1880" w:type="dxa"/>
            <w:vAlign w:val="bottom"/>
          </w:tcPr>
          <w:p>
            <w:pPr>
              <w:jc w:val="right"/>
              <w:ind w:right="585"/>
              <w:spacing w:after="0"/>
              <w:rPr>
                <w:sz w:val="20"/>
                <w:szCs w:val="20"/>
                <w:color w:val="auto"/>
              </w:rPr>
            </w:pPr>
            <w:r>
              <w:rPr>
                <w:rFonts w:ascii="Courier New" w:cs="Courier New" w:eastAsia="Courier New" w:hAnsi="Courier New"/>
                <w:sz w:val="15"/>
                <w:szCs w:val="15"/>
                <w:color w:val="auto"/>
              </w:rPr>
              <w:t>138,000</w:t>
            </w:r>
          </w:p>
        </w:tc>
        <w:tc>
          <w:tcPr>
            <w:tcW w:w="144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right="14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Less than 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Affiliate of registered broker-dealer.</w:t>
      </w:r>
    </w:p>
    <w:p>
      <w:pPr>
        <w:spacing w:after="0" w:line="348" w:lineRule="exact"/>
        <w:rPr>
          <w:sz w:val="20"/>
          <w:szCs w:val="20"/>
          <w:color w:val="auto"/>
        </w:rPr>
      </w:pPr>
    </w:p>
    <w:p>
      <w:pPr>
        <w:ind w:left="448" w:right="5080" w:hanging="448"/>
        <w:spacing w:after="0"/>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1,407,353 shares of common stock issuable upon exercise of warrants.</w:t>
      </w:r>
    </w:p>
    <w:p>
      <w:pPr>
        <w:spacing w:after="0" w:line="176" w:lineRule="exact"/>
        <w:rPr>
          <w:rFonts w:ascii="Courier New" w:cs="Courier New" w:eastAsia="Courier New" w:hAnsi="Courier New"/>
          <w:sz w:val="15"/>
          <w:szCs w:val="15"/>
          <w:color w:val="auto"/>
        </w:rPr>
      </w:pPr>
    </w:p>
    <w:p>
      <w:pPr>
        <w:ind w:left="448" w:right="4380" w:hanging="448"/>
        <w:spacing w:after="0" w:line="241" w:lineRule="auto"/>
        <w:tabs>
          <w:tab w:leader="none" w:pos="44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934,559 shares of common stock issuable upon exercise of warrants. Stephen M. Duff, who is Treasurer of Ninth Floor Corporation, the general partner of Clark Partners I, L.P., and Senior Investment</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8"/>
          </w:cols>
          <w:pgMar w:left="232" w:top="977" w:right="139" w:bottom="1440" w:gutter="0" w:footer="0" w:header="0"/>
        </w:sectPr>
      </w:pPr>
    </w:p>
    <w:bookmarkStart w:id="14" w:name="page15"/>
    <w:bookmarkEnd w:id="14"/>
    <w:p>
      <w:pPr>
        <w:ind w:left="448" w:right="3599"/>
        <w:spacing w:after="0"/>
        <w:rPr>
          <w:sz w:val="20"/>
          <w:szCs w:val="20"/>
          <w:color w:val="auto"/>
        </w:rPr>
      </w:pPr>
      <w:r>
        <w:rPr>
          <w:rFonts w:ascii="Courier New" w:cs="Courier New" w:eastAsia="Courier New" w:hAnsi="Courier New"/>
          <w:sz w:val="15"/>
          <w:szCs w:val="15"/>
          <w:color w:val="auto"/>
        </w:rPr>
        <w:t>Manager at The Clark Estates, Inc., has been a member of the Board of Directors of the Company since May 14, 2002.</w:t>
      </w:r>
    </w:p>
    <w:p>
      <w:pPr>
        <w:spacing w:after="0" w:line="176" w:lineRule="exact"/>
        <w:rPr>
          <w:sz w:val="20"/>
          <w:szCs w:val="20"/>
          <w:color w:val="auto"/>
        </w:rPr>
      </w:pPr>
    </w:p>
    <w:p>
      <w:pPr>
        <w:ind w:left="448" w:right="343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Kenneth C. Cummins has been a legal consultant to the Company since November 12, 1996. Includes 20,000 shares of common stock issuable upon exercise of stock options exercisable within 60 days.</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500,000 shares of common stock issuable upon exercise of warrants.</w:t>
      </w:r>
    </w:p>
    <w:p>
      <w:pPr>
        <w:spacing w:after="0" w:line="185" w:lineRule="exact"/>
        <w:rPr>
          <w:rFonts w:ascii="Courier New" w:cs="Courier New" w:eastAsia="Courier New" w:hAnsi="Courier New"/>
          <w:sz w:val="14"/>
          <w:szCs w:val="14"/>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Dennis R. Hernreich has been Senior Vice President, Chief Financial Officer and Treasurer of the Company since September 5, 2000. Includes 61,668 shares of common stock issuable upon exercise of options exercisable within 60 days.</w:t>
      </w:r>
    </w:p>
    <w:p>
      <w:pPr>
        <w:spacing w:after="0" w:line="34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Seymour Holtzman was appointed a director of the Company on April 7, 2000 and Chairman of the Board on April 11, 2000. On May 25, 2001, the Company hired Mr. Holtzman as an executive officer of the Company. Mr. Holtzman may be deemed to have shared voting and investment power over 4,050,739 shares of common stock, which includes 3,682,974 shares (including 549,559 shares issuable upon exercise of warrants) beneficially owned by Jewelcor Management, Inc., of which Mr. Holtzman is the Chairman, President and Chief Executive Officer and indirectly, with his wife, the primary shareholder; 337,765 shares owned individually, which includes 300,000 shares being offered pursuant to this prospectus subject to options and 25,000 shares subject to options exercisable within 60 days; and 30,000 shares owned by Mr. Holtzman's grandchildren as to which he disclaims beneficial ownership. The number of shares owned subsequent to the offering excludes 1,681,926 shares being offered by Jewelcor Management, Inc. pursuant to this prospectus.</w:t>
      </w:r>
    </w:p>
    <w:p>
      <w:pPr>
        <w:spacing w:after="0" w:line="354"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Jewelcor Management, Inc. has provided consulting services to the Company since October 1999. This consulting arrangement and other related transactions are described more fully in the Company's definitive proxy statement filed on July 8, 2002, which is incorporated herein by reference. Includes 549,559 shares of common stock issuable upon exercise of warrants. Excludes 337,765 shares, including 300,000 shares being offered pursuant to this prospectus subject to options and 25,000 shares subject to options exercisable within 60 days, owned individually by Seymour Holtzman and 30,000 shares owned by Mr. Holtzman's grandchildren. Includes 60,659 shares of common stock issued to Jewelcor Management, Inc. pursuant to a consulting agreement with the Company, which agreement was extended effective April 29, 2002.</w:t>
      </w:r>
    </w:p>
    <w:p>
      <w:pPr>
        <w:spacing w:after="0" w:line="352"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A. Levin has been President and Chief Executive Officer of the Company since April 10, 2000 and a director of the Company since April 11, 2000. Includes 241,667 shares of common stock issuable upon exercise of options exercisable within 60 days.</w:t>
      </w:r>
    </w:p>
    <w:p>
      <w:pPr>
        <w:spacing w:after="0" w:line="34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Jeremiah P. Murphy, Jr. has been a director of the Company since October 8, 1999. Includes 35,000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Patron had been a director of the Company since October 1999 until his resignation effective March 11, 2002. Includes 30,000 shares of common stock issuable upon exercise of options.</w:t>
      </w:r>
    </w:p>
    <w:p>
      <w:pPr>
        <w:spacing w:after="0" w:line="176" w:lineRule="exact"/>
        <w:rPr>
          <w:rFonts w:ascii="Courier New" w:cs="Courier New" w:eastAsia="Courier New" w:hAnsi="Courier New"/>
          <w:sz w:val="15"/>
          <w:szCs w:val="15"/>
          <w:color w:val="auto"/>
        </w:rPr>
      </w:pPr>
    </w:p>
    <w:p>
      <w:pPr>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Joseph Pennacchio has been a director of the Company since October 8, 1999. Includes 35,000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George T. Porter, Jr. has been a director of the Company since October 28, 1999. Includes 65,000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33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Sweeney has been an employee of the Company since April 7, 1997. Includes 5,334 shares of common stock issuable upon exercise of options exercisable within 60 days.</w:t>
      </w:r>
    </w:p>
    <w:p>
      <w:pPr>
        <w:spacing w:after="0" w:line="176" w:lineRule="exact"/>
        <w:rPr>
          <w:rFonts w:ascii="Courier New" w:cs="Courier New" w:eastAsia="Courier New" w:hAnsi="Courier New"/>
          <w:sz w:val="15"/>
          <w:szCs w:val="15"/>
          <w:color w:val="auto"/>
        </w:rPr>
      </w:pPr>
    </w:p>
    <w:p>
      <w:pPr>
        <w:ind w:left="448" w:right="3079" w:hanging="448"/>
        <w:spacing w:after="0"/>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shares of common stock issuable upon exercise of options granted in connection with professional services rendered to the Company.</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5" w:right="1440" w:bottom="1440" w:gutter="0" w:footer="0" w:header="0"/>
        </w:sectPr>
      </w:pPr>
    </w:p>
    <w:bookmarkStart w:id="15" w:name="page16"/>
    <w:bookmarkEnd w:id="15"/>
    <w:p>
      <w:pPr>
        <w:ind w:left="448" w:right="3079" w:hanging="448"/>
        <w:spacing w:after="0" w:line="24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Jeffrey Unger was an employee of the Company from October 1999 through July 2000. Mr. Unger has been a investor relations consultant to the Company since July 2000. Includes 20,000 shares of common stock issuable upon exercise of options exercisable within 60 days.</w:t>
      </w:r>
    </w:p>
    <w:p>
      <w:pPr>
        <w:spacing w:after="0" w:line="175" w:lineRule="exact"/>
        <w:rPr>
          <w:sz w:val="20"/>
          <w:szCs w:val="20"/>
          <w:color w:val="auto"/>
        </w:rPr>
      </w:pPr>
    </w:p>
    <w:p>
      <w:pPr>
        <w:ind w:left="8" w:right="3159" w:firstLine="716"/>
        <w:spacing w:after="0" w:line="267" w:lineRule="auto"/>
        <w:rPr>
          <w:sz w:val="20"/>
          <w:szCs w:val="20"/>
          <w:color w:val="auto"/>
        </w:rPr>
      </w:pPr>
      <w:r>
        <w:rPr>
          <w:rFonts w:ascii="Courier New" w:cs="Courier New" w:eastAsia="Courier New" w:hAnsi="Courier New"/>
          <w:sz w:val="14"/>
          <w:szCs w:val="14"/>
          <w:color w:val="auto"/>
        </w:rPr>
        <w:t>The aggregate proceeds to the selling stockholders from the sale of the shares listed in this prospectus offered by them pursuant to this prospectus will be the sale price of the shares less discounts and commissions, if any.</w:t>
      </w:r>
    </w:p>
    <w:p>
      <w:pPr>
        <w:spacing w:after="0" w:line="157"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selling stockholders, which term includes their successors, transferees, pledgees or donees or their successors, may sell the shares offered pursuant to this prospectus directly to purchasers or through underwriters, broker-dealers or agents, who may receive compensation in the form of discounts, concessions or commissions from the selling stockholders or the purchasers, which discounts, concessions or commissions as to any particular underwriter, broker-dealer or agent may be in excess of those customary in the types of transactions involved.</w:t>
      </w:r>
    </w:p>
    <w:p>
      <w:pPr>
        <w:spacing w:after="0" w:line="177" w:lineRule="exact"/>
        <w:rPr>
          <w:sz w:val="20"/>
          <w:szCs w:val="20"/>
          <w:color w:val="auto"/>
        </w:rPr>
      </w:pPr>
    </w:p>
    <w:p>
      <w:pPr>
        <w:ind w:left="8" w:right="3079" w:firstLine="716"/>
        <w:spacing w:after="0" w:line="261" w:lineRule="auto"/>
        <w:rPr>
          <w:sz w:val="20"/>
          <w:szCs w:val="20"/>
          <w:color w:val="auto"/>
        </w:rPr>
      </w:pPr>
      <w:r>
        <w:rPr>
          <w:rFonts w:ascii="Courier New" w:cs="Courier New" w:eastAsia="Courier New" w:hAnsi="Courier New"/>
          <w:sz w:val="14"/>
          <w:szCs w:val="14"/>
          <w:color w:val="auto"/>
        </w:rPr>
        <w:t>The shares offered pursuant to this prospectus may be sold by any selling stockholder in one or more transactions at fixed prices, at prevailing market prices at the time of sale, at prices related to such prevailing market prices, at varying prices determined at the time of sale, or at negotiated prices. Such sales may be effected in transactions, which may involve crosses or block transactions (1) on any national securities exchange or quotation service on which our common stock may be listed or quoted at the time of sale, (2) in the over-the-counter market, (3) in transactions otherwise than on such exchanges or services or in the over-the-counter market, (4) through the writing of options, whether such options are listed on an options exchange or otherwise, or (5) through the settlement of short sales. In connection with the sale of the shares offered pursuant to this prospectus or otherwise, any selling stockholder may enter into hedging transactions with broker-dealers or other financial institutions which may in turn engage in short sales of the common stock and deliver these securities to close out such short positions, or loan or pledge the common stock to broker-dealers that in turn may sell these securities.</w:t>
      </w:r>
    </w:p>
    <w:p>
      <w:pPr>
        <w:spacing w:after="0" w:line="165" w:lineRule="exact"/>
        <w:rPr>
          <w:sz w:val="20"/>
          <w:szCs w:val="20"/>
          <w:color w:val="auto"/>
        </w:rPr>
      </w:pPr>
    </w:p>
    <w:p>
      <w:pPr>
        <w:ind w:left="8" w:right="3079" w:firstLine="716"/>
        <w:spacing w:after="0" w:line="241" w:lineRule="auto"/>
        <w:rPr>
          <w:sz w:val="20"/>
          <w:szCs w:val="20"/>
          <w:color w:val="auto"/>
        </w:rPr>
      </w:pPr>
      <w:r>
        <w:rPr>
          <w:rFonts w:ascii="Courier New" w:cs="Courier New" w:eastAsia="Courier New" w:hAnsi="Courier New"/>
          <w:sz w:val="15"/>
          <w:szCs w:val="15"/>
          <w:color w:val="auto"/>
        </w:rPr>
        <w:t>Each selling stockholder reserves the right to accept and, together with its agents from time to time, to reject, in whole or in part, any proposed purchase of common stock to be made directly or through agents.</w:t>
      </w:r>
    </w:p>
    <w:p>
      <w:pPr>
        <w:spacing w:after="0" w:line="348"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At the time of the private placement of our series B preferred stock and the issuance of our detachable warrants (converted into or exercisable for shares of common stock offered pursuant to this prospectus), each investor, including any registered broker-dealer or affiliate of a broker-dealer (whose purchases are understood by the Company to be in the ordinary course of business), represented to the Company, among other things, that such investor was not acquiring the securities with a view to any distribution thereof, and each such investor in our series B preferred stock represented that such investor had no agreement, undertaking, arrangement, obligation or commitment providing for the disposition of the securities. The following selling stockholders which are registered broker-dealers are identified as "underwriters" (within the meaning of Section 2(11) of the Securities Act of 1933, as amended) with respect to the shares offered for sale by them pursuant to this prospectus: Halpern Capital DBA UVEST Investment Services; Tucker Anthony Incorporated; and Weiss, Peck &amp; Greer, L.L.C. All selling stockholders which are affiliates of registered broker-dealers are identified by a double asterisk (**) in the table of selling stockholders appearing on pages 11 to 13 of this prospectus. The Company also understands that any underwriters, broker-dealers or agents that participate in the sale of the shares offered pursuant to this prospectus on behalf of the selling stockholders may be considered "underwriters" within the meaning of such statute. Any discounts, commissions, concessions or profit they earn on any resale of the shares may be underwriting discounts and commissions under the Securities Act.</w:t>
      </w:r>
    </w:p>
    <w:p>
      <w:pPr>
        <w:spacing w:after="0" w:line="360"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To the extent required, the common stock to be sold, the name of each selling stockholder, the respective purchase prices and the public offering prices, the name of any agent,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7"/>
          </w:cols>
          <w:pgMar w:left="232" w:top="635" w:right="1440" w:bottom="1440" w:gutter="0" w:footer="0" w:header="0"/>
        </w:sectPr>
      </w:pPr>
    </w:p>
    <w:bookmarkStart w:id="16" w:name="page17"/>
    <w:bookmarkEnd w:id="16"/>
    <w:p>
      <w:pPr>
        <w:ind w:left="3300"/>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and schedules as of February 2, 2002 and February 3, 2001 and the years then ended included in our Annual Report on Form 10-K for the year ended February 2, 2002, as set forth in their report, which is incorporated by reference in this prospectus and elsewhere in the registration statement. Our fiscal 2002 and fiscal 2001 financial statements and schedules are incorporated by reference in reliance on Ernst &amp; Young LLP's report, given on their authority as experts in accounting and auditing.</w:t>
      </w:r>
    </w:p>
    <w:p>
      <w:pPr>
        <w:spacing w:after="0" w:line="177"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consolidated statements of operations, stockholders' equity, and cash flows for the year ended January 29, 2000 and the related financial statement schedule for the year ended January 29, 2000, incorporated in this prospectus by reference from Designs, Inc.'s Annual Report on Form 10-K for the year ended February 2,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77"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The consolidated financial statements of Casual Male Corp., debtor-in-possession, as of February 2, 2002 and February 3, 2001, and for each of the years in the three-years ended February 2, 2002, February 3, 2001 and January 29, 2000, have been incorporated by reference herein in reliance upon the report of KPMG LLP, independent accountants, incorporated by reference herein, and upon the authority of said firm as experts in accounting and auditing.</w:t>
      </w:r>
    </w:p>
    <w:p>
      <w:pPr>
        <w:spacing w:after="0" w:line="348" w:lineRule="exact"/>
        <w:rPr>
          <w:sz w:val="20"/>
          <w:szCs w:val="20"/>
          <w:color w:val="auto"/>
        </w:rPr>
      </w:pPr>
    </w:p>
    <w:p>
      <w:pPr>
        <w:ind w:right="3159" w:firstLine="716"/>
        <w:spacing w:after="0" w:line="262" w:lineRule="auto"/>
        <w:rPr>
          <w:sz w:val="20"/>
          <w:szCs w:val="20"/>
          <w:color w:val="auto"/>
        </w:rPr>
      </w:pPr>
      <w:r>
        <w:rPr>
          <w:rFonts w:ascii="Courier New" w:cs="Courier New" w:eastAsia="Courier New" w:hAnsi="Courier New"/>
          <w:sz w:val="14"/>
          <w:szCs w:val="14"/>
          <w:color w:val="auto"/>
        </w:rPr>
        <w:t>The audit report covering the February 2, 2002 financial statements contains an explanatory paragraph that states that most of the assets of Casual Male Corp. have been sold. Casual Male Corp. will continue operations primarily to liquidate any remaining assets and settle Casual Male Corp.'s remaining liabilities, including liabilities subject to compromise, to the extent possible. After the settlements have occurred, it is expected that Casual Male Corp. will cease operations. The consolidated financial statements do not include any adjustments that might result from the outcome of this uncertainty.</w:t>
      </w: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17" w:name="page18"/>
    <w:bookmarkEnd w:id="17"/>
    <w:p>
      <w:pPr>
        <w:ind w:left="20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that we filed with the Securities and Exchange Commission under the Securities Act, including amendments thereto, relating to the shares offered pursuant to this prospectus. This prospectus does not contain all of the information set forth in the registration statement. You should rely only on the information contained in this prospectus or incorporated herein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180" w:lineRule="exact"/>
        <w:rPr>
          <w:sz w:val="20"/>
          <w:szCs w:val="20"/>
          <w:color w:val="auto"/>
        </w:rPr>
      </w:pPr>
    </w:p>
    <w:p>
      <w:pPr>
        <w:ind w:right="3159" w:firstLine="716"/>
        <w:spacing w:after="0" w:line="242" w:lineRule="auto"/>
        <w:rPr>
          <w:sz w:val="20"/>
          <w:szCs w:val="20"/>
          <w:color w:val="auto"/>
        </w:rPr>
      </w:pPr>
      <w:r>
        <w:rPr>
          <w:rFonts w:ascii="Courier New" w:cs="Courier New" w:eastAsia="Courier New" w:hAnsi="Courier New"/>
          <w:sz w:val="15"/>
          <w:szCs w:val="15"/>
          <w:color w:val="auto"/>
        </w:rPr>
        <w:t>We are subject to the informational requirements of the Securities Exchange Act of 1934, as amended, and in accordance therewith, file reports, proxy statements and other information with the Commission. Such reports, proxy statements and other information filed by us may be inspected and copied at the Commission's Public Reference Section located at 450 Fifth Street, N.W., Washington, D.C. 20549. Copies of such material also can be obtained from the Public Reference Section of the Commission at 450 Fifth Street, N.W., Washington, D.C. 20549, at prescribed rates. Please call the Commission at</w:t>
      </w:r>
    </w:p>
    <w:p>
      <w:pPr>
        <w:spacing w:after="0" w:line="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1-800-SEC-0330 for more information about the operation of the public reference rooms. The Commission also makes electronic filings publicly available on the Internet. The Commission's Internet address is http://www.sec.gov. The Commission's web site also contains reports, proxy statements and other information regarding us that has been filed with the Commission. Our common stock is quoted under the symbol "CMRG" on the Nasdaq National Market. Reports, proxy statements and other information concerning us may be inspected at the National Association of Securities Dealers, Inc. at 1735 K Street, N.W., Washington, D.C. 20006.</w:t>
      </w:r>
    </w:p>
    <w:p>
      <w:pPr>
        <w:spacing w:after="0" w:line="178"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Further, all filings we make under the Exchange Act after the date of the initial registration statement and prior to effectiveness of the registration statement shall be deemed to be incorporated by reference into this prospectus. We incorporate by reference the documents listed below and any future filings we will make with the Commission under Section 13(a), 13(c), 14 or 15(d) of the Exchange Act:</w:t>
      </w:r>
    </w:p>
    <w:p>
      <w:pPr>
        <w:spacing w:after="0" w:line="178" w:lineRule="exact"/>
        <w:rPr>
          <w:sz w:val="20"/>
          <w:szCs w:val="20"/>
          <w:color w:val="auto"/>
        </w:rPr>
      </w:pPr>
    </w:p>
    <w:p>
      <w:pPr>
        <w:ind w:left="880"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definitive Proxy Statement, filed on July 8, 2002;</w:t>
      </w:r>
    </w:p>
    <w:p>
      <w:pPr>
        <w:spacing w:after="0" w:line="175"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February 2, 2002;</w:t>
      </w:r>
    </w:p>
    <w:p>
      <w:pPr>
        <w:spacing w:after="0" w:line="176" w:lineRule="exact"/>
        <w:rPr>
          <w:rFonts w:ascii="Courier New" w:cs="Courier New" w:eastAsia="Courier New" w:hAnsi="Courier New"/>
          <w:sz w:val="15"/>
          <w:szCs w:val="15"/>
          <w:color w:val="auto"/>
        </w:rPr>
      </w:pPr>
    </w:p>
    <w:p>
      <w:pPr>
        <w:ind w:left="880" w:right="315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 on Form 10-Q for the fiscal quarter ended May 4, 2002;</w:t>
      </w:r>
    </w:p>
    <w:p>
      <w:pPr>
        <w:spacing w:after="0" w:line="176" w:lineRule="exact"/>
        <w:rPr>
          <w:rFonts w:ascii="Courier New" w:cs="Courier New" w:eastAsia="Courier New" w:hAnsi="Courier New"/>
          <w:sz w:val="15"/>
          <w:szCs w:val="15"/>
          <w:color w:val="auto"/>
        </w:rPr>
      </w:pPr>
    </w:p>
    <w:p>
      <w:pPr>
        <w:ind w:left="880" w:right="3339" w:hanging="441"/>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 on Form 8-K filed on May 23, 2002, as amended on May 23, 2002 and June 14, 2002;</w:t>
      </w:r>
    </w:p>
    <w:p>
      <w:pPr>
        <w:spacing w:after="0" w:line="176" w:lineRule="exact"/>
        <w:rPr>
          <w:rFonts w:ascii="Courier New" w:cs="Courier New" w:eastAsia="Courier New" w:hAnsi="Courier New"/>
          <w:sz w:val="15"/>
          <w:szCs w:val="15"/>
          <w:color w:val="auto"/>
        </w:rPr>
      </w:pPr>
    </w:p>
    <w:p>
      <w:pPr>
        <w:ind w:left="880" w:right="31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our capital stock set forth in our Registration Statement on Form S-1 (Registration No. 33-13402), filed with the SEC on April 22, 1987;</w:t>
      </w:r>
    </w:p>
    <w:p>
      <w:pPr>
        <w:spacing w:after="0" w:line="176" w:lineRule="exact"/>
        <w:rPr>
          <w:rFonts w:ascii="Courier New" w:cs="Courier New" w:eastAsia="Courier New" w:hAnsi="Courier New"/>
          <w:sz w:val="15"/>
          <w:szCs w:val="15"/>
          <w:color w:val="auto"/>
        </w:rPr>
      </w:pPr>
    </w:p>
    <w:p>
      <w:pPr>
        <w:ind w:left="880" w:right="333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filed by us pursuant to Section 13(a) or 15(d) of the Exchange Act since the end of the fiscal year covered by the annual report referred to above; and</w:t>
      </w:r>
    </w:p>
    <w:p>
      <w:pPr>
        <w:spacing w:after="0" w:line="176" w:lineRule="exact"/>
        <w:rPr>
          <w:rFonts w:ascii="Courier New" w:cs="Courier New" w:eastAsia="Courier New" w:hAnsi="Courier New"/>
          <w:sz w:val="15"/>
          <w:szCs w:val="15"/>
          <w:color w:val="auto"/>
        </w:rPr>
      </w:pPr>
    </w:p>
    <w:p>
      <w:pPr>
        <w:ind w:left="880" w:right="3259" w:hanging="441"/>
        <w:spacing w:after="0" w:line="241"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documents and reports subsequently filed by us pursuant to Sections 13(a), 13(c), 14 or 15(d) of the Exchange Act, prior to the termination of the offering.</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We will furnish to any person to whom this prospectus is delivered, without charge, a copy of these documents upon written or oral request to Secretary, Casual Male Retail Group, Inc., 555 Turnpike Street, Canton, Massachusetts 02021. Our telephone number is (781) 828-9300. A copy of any exhibits to these documents will be furnished at no cost to any stockholder upon written or oral request.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3" w:right="1440" w:bottom="1440" w:gutter="0" w:footer="0" w:header="0"/>
        </w:sectPr>
      </w:pPr>
    </w:p>
    <w:bookmarkStart w:id="18" w:name="page19"/>
    <w:bookmarkEnd w:id="18"/>
    <w:p>
      <w:pPr>
        <w:jc w:val="center"/>
        <w:ind w:right="2999"/>
        <w:spacing w:after="0"/>
        <w:rPr>
          <w:sz w:val="20"/>
          <w:szCs w:val="20"/>
          <w:color w:val="auto"/>
        </w:rPr>
      </w:pPr>
      <w:r>
        <w:rPr>
          <w:rFonts w:ascii="Courier New" w:cs="Courier New" w:eastAsia="Courier New" w:hAnsi="Courier New"/>
          <w:sz w:val="15"/>
          <w:szCs w:val="15"/>
          <w:color w:val="auto"/>
        </w:rPr>
        <w:t>Disclosure of Commission Position on Indemnification for Securities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Act Liabilities.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Casual Male Retail Group pursuant to the provisions of Item 510 of Regulation S-K,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Casual Male Retail Group of expenses incurred or paid by a director, officer or controlling person of Casual Male Retail Group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19" w:name="page20"/>
    <w:bookmarkEnd w:id="19"/>
    <w:p>
      <w:pPr>
        <w:ind w:right="3079"/>
        <w:spacing w:after="0" w:line="261" w:lineRule="auto"/>
        <w:rPr>
          <w:sz w:val="20"/>
          <w:szCs w:val="20"/>
          <w:color w:val="auto"/>
        </w:rPr>
      </w:pPr>
      <w:r>
        <w:rPr>
          <w:rFonts w:ascii="Courier New" w:cs="Courier New" w:eastAsia="Courier New" w:hAnsi="Courier New"/>
          <w:sz w:val="14"/>
          <w:szCs w:val="14"/>
          <w:color w:val="auto"/>
        </w:rPr>
        <w:t>No dealer, salesman or other person has been authorized to give any information or to make representations other than those contained in this prospectus, and if given or made, such information or representations must not be relied upon as having been authorized by us or the selling stockholders. Neither the delivery of this prospectus nor any sale hereunder will, under any circumstances, create an implication that the information herein is correct as of any time subsequent to its date. This prospectus does not constitute an offer to or solicitation of offers by anyone in any jurisdiction in which such an offer or solicitation is not authorized or in which the person making such an offer is not qualified to do so or to anyone to whom it is unlawful to make such an offer or solicitation.</w:t>
      </w:r>
    </w:p>
    <w:p>
      <w:pPr>
        <w:spacing w:after="0" w:line="33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24,809,338 SHARES</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CASUAL MALE RETAIL GROUP, INC.</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PROSPECTUS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 2002</w:t>
      </w:r>
    </w:p>
    <w:p>
      <w:pPr>
        <w:sectPr>
          <w:pgSz w:w="11900" w:h="16838" w:orient="portrait"/>
          <w:cols w:equalWidth="0" w:num="1">
            <w:col w:w="10219"/>
          </w:cols>
          <w:pgMar w:left="240" w:top="635" w:right="1440" w:bottom="1440" w:gutter="0" w:footer="0" w:header="0"/>
        </w:sectPr>
      </w:pPr>
    </w:p>
    <w:bookmarkStart w:id="20" w:name="page21"/>
    <w:bookmarkEnd w:id="20"/>
    <w:p>
      <w:pPr>
        <w:ind w:left="3308"/>
        <w:spacing w:after="0"/>
        <w:rPr>
          <w:sz w:val="20"/>
          <w:szCs w:val="20"/>
          <w:color w:val="auto"/>
        </w:rPr>
      </w:pPr>
      <w:r>
        <w:rPr>
          <w:rFonts w:ascii="Courier New" w:cs="Courier New" w:eastAsia="Courier New" w:hAnsi="Courier New"/>
          <w:sz w:val="15"/>
          <w:szCs w:val="15"/>
          <w:color w:val="auto"/>
        </w:rPr>
        <w:t>PART II</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left="8" w:right="3079" w:firstLine="716"/>
        <w:spacing w:after="0" w:line="241" w:lineRule="auto"/>
        <w:rPr>
          <w:sz w:val="20"/>
          <w:szCs w:val="20"/>
          <w:color w:val="auto"/>
        </w:rPr>
      </w:pPr>
      <w:r>
        <w:rPr>
          <w:rFonts w:ascii="Courier New" w:cs="Courier New" w:eastAsia="Courier New" w:hAnsi="Courier New"/>
          <w:sz w:val="15"/>
          <w:szCs w:val="15"/>
          <w:color w:val="auto"/>
        </w:rPr>
        <w:t>The Registrant will pay all of the expenses payable in connection with the offering described in this Registration Statement, which we estimate will be as follows:</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7"/>
              </w:rPr>
              <w:t>SEC registration fee (actual) ..........................................</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$ 11,625</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7"/>
              </w:rPr>
              <w:t>Accounting fees and expenses ...........................................</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$ 40,000</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7"/>
              </w:rPr>
              <w:t>Legal fees and expenses.................................................</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$ 50,000</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Printing and engraving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w w:val="98"/>
              </w:rPr>
              <w:t>Miscellaneous expenses.................................................</w:t>
            </w:r>
          </w:p>
        </w:tc>
        <w:tc>
          <w:tcPr>
            <w:tcW w:w="2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634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2"/>
        </w:trPr>
        <w:tc>
          <w:tcPr>
            <w:tcW w:w="63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$109,125</w:t>
            </w:r>
          </w:p>
        </w:tc>
      </w:tr>
    </w:tbl>
    <w:p>
      <w:pPr>
        <w:spacing w:after="0" w:line="176" w:lineRule="exact"/>
        <w:rPr>
          <w:sz w:val="20"/>
          <w:szCs w:val="20"/>
          <w:color w:val="auto"/>
        </w:rPr>
      </w:pPr>
    </w:p>
    <w:p>
      <w:pPr>
        <w:ind w:left="8" w:right="3339" w:firstLine="716"/>
        <w:spacing w:after="0" w:line="274" w:lineRule="auto"/>
        <w:rPr>
          <w:sz w:val="20"/>
          <w:szCs w:val="20"/>
          <w:color w:val="auto"/>
        </w:rPr>
      </w:pPr>
      <w:r>
        <w:rPr>
          <w:rFonts w:ascii="Courier New" w:cs="Courier New" w:eastAsia="Courier New" w:hAnsi="Courier New"/>
          <w:sz w:val="14"/>
          <w:szCs w:val="14"/>
          <w:color w:val="auto"/>
        </w:rPr>
        <w:t>The selling stockholders will be responsible for any and all expenses associated solely with the execution of the sale or sales of their shares.</w:t>
      </w:r>
    </w:p>
    <w:p>
      <w:pPr>
        <w:spacing w:after="0" w:line="152"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left="8" w:right="3079" w:firstLine="716"/>
        <w:spacing w:after="0" w:line="260" w:lineRule="auto"/>
        <w:rPr>
          <w:sz w:val="20"/>
          <w:szCs w:val="20"/>
          <w:color w:val="auto"/>
        </w:rPr>
      </w:pPr>
      <w:r>
        <w:rPr>
          <w:rFonts w:ascii="Courier New" w:cs="Courier New" w:eastAsia="Courier New" w:hAnsi="Courier New"/>
          <w:sz w:val="14"/>
          <w:szCs w:val="14"/>
          <w:color w:val="auto"/>
        </w:rPr>
        <w:t>The Registrant's Restated Certificate of Incorporation, as amended (the "Certificate of Incorporation"),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2" w:lineRule="exact"/>
        <w:rPr>
          <w:sz w:val="20"/>
          <w:szCs w:val="20"/>
          <w:color w:val="auto"/>
        </w:rPr>
      </w:pPr>
    </w:p>
    <w:p>
      <w:pPr>
        <w:ind w:left="8" w:right="3159" w:hanging="8"/>
        <w:spacing w:after="0" w:line="242" w:lineRule="auto"/>
        <w:tabs>
          <w:tab w:leader="none" w:pos="3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80" w:lineRule="exact"/>
        <w:rPr>
          <w:sz w:val="20"/>
          <w:szCs w:val="20"/>
          <w:color w:val="auto"/>
        </w:rPr>
      </w:pPr>
    </w:p>
    <w:p>
      <w:pPr>
        <w:ind w:left="8" w:right="3079" w:firstLine="716"/>
        <w:spacing w:after="0" w:line="265" w:lineRule="auto"/>
        <w:rPr>
          <w:sz w:val="20"/>
          <w:szCs w:val="20"/>
          <w:color w:val="auto"/>
        </w:rPr>
      </w:pPr>
      <w:r>
        <w:rPr>
          <w:rFonts w:ascii="Courier New" w:cs="Courier New" w:eastAsia="Courier New" w:hAnsi="Courier New"/>
          <w:sz w:val="14"/>
          <w:szCs w:val="14"/>
          <w:color w:val="auto"/>
        </w:rPr>
        <w:t>The Certificate of Incorporation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158"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16.</w:t>
        <w:tab/>
        <w:t>Exhibits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3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5.1*...........</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Opinion of Kramer Levin Naftalis &amp; Frankel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23.1**.........</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Consent of Independent Auditors - Ernst &amp; Young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23.2**.........</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Independent Auditors' Consent - Deloitte &amp; Touche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23.3**.........</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Independent Auditors' Consent - KPMG LLP.</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23.4*..........</w:t>
            </w:r>
          </w:p>
        </w:tc>
        <w:tc>
          <w:tcPr>
            <w:tcW w:w="5280" w:type="dxa"/>
            <w:vAlign w:val="bottom"/>
          </w:tcPr>
          <w:p>
            <w:pPr>
              <w:spacing w:after="0"/>
              <w:rPr>
                <w:sz w:val="20"/>
                <w:szCs w:val="20"/>
                <w:color w:val="auto"/>
              </w:rPr>
            </w:pPr>
            <w:r>
              <w:rPr>
                <w:rFonts w:ascii="Courier New" w:cs="Courier New" w:eastAsia="Courier New" w:hAnsi="Courier New"/>
                <w:sz w:val="15"/>
                <w:szCs w:val="15"/>
                <w:color w:val="auto"/>
                <w:w w:val="99"/>
              </w:rPr>
              <w:t>Consent of Kramer Levin Naftalis &amp; Frankel LLP (included in</w:t>
            </w:r>
          </w:p>
        </w:tc>
      </w:tr>
      <w:tr>
        <w:trPr>
          <w:trHeight w:val="172"/>
        </w:trPr>
        <w:tc>
          <w:tcPr>
            <w:tcW w:w="1340" w:type="dxa"/>
            <w:vAlign w:val="bottom"/>
          </w:tcPr>
          <w:p>
            <w:pPr>
              <w:spacing w:after="0"/>
              <w:rPr>
                <w:sz w:val="14"/>
                <w:szCs w:val="14"/>
                <w:color w:val="auto"/>
              </w:rPr>
            </w:pP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Exhibit 5.1).</w:t>
            </w:r>
          </w:p>
        </w:tc>
      </w:tr>
      <w:tr>
        <w:trPr>
          <w:trHeight w:val="344"/>
        </w:trPr>
        <w:tc>
          <w:tcPr>
            <w:tcW w:w="1340" w:type="dxa"/>
            <w:vAlign w:val="bottom"/>
          </w:tcPr>
          <w:p>
            <w:pPr>
              <w:spacing w:after="0"/>
              <w:rPr>
                <w:sz w:val="20"/>
                <w:szCs w:val="20"/>
                <w:color w:val="auto"/>
              </w:rPr>
            </w:pPr>
            <w:r>
              <w:rPr>
                <w:rFonts w:ascii="Courier New" w:cs="Courier New" w:eastAsia="Courier New" w:hAnsi="Courier New"/>
                <w:sz w:val="15"/>
                <w:szCs w:val="15"/>
                <w:color w:val="auto"/>
                <w:w w:val="97"/>
              </w:rPr>
              <w:t>24.1**.........</w:t>
            </w:r>
          </w:p>
        </w:tc>
        <w:tc>
          <w:tcPr>
            <w:tcW w:w="5280" w:type="dxa"/>
            <w:vAlign w:val="bottom"/>
          </w:tcPr>
          <w:p>
            <w:pPr>
              <w:spacing w:after="0"/>
              <w:rPr>
                <w:sz w:val="20"/>
                <w:szCs w:val="20"/>
                <w:color w:val="auto"/>
              </w:rPr>
            </w:pPr>
            <w:r>
              <w:rPr>
                <w:rFonts w:ascii="Courier New" w:cs="Courier New" w:eastAsia="Courier New" w:hAnsi="Courier New"/>
                <w:sz w:val="15"/>
                <w:szCs w:val="15"/>
                <w:color w:val="auto"/>
              </w:rPr>
              <w:t>Power of Attorney.</w:t>
            </w:r>
          </w:p>
        </w:tc>
      </w:tr>
    </w:tbl>
    <w:p>
      <w:pPr>
        <w:spacing w:after="0" w:line="174"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633" w:right="1440" w:bottom="1440" w:gutter="0" w:footer="0" w:header="0"/>
        </w:sectPr>
      </w:pPr>
    </w:p>
    <w:bookmarkStart w:id="21" w:name="page22"/>
    <w:bookmarkEnd w:id="21"/>
    <w:p>
      <w:pPr>
        <w:ind w:left="8"/>
        <w:spacing w:after="0"/>
        <w:tabs>
          <w:tab w:leader="none" w:pos="868" w:val="left"/>
        </w:tabs>
        <w:rPr>
          <w:sz w:val="20"/>
          <w:szCs w:val="20"/>
          <w:color w:val="auto"/>
        </w:rPr>
      </w:pPr>
      <w:r>
        <w:rPr>
          <w:rFonts w:ascii="Courier New" w:cs="Courier New" w:eastAsia="Courier New" w:hAnsi="Courier New"/>
          <w:sz w:val="15"/>
          <w:szCs w:val="15"/>
          <w:color w:val="auto"/>
        </w:rPr>
        <w:t>Item 17.</w:t>
        <w:tab/>
        <w:t>Undertakings</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6" w:lineRule="exact"/>
        <w:rPr>
          <w:sz w:val="20"/>
          <w:szCs w:val="20"/>
          <w:color w:val="auto"/>
        </w:rPr>
      </w:pPr>
    </w:p>
    <w:p>
      <w:pPr>
        <w:ind w:left="708" w:right="3339" w:hanging="708"/>
        <w:spacing w:after="0"/>
        <w:tabs>
          <w:tab w:leader="none" w:pos="70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348" w:right="3439" w:hanging="454"/>
        <w:spacing w:after="0"/>
        <w:tabs>
          <w:tab w:leader="none" w:pos="13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6" w:lineRule="exact"/>
        <w:rPr>
          <w:rFonts w:ascii="Courier New" w:cs="Courier New" w:eastAsia="Courier New" w:hAnsi="Courier New"/>
          <w:sz w:val="15"/>
          <w:szCs w:val="15"/>
          <w:color w:val="auto"/>
        </w:rPr>
      </w:pPr>
    </w:p>
    <w:p>
      <w:pPr>
        <w:ind w:left="1348" w:right="3259" w:hanging="454"/>
        <w:spacing w:after="0" w:line="242" w:lineRule="auto"/>
        <w:tabs>
          <w:tab w:leader="none" w:pos="13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75" w:lineRule="exact"/>
        <w:rPr>
          <w:rFonts w:ascii="Courier New" w:cs="Courier New" w:eastAsia="Courier New" w:hAnsi="Courier New"/>
          <w:sz w:val="15"/>
          <w:szCs w:val="15"/>
          <w:color w:val="auto"/>
        </w:rPr>
      </w:pPr>
    </w:p>
    <w:p>
      <w:pPr>
        <w:ind w:left="1348" w:right="3259" w:hanging="454"/>
        <w:spacing w:after="0" w:line="242" w:lineRule="auto"/>
        <w:tabs>
          <w:tab w:leader="none" w:pos="1348"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5" w:lineRule="exact"/>
        <w:rPr>
          <w:sz w:val="20"/>
          <w:szCs w:val="20"/>
          <w:color w:val="auto"/>
        </w:rPr>
      </w:pPr>
    </w:p>
    <w:p>
      <w:pPr>
        <w:ind w:left="708" w:right="3079"/>
        <w:spacing w:after="0" w:line="242" w:lineRule="auto"/>
        <w:rPr>
          <w:sz w:val="20"/>
          <w:szCs w:val="20"/>
          <w:color w:val="auto"/>
        </w:rPr>
      </w:pPr>
      <w:r>
        <w:rPr>
          <w:rFonts w:ascii="Courier New" w:cs="Courier New" w:eastAsia="Courier New" w:hAnsi="Courier New"/>
          <w:sz w:val="15"/>
          <w:szCs w:val="15"/>
          <w:color w:val="auto"/>
        </w:rPr>
        <w:t>provided, however, that clauses (i) and (ii) do not apply if the Registration Statement is on Form S-3, Form S-8 or Form F-3, and the information required to be included in a post-effective amendment by such clauses is contained in periodic reports filed with or furnished to the Commission by the Registrant pursuant to Section 13 or 15(d) of the Securities Exchange Act of 1934 that are incorporated by reference in the Registration Statement;</w:t>
      </w:r>
    </w:p>
    <w:p>
      <w:pPr>
        <w:spacing w:after="0" w:line="177" w:lineRule="exact"/>
        <w:rPr>
          <w:sz w:val="20"/>
          <w:szCs w:val="20"/>
          <w:color w:val="auto"/>
        </w:rPr>
      </w:pPr>
    </w:p>
    <w:p>
      <w:pPr>
        <w:ind w:left="708" w:right="3159" w:hanging="708"/>
        <w:spacing w:after="0" w:line="242" w:lineRule="auto"/>
        <w:tabs>
          <w:tab w:leader="none" w:pos="7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5" w:lineRule="exact"/>
        <w:rPr>
          <w:rFonts w:ascii="Courier New" w:cs="Courier New" w:eastAsia="Courier New" w:hAnsi="Courier New"/>
          <w:sz w:val="15"/>
          <w:szCs w:val="15"/>
          <w:color w:val="auto"/>
        </w:rPr>
      </w:pPr>
    </w:p>
    <w:p>
      <w:pPr>
        <w:ind w:left="708" w:right="3259" w:hanging="708"/>
        <w:spacing w:after="0" w:line="241" w:lineRule="auto"/>
        <w:tabs>
          <w:tab w:leader="none" w:pos="70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6" w:lineRule="exact"/>
        <w:rPr>
          <w:sz w:val="20"/>
          <w:szCs w:val="20"/>
          <w:color w:val="auto"/>
        </w:rPr>
      </w:pPr>
    </w:p>
    <w:p>
      <w:pPr>
        <w:ind w:left="8" w:right="3079" w:firstLine="716"/>
        <w:spacing w:after="0" w:line="242" w:lineRule="auto"/>
        <w:rPr>
          <w:sz w:val="20"/>
          <w:szCs w:val="20"/>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7"/>
          </w:cols>
          <w:pgMar w:left="232" w:top="633" w:right="1440" w:bottom="1440" w:gutter="0" w:footer="0" w:header="0"/>
        </w:sectPr>
      </w:pPr>
    </w:p>
    <w:bookmarkStart w:id="22" w:name="page23"/>
    <w:bookmarkEnd w:id="22"/>
    <w:p>
      <w:pPr>
        <w:jc w:val="center"/>
        <w:ind w:right="3079"/>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079" w:firstLine="716"/>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Canton, Massachusetts, on September 9, 2002.</w:t>
      </w:r>
    </w:p>
    <w:p>
      <w:pPr>
        <w:spacing w:after="0" w:line="17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5"/>
          <w:szCs w:val="15"/>
          <w:color w:val="auto"/>
        </w:rPr>
        <w:t>By: /s/ David A. Levin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David A. Levin</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President and Chief Executive</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Officer</w:t>
      </w:r>
    </w:p>
    <w:p>
      <w:pPr>
        <w:spacing w:after="0" w:line="176" w:lineRule="exact"/>
        <w:rPr>
          <w:sz w:val="20"/>
          <w:szCs w:val="20"/>
          <w:color w:val="auto"/>
        </w:rPr>
      </w:pPr>
    </w:p>
    <w:p>
      <w:pPr>
        <w:ind w:right="3779" w:firstLine="716"/>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Title</w:t>
            </w:r>
          </w:p>
        </w:tc>
        <w:tc>
          <w:tcPr>
            <w:tcW w:w="162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David A. Levin</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President, Chief Executive</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w w:val="98"/>
              </w:rPr>
              <w:t>September 9, 2002</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David A. Levin</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Officer and Director</w:t>
            </w: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(Principal Executive Officer)</w:t>
            </w: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/s/ Dennis R. Hernreich</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Senior Vice President, Chief</w:t>
            </w: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w w:val="98"/>
              </w:rPr>
              <w:t>September 9, 2002</w:t>
            </w: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Dennis R. Hernreich</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Financial Officer and Treasurer</w:t>
            </w: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(Principal Financial and</w:t>
            </w: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14"/>
                <w:szCs w:val="1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Accounting Officer)</w:t>
            </w: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of</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ind w:left="220"/>
              <w:spacing w:after="0"/>
              <w:rPr>
                <w:sz w:val="20"/>
                <w:szCs w:val="20"/>
                <w:color w:val="auto"/>
              </w:rPr>
            </w:pPr>
            <w:r>
              <w:rPr>
                <w:rFonts w:ascii="Courier New" w:cs="Courier New" w:eastAsia="Courier New" w:hAnsi="Courier New"/>
                <w:sz w:val="15"/>
                <w:szCs w:val="15"/>
                <w:color w:val="auto"/>
              </w:rPr>
              <w:t>Directors</w:t>
            </w: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Seymour Holtzman</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Jesse H. Choper</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Alan Cohen</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4"/>
                <w:szCs w:val="24"/>
                <w:color w:val="auto"/>
              </w:rPr>
            </w:pP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Stephen M. Duff</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Jeremiah P. Murphy, Jr.</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Joseph Pennacchio</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1620" w:type="dxa"/>
            <w:vAlign w:val="bottom"/>
          </w:tcPr>
          <w:p>
            <w:pPr>
              <w:spacing w:after="0"/>
              <w:rPr>
                <w:sz w:val="24"/>
                <w:szCs w:val="2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George T. Porter, Jr.</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44"/>
        </w:trPr>
        <w:tc>
          <w:tcPr>
            <w:tcW w:w="2540" w:type="dxa"/>
            <w:vAlign w:val="bottom"/>
          </w:tcPr>
          <w:p>
            <w:pPr>
              <w:spacing w:after="0"/>
              <w:rPr>
                <w:sz w:val="20"/>
                <w:szCs w:val="20"/>
                <w:color w:val="auto"/>
              </w:rPr>
            </w:pPr>
            <w:r>
              <w:rPr>
                <w:rFonts w:ascii="Courier New" w:cs="Courier New" w:eastAsia="Courier New" w:hAnsi="Courier New"/>
                <w:sz w:val="15"/>
                <w:szCs w:val="15"/>
                <w:color w:val="auto"/>
                <w:w w:val="99"/>
              </w:rPr>
              <w:t>*By: /s/ Dennis R. Hernreich</w:t>
            </w:r>
          </w:p>
        </w:tc>
        <w:tc>
          <w:tcPr>
            <w:tcW w:w="2900" w:type="dxa"/>
            <w:vAlign w:val="bottom"/>
          </w:tcPr>
          <w:p>
            <w:pPr>
              <w:spacing w:after="0"/>
              <w:rPr>
                <w:sz w:val="24"/>
                <w:szCs w:val="24"/>
                <w:color w:val="auto"/>
              </w:rPr>
            </w:pPr>
          </w:p>
        </w:tc>
        <w:tc>
          <w:tcPr>
            <w:tcW w:w="1620" w:type="dxa"/>
            <w:vAlign w:val="bottom"/>
          </w:tcPr>
          <w:p>
            <w:pPr>
              <w:ind w:left="100"/>
              <w:spacing w:after="0"/>
              <w:rPr>
                <w:sz w:val="20"/>
                <w:szCs w:val="20"/>
                <w:color w:val="auto"/>
              </w:rPr>
            </w:pPr>
            <w:r>
              <w:rPr>
                <w:rFonts w:ascii="Courier New" w:cs="Courier New" w:eastAsia="Courier New" w:hAnsi="Courier New"/>
                <w:sz w:val="15"/>
                <w:szCs w:val="15"/>
                <w:color w:val="auto"/>
                <w:w w:val="98"/>
              </w:rPr>
              <w:t>September 9, 2002</w:t>
            </w:r>
          </w:p>
        </w:tc>
      </w:tr>
      <w:tr>
        <w:trPr>
          <w:trHeight w:val="172"/>
        </w:trPr>
        <w:tc>
          <w:tcPr>
            <w:tcW w:w="25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Dennis R. Hernreich</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2"/>
        </w:trPr>
        <w:tc>
          <w:tcPr>
            <w:tcW w:w="2540" w:type="dxa"/>
            <w:vAlign w:val="bottom"/>
          </w:tcPr>
          <w:p>
            <w:pPr>
              <w:spacing w:after="0"/>
              <w:rPr>
                <w:sz w:val="20"/>
                <w:szCs w:val="20"/>
                <w:color w:val="auto"/>
              </w:rPr>
            </w:pPr>
            <w:r>
              <w:rPr>
                <w:rFonts w:ascii="Courier New" w:cs="Courier New" w:eastAsia="Courier New" w:hAnsi="Courier New"/>
                <w:sz w:val="15"/>
                <w:szCs w:val="15"/>
                <w:color w:val="auto"/>
              </w:rPr>
              <w:t>Attorney-in-Fact</w:t>
            </w:r>
          </w:p>
        </w:tc>
        <w:tc>
          <w:tcPr>
            <w:tcW w:w="2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516"/>
        </w:trPr>
        <w:tc>
          <w:tcPr>
            <w:tcW w:w="2540" w:type="dxa"/>
            <w:vAlign w:val="bottom"/>
          </w:tcPr>
          <w:p>
            <w:pPr>
              <w:spacing w:after="0"/>
              <w:rPr>
                <w:sz w:val="24"/>
                <w:szCs w:val="24"/>
                <w:color w:val="auto"/>
              </w:rPr>
            </w:pPr>
          </w:p>
        </w:tc>
        <w:tc>
          <w:tcPr>
            <w:tcW w:w="2900" w:type="dxa"/>
            <w:vAlign w:val="bottom"/>
          </w:tcPr>
          <w:p>
            <w:pPr>
              <w:ind w:left="860"/>
              <w:spacing w:after="0"/>
              <w:rPr>
                <w:sz w:val="20"/>
                <w:szCs w:val="20"/>
                <w:color w:val="auto"/>
              </w:rPr>
            </w:pPr>
            <w:r>
              <w:rPr>
                <w:rFonts w:ascii="Courier New" w:cs="Courier New" w:eastAsia="Courier New" w:hAnsi="Courier New"/>
                <w:sz w:val="15"/>
                <w:szCs w:val="15"/>
                <w:color w:val="auto"/>
              </w:rPr>
              <w:t>II-3</w:t>
            </w:r>
          </w:p>
        </w:tc>
        <w:tc>
          <w:tcPr>
            <w:tcW w:w="16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3" w:name="page24"/>
    <w:bookmarkEnd w:id="2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5100" w:type="dxa"/>
            <w:vAlign w:val="bottom"/>
          </w:tcPr>
          <w:p>
            <w:pPr>
              <w:ind w:left="1800"/>
              <w:spacing w:after="0"/>
              <w:rPr>
                <w:sz w:val="20"/>
                <w:szCs w:val="20"/>
                <w:color w:val="auto"/>
              </w:rPr>
            </w:pPr>
            <w:r>
              <w:rPr>
                <w:rFonts w:ascii="Courier New" w:cs="Courier New" w:eastAsia="Courier New" w:hAnsi="Courier New"/>
                <w:sz w:val="15"/>
                <w:szCs w:val="15"/>
                <w:color w:val="auto"/>
              </w:rPr>
              <w:t>EXHIBIT INDEX</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1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1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Opinion of Kramer Levin Naftalis &amp; Frankel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Consent of Independent Auditors - Ernst &amp; Young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Independent Auditors' Consent - Deloitte &amp; Touche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Independent Auditors' Consent - KPMG LLP.</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w w:val="98"/>
              </w:rPr>
              <w:t>Consent of Kramer Levin Naftalis &amp; Frankel LLP (included</w:t>
            </w:r>
          </w:p>
        </w:tc>
      </w:tr>
      <w:tr>
        <w:trPr>
          <w:trHeight w:val="172"/>
        </w:trPr>
        <w:tc>
          <w:tcPr>
            <w:tcW w:w="1240" w:type="dxa"/>
            <w:vAlign w:val="bottom"/>
          </w:tcPr>
          <w:p>
            <w:pPr>
              <w:spacing w:after="0"/>
              <w:rPr>
                <w:sz w:val="14"/>
                <w:szCs w:val="14"/>
                <w:color w:val="auto"/>
              </w:rPr>
            </w:pP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in Exhibit 5.1).</w:t>
            </w:r>
          </w:p>
        </w:tc>
      </w:tr>
      <w:tr>
        <w:trPr>
          <w:trHeight w:val="344"/>
        </w:trPr>
        <w:tc>
          <w:tcPr>
            <w:tcW w:w="1240" w:type="dxa"/>
            <w:vAlign w:val="bottom"/>
          </w:tcPr>
          <w:p>
            <w:pPr>
              <w:spacing w:after="0"/>
              <w:rPr>
                <w:sz w:val="20"/>
                <w:szCs w:val="20"/>
                <w:color w:val="auto"/>
              </w:rPr>
            </w:pPr>
            <w:r>
              <w:rPr>
                <w:rFonts w:ascii="Courier New" w:cs="Courier New" w:eastAsia="Courier New" w:hAnsi="Courier New"/>
                <w:sz w:val="15"/>
                <w:szCs w:val="15"/>
                <w:color w:val="auto"/>
              </w:rPr>
              <w:t>24.1**</w:t>
            </w:r>
          </w:p>
        </w:tc>
        <w:tc>
          <w:tcPr>
            <w:tcW w:w="5100" w:type="dxa"/>
            <w:vAlign w:val="bottom"/>
          </w:tcPr>
          <w:p>
            <w:pPr>
              <w:ind w:left="100"/>
              <w:spacing w:after="0"/>
              <w:rPr>
                <w:sz w:val="20"/>
                <w:szCs w:val="20"/>
                <w:color w:val="auto"/>
              </w:rPr>
            </w:pPr>
            <w:r>
              <w:rPr>
                <w:rFonts w:ascii="Courier New" w:cs="Courier New" w:eastAsia="Courier New" w:hAnsi="Courier New"/>
                <w:sz w:val="15"/>
                <w:szCs w:val="15"/>
                <w:color w:val="auto"/>
              </w:rPr>
              <w:t>Power of Attorney.</w:t>
            </w:r>
          </w:p>
        </w:tc>
      </w:tr>
    </w:tbl>
    <w:p>
      <w:pPr>
        <w:spacing w:after="0" w:line="174" w:lineRule="exact"/>
        <w:rPr>
          <w:sz w:val="20"/>
          <w:szCs w:val="20"/>
          <w:color w:val="auto"/>
        </w:rPr>
      </w:pPr>
    </w:p>
    <w:p>
      <w:pPr>
        <w:ind w:left="188" w:hanging="188"/>
        <w:spacing w:after="0"/>
        <w:tabs>
          <w:tab w:leader="none" w:pos="1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ectPr>
          <w:pgSz w:w="11900" w:h="16838" w:orient="portrait"/>
          <w:cols w:equalWidth="0" w:num="1">
            <w:col w:w="10227"/>
          </w:cols>
          <w:pgMar w:left="232" w:top="633" w:right="1440" w:bottom="1440" w:gutter="0" w:footer="0" w:header="0"/>
        </w:sectPr>
      </w:pPr>
    </w:p>
    <w:bookmarkStart w:id="24" w:name="page25"/>
    <w:bookmarkEnd w:id="24"/>
    <w:p>
      <w:pPr>
        <w:ind w:left="6160"/>
        <w:spacing w:after="0"/>
        <w:rPr>
          <w:sz w:val="20"/>
          <w:szCs w:val="20"/>
          <w:color w:val="auto"/>
        </w:rPr>
      </w:pPr>
      <w:r>
        <w:rPr>
          <w:rFonts w:ascii="Courier New" w:cs="Courier New" w:eastAsia="Courier New" w:hAnsi="Courier New"/>
          <w:sz w:val="14"/>
          <w:szCs w:val="14"/>
          <w:color w:val="auto"/>
        </w:rPr>
        <w:t>Exhibit 5.1</w:t>
      </w:r>
    </w:p>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4"/>
          <w:szCs w:val="14"/>
          <w:color w:val="auto"/>
        </w:rPr>
        <w:t>KRAMER LEVIN NAFTALIS &amp; FRANKEL LLP</w:t>
      </w:r>
    </w:p>
    <w:p>
      <w:pPr>
        <w:spacing w:after="0" w:line="18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919 THIRD AVENUE</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NEW YORK, N.Y. 10022 - 3852</w:t>
      </w:r>
    </w:p>
    <w:p>
      <w:pPr>
        <w:sectPr>
          <w:pgSz w:w="11900" w:h="16838" w:orient="portrait"/>
          <w:cols w:equalWidth="0" w:num="1">
            <w:col w:w="10219"/>
          </w:cols>
          <w:pgMar w:left="240" w:top="141" w:right="1440" w:bottom="1440" w:gutter="0" w:footer="0" w:header="0"/>
        </w:sectPr>
      </w:pPr>
    </w:p>
    <w:p>
      <w:pPr>
        <w:spacing w:after="0" w:line="3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TEL (212) 715-9100</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FAX (212) 715-8000</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 Avenue Hoche</w:t>
      </w:r>
    </w:p>
    <w:p>
      <w:pPr>
        <w:spacing w:after="0" w:line="1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75008 Paris</w:t>
      </w:r>
    </w:p>
    <w:p>
      <w:pPr>
        <w:spacing w:after="0" w:line="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France</w:t>
      </w:r>
    </w:p>
    <w:p>
      <w:pPr>
        <w:spacing w:after="0" w:line="200" w:lineRule="exact"/>
        <w:rPr>
          <w:sz w:val="20"/>
          <w:szCs w:val="20"/>
          <w:color w:val="auto"/>
        </w:rPr>
      </w:pPr>
    </w:p>
    <w:p>
      <w:pPr>
        <w:sectPr>
          <w:pgSz w:w="11900" w:h="16838" w:orient="portrait"/>
          <w:cols w:equalWidth="0" w:num="2">
            <w:col w:w="4900" w:space="720"/>
            <w:col w:w="4599"/>
          </w:cols>
          <w:pgMar w:left="240" w:top="141" w:right="1440" w:bottom="1440" w:gutter="0" w:footer="0" w:header="0"/>
          <w:type w:val="continuous"/>
        </w:sectPr>
      </w:pPr>
    </w:p>
    <w:p>
      <w:pPr>
        <w:spacing w:after="0" w:line="148" w:lineRule="exact"/>
        <w:rPr>
          <w:sz w:val="20"/>
          <w:szCs w:val="20"/>
          <w:color w:val="auto"/>
        </w:rPr>
      </w:pPr>
    </w:p>
    <w:p>
      <w:pPr>
        <w:jc w:val="center"/>
        <w:ind w:right="139"/>
        <w:spacing w:after="0"/>
        <w:rPr>
          <w:sz w:val="20"/>
          <w:szCs w:val="20"/>
          <w:color w:val="auto"/>
        </w:rPr>
      </w:pPr>
      <w:r>
        <w:rPr>
          <w:rFonts w:ascii="Courier New" w:cs="Courier New" w:eastAsia="Courier New" w:hAnsi="Courier New"/>
          <w:sz w:val="14"/>
          <w:szCs w:val="14"/>
          <w:color w:val="auto"/>
        </w:rPr>
        <w:t>September 9, 2002</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Casual Male Retail Group, Inc.</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555 Turnpike Street</w:t>
      </w:r>
    </w:p>
    <w:p>
      <w:pPr>
        <w:spacing w:after="0" w:line="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Canton, Massachusetts</w:t>
        <w:tab/>
        <w:t>02021</w:t>
      </w:r>
    </w:p>
    <w:p>
      <w:pPr>
        <w:sectPr>
          <w:pgSz w:w="11900" w:h="16838" w:orient="portrait"/>
          <w:cols w:equalWidth="0" w:num="1">
            <w:col w:w="10219"/>
          </w:cols>
          <w:pgMar w:left="240" w:top="141" w:right="1440" w:bottom="1440" w:gutter="0" w:footer="0" w:header="0"/>
          <w:type w:val="continuous"/>
        </w:sectPr>
      </w:pP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Registration Statement on Form S-3</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We are rendering this opinion in connection with the Registration Statement on Form S-3 (File No. 333-90742) (the "Registration Statement") filed by Casual Male Retail Group, Inc. (formerly known as Designs, Inc.), a Delaware corporation (the "Company"), with the Securities and Exchange Commission under the Securities Act of 1933, as amended (the "Securities Act"). The Registration Statement relates to 20,277,867 shares (the "Shares") of the Company's common stock, par value $0.01 per share ("Common Stock"), and 4,531,471 shares of Common Stock (the "Additional Shares") issuable upon the exercise of certain outstanding warrants or options.</w:t>
      </w:r>
    </w:p>
    <w:p>
      <w:pPr>
        <w:spacing w:after="0" w:line="178" w:lineRule="exact"/>
        <w:rPr>
          <w:sz w:val="20"/>
          <w:szCs w:val="20"/>
          <w:color w:val="auto"/>
        </w:rPr>
      </w:pPr>
    </w:p>
    <w:p>
      <w:pPr>
        <w:ind w:right="3159" w:firstLine="1342"/>
        <w:spacing w:after="0" w:line="242" w:lineRule="auto"/>
        <w:rPr>
          <w:sz w:val="20"/>
          <w:szCs w:val="20"/>
          <w:color w:val="auto"/>
        </w:rPr>
      </w:pPr>
      <w:r>
        <w:rPr>
          <w:rFonts w:ascii="Courier New" w:cs="Courier New" w:eastAsia="Courier New" w:hAnsi="Courier New"/>
          <w:sz w:val="15"/>
          <w:szCs w:val="15"/>
          <w:color w:val="auto"/>
        </w:rPr>
        <w:t>We have examined such documents and records as we have deemed necessary to enable us to express an opinion on the matters covered hereby. In rendering this opinion, we have (a) assumed (i) the genuineness of all signatures on all documents examined by us, (ii) the authenticity of all documents submitted to us as originals and (iii) the conformity to original documents of all documents submitted to us as photostatic or conformed copies and the authenticity of the originals of such copies; and (b) relied on (i) certificates of public officials and (ii) as to matters of fact, representations, statements and certificates of officers and representatives of the Company. In giving the opinion set forth below, we have also assumed that the Additional Shares will be issued in accordance with the terms of the respective instruments governing such issuance.</w:t>
      </w:r>
    </w:p>
    <w:p>
      <w:pPr>
        <w:spacing w:after="0" w:line="180" w:lineRule="exact"/>
        <w:rPr>
          <w:sz w:val="20"/>
          <w:szCs w:val="20"/>
          <w:color w:val="auto"/>
        </w:rPr>
      </w:pPr>
    </w:p>
    <w:p>
      <w:pPr>
        <w:ind w:right="3079" w:firstLine="1342"/>
        <w:spacing w:after="0" w:line="242" w:lineRule="auto"/>
        <w:rPr>
          <w:sz w:val="20"/>
          <w:szCs w:val="20"/>
          <w:color w:val="auto"/>
        </w:rPr>
      </w:pPr>
      <w:r>
        <w:rPr>
          <w:rFonts w:ascii="Courier New" w:cs="Courier New" w:eastAsia="Courier New" w:hAnsi="Courier New"/>
          <w:sz w:val="15"/>
          <w:szCs w:val="15"/>
          <w:color w:val="auto"/>
        </w:rPr>
        <w:t>Based upon the foregoing, we are of the opinion that the Shares are validly issued, fully paid and non-assessable and that, upon issuance of the Additional Shares in accordance with terms of the respective instruments governing such issuance, the Additional Shares will be validly issued, fully paid and non-assessable.</w:t>
      </w:r>
    </w:p>
    <w:p>
      <w:pPr>
        <w:spacing w:after="0" w:line="175" w:lineRule="exact"/>
        <w:rPr>
          <w:sz w:val="20"/>
          <w:szCs w:val="20"/>
          <w:color w:val="auto"/>
        </w:rPr>
      </w:pPr>
    </w:p>
    <w:p>
      <w:pPr>
        <w:jc w:val="both"/>
        <w:ind w:right="3079" w:firstLine="1342"/>
        <w:spacing w:after="0" w:line="265" w:lineRule="auto"/>
        <w:rPr>
          <w:sz w:val="20"/>
          <w:szCs w:val="20"/>
          <w:color w:val="auto"/>
        </w:rPr>
      </w:pPr>
      <w:r>
        <w:rPr>
          <w:rFonts w:ascii="Courier New" w:cs="Courier New" w:eastAsia="Courier New" w:hAnsi="Courier New"/>
          <w:sz w:val="14"/>
          <w:szCs w:val="14"/>
          <w:color w:val="auto"/>
        </w:rPr>
        <w:t>We hereby consent to the use of this opinion as an exhibit to the Registration Statement. In giving the foregoing consent, we do not thereby admit that we are in the category of persons whose consent is required under Section 7 of the Securities Act or the rules and regulations of the Commission thereunder.</w:t>
      </w:r>
    </w:p>
    <w:p>
      <w:pPr>
        <w:spacing w:after="0" w:line="160" w:lineRule="exact"/>
        <w:rPr>
          <w:sz w:val="20"/>
          <w:szCs w:val="20"/>
          <w:color w:val="auto"/>
        </w:rPr>
      </w:pPr>
    </w:p>
    <w:p>
      <w:pPr>
        <w:ind w:right="3339" w:firstLine="1342"/>
        <w:spacing w:after="0"/>
        <w:rPr>
          <w:sz w:val="20"/>
          <w:szCs w:val="20"/>
          <w:color w:val="auto"/>
        </w:rPr>
      </w:pPr>
      <w:r>
        <w:rPr>
          <w:rFonts w:ascii="Courier New" w:cs="Courier New" w:eastAsia="Courier New" w:hAnsi="Courier New"/>
          <w:sz w:val="15"/>
          <w:szCs w:val="15"/>
          <w:color w:val="auto"/>
        </w:rPr>
        <w:t>We do not express any opinion herein as to any laws other than the General Corporation Law of the State of Delaware.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Very truly yours,</w:t>
      </w:r>
    </w:p>
    <w:p>
      <w:pPr>
        <w:spacing w:after="0" w:line="346"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/s/ Kramer Levin Naftalis &amp; Frankel LLP</w:t>
      </w:r>
    </w:p>
    <w:sectPr>
      <w:pgSz w:w="11900" w:h="16838" w:orient="portrait"/>
      <w:cols w:equalWidth="0" w:num="1">
        <w:col w:w="10219"/>
      </w:cols>
      <w:pgMar w:left="24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15"/>
    </w:lvl>
  </w:abstractNum>
  <w:abstractNum w:abstractNumId="4">
    <w:nsid w:val="79E2A9E3"/>
    <w:multiLevelType w:val="hybridMultilevel"/>
    <w:lvl w:ilvl="0">
      <w:lvlJc w:val="left"/>
      <w:lvlText w:val="o"/>
      <w:numFmt w:val="bullet"/>
      <w:start w:val="1"/>
    </w:lvl>
  </w:abstractNum>
  <w:abstractNum w:abstractNumId="5">
    <w:nsid w:val="7545E146"/>
    <w:multiLevelType w:val="hybridMultilevel"/>
    <w:lvl w:ilvl="0">
      <w:lvlJc w:val="left"/>
      <w:lvlText w:val="(%1)"/>
      <w:numFmt w:val="lowerRoman"/>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Roman"/>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2019-12-20T00:53:15Z</dcterms:created>
  <dcterms:modified xsi:type="dcterms:W3CDTF">2019-12-20T00:53:15Z</dcterms:modified>
</cp:coreProperties>
</file>