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10100 SANTA MONICA BOULEVARD, SUITE 925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0.9992</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36,279</w:t>
            </w:r>
            <w:r>
              <w:rPr>
                <w:rFonts w:ascii="Times;serif" w:hAnsi="Times;serif"/>
                <w:color w:val="008000"/>
                <w:position w:val="7"/>
                <w:sz w:val="16"/>
                <w:sz w:val="20"/>
                <w:shd w:fill="FFFFFF" w:val="clear"/>
              </w:rPr>
              <w:t>(4)</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589,357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quarterly annual retainer and committee chairperson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October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in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4566" TargetMode="External"/><Relationship Id="rId5" Type="http://schemas.openxmlformats.org/officeDocument/2006/relationships/hyperlink" Target="http://www.sec.gov/cgi-bin/browse-edgar?action=getcompany&amp;CIK=0000813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814</Words>
  <Characters>4403</Characters>
  <CharactersWithSpaces>5152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