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3, 2010</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60" w:lineRule="exact"/>
        <w:rPr>
          <w:sz w:val="24"/>
          <w:szCs w:val="24"/>
          <w:color w:val="auto"/>
        </w:rPr>
      </w:pPr>
    </w:p>
    <w:p>
      <w:pPr>
        <w:sectPr>
          <w:pgSz w:w="11900" w:h="16838" w:orient="portrait"/>
          <w:cols w:equalWidth="0" w:num="2">
            <w:col w:w="6840" w:space="720"/>
            <w:col w:w="34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140" w:right="30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May 3, 2010, the Compensation Committee amended and restated the Company’s Long–Term Incentive Plan (the “Amended and Restated Plan”), pursuant to which the Company’s executives (which includes its Named Executive Officers) are eligible to participate.</w:t>
      </w:r>
    </w:p>
    <w:p>
      <w:pPr>
        <w:spacing w:after="0" w:line="132"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Pursuant to the Amended and Restated Plan, the Compensation Committee will establish targeted performance goals (as provided for under the shareholder-approved 2006 Incentive Compensation Plan) for each participant. Each participant will be entitled to receive an Award (depending on the target level achieved) of the participant’s Target Cash Value which is defined as the participant’s actual annual base salary in effect at the commencement of a fiscal year multiplied by the long–term incentive program percentage designated in such participant’s executed employment agreement or otherwise on file with the Company.</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prior version of the Amended and Restated Plan: the Compensation Committee was restricted to establishing targeted performance goals based on EBITDA and the Company’s operating margin percentage; the threshold and maximum percentages were fixed; and each participant was granted Awards based on the achievement of the same targeted performance goals as each other participant.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changes were made to the timing of the grants of Awards or the vesting schedule.</w:t>
      </w:r>
    </w:p>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548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Dennis R. Hernreich</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5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2019-12-10T07:14:07Z</dcterms:created>
  <dcterms:modified xsi:type="dcterms:W3CDTF">2019-12-10T07:14:07Z</dcterms:modified>
</cp:coreProperties>
</file>