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10"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Date of Report (Date of earliest event reported): September 11, 2002</w:t>
      </w:r>
    </w:p>
    <w:p>
      <w:pPr>
        <w:spacing w:after="0" w:line="200" w:lineRule="exact"/>
        <w:rPr>
          <w:sz w:val="24"/>
          <w:szCs w:val="24"/>
          <w:color w:val="auto"/>
        </w:rPr>
      </w:pPr>
    </w:p>
    <w:p>
      <w:pPr>
        <w:spacing w:after="0" w:line="221"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0-15898</w:t>
      </w:r>
    </w:p>
    <w:p>
      <w:pPr>
        <w:ind w:left="296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CASUAL MALE RETAIL GROUP,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461" w:gutter="0" w:footer="0" w:header="0"/>
        </w:sectPr>
      </w:pPr>
    </w:p>
    <w:p>
      <w:pPr>
        <w:spacing w:after="0" w:line="200" w:lineRule="exact"/>
        <w:rPr>
          <w:sz w:val="24"/>
          <w:szCs w:val="24"/>
          <w:color w:val="auto"/>
        </w:rPr>
      </w:pPr>
    </w:p>
    <w:p>
      <w:pPr>
        <w:spacing w:after="0" w:line="204" w:lineRule="exact"/>
        <w:rPr>
          <w:sz w:val="24"/>
          <w:szCs w:val="24"/>
          <w:color w:val="auto"/>
        </w:rPr>
      </w:pPr>
    </w:p>
    <w:p>
      <w:pPr>
        <w:jc w:val="center"/>
        <w:ind w:right="200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right="200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04-2623104</w:t>
      </w:r>
    </w:p>
    <w:p>
      <w:pPr>
        <w:ind w:left="3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5180" w:space="720"/>
            <w:col w:w="4319"/>
          </w:cols>
          <w:pgMar w:left="240" w:top="244" w:right="1440" w:bottom="461"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177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4120" w:hanging="636"/>
        <w:spacing w:after="0"/>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(c)  Exhibits</w:t>
            </w:r>
          </w:p>
        </w:tc>
        <w:tc>
          <w:tcPr>
            <w:tcW w:w="1480" w:type="dxa"/>
            <w:vAlign w:val="bottom"/>
          </w:tcPr>
          <w:p>
            <w:pPr>
              <w:spacing w:after="0"/>
              <w:rPr>
                <w:sz w:val="17"/>
                <w:szCs w:val="17"/>
                <w:color w:val="auto"/>
              </w:rPr>
            </w:pPr>
          </w:p>
        </w:tc>
        <w:tc>
          <w:tcPr>
            <w:tcW w:w="5000" w:type="dxa"/>
            <w:vAlign w:val="bottom"/>
          </w:tcPr>
          <w:p>
            <w:pPr>
              <w:spacing w:after="0"/>
              <w:rPr>
                <w:sz w:val="17"/>
                <w:szCs w:val="17"/>
                <w:color w:val="auto"/>
              </w:rPr>
            </w:pP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1480" w:type="dxa"/>
            <w:vAlign w:val="bottom"/>
          </w:tcPr>
          <w:p>
            <w:pPr>
              <w:ind w:left="260"/>
              <w:spacing w:after="0"/>
              <w:rPr>
                <w:sz w:val="20"/>
                <w:szCs w:val="20"/>
                <w:color w:val="auto"/>
              </w:rPr>
            </w:pPr>
            <w:r>
              <w:rPr>
                <w:rFonts w:ascii="Courier New" w:cs="Courier New" w:eastAsia="Courier New" w:hAnsi="Courier New"/>
                <w:sz w:val="18"/>
                <w:szCs w:val="18"/>
                <w:color w:val="auto"/>
              </w:rPr>
              <w:t>Description</w:t>
            </w:r>
          </w:p>
        </w:tc>
        <w:tc>
          <w:tcPr>
            <w:tcW w:w="5000" w:type="dxa"/>
            <w:vAlign w:val="bottom"/>
          </w:tcPr>
          <w:p>
            <w:pPr>
              <w:spacing w:after="0"/>
              <w:rPr>
                <w:sz w:val="24"/>
                <w:szCs w:val="24"/>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4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64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Certification of the Chief Executive Officer of the Company</w:t>
            </w:r>
          </w:p>
        </w:tc>
      </w:tr>
      <w:tr>
        <w:trPr>
          <w:trHeight w:val="203"/>
        </w:trPr>
        <w:tc>
          <w:tcPr>
            <w:tcW w:w="164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pursuant to</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18 U.S.C. Section 1350, as adopted pursuant to</w:t>
            </w:r>
          </w:p>
        </w:tc>
      </w:tr>
      <w:tr>
        <w:trPr>
          <w:trHeight w:val="203"/>
        </w:trPr>
        <w:tc>
          <w:tcPr>
            <w:tcW w:w="164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906</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Sarbanes-Oxley Act of 2002.</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99.2</w:t>
            </w:r>
          </w:p>
        </w:tc>
        <w:tc>
          <w:tcPr>
            <w:tcW w:w="64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Certification of the Chief Financial Officer of the Company</w:t>
            </w:r>
          </w:p>
        </w:tc>
      </w:tr>
      <w:tr>
        <w:trPr>
          <w:trHeight w:val="203"/>
        </w:trPr>
        <w:tc>
          <w:tcPr>
            <w:tcW w:w="164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pursuant to</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18 U.S.C. Section 1350, as adopted pursuant to</w:t>
            </w:r>
          </w:p>
        </w:tc>
      </w:tr>
      <w:tr>
        <w:trPr>
          <w:trHeight w:val="203"/>
        </w:trPr>
        <w:tc>
          <w:tcPr>
            <w:tcW w:w="164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906</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Sarbanes-Oxley Act of 2002.</w:t>
            </w:r>
          </w:p>
        </w:tc>
      </w:tr>
    </w:tbl>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4"/>
          <w:szCs w:val="24"/>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On September 11, 2002, Casual Male Retail Group, Inc., a Delaware corporation formerly named Designs, Inc. (the "Company"), filed an Amendment No. 1 to its Annual Report on Form 10-K for the fiscal year ended February 2, 2002, with the Securities and Exchange Commission. Accompanying such report were certifications of the Chief Executive Officer and the Chief Financial Officer of the Company, submitted pursuant to Section 906 of the Sarbanes-Oxley Act of 2002 (18 U.S.C. Section 1350). A copy of each of these certifications is attached as an exhibit hereto.</w:t>
      </w:r>
    </w:p>
    <w:p>
      <w:pPr>
        <w:spacing w:after="0" w:line="212" w:lineRule="exact"/>
        <w:rPr>
          <w:sz w:val="24"/>
          <w:szCs w:val="24"/>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information included or incorporated herein, including the exhibits referenced above, is furnished pursuant to Regulation FD and shall not be deemed "filed" for purposes of Section 18 of the Securities Exchange Act of 1934 or otherwise subject to the liabilities under that section, nor shall such information, including such exhibits, be deemed incorporated by reference in any filing under the Securities Act of 1933 except to the extent, if any, set forth by specific reference in such a filing.</w:t>
      </w:r>
    </w:p>
    <w:p>
      <w:pPr>
        <w:sectPr>
          <w:pgSz w:w="11900" w:h="16838" w:orient="portrait"/>
          <w:cols w:equalWidth="0" w:num="1">
            <w:col w:w="10219"/>
          </w:cols>
          <w:pgMar w:left="240" w:top="244" w:right="1440" w:bottom="461" w:gutter="0" w:footer="0" w:header="0"/>
          <w:type w:val="continuous"/>
        </w:sectPr>
      </w:pPr>
    </w:p>
    <w:bookmarkStart w:id="1" w:name="page2"/>
    <w:bookmarkEnd w:id="1"/>
    <w:p>
      <w:pPr>
        <w:ind w:left="2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14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000" w:type="dxa"/>
            <w:vAlign w:val="bottom"/>
          </w:tcPr>
          <w:p>
            <w:pPr>
              <w:ind w:left="260"/>
              <w:spacing w:after="0"/>
              <w:rPr>
                <w:sz w:val="20"/>
                <w:szCs w:val="20"/>
                <w:color w:val="auto"/>
              </w:rPr>
            </w:pPr>
            <w:r>
              <w:rPr>
                <w:rFonts w:ascii="Courier New" w:cs="Courier New" w:eastAsia="Courier New" w:hAnsi="Courier New"/>
                <w:sz w:val="18"/>
                <w:szCs w:val="18"/>
                <w:color w:val="auto"/>
              </w:rPr>
              <w:t>Index to Exhibits</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1480" w:type="dxa"/>
            <w:vAlign w:val="bottom"/>
          </w:tcPr>
          <w:p>
            <w:pPr>
              <w:ind w:left="260"/>
              <w:spacing w:after="0"/>
              <w:rPr>
                <w:sz w:val="20"/>
                <w:szCs w:val="20"/>
                <w:color w:val="auto"/>
              </w:rPr>
            </w:pPr>
            <w:r>
              <w:rPr>
                <w:rFonts w:ascii="Courier New" w:cs="Courier New" w:eastAsia="Courier New" w:hAnsi="Courier New"/>
                <w:sz w:val="18"/>
                <w:szCs w:val="18"/>
                <w:color w:val="auto"/>
              </w:rPr>
              <w:t>Description</w:t>
            </w:r>
          </w:p>
        </w:tc>
        <w:tc>
          <w:tcPr>
            <w:tcW w:w="5000" w:type="dxa"/>
            <w:vAlign w:val="bottom"/>
          </w:tcPr>
          <w:p>
            <w:pPr>
              <w:spacing w:after="0"/>
              <w:rPr>
                <w:sz w:val="24"/>
                <w:szCs w:val="24"/>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4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64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Certification of the Chief Executive Officer of the Company</w:t>
            </w:r>
          </w:p>
        </w:tc>
      </w:tr>
      <w:tr>
        <w:trPr>
          <w:trHeight w:val="203"/>
        </w:trPr>
        <w:tc>
          <w:tcPr>
            <w:tcW w:w="164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pursuant to</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18 U.S.C. Section 1350, as adopted pursuant to</w:t>
            </w:r>
          </w:p>
        </w:tc>
      </w:tr>
      <w:tr>
        <w:trPr>
          <w:trHeight w:val="203"/>
        </w:trPr>
        <w:tc>
          <w:tcPr>
            <w:tcW w:w="164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906</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Sarbanes-Oxley Act of 2002.</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99.2</w:t>
            </w:r>
          </w:p>
        </w:tc>
        <w:tc>
          <w:tcPr>
            <w:tcW w:w="648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Certification of the Chief Financial Officer of the Company</w:t>
            </w:r>
          </w:p>
        </w:tc>
      </w:tr>
      <w:tr>
        <w:trPr>
          <w:trHeight w:val="203"/>
        </w:trPr>
        <w:tc>
          <w:tcPr>
            <w:tcW w:w="164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pursuant to</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18 U.S.C. Section 1350, as adopted pursuant to</w:t>
            </w:r>
          </w:p>
        </w:tc>
      </w:tr>
      <w:tr>
        <w:trPr>
          <w:trHeight w:val="203"/>
        </w:trPr>
        <w:tc>
          <w:tcPr>
            <w:tcW w:w="164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Section 906</w:t>
            </w:r>
          </w:p>
        </w:tc>
        <w:tc>
          <w:tcPr>
            <w:tcW w:w="5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Sarbanes-Oxley Act of 2002.</w:t>
            </w:r>
          </w:p>
        </w:tc>
      </w:tr>
    </w:tbl>
    <w:p>
      <w:pPr>
        <w:sectPr>
          <w:pgSz w:w="11900" w:h="16838" w:orient="portrait"/>
          <w:cols w:equalWidth="0" w:num="1">
            <w:col w:w="10219"/>
          </w:cols>
          <w:pgMar w:left="240" w:top="717" w:right="1440" w:bottom="1440" w:gutter="0" w:footer="0" w:header="0"/>
        </w:sectPr>
      </w:pPr>
    </w:p>
    <w:bookmarkStart w:id="3" w:name="page4"/>
    <w:bookmarkEnd w:id="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CASUAL MALE RETAIL GROUP, INC.</w:t>
      </w:r>
    </w:p>
    <w:p>
      <w:pPr>
        <w:spacing w:after="0" w:line="200" w:lineRule="exact"/>
        <w:rPr>
          <w:sz w:val="20"/>
          <w:szCs w:val="20"/>
          <w:color w:val="auto"/>
        </w:rPr>
      </w:pPr>
    </w:p>
    <w:p>
      <w:pPr>
        <w:spacing w:after="0" w:line="204"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/s/ Dennis R. Hernreich</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tabs>
          <w:tab w:leader="none" w:pos="45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Dennis R. Hernreich</w:t>
      </w:r>
    </w:p>
    <w:p>
      <w:pPr>
        <w:ind w:left="3800"/>
        <w:spacing w:after="0" w:line="237" w:lineRule="auto"/>
        <w:rPr>
          <w:sz w:val="20"/>
          <w:szCs w:val="20"/>
          <w:color w:val="auto"/>
        </w:rPr>
      </w:pPr>
      <w:r>
        <w:rPr>
          <w:rFonts w:ascii="Courier New" w:cs="Courier New" w:eastAsia="Courier New" w:hAnsi="Courier New"/>
          <w:sz w:val="18"/>
          <w:szCs w:val="18"/>
          <w:color w:val="auto"/>
        </w:rPr>
        <w:t>Title: Senior Vice President and</w:t>
      </w:r>
    </w:p>
    <w:p>
      <w:pPr>
        <w:ind w:left="454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September 11, 2002</w:t>
      </w:r>
    </w:p>
    <w:p>
      <w:pPr>
        <w:sectPr>
          <w:pgSz w:w="11900" w:h="16838" w:orient="portrait"/>
          <w:cols w:equalWidth="0" w:num="1">
            <w:col w:w="10219"/>
          </w:cols>
          <w:pgMar w:left="240" w:top="717"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In connection with Amendment No. 1 to the Annual Report of Casual Male Retail Group, Inc. (formerly Designs, Inc., the "Company") on Form 10-K/A for the fiscal year ended February 2, 2002 as filed with the Securities and Exchange Commission on the date hereof (the "Report"), I, David A. Levin, Chief Executive Officer of the Company, certify to the best of my knowledge, pursuant to 18 U.S.C.ss.1350, as adopted pursuant to ss.906 of the Sarbanes-Oxley Act of 2002, that:</w:t>
      </w:r>
    </w:p>
    <w:p>
      <w:pPr>
        <w:spacing w:after="0" w:line="211" w:lineRule="exact"/>
        <w:rPr>
          <w:sz w:val="20"/>
          <w:szCs w:val="20"/>
          <w:color w:val="auto"/>
        </w:rPr>
      </w:pPr>
    </w:p>
    <w:p>
      <w:pPr>
        <w:ind w:left="1060" w:right="209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September 11,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David A. Levin</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David A. Levin</w:t>
      </w:r>
    </w:p>
    <w:p>
      <w:pPr>
        <w:ind w:left="4440"/>
        <w:spacing w:after="0" w:line="237" w:lineRule="auto"/>
        <w:rPr>
          <w:sz w:val="20"/>
          <w:szCs w:val="20"/>
          <w:color w:val="auto"/>
        </w:rPr>
      </w:pPr>
      <w:r>
        <w:rPr>
          <w:rFonts w:ascii="Courier New" w:cs="Courier New" w:eastAsia="Courier New" w:hAnsi="Courier New"/>
          <w:sz w:val="18"/>
          <w:szCs w:val="18"/>
          <w:color w:val="auto"/>
        </w:rPr>
        <w:t>Chief Executive Officer</w:t>
      </w:r>
    </w:p>
    <w:p>
      <w:pPr>
        <w:ind w:left="4440"/>
        <w:spacing w:after="0" w:line="238" w:lineRule="auto"/>
        <w:rPr>
          <w:sz w:val="20"/>
          <w:szCs w:val="20"/>
          <w:color w:val="auto"/>
        </w:rPr>
      </w:pPr>
      <w:r>
        <w:rPr>
          <w:rFonts w:ascii="Courier New" w:cs="Courier New" w:eastAsia="Courier New" w:hAnsi="Courier New"/>
          <w:sz w:val="18"/>
          <w:szCs w:val="18"/>
          <w:color w:val="auto"/>
        </w:rPr>
        <w:t>(Principal Executive Officer)</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This certification accompanies the Report pursuant to ss.906 of the Sarbanes-Oxley Act of 2002 and shall not, except to the extent required by the Sarbanes-Oxley Act of 2002, be deemed filed by the Company for purposes of ss.18 of the Securities Exchange Act of 1934, as amended.</w:t>
      </w:r>
    </w:p>
    <w:p>
      <w:pPr>
        <w:sectPr>
          <w:pgSz w:w="11900" w:h="16838" w:orient="portrait"/>
          <w:cols w:equalWidth="0" w:num="1">
            <w:col w:w="10219"/>
          </w:cols>
          <w:pgMar w:left="240" w:top="136" w:right="1440" w:bottom="1440" w:gutter="0" w:footer="0" w:header="0"/>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In connection with Amendment No. 1 to the Annual Report of Casual Male Retail Group, Inc. (formerly Designs, Inc., the "Company") on Form 10-K/A for the fiscal year ended February 2, 2002 as filed with the Securities and Exchange Commission on the date hereof (the "Report"), I, Dennis R. Hernreich, Chief Financial Officer of the Company, certify to the best of my knowledge, pursuant to 18 U.S.C.ss.1350, as adopted pursuant to ss.906 of the Sarbanes-Oxley Act of 2002, that:</w:t>
      </w:r>
    </w:p>
    <w:p>
      <w:pPr>
        <w:spacing w:after="0" w:line="211" w:lineRule="exact"/>
        <w:rPr>
          <w:sz w:val="20"/>
          <w:szCs w:val="20"/>
          <w:color w:val="auto"/>
        </w:rPr>
      </w:pPr>
    </w:p>
    <w:p>
      <w:pPr>
        <w:ind w:left="1060" w:right="209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September 11, 2002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Dennis R. Hernreich</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Dennis R. Hernreich</w:t>
      </w:r>
    </w:p>
    <w:p>
      <w:pPr>
        <w:ind w:left="4440"/>
        <w:spacing w:after="0" w:line="237" w:lineRule="auto"/>
        <w:rPr>
          <w:sz w:val="20"/>
          <w:szCs w:val="20"/>
          <w:color w:val="auto"/>
        </w:rPr>
      </w:pPr>
      <w:r>
        <w:rPr>
          <w:rFonts w:ascii="Courier New" w:cs="Courier New" w:eastAsia="Courier New" w:hAnsi="Courier New"/>
          <w:sz w:val="18"/>
          <w:szCs w:val="18"/>
          <w:color w:val="auto"/>
        </w:rPr>
        <w:t>Chief Financial Officer</w:t>
      </w:r>
    </w:p>
    <w:p>
      <w:pPr>
        <w:ind w:left="4440"/>
        <w:spacing w:after="0" w:line="238" w:lineRule="auto"/>
        <w:rPr>
          <w:sz w:val="20"/>
          <w:szCs w:val="20"/>
          <w:color w:val="auto"/>
        </w:rPr>
      </w:pPr>
      <w:r>
        <w:rPr>
          <w:rFonts w:ascii="Courier New" w:cs="Courier New" w:eastAsia="Courier New" w:hAnsi="Courier New"/>
          <w:sz w:val="18"/>
          <w:szCs w:val="18"/>
          <w:color w:val="auto"/>
        </w:rPr>
        <w:t>(Principal Financial and Accounting</w:t>
      </w:r>
    </w:p>
    <w:p>
      <w:pPr>
        <w:ind w:left="4440"/>
        <w:spacing w:after="0"/>
        <w:rPr>
          <w:sz w:val="20"/>
          <w:szCs w:val="20"/>
          <w:color w:val="auto"/>
        </w:rPr>
      </w:pPr>
      <w:r>
        <w:rPr>
          <w:rFonts w:ascii="Courier New" w:cs="Courier New" w:eastAsia="Courier New" w:hAnsi="Courier New"/>
          <w:sz w:val="18"/>
          <w:szCs w:val="18"/>
          <w:color w:val="auto"/>
        </w:rPr>
        <w:t>Officer)</w:t>
      </w:r>
    </w:p>
    <w:p>
      <w:pPr>
        <w:spacing w:after="0" w:line="20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This certification accompanies the Report pursuant to ss.906 of the Sarbanes-Oxley Act of 2002 and shall not, except to the extent required by the Sarbanes-Oxley Act of 2002, be deemed filed by the Company for purposes of ss.18 of the Securities Exchange Act of 1934, as amended.</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78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2019-12-11T21:17:13Z</dcterms:created>
  <dcterms:modified xsi:type="dcterms:W3CDTF">2019-12-11T21:17:13Z</dcterms:modified>
</cp:coreProperties>
</file>