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351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517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Cooney John F</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60" w:type="dxa"/>
            <w:vAlign w:val="bottom"/>
            <w:gridSpan w:val="3"/>
          </w:tcPr>
          <w:p>
            <w:pPr>
              <w:spacing w:after="0" w:line="203" w:lineRule="exact"/>
              <w:rPr>
                <w:rFonts w:ascii="Arial" w:cs="Arial" w:eastAsia="Arial" w:hAnsi="Arial"/>
                <w:sz w:val="21"/>
                <w:szCs w:val="21"/>
                <w:color w:val="0000EE"/>
                <w:w w:val="97"/>
              </w:rPr>
            </w:pPr>
            <w:hyperlink r:id="rId13">
              <w:r>
                <w:rPr>
                  <w:rFonts w:ascii="Arial" w:cs="Arial" w:eastAsia="Arial" w:hAnsi="Arial"/>
                  <w:sz w:val="21"/>
                  <w:szCs w:val="21"/>
                  <w:color w:val="0000EE"/>
                  <w:w w:val="97"/>
                </w:rPr>
                <w:t xml:space="preserve">DESTINATION XL GROUP, INC.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DXLG</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80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100"/>
              <w:spacing w:after="0" w:line="129"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0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CAO, VP-Managing Director</w:t>
            </w:r>
          </w:p>
        </w:tc>
        <w:tc>
          <w:tcPr>
            <w:tcW w:w="0" w:type="dxa"/>
            <w:vAlign w:val="bottom"/>
          </w:tcPr>
          <w:p>
            <w:pPr>
              <w:spacing w:after="0"/>
              <w:rPr>
                <w:sz w:val="1"/>
                <w:szCs w:val="1"/>
                <w:color w:val="auto"/>
              </w:rPr>
            </w:pPr>
          </w:p>
        </w:tc>
      </w:tr>
      <w:tr>
        <w:trPr>
          <w:trHeight w:val="214"/>
        </w:trPr>
        <w:tc>
          <w:tcPr>
            <w:tcW w:w="3000" w:type="dxa"/>
            <w:vAlign w:val="bottom"/>
            <w:gridSpan w:val="3"/>
          </w:tcPr>
          <w:p>
            <w:pPr>
              <w:ind w:left="60"/>
              <w:spacing w:after="0"/>
              <w:rPr>
                <w:sz w:val="20"/>
                <w:szCs w:val="20"/>
                <w:color w:val="auto"/>
              </w:rPr>
            </w:pPr>
            <w:r>
              <w:rPr>
                <w:rFonts w:ascii="Arial" w:cs="Arial" w:eastAsia="Arial" w:hAnsi="Arial"/>
                <w:sz w:val="17"/>
                <w:szCs w:val="17"/>
                <w:color w:val="0000FF"/>
              </w:rPr>
              <w:t>01/03/2022</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01/03/2022</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8,000</w:t>
            </w:r>
          </w:p>
        </w:tc>
        <w:tc>
          <w:tcPr>
            <w:tcW w:w="40" w:type="dxa"/>
            <w:vAlign w:val="bottom"/>
          </w:tcPr>
          <w:p>
            <w:pPr>
              <w:spacing w:after="0"/>
              <w:rPr>
                <w:sz w:val="22"/>
                <w:szCs w:val="22"/>
                <w:color w:val="auto"/>
              </w:rPr>
            </w:pP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0.53</w:t>
            </w: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79,358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01/03/2022</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15,000</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64,358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0000FF"/>
                <w:w w:val="94"/>
              </w:rPr>
              <w:t>06/11/2021</w:t>
            </w:r>
            <w:r>
              <w:rPr>
                <w:rFonts w:ascii="Arial" w:cs="Arial" w:eastAsia="Arial" w:hAnsi="Arial"/>
                <w:sz w:val="21"/>
                <w:szCs w:val="21"/>
                <w:color w:val="008000"/>
                <w:w w:val="94"/>
                <w:vertAlign w:val="superscript"/>
              </w:rPr>
              <w:t>(2)</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3"/>
              <w:spacing w:after="0"/>
              <w:rPr>
                <w:sz w:val="20"/>
                <w:szCs w:val="20"/>
                <w:color w:val="auto"/>
              </w:rPr>
            </w:pPr>
            <w:r>
              <w:rPr>
                <w:rFonts w:ascii="Arial" w:cs="Arial" w:eastAsia="Arial" w:hAnsi="Arial"/>
                <w:sz w:val="17"/>
                <w:szCs w:val="17"/>
                <w:color w:val="0000FF"/>
                <w:w w:val="93"/>
              </w:rPr>
              <w:t>8,000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40" w:type="dxa"/>
            <w:vAlign w:val="bottom"/>
            <w:vMerge w:val="restart"/>
          </w:tcPr>
          <w:p>
            <w:pPr>
              <w:jc w:val="right"/>
              <w:ind w:right="140"/>
              <w:spacing w:after="0" w:line="143" w:lineRule="exact"/>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820" w:type="dxa"/>
            <w:vAlign w:val="bottom"/>
            <w:vMerge w:val="restart"/>
          </w:tcPr>
          <w:p>
            <w:pPr>
              <w:ind w:left="460"/>
              <w:spacing w:after="0" w:line="143" w:lineRule="exact"/>
              <w:rPr>
                <w:sz w:val="20"/>
                <w:szCs w:val="20"/>
                <w:color w:val="auto"/>
              </w:rPr>
            </w:pPr>
            <w:r>
              <w:rPr>
                <w:rFonts w:ascii="Arial" w:cs="Arial" w:eastAsia="Arial" w:hAnsi="Arial"/>
                <w:sz w:val="13"/>
                <w:szCs w:val="13"/>
                <w:color w:val="0000FF"/>
              </w:rPr>
              <w:t>8,000</w:t>
            </w:r>
          </w:p>
        </w:tc>
        <w:tc>
          <w:tcPr>
            <w:tcW w:w="860" w:type="dxa"/>
            <w:vAlign w:val="bottom"/>
            <w:gridSpan w:val="2"/>
            <w:vMerge w:val="continue"/>
          </w:tcPr>
          <w:p>
            <w:pPr>
              <w:spacing w:after="0"/>
              <w:rPr>
                <w:sz w:val="5"/>
                <w:szCs w:val="5"/>
                <w:color w:val="auto"/>
              </w:rPr>
            </w:pPr>
          </w:p>
        </w:tc>
        <w:tc>
          <w:tcPr>
            <w:tcW w:w="74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06/11/2030</w:t>
            </w: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85"/>
              </w:rPr>
              <w:t>79,430</w:t>
            </w:r>
          </w:p>
        </w:tc>
        <w:tc>
          <w:tcPr>
            <w:tcW w:w="280" w:type="dxa"/>
            <w:vAlign w:val="bottom"/>
          </w:tcPr>
          <w:p>
            <w:pPr>
              <w:spacing w:after="0"/>
              <w:rPr>
                <w:sz w:val="5"/>
                <w:szCs w:val="5"/>
                <w:color w:val="auto"/>
              </w:rPr>
            </w:pPr>
          </w:p>
        </w:tc>
        <w:tc>
          <w:tcPr>
            <w:tcW w:w="66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ind w:left="40" w:right="540" w:firstLine="2"/>
        <w:spacing w:after="0" w:line="291"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non-qualified stock options represent the time-based portion of the 2020-2022 Long-Term Incentive Plan award to the Reporting Person. The option vests in four equal installments. 23,858 options became exercisable on June 11, 2021. 23,858 options will become exercisable on April 1, 2022, and 23,857 options will become exercisable on each of April 1, 2023 and April 1, 2024.</w:t>
      </w:r>
    </w:p>
    <w:p>
      <w:pPr>
        <w:spacing w:after="0" w:line="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John F. Cooney</w:t>
            </w:r>
          </w:p>
        </w:tc>
        <w:tc>
          <w:tcPr>
            <w:tcW w:w="760" w:type="dxa"/>
            <w:vAlign w:val="bottom"/>
          </w:tcPr>
          <w:p>
            <w:pPr>
              <w:spacing w:after="0"/>
              <w:rPr>
                <w:sz w:val="20"/>
                <w:szCs w:val="20"/>
                <w:color w:val="auto"/>
              </w:rPr>
            </w:pPr>
            <w:r>
              <w:rPr>
                <w:rFonts w:ascii="Arial" w:cs="Arial" w:eastAsia="Arial" w:hAnsi="Arial"/>
                <w:sz w:val="17"/>
                <w:szCs w:val="17"/>
                <w:color w:val="0000FF"/>
                <w:w w:val="86"/>
              </w:rPr>
              <w:t>01/03/2022</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2022-01-03T15:08:09Z</dcterms:created>
  <dcterms:modified xsi:type="dcterms:W3CDTF">2022-01-03T15:08:09Z</dcterms:modified>
</cp:coreProperties>
</file>