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CANNELL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MERIWETHER CIRCLE</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03/20/2019</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0000FF"/>
                <w:w w:val="94"/>
              </w:rPr>
              <w:t>By</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00" w:type="dxa"/>
            <w:vAlign w:val="bottom"/>
            <w:gridSpan w:val="2"/>
            <w:vMerge w:val="restart"/>
          </w:tcPr>
          <w:p>
            <w:pPr>
              <w:ind w:left="640"/>
              <w:spacing w:after="0"/>
              <w:rPr>
                <w:sz w:val="20"/>
                <w:szCs w:val="20"/>
                <w:color w:val="auto"/>
              </w:rPr>
            </w:pPr>
            <w:r>
              <w:rPr>
                <w:rFonts w:ascii="Arial" w:cs="Arial" w:eastAsia="Arial" w:hAnsi="Arial"/>
                <w:sz w:val="18"/>
                <w:szCs w:val="18"/>
                <w:color w:val="0000FF"/>
              </w:rPr>
              <w:t>03/20/2019</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80"/>
              <w:spacing w:after="0"/>
              <w:rPr>
                <w:sz w:val="20"/>
                <w:szCs w:val="20"/>
                <w:color w:val="auto"/>
              </w:rPr>
            </w:pPr>
            <w:r>
              <w:rPr>
                <w:rFonts w:ascii="Arial" w:cs="Arial" w:eastAsia="Arial" w:hAnsi="Arial"/>
                <w:sz w:val="18"/>
                <w:szCs w:val="18"/>
                <w:color w:val="0000FF"/>
              </w:rPr>
              <w:t>15,812</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2.36</w:t>
            </w:r>
          </w:p>
        </w:tc>
        <w:tc>
          <w:tcPr>
            <w:tcW w:w="1340" w:type="dxa"/>
            <w:vAlign w:val="bottom"/>
            <w:gridSpan w:val="3"/>
            <w:vMerge w:val="restart"/>
          </w:tcPr>
          <w:p>
            <w:pPr>
              <w:ind w:left="340"/>
              <w:spacing w:after="0"/>
              <w:rPr>
                <w:sz w:val="20"/>
                <w:szCs w:val="20"/>
                <w:color w:val="auto"/>
              </w:rPr>
            </w:pPr>
            <w:r>
              <w:rPr>
                <w:rFonts w:ascii="Arial" w:cs="Arial" w:eastAsia="Arial" w:hAnsi="Arial"/>
                <w:sz w:val="18"/>
                <w:szCs w:val="18"/>
                <w:color w:val="0000FF"/>
              </w:rPr>
              <w:t>5,249,595</w:t>
            </w:r>
          </w:p>
        </w:tc>
        <w:tc>
          <w:tcPr>
            <w:tcW w:w="220" w:type="dxa"/>
            <w:vAlign w:val="bottom"/>
          </w:tcPr>
          <w:p>
            <w:pPr>
              <w:spacing w:after="0"/>
              <w:rPr>
                <w:sz w:val="18"/>
                <w:szCs w:val="18"/>
                <w:color w:val="auto"/>
              </w:rPr>
            </w:pPr>
          </w:p>
        </w:tc>
        <w:tc>
          <w:tcPr>
            <w:tcW w:w="660" w:type="dxa"/>
            <w:vAlign w:val="bottom"/>
            <w:vMerge w:val="restart"/>
          </w:tcPr>
          <w:p>
            <w:pPr>
              <w:ind w:left="40"/>
              <w:spacing w:after="0" w:line="386"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4"/>
              </w:rPr>
              <w:t>partnerships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4"/>
              </w:rPr>
              <w:t>corporations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20" w:type="dxa"/>
            <w:vAlign w:val="bottom"/>
          </w:tcPr>
          <w:p>
            <w:pPr>
              <w:spacing w:after="0"/>
              <w:rPr>
                <w:sz w:val="11"/>
                <w:szCs w:val="11"/>
                <w:color w:val="auto"/>
              </w:rPr>
            </w:pP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March 20, 2019, Tonga Partners, LP, Cuttyhunk II Fund. Tristan Partners, LP, and Tristan Offshore Fund, Ltd (collectively the "Cannell Investment Vehicles") owned in the aggregate 5,249,595 shares of the common stock of Destination XL Group, Inc.</w:t>
      </w:r>
    </w:p>
    <w:p>
      <w:pPr>
        <w:spacing w:after="0" w:line="30" w:lineRule="exact"/>
        <w:rPr>
          <w:rFonts w:ascii="Arial" w:cs="Arial" w:eastAsia="Arial" w:hAnsi="Arial"/>
          <w:sz w:val="14"/>
          <w:szCs w:val="14"/>
          <w:color w:val="008000"/>
        </w:rPr>
      </w:pPr>
    </w:p>
    <w:p>
      <w:pPr>
        <w:ind w:left="40" w:right="28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March 20, 2019, Mr. Cannell beneficially owns 5,249,595 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03/22/2019</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2019-12-23T19:48:00Z</dcterms:created>
  <dcterms:modified xsi:type="dcterms:W3CDTF">2019-12-23T19:48:00Z</dcterms:modified>
</cp:coreProperties>
</file>