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162560</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182880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Pursuant to Section 13 or 15(d)</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31, 2015</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168910</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DESTINATION XL GROUP, INC.</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164465</wp:posOffset>
            </wp:positionV>
            <wp:extent cx="144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540" w:type="dxa"/>
        <w:tblCellMar>
          <w:top w:w="0" w:type="dxa"/>
          <w:left w:w="0" w:type="dxa"/>
          <w:bottom w:w="0" w:type="dxa"/>
          <w:right w:w="0" w:type="dxa"/>
        </w:tblCellMar>
      </w:tblPr>
      <w:tr>
        <w:trPr>
          <w:trHeight w:val="210"/>
        </w:trPr>
        <w:tc>
          <w:tcPr>
            <w:tcW w:w="2920" w:type="dxa"/>
            <w:vAlign w:val="bottom"/>
          </w:tcPr>
          <w:p>
            <w:pPr>
              <w:jc w:val="center"/>
              <w:ind w:right="28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42"/>
              <w:spacing w:after="0"/>
              <w:rPr>
                <w:sz w:val="20"/>
                <w:szCs w:val="20"/>
                <w:color w:val="auto"/>
              </w:rPr>
            </w:pPr>
            <w:r>
              <w:rPr>
                <w:rFonts w:ascii="Arial" w:cs="Arial" w:eastAsia="Arial" w:hAnsi="Arial"/>
                <w:sz w:val="18"/>
                <w:szCs w:val="18"/>
                <w:b w:val="1"/>
                <w:bCs w:val="1"/>
                <w:color w:val="auto"/>
              </w:rPr>
              <w:t>04-2623104</w:t>
            </w:r>
          </w:p>
        </w:tc>
      </w:tr>
      <w:tr>
        <w:trPr>
          <w:trHeight w:val="147"/>
        </w:trPr>
        <w:tc>
          <w:tcPr>
            <w:tcW w:w="292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4700" w:type="dxa"/>
            <w:vAlign w:val="bottom"/>
          </w:tcPr>
          <w:p>
            <w:pPr>
              <w:jc w:val="center"/>
              <w:ind w:left="350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5"/>
        </w:trPr>
        <w:tc>
          <w:tcPr>
            <w:tcW w:w="2920" w:type="dxa"/>
            <w:vAlign w:val="bottom"/>
          </w:tcPr>
          <w:p>
            <w:pPr>
              <w:jc w:val="center"/>
              <w:ind w:right="302"/>
              <w:spacing w:after="0"/>
              <w:rPr>
                <w:sz w:val="20"/>
                <w:szCs w:val="20"/>
                <w:color w:val="auto"/>
              </w:rPr>
            </w:pPr>
            <w:r>
              <w:rPr>
                <w:rFonts w:ascii="Arial" w:cs="Arial" w:eastAsia="Arial" w:hAnsi="Arial"/>
                <w:sz w:val="14"/>
                <w:szCs w:val="14"/>
                <w:b w:val="1"/>
                <w:bCs w:val="1"/>
                <w:color w:val="auto"/>
                <w:w w:val="93"/>
              </w:rPr>
              <w:t>incorporation or organization)</w:t>
            </w:r>
          </w:p>
        </w:tc>
        <w:tc>
          <w:tcPr>
            <w:tcW w:w="4700" w:type="dxa"/>
            <w:vAlign w:val="bottom"/>
          </w:tcPr>
          <w:p>
            <w:pPr>
              <w:jc w:val="center"/>
              <w:ind w:left="3502"/>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2920" w:type="dxa"/>
            <w:vAlign w:val="bottom"/>
          </w:tcPr>
          <w:p>
            <w:pPr>
              <w:jc w:val="center"/>
              <w:ind w:right="282"/>
              <w:spacing w:after="0"/>
              <w:rPr>
                <w:sz w:val="20"/>
                <w:szCs w:val="20"/>
                <w:color w:val="auto"/>
              </w:rPr>
            </w:pPr>
            <w:r>
              <w:rPr>
                <w:rFonts w:ascii="Arial" w:cs="Arial" w:eastAsia="Arial" w:hAnsi="Arial"/>
                <w:sz w:val="18"/>
                <w:szCs w:val="18"/>
                <w:b w:val="1"/>
                <w:bCs w:val="1"/>
                <w:color w:val="auto"/>
                <w:w w:val="92"/>
              </w:rPr>
              <w:t>555 Turnpike Street, Canton, MA</w:t>
            </w:r>
          </w:p>
        </w:tc>
        <w:tc>
          <w:tcPr>
            <w:tcW w:w="4700" w:type="dxa"/>
            <w:vAlign w:val="bottom"/>
          </w:tcPr>
          <w:p>
            <w:pPr>
              <w:jc w:val="right"/>
              <w:ind w:right="262"/>
              <w:spacing w:after="0"/>
              <w:rPr>
                <w:sz w:val="20"/>
                <w:szCs w:val="20"/>
                <w:color w:val="auto"/>
              </w:rPr>
            </w:pPr>
            <w:r>
              <w:rPr>
                <w:rFonts w:ascii="Arial" w:cs="Arial" w:eastAsia="Arial" w:hAnsi="Arial"/>
                <w:sz w:val="18"/>
                <w:szCs w:val="18"/>
                <w:b w:val="1"/>
                <w:bCs w:val="1"/>
                <w:color w:val="auto"/>
              </w:rPr>
              <w:t>02021</w:t>
            </w:r>
          </w:p>
        </w:tc>
      </w:tr>
      <w:tr>
        <w:trPr>
          <w:trHeight w:val="185"/>
        </w:trPr>
        <w:tc>
          <w:tcPr>
            <w:tcW w:w="2920" w:type="dxa"/>
            <w:vAlign w:val="bottom"/>
          </w:tcPr>
          <w:p>
            <w:pPr>
              <w:jc w:val="center"/>
              <w:ind w:right="282"/>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4700" w:type="dxa"/>
            <w:vAlign w:val="bottom"/>
          </w:tcPr>
          <w:p>
            <w:pPr>
              <w:jc w:val="center"/>
              <w:ind w:left="3522"/>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2920" w:type="dxa"/>
            <w:vAlign w:val="bottom"/>
          </w:tcPr>
          <w:p>
            <w:pPr>
              <w:spacing w:after="0"/>
              <w:rPr>
                <w:sz w:val="24"/>
                <w:szCs w:val="24"/>
                <w:color w:val="auto"/>
              </w:rPr>
            </w:pPr>
          </w:p>
        </w:tc>
        <w:tc>
          <w:tcPr>
            <w:tcW w:w="4700" w:type="dxa"/>
            <w:vAlign w:val="bottom"/>
          </w:tcPr>
          <w:p>
            <w:pPr>
              <w:jc w:val="center"/>
              <w:ind w:right="2102"/>
              <w:spacing w:after="0"/>
              <w:rPr>
                <w:sz w:val="20"/>
                <w:szCs w:val="20"/>
                <w:color w:val="auto"/>
              </w:rPr>
            </w:pPr>
            <w:r>
              <w:rPr>
                <w:rFonts w:ascii="Arial" w:cs="Arial" w:eastAsia="Arial" w:hAnsi="Arial"/>
                <w:sz w:val="18"/>
                <w:szCs w:val="18"/>
                <w:b w:val="1"/>
                <w:bCs w:val="1"/>
                <w:color w:val="auto"/>
                <w:w w:val="90"/>
              </w:rPr>
              <w:t>(781) 828-9300</w:t>
            </w:r>
          </w:p>
        </w:tc>
      </w:tr>
      <w:tr>
        <w:trPr>
          <w:trHeight w:val="147"/>
        </w:trPr>
        <w:tc>
          <w:tcPr>
            <w:tcW w:w="2920" w:type="dxa"/>
            <w:vAlign w:val="bottom"/>
          </w:tcPr>
          <w:p>
            <w:pPr>
              <w:spacing w:after="0"/>
              <w:rPr>
                <w:sz w:val="12"/>
                <w:szCs w:val="12"/>
                <w:color w:val="auto"/>
              </w:rPr>
            </w:pPr>
          </w:p>
        </w:tc>
        <w:tc>
          <w:tcPr>
            <w:tcW w:w="4700" w:type="dxa"/>
            <w:vAlign w:val="bottom"/>
          </w:tcPr>
          <w:p>
            <w:pPr>
              <w:jc w:val="center"/>
              <w:ind w:right="2102"/>
              <w:spacing w:after="0" w:line="147" w:lineRule="exact"/>
              <w:rPr>
                <w:sz w:val="20"/>
                <w:szCs w:val="20"/>
                <w:color w:val="auto"/>
              </w:rPr>
            </w:pPr>
            <w:r>
              <w:rPr>
                <w:rFonts w:ascii="Arial" w:cs="Arial" w:eastAsia="Arial" w:hAnsi="Arial"/>
                <w:sz w:val="14"/>
                <w:szCs w:val="14"/>
                <w:b w:val="1"/>
                <w:bCs w:val="1"/>
                <w:color w:val="auto"/>
                <w:w w:val="89"/>
              </w:rPr>
              <w:t>(Registrant’s telephone</w:t>
            </w:r>
          </w:p>
        </w:tc>
      </w:tr>
      <w:tr>
        <w:trPr>
          <w:trHeight w:val="185"/>
        </w:trPr>
        <w:tc>
          <w:tcPr>
            <w:tcW w:w="2920" w:type="dxa"/>
            <w:vAlign w:val="bottom"/>
          </w:tcPr>
          <w:p>
            <w:pPr>
              <w:spacing w:after="0"/>
              <w:rPr>
                <w:sz w:val="16"/>
                <w:szCs w:val="16"/>
                <w:color w:val="auto"/>
              </w:rPr>
            </w:pPr>
          </w:p>
        </w:tc>
        <w:tc>
          <w:tcPr>
            <w:tcW w:w="4700" w:type="dxa"/>
            <w:vAlign w:val="bottom"/>
          </w:tcPr>
          <w:p>
            <w:pPr>
              <w:jc w:val="center"/>
              <w:ind w:right="2122"/>
              <w:spacing w:after="0"/>
              <w:rPr>
                <w:sz w:val="20"/>
                <w:szCs w:val="20"/>
                <w:color w:val="auto"/>
              </w:rPr>
            </w:pPr>
            <w:r>
              <w:rPr>
                <w:rFonts w:ascii="Arial" w:cs="Arial" w:eastAsia="Arial" w:hAnsi="Arial"/>
                <w:sz w:val="14"/>
                <w:szCs w:val="14"/>
                <w:b w:val="1"/>
                <w:bCs w:val="1"/>
                <w:color w:val="auto"/>
                <w:w w:val="91"/>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151765</wp:posOffset>
            </wp:positionV>
            <wp:extent cx="1442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both"/>
        <w:ind w:right="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right="300"/>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2520" w:type="dxa"/>
            <w:vAlign w:val="bottom"/>
          </w:tcPr>
          <w:p>
            <w:pPr>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604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2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428"/>
        </w:trPr>
        <w:tc>
          <w:tcPr>
            <w:tcW w:w="810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8100" w:type="dxa"/>
            <w:vAlign w:val="bottom"/>
            <w:gridSpan w:val="2"/>
          </w:tcPr>
          <w:p>
            <w:pPr>
              <w:spacing w:after="0"/>
              <w:rPr>
                <w:sz w:val="20"/>
                <w:szCs w:val="20"/>
                <w:color w:val="auto"/>
              </w:rPr>
            </w:pPr>
            <w:r>
              <w:rPr>
                <w:rFonts w:ascii="Arial" w:cs="Arial" w:eastAsia="Arial" w:hAnsi="Arial"/>
                <w:sz w:val="18"/>
                <w:szCs w:val="18"/>
                <w:color w:val="auto"/>
                <w:w w:val="91"/>
              </w:rPr>
              <w:t>The number of shares of the registrant’s common stock outstanding as of November 16, 2015 was 50,812,682.</w:t>
            </w:r>
          </w:p>
        </w:tc>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6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206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October 31, 2015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January 31, 2015</w:t>
            </w:r>
          </w:p>
        </w:tc>
      </w:tr>
      <w:tr>
        <w:trPr>
          <w:trHeight w:val="166"/>
        </w:trPr>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2014)</w:t>
            </w:r>
          </w:p>
        </w:tc>
      </w:tr>
      <w:tr>
        <w:trPr>
          <w:trHeight w:val="154"/>
        </w:trPr>
        <w:tc>
          <w:tcPr>
            <w:tcW w:w="8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3,619</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115,220</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Borders>
              <w:bottom w:val="single" w:sz="8" w:color="CFF0FC"/>
            </w:tcBorders>
          </w:tcPr>
          <w:p>
            <w:pPr>
              <w:spacing w:after="0"/>
              <w:rPr>
                <w:sz w:val="19"/>
                <w:szCs w:val="19"/>
                <w:color w:val="auto"/>
              </w:rPr>
            </w:pPr>
          </w:p>
        </w:tc>
      </w:tr>
      <w:tr>
        <w:trPr>
          <w:trHeight w:val="221"/>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132,338</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120,328</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80" w:type="dxa"/>
            <w:vAlign w:val="bottom"/>
            <w:shd w:val="clear" w:color="auto" w:fill="CFF0FC"/>
          </w:tcPr>
          <w:p>
            <w:pPr>
              <w:spacing w:after="0"/>
              <w:rPr>
                <w:sz w:val="19"/>
                <w:szCs w:val="19"/>
                <w:color w:val="auto"/>
              </w:rPr>
            </w:pPr>
          </w:p>
        </w:tc>
      </w:tr>
      <w:tr>
        <w:trPr>
          <w:trHeight w:val="260"/>
        </w:trPr>
        <w:tc>
          <w:tcPr>
            <w:tcW w:w="8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288,120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259,881</w:t>
            </w:r>
          </w:p>
        </w:tc>
        <w:tc>
          <w:tcPr>
            <w:tcW w:w="80" w:type="dxa"/>
            <w:vAlign w:val="bottom"/>
            <w:tcBorders>
              <w:bottom w:val="single" w:sz="8" w:color="CFF0FC"/>
            </w:tcBorders>
          </w:tcPr>
          <w:p>
            <w:pPr>
              <w:spacing w:after="0"/>
              <w:rPr>
                <w:sz w:val="22"/>
                <w:szCs w:val="22"/>
                <w:color w:val="auto"/>
              </w:rPr>
            </w:pPr>
          </w:p>
        </w:tc>
      </w:tr>
      <w:tr>
        <w:trPr>
          <w:trHeight w:val="208"/>
        </w:trPr>
        <w:tc>
          <w:tcPr>
            <w:tcW w:w="8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7"/>
        </w:trPr>
        <w:tc>
          <w:tcPr>
            <w:tcW w:w="80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7,332</w:t>
            </w:r>
          </w:p>
        </w:tc>
        <w:tc>
          <w:tcPr>
            <w:tcW w:w="140" w:type="dxa"/>
            <w:vAlign w:val="bottom"/>
          </w:tcPr>
          <w:p>
            <w:pPr>
              <w:spacing w:after="0"/>
              <w:rPr>
                <w:sz w:val="19"/>
                <w:szCs w:val="19"/>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7,335</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gain on sale-leaseback</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29,979</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31,972</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Borrowings under credit facility</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w:t>
            </w:r>
          </w:p>
        </w:tc>
        <w:tc>
          <w:tcPr>
            <w:tcW w:w="80" w:type="dxa"/>
            <w:vAlign w:val="bottom"/>
            <w:tcBorders>
              <w:bottom w:val="single" w:sz="8" w:color="CFF0FC"/>
            </w:tcBorders>
          </w:tcPr>
          <w:p>
            <w:pPr>
              <w:spacing w:after="0"/>
              <w:rPr>
                <w:sz w:val="19"/>
                <w:szCs w:val="19"/>
                <w:color w:val="auto"/>
              </w:rPr>
            </w:pPr>
          </w:p>
        </w:tc>
      </w:tr>
      <w:tr>
        <w:trPr>
          <w:trHeight w:val="221"/>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89,568</w:t>
            </w:r>
          </w:p>
        </w:tc>
        <w:tc>
          <w:tcPr>
            <w:tcW w:w="80" w:type="dxa"/>
            <w:vAlign w:val="bottom"/>
            <w:shd w:val="clear" w:color="auto" w:fill="CFF0FC"/>
          </w:tcPr>
          <w:p>
            <w:pPr>
              <w:spacing w:after="0"/>
              <w:rPr>
                <w:sz w:val="19"/>
                <w:szCs w:val="19"/>
                <w:color w:val="auto"/>
              </w:rPr>
            </w:pPr>
          </w:p>
        </w:tc>
      </w:tr>
      <w:tr>
        <w:trPr>
          <w:trHeight w:val="221"/>
        </w:trPr>
        <w:tc>
          <w:tcPr>
            <w:tcW w:w="8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and lease incentives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Deferred gain on sale-leaseback, net of current portion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14,654</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80" w:type="dxa"/>
            <w:vAlign w:val="bottom"/>
            <w:tcBorders>
              <w:bottom w:val="single" w:sz="8" w:color="CFF0FC"/>
            </w:tcBorders>
          </w:tcPr>
          <w:p>
            <w:pPr>
              <w:spacing w:after="0"/>
              <w:rPr>
                <w:sz w:val="19"/>
                <w:szCs w:val="19"/>
                <w:color w:val="auto"/>
              </w:rPr>
            </w:pPr>
          </w:p>
        </w:tc>
      </w:tr>
      <w:tr>
        <w:trPr>
          <w:trHeight w:val="221"/>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77,923</w:t>
            </w:r>
          </w:p>
        </w:tc>
        <w:tc>
          <w:tcPr>
            <w:tcW w:w="80" w:type="dxa"/>
            <w:vAlign w:val="bottom"/>
            <w:shd w:val="clear" w:color="auto" w:fill="CFF0FC"/>
          </w:tcPr>
          <w:p>
            <w:pPr>
              <w:spacing w:after="0"/>
              <w:rPr>
                <w:sz w:val="19"/>
                <w:szCs w:val="19"/>
                <w:color w:val="auto"/>
              </w:rPr>
            </w:pPr>
          </w:p>
        </w:tc>
      </w:tr>
      <w:tr>
        <w:trPr>
          <w:trHeight w:val="221"/>
        </w:trPr>
        <w:tc>
          <w:tcPr>
            <w:tcW w:w="8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$0.01 par value, 100,000,000 shares authorized, 61,657,855 and 61,560,544 shares issued</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 October 31, 2015 and January 31, 2015, respectively</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19"/>
                <w:szCs w:val="19"/>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301,976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299,892</w:t>
            </w:r>
          </w:p>
        </w:tc>
        <w:tc>
          <w:tcPr>
            <w:tcW w:w="80" w:type="dxa"/>
            <w:vAlign w:val="bottom"/>
          </w:tcPr>
          <w:p>
            <w:pPr>
              <w:spacing w:after="0"/>
              <w:rPr>
                <w:sz w:val="19"/>
                <w:szCs w:val="19"/>
                <w:color w:val="auto"/>
              </w:rPr>
            </w:pP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10,877,439 shares at October 31, 2015 and January 31, 2015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(87,977)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(87,977)</w:t>
            </w: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(118,928)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(111,903)</w:t>
            </w:r>
          </w:p>
        </w:tc>
      </w:tr>
      <w:tr>
        <w:trPr>
          <w:trHeight w:val="227"/>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(7,439)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(8,238)</w:t>
            </w:r>
          </w:p>
        </w:tc>
      </w:tr>
      <w:tr>
        <w:trPr>
          <w:trHeight w:val="220"/>
        </w:trPr>
        <w:tc>
          <w:tcPr>
            <w:tcW w:w="8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80" w:type="dxa"/>
            <w:vAlign w:val="bottom"/>
            <w:tcBorders>
              <w:bottom w:val="single" w:sz="8" w:color="CFF0FC"/>
            </w:tcBorders>
          </w:tcPr>
          <w:p>
            <w:pPr>
              <w:spacing w:after="0"/>
              <w:rPr>
                <w:sz w:val="19"/>
                <w:szCs w:val="19"/>
                <w:color w:val="auto"/>
              </w:rPr>
            </w:pPr>
          </w:p>
        </w:tc>
      </w:tr>
      <w:tr>
        <w:trPr>
          <w:trHeight w:val="221"/>
        </w:trPr>
        <w:tc>
          <w:tcPr>
            <w:tcW w:w="80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288,120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DESTINATION XL GROUP,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per share data)</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6"/>
          </w:tcPr>
          <w:p>
            <w:pPr>
              <w:jc w:val="right"/>
              <w:ind w:right="500"/>
              <w:spacing w:after="0"/>
              <w:rPr>
                <w:sz w:val="20"/>
                <w:szCs w:val="20"/>
                <w:color w:val="auto"/>
              </w:rPr>
            </w:pPr>
            <w:r>
              <w:rPr>
                <w:rFonts w:ascii="Arial" w:cs="Arial" w:eastAsia="Arial" w:hAnsi="Arial"/>
                <w:sz w:val="14"/>
                <w:szCs w:val="14"/>
                <w:color w:val="auto"/>
              </w:rPr>
              <w:t>For the 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jc w:val="right"/>
              <w:ind w:right="5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October 31, 2015</w:t>
            </w:r>
          </w:p>
        </w:tc>
        <w:tc>
          <w:tcPr>
            <w:tcW w:w="40" w:type="dxa"/>
            <w:vAlign w:val="bottom"/>
          </w:tcPr>
          <w:p>
            <w:pPr>
              <w:spacing w:after="0"/>
              <w:rPr>
                <w:sz w:val="19"/>
                <w:szCs w:val="19"/>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November 1, 2014</w:t>
            </w:r>
          </w:p>
        </w:tc>
        <w:tc>
          <w:tcPr>
            <w:tcW w:w="8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color w:val="auto"/>
                <w:w w:val="94"/>
              </w:rPr>
              <w:t>October 31, 2015</w:t>
            </w:r>
          </w:p>
        </w:tc>
        <w:tc>
          <w:tcPr>
            <w:tcW w:w="8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w w:val="92"/>
              </w:rPr>
              <w:t>November 1,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3"/>
              </w:rPr>
              <w:t>(Fiscal 2015)</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w w:val="98"/>
              </w:rPr>
              <w:t>(Fiscal 2014)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6"/>
              </w:rPr>
              <w:t>(Fiscal 2015)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w w:val="96"/>
              </w:rPr>
              <w:t>(Fiscal 2014)</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318,177</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54,761</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171,191</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146,986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126,601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from continuing operations before provision for income taxes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(5,472)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(5,472)</w:t>
            </w:r>
          </w:p>
        </w:tc>
        <w:tc>
          <w:tcPr>
            <w:tcW w:w="200" w:type="dxa"/>
            <w:vAlign w:val="bottom"/>
            <w:gridSpan w:val="2"/>
          </w:tcPr>
          <w:p>
            <w:pPr>
              <w:jc w:val="right"/>
              <w:ind w:right="9"/>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(6,281)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9"/>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68580</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020"/>
          </w:cols>
          <w:pgMar w:left="420" w:top="125"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5"/>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4"/>
                <w:szCs w:val="14"/>
                <w:color w:val="auto"/>
              </w:rPr>
              <w:t>For the Nine Months Ended</w:t>
            </w:r>
          </w:p>
        </w:tc>
      </w:tr>
      <w:tr>
        <w:trPr>
          <w:trHeight w:val="174"/>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w w:val="96"/>
              </w:rPr>
              <w:t>October 31, 2015</w:t>
            </w:r>
          </w:p>
        </w:tc>
        <w:tc>
          <w:tcPr>
            <w:tcW w:w="140" w:type="dxa"/>
            <w:vAlign w:val="bottom"/>
          </w:tcPr>
          <w:p>
            <w:pPr>
              <w:spacing w:after="0"/>
              <w:rPr>
                <w:sz w:val="15"/>
                <w:szCs w:val="15"/>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November 1, 2014</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October 31, 2015</w:t>
            </w: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November 1, 2014</w:t>
            </w:r>
          </w:p>
        </w:tc>
      </w:tr>
      <w:tr>
        <w:trPr>
          <w:trHeight w:val="166"/>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1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2014)</w:t>
            </w: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(Fiscal 2015)</w:t>
            </w:r>
          </w:p>
        </w:tc>
        <w:tc>
          <w:tcPr>
            <w:tcW w:w="16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(Fiscal 2014)</w:t>
            </w:r>
          </w:p>
        </w:tc>
      </w:tr>
      <w:tr>
        <w:trPr>
          <w:trHeight w:val="221"/>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(13,849)</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44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27"/>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plan</w:t>
            </w: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spacing w:after="0"/>
              <w:rPr>
                <w:sz w:val="19"/>
                <w:szCs w:val="19"/>
                <w:color w:val="auto"/>
              </w:rPr>
            </w:pPr>
          </w:p>
        </w:tc>
      </w:tr>
      <w:tr>
        <w:trPr>
          <w:trHeight w:val="220"/>
        </w:trPr>
        <w:tc>
          <w:tcPr>
            <w:tcW w:w="544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taxes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r>
      <w:tr>
        <w:trPr>
          <w:trHeight w:val="21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w w:val="96"/>
              </w:rPr>
              <w:t>Tax (provision) benefit related to items of other comprehensive income</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(loss)</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0" w:type="dxa"/>
            <w:vAlign w:val="bottom"/>
            <w:tcBorders>
              <w:bottom w:val="single" w:sz="8" w:color="CFF0FC"/>
            </w:tcBorders>
          </w:tcPr>
          <w:p>
            <w:pPr>
              <w:spacing w:after="0"/>
              <w:rPr>
                <w:sz w:val="19"/>
                <w:szCs w:val="19"/>
                <w:color w:val="auto"/>
              </w:rPr>
            </w:pPr>
          </w:p>
        </w:tc>
      </w:tr>
      <w:tr>
        <w:trPr>
          <w:trHeight w:val="221"/>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0"/>
        </w:trPr>
        <w:tc>
          <w:tcPr>
            <w:tcW w:w="4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10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Paid-in</w:t>
            </w:r>
          </w:p>
        </w:tc>
        <w:tc>
          <w:tcPr>
            <w:tcW w:w="1720" w:type="dxa"/>
            <w:vAlign w:val="bottom"/>
            <w:gridSpan w:val="4"/>
          </w:tcPr>
          <w:p>
            <w:pPr>
              <w:jc w:val="right"/>
              <w:ind w:right="422"/>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3"/>
                <w:szCs w:val="13"/>
                <w:color w:val="auto"/>
              </w:rPr>
            </w:pPr>
          </w:p>
        </w:tc>
        <w:tc>
          <w:tcPr>
            <w:tcW w:w="900" w:type="dxa"/>
            <w:vAlign w:val="bottom"/>
            <w:gridSpan w:val="2"/>
          </w:tcPr>
          <w:p>
            <w:pPr>
              <w:jc w:val="right"/>
              <w:ind w:right="62"/>
              <w:spacing w:after="0"/>
              <w:rPr>
                <w:sz w:val="20"/>
                <w:szCs w:val="20"/>
                <w:color w:val="auto"/>
              </w:rPr>
            </w:pPr>
            <w:r>
              <w:rPr>
                <w:rFonts w:ascii="Arial" w:cs="Arial" w:eastAsia="Arial" w:hAnsi="Arial"/>
                <w:sz w:val="14"/>
                <w:szCs w:val="14"/>
                <w:color w:val="auto"/>
                <w:w w:val="91"/>
              </w:rPr>
              <w:t>Accumulated</w:t>
            </w:r>
          </w:p>
        </w:tc>
        <w:tc>
          <w:tcPr>
            <w:tcW w:w="112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6"/>
        </w:trPr>
        <w:tc>
          <w:tcPr>
            <w:tcW w:w="41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Amounts</w:t>
            </w:r>
          </w:p>
        </w:tc>
        <w:tc>
          <w:tcPr>
            <w:tcW w:w="2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Capital</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Amounts</w:t>
            </w:r>
          </w:p>
        </w:tc>
        <w:tc>
          <w:tcPr>
            <w:tcW w:w="80" w:type="dxa"/>
            <w:vAlign w:val="bottom"/>
          </w:tcPr>
          <w:p>
            <w:pPr>
              <w:spacing w:after="0"/>
              <w:rPr>
                <w:sz w:val="14"/>
                <w:szCs w:val="14"/>
                <w:color w:val="auto"/>
              </w:rPr>
            </w:pPr>
          </w:p>
        </w:tc>
        <w:tc>
          <w:tcPr>
            <w:tcW w:w="900" w:type="dxa"/>
            <w:vAlign w:val="bottom"/>
            <w:gridSpan w:val="2"/>
          </w:tcPr>
          <w:p>
            <w:pPr>
              <w:jc w:val="right"/>
              <w:ind w:right="242"/>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Income (Loss)</w:t>
            </w: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221"/>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31, 2015</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61,561</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616</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$ 299,892</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(10,877)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0"/>
              </w:rPr>
              <w:t>$ (87,977)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 (111,903)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$ 92,390</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FF0FC"/>
          </w:tcPr>
          <w:p>
            <w:pPr>
              <w:spacing w:after="0"/>
              <w:rPr>
                <w:sz w:val="19"/>
                <w:szCs w:val="19"/>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FF0FC"/>
          </w:tcPr>
          <w:p>
            <w:pPr>
              <w:spacing w:after="0"/>
              <w:rPr>
                <w:sz w:val="19"/>
                <w:szCs w:val="19"/>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8"/>
                <w:szCs w:val="18"/>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8"/>
                <w:szCs w:val="18"/>
                <w:color w:val="auto"/>
                <w:w w:val="99"/>
              </w:rPr>
              <w:t>Unrecognized gain associated with pension plan</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r>
      <w:tr>
        <w:trPr>
          <w:trHeight w:val="227"/>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2"/>
              <w:spacing w:after="0"/>
              <w:rPr>
                <w:sz w:val="20"/>
                <w:szCs w:val="20"/>
                <w:color w:val="auto"/>
              </w:rPr>
            </w:pPr>
            <w:r>
              <w:rPr>
                <w:rFonts w:ascii="Arial" w:cs="Arial" w:eastAsia="Arial" w:hAnsi="Arial"/>
                <w:sz w:val="18"/>
                <w:szCs w:val="18"/>
                <w:color w:val="auto"/>
              </w:rPr>
              <w:t>(7,025)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(7,025)</w:t>
            </w:r>
          </w:p>
        </w:tc>
      </w:tr>
      <w:tr>
        <w:trPr>
          <w:trHeight w:val="221"/>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October 31, 2015</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$ 301,976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6"/>
              </w:rPr>
              <w:t>$ (87,977</w:t>
            </w:r>
          </w:p>
        </w:tc>
        <w:tc>
          <w:tcPr>
            <w:tcW w:w="140" w:type="dxa"/>
            <w:vAlign w:val="bottom"/>
            <w:tcBorders>
              <w:top w:val="single" w:sz="8" w:color="CFF0FC"/>
              <w:bottom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(118,928</w:t>
            </w:r>
          </w:p>
        </w:tc>
        <w:tc>
          <w:tcPr>
            <w:tcW w:w="140" w:type="dxa"/>
            <w:vAlign w:val="bottom"/>
            <w:tcBorders>
              <w:top w:val="single" w:sz="8" w:color="CFF0FC"/>
              <w:bottom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$ 88,249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jc w:val="right"/>
              <w:ind w:right="98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0"/>
        </w:trPr>
        <w:tc>
          <w:tcPr>
            <w:tcW w:w="7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color w:val="auto"/>
                <w:w w:val="97"/>
              </w:rPr>
              <w:t>October 31, 2015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November 1, 2014</w:t>
            </w:r>
          </w:p>
        </w:tc>
        <w:tc>
          <w:tcPr>
            <w:tcW w:w="0" w:type="dxa"/>
            <w:vAlign w:val="bottom"/>
          </w:tcPr>
          <w:p>
            <w:pPr>
              <w:spacing w:after="0"/>
              <w:rPr>
                <w:sz w:val="1"/>
                <w:szCs w:val="1"/>
                <w:color w:val="auto"/>
              </w:rPr>
            </w:pPr>
          </w:p>
        </w:tc>
      </w:tr>
      <w:tr>
        <w:trPr>
          <w:trHeight w:val="166"/>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221"/>
        </w:trPr>
        <w:tc>
          <w:tcPr>
            <w:tcW w:w="7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(7,025)</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(13,849)</w:t>
            </w: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for operating activities: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(1,099)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Issuance of common stock to Board of Directors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(18,092)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(20,847)</w:t>
            </w: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(572)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(4,400)</w:t>
            </w: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operating activities</w:t>
            </w: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(5,051)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(15,376)</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(25,352)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(30,835)</w:t>
            </w:r>
          </w:p>
        </w:tc>
        <w:tc>
          <w:tcPr>
            <w:tcW w:w="0" w:type="dxa"/>
            <w:vAlign w:val="bottom"/>
          </w:tcPr>
          <w:p>
            <w:pPr>
              <w:spacing w:after="0"/>
              <w:rPr>
                <w:sz w:val="1"/>
                <w:szCs w:val="1"/>
                <w:color w:val="auto"/>
              </w:rPr>
            </w:pPr>
          </w:p>
        </w:tc>
      </w:tr>
      <w:tr>
        <w:trPr>
          <w:trHeight w:val="20"/>
        </w:trPr>
        <w:tc>
          <w:tcPr>
            <w:tcW w:w="79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(25,352)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(30,835)</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Proceeds from the exercise of stock options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the issuance of long-term debt</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500"/>
              <w:spacing w:after="0"/>
              <w:rPr>
                <w:sz w:val="20"/>
                <w:szCs w:val="20"/>
                <w:color w:val="auto"/>
              </w:rPr>
            </w:pPr>
            <w:r>
              <w:rPr>
                <w:rFonts w:ascii="Arial" w:cs="Arial" w:eastAsia="Arial" w:hAnsi="Arial"/>
                <w:sz w:val="16"/>
                <w:szCs w:val="16"/>
                <w:color w:val="auto"/>
              </w:rPr>
              <w:t>Principal payments on long-term debt</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(5,624)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Costs associated with debt issuances</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1"/>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borrowings under credit facility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8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Beginning of period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End of period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2015 included in the Company’s Annual Report on Form 10-K, which was filed with the Securities and Exchange Commission on March 25, 2015.</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77"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2015 and fiscal 2014 are 52-week periods ending January 30, 2016 and January 31, 2015,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ShoesXL</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historically presented deferred debt issuance costs, or fees directly related to issuing debt, as assets on the consolidated balance sheets. In the first quarter of fiscal 2015, the Company elected early adoption of ASU 2015−03, “</w:t>
      </w:r>
      <w:r>
        <w:rPr>
          <w:rFonts w:ascii="Arial" w:cs="Arial" w:eastAsia="Arial" w:hAnsi="Arial"/>
          <w:sz w:val="17"/>
          <w:szCs w:val="17"/>
          <w:i w:val="1"/>
          <w:iCs w:val="1"/>
          <w:color w:val="auto"/>
        </w:rPr>
        <w:t>Interest − Imputation of Interest (Subtopic 835−30),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of Debt Issuance Costs” </w:t>
      </w:r>
      <w:r>
        <w:rPr>
          <w:rFonts w:ascii="Arial" w:cs="Arial" w:eastAsia="Arial" w:hAnsi="Arial"/>
          <w:sz w:val="17"/>
          <w:szCs w:val="17"/>
          <w:color w:val="auto"/>
        </w:rPr>
        <w:t>(ASU 2015-03). The guidance simplifies the presentation of debt issuance costs by requiring debt issuance costs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as a deduction from the corresponding liability, consistent with debt discounts. The recognition and measurement guidance for debt issuance costs is not affected. Therefore, these costs will continue to be amortized as interest expense over the term of the corresponding debt issuance. The Company applied the new guidance retrospectively to all prior periods presented in the financial statements.</w:t>
      </w:r>
    </w:p>
    <w:p>
      <w:pPr>
        <w:spacing w:after="0" w:line="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reclassification did not impact net income (loss) previously reported or any prior amounts reported on the Consolidated Statements of Operations. The following table presents the effect of the retrospective application of this change in accounting principle on the Company’s Consolidated Balance Sheets as of January 31, 2015.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94"/>
              <w:spacing w:after="0"/>
              <w:rPr>
                <w:sz w:val="20"/>
                <w:szCs w:val="20"/>
                <w:color w:val="auto"/>
              </w:rPr>
            </w:pPr>
            <w:r>
              <w:rPr>
                <w:rFonts w:ascii="Arial" w:cs="Arial" w:eastAsia="Arial" w:hAnsi="Arial"/>
                <w:sz w:val="14"/>
                <w:szCs w:val="14"/>
                <w:color w:val="auto"/>
              </w:rPr>
              <w:t>As Reported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color w:val="auto"/>
              </w:rPr>
              <w:t>Effect of Change in</w:t>
            </w:r>
          </w:p>
        </w:tc>
        <w:tc>
          <w:tcPr>
            <w:tcW w:w="16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After Change in</w:t>
            </w:r>
          </w:p>
        </w:tc>
        <w:tc>
          <w:tcPr>
            <w:tcW w:w="0" w:type="dxa"/>
            <w:vAlign w:val="bottom"/>
          </w:tcPr>
          <w:p>
            <w:pPr>
              <w:spacing w:after="0"/>
              <w:rPr>
                <w:sz w:val="1"/>
                <w:szCs w:val="1"/>
                <w:color w:val="auto"/>
              </w:rPr>
            </w:pPr>
          </w:p>
        </w:tc>
      </w:tr>
      <w:tr>
        <w:trPr>
          <w:trHeight w:val="212"/>
        </w:trPr>
        <w:tc>
          <w:tcPr>
            <w:tcW w:w="5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4"/>
              <w:spacing w:after="0"/>
              <w:rPr>
                <w:sz w:val="20"/>
                <w:szCs w:val="20"/>
                <w:color w:val="auto"/>
              </w:rPr>
            </w:pPr>
            <w:r>
              <w:rPr>
                <w:rFonts w:ascii="Arial" w:cs="Arial" w:eastAsia="Arial" w:hAnsi="Arial"/>
                <w:sz w:val="14"/>
                <w:szCs w:val="14"/>
                <w:color w:val="auto"/>
                <w:w w:val="99"/>
              </w:rPr>
              <w:t>January 31, 2015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Accounting Principle</w:t>
            </w: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Accounting Principle</w:t>
            </w:r>
          </w:p>
        </w:tc>
        <w:tc>
          <w:tcPr>
            <w:tcW w:w="0" w:type="dxa"/>
            <w:vAlign w:val="bottom"/>
          </w:tcPr>
          <w:p>
            <w:pPr>
              <w:spacing w:after="0"/>
              <w:rPr>
                <w:sz w:val="1"/>
                <w:szCs w:val="1"/>
                <w:color w:val="auto"/>
              </w:rPr>
            </w:pPr>
          </w:p>
        </w:tc>
      </w:tr>
      <w:tr>
        <w:trPr>
          <w:trHeight w:val="221"/>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132,615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14"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As a result of the Company’s adopting ASU 2015-03, for the first nine months of fiscal 2014, the Company has reclassified $124,000 from “Change in Other Assets” to “Amortization of Deferred Debt Issuance Costs” in the Consolidated Statement of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4" w:lineRule="exact"/>
        <w:rPr>
          <w:sz w:val="20"/>
          <w:szCs w:val="20"/>
          <w:color w:val="auto"/>
        </w:rPr>
      </w:pPr>
    </w:p>
    <w:p>
      <w:pPr>
        <w:jc w:val="both"/>
        <w:ind w:right="40"/>
        <w:spacing w:after="0" w:line="334" w:lineRule="auto"/>
        <w:rPr>
          <w:sz w:val="20"/>
          <w:szCs w:val="20"/>
          <w:color w:val="auto"/>
        </w:rPr>
      </w:pPr>
      <w:r>
        <w:rPr>
          <w:rFonts w:ascii="Arial" w:cs="Arial" w:eastAsia="Arial" w:hAnsi="Arial"/>
          <w:sz w:val="16"/>
          <w:szCs w:val="16"/>
          <w:color w:val="auto"/>
        </w:rPr>
        <w:t>At October 31, 2015, the “Casual Male” trademark had a carrying value of $1.1 million and is considered a definite-lived asset. The Company is amortizing the remaining carrying value on an accelerated basis, consistent with projected cash flows through fiscal 2018, its estimated remaining useful life.</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nine months ended October 31, 2015, no event or circumstance occurred which would cause a reduction in the fair value of the Company’s reporting units, requiring interim testing of the Company’s “Rochester” trademark.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4"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9" w:lineRule="exact"/>
        <w:rPr>
          <w:sz w:val="20"/>
          <w:szCs w:val="20"/>
          <w:color w:val="auto"/>
        </w:rPr>
      </w:pPr>
    </w:p>
    <w:p>
      <w:pPr>
        <w:ind w:right="620"/>
        <w:spacing w:after="0" w:line="334"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4" w:lineRule="exact"/>
        <w:rPr>
          <w:sz w:val="20"/>
          <w:szCs w:val="20"/>
          <w:color w:val="auto"/>
        </w:rPr>
      </w:pPr>
    </w:p>
    <w:p>
      <w:pPr>
        <w:ind w:left="260" w:right="260"/>
        <w:spacing w:after="0" w:line="334"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1"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The fair value of long-term debt is classified within Level 2 of the valuation hierarchy. At October 31, 2015, the fair value approximates the carrying amount based upon terms available to the Company for borrowings with similar arrangements and remaining maturities.</w:t>
      </w:r>
    </w:p>
    <w:p>
      <w:pPr>
        <w:spacing w:after="0" w:line="17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The fair value of indefinite-lived assets, which consists of the Company’s “Rochester” trademark, is measured on a non-recurring basis in connection with the Company’s annual impairment test. The fair value of the trademark is determined using a projected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 xml:space="preserve">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22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nine months ended October 31, 2015 and November 1, 2014, respectively,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color w:val="auto"/>
                <w:w w:val="92"/>
              </w:rPr>
              <w:t>October 31, 2015</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color w:val="auto"/>
                <w:w w:val="93"/>
              </w:rPr>
              <w:t>November 1, 2014</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tcPr>
          <w:p>
            <w:pPr>
              <w:jc w:val="right"/>
              <w:ind w:right="562"/>
              <w:spacing w:after="0" w:line="149" w:lineRule="exact"/>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62"/>
              <w:spacing w:after="0" w:line="147" w:lineRule="exact"/>
              <w:rPr>
                <w:sz w:val="20"/>
                <w:szCs w:val="20"/>
                <w:color w:val="auto"/>
              </w:rPr>
            </w:pPr>
            <w:r>
              <w:rPr>
                <w:rFonts w:ascii="Arial" w:cs="Arial" w:eastAsia="Arial" w:hAnsi="Arial"/>
                <w:sz w:val="14"/>
                <w:szCs w:val="14"/>
                <w:color w:val="auto"/>
                <w:w w:val="98"/>
              </w:rPr>
              <w:t>Pension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80"/>
              <w:spacing w:after="0" w:line="147" w:lineRule="exact"/>
              <w:rPr>
                <w:sz w:val="20"/>
                <w:szCs w:val="20"/>
                <w:color w:val="auto"/>
              </w:rPr>
            </w:pPr>
            <w:r>
              <w:rPr>
                <w:rFonts w:ascii="Arial" w:cs="Arial" w:eastAsia="Arial" w:hAnsi="Arial"/>
                <w:sz w:val="14"/>
                <w:szCs w:val="14"/>
                <w:color w:val="auto"/>
                <w:w w:val="92"/>
              </w:rPr>
              <w:t>Foreign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62"/>
              <w:spacing w:after="0" w:line="147" w:lineRule="exact"/>
              <w:rPr>
                <w:sz w:val="20"/>
                <w:szCs w:val="20"/>
                <w:color w:val="auto"/>
              </w:rPr>
            </w:pPr>
            <w:r>
              <w:rPr>
                <w:rFonts w:ascii="Arial" w:cs="Arial" w:eastAsia="Arial" w:hAnsi="Arial"/>
                <w:sz w:val="14"/>
                <w:szCs w:val="14"/>
                <w:color w:val="auto"/>
                <w:w w:val="98"/>
              </w:rPr>
              <w:t>Pension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ind w:left="60"/>
              <w:spacing w:after="0" w:line="147" w:lineRule="exact"/>
              <w:rPr>
                <w:sz w:val="20"/>
                <w:szCs w:val="20"/>
                <w:color w:val="auto"/>
              </w:rPr>
            </w:pPr>
            <w:r>
              <w:rPr>
                <w:rFonts w:ascii="Arial" w:cs="Arial" w:eastAsia="Arial" w:hAnsi="Arial"/>
                <w:sz w:val="14"/>
                <w:szCs w:val="14"/>
                <w:color w:val="auto"/>
              </w:rPr>
              <w:t>Foreign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22"/>
              <w:spacing w:after="0"/>
              <w:rPr>
                <w:sz w:val="20"/>
                <w:szCs w:val="20"/>
                <w:color w:val="auto"/>
              </w:rPr>
            </w:pPr>
            <w:r>
              <w:rPr>
                <w:rFonts w:ascii="Arial" w:cs="Arial" w:eastAsia="Arial" w:hAnsi="Arial"/>
                <w:sz w:val="14"/>
                <w:szCs w:val="14"/>
                <w:color w:val="auto"/>
                <w:w w:val="91"/>
              </w:rPr>
              <w:t>Plans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Currency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2"/>
              <w:spacing w:after="0"/>
              <w:rPr>
                <w:sz w:val="20"/>
                <w:szCs w:val="20"/>
                <w:color w:val="auto"/>
              </w:rPr>
            </w:pPr>
            <w:r>
              <w:rPr>
                <w:rFonts w:ascii="Arial" w:cs="Arial" w:eastAsia="Arial" w:hAnsi="Arial"/>
                <w:sz w:val="14"/>
                <w:szCs w:val="14"/>
                <w:color w:val="auto"/>
                <w:w w:val="96"/>
              </w:rPr>
              <w:t>Total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2"/>
              <w:spacing w:after="0"/>
              <w:rPr>
                <w:sz w:val="20"/>
                <w:szCs w:val="20"/>
                <w:color w:val="auto"/>
              </w:rPr>
            </w:pPr>
            <w:r>
              <w:rPr>
                <w:rFonts w:ascii="Arial" w:cs="Arial" w:eastAsia="Arial" w:hAnsi="Arial"/>
                <w:sz w:val="14"/>
                <w:szCs w:val="14"/>
                <w:color w:val="auto"/>
                <w:w w:val="85"/>
              </w:rPr>
              <w:t>Plans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0"/>
        </w:trPr>
        <w:tc>
          <w:tcPr>
            <w:tcW w:w="43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Arial" w:cs="Arial" w:eastAsia="Arial" w:hAnsi="Arial"/>
                <w:sz w:val="18"/>
                <w:szCs w:val="18"/>
                <w:color w:val="auto"/>
              </w:rPr>
              <w:t>reclassifications, net of taxes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Pr>
          <w:p>
            <w:pPr>
              <w:spacing w:after="0"/>
              <w:rPr>
                <w:sz w:val="20"/>
                <w:szCs w:val="20"/>
                <w:color w:val="auto"/>
              </w:rPr>
            </w:pPr>
            <w:r>
              <w:rPr>
                <w:rFonts w:ascii="Arial" w:cs="Arial" w:eastAsia="Arial" w:hAnsi="Arial"/>
                <w:sz w:val="18"/>
                <w:szCs w:val="18"/>
                <w:color w:val="auto"/>
              </w:rPr>
              <w:t>Balance at end of quarter</w:t>
            </w:r>
          </w:p>
        </w:tc>
        <w:tc>
          <w:tcPr>
            <w:tcW w:w="7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320" w:type="dxa"/>
            <w:vAlign w:val="bottom"/>
            <w:vMerge w:val="restart"/>
          </w:tcPr>
          <w:p>
            <w:pPr>
              <w:spacing w:after="0"/>
              <w:rPr>
                <w:sz w:val="20"/>
                <w:szCs w:val="20"/>
                <w:color w:val="auto"/>
              </w:rPr>
            </w:pPr>
            <w:r>
              <w:rPr>
                <w:rFonts w:ascii="Arial" w:cs="Arial" w:eastAsia="Arial" w:hAnsi="Arial"/>
                <w:sz w:val="14"/>
                <w:szCs w:val="14"/>
                <w:i w:val="1"/>
                <w:iCs w:val="1"/>
                <w:color w:val="auto"/>
              </w:rPr>
              <w:t>For the nine months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October 31, 2015</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4"/>
                <w:szCs w:val="14"/>
                <w:color w:val="auto"/>
                <w:w w:val="92"/>
              </w:rPr>
              <w:t>November 1, 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tcPr>
          <w:p>
            <w:pPr>
              <w:jc w:val="center"/>
              <w:ind w:right="62"/>
              <w:spacing w:after="0" w:line="149" w:lineRule="exact"/>
              <w:rPr>
                <w:sz w:val="20"/>
                <w:szCs w:val="20"/>
                <w:color w:val="auto"/>
              </w:rPr>
            </w:pPr>
            <w:r>
              <w:rPr>
                <w:rFonts w:ascii="Arial" w:cs="Arial" w:eastAsia="Arial" w:hAnsi="Arial"/>
                <w:sz w:val="14"/>
                <w:szCs w:val="14"/>
                <w:i w:val="1"/>
                <w:iCs w:val="1"/>
                <w:color w:val="auto"/>
                <w:w w:val="92"/>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2"/>
              <w:spacing w:after="0" w:line="147" w:lineRule="exact"/>
              <w:rPr>
                <w:sz w:val="20"/>
                <w:szCs w:val="20"/>
                <w:color w:val="auto"/>
              </w:rPr>
            </w:pPr>
            <w:r>
              <w:rPr>
                <w:rFonts w:ascii="Arial" w:cs="Arial" w:eastAsia="Arial" w:hAnsi="Arial"/>
                <w:sz w:val="14"/>
                <w:szCs w:val="14"/>
                <w:color w:val="auto"/>
              </w:rPr>
              <w:t>Pension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40"/>
              <w:spacing w:after="0" w:line="147" w:lineRule="exact"/>
              <w:rPr>
                <w:sz w:val="20"/>
                <w:szCs w:val="20"/>
                <w:color w:val="auto"/>
              </w:rPr>
            </w:pPr>
            <w:r>
              <w:rPr>
                <w:rFonts w:ascii="Arial" w:cs="Arial" w:eastAsia="Arial" w:hAnsi="Arial"/>
                <w:sz w:val="14"/>
                <w:szCs w:val="14"/>
                <w:color w:val="auto"/>
                <w:w w:val="92"/>
              </w:rPr>
              <w:t>Foreign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2"/>
              <w:spacing w:after="0" w:line="147" w:lineRule="exact"/>
              <w:rPr>
                <w:sz w:val="20"/>
                <w:szCs w:val="20"/>
                <w:color w:val="auto"/>
              </w:rPr>
            </w:pPr>
            <w:r>
              <w:rPr>
                <w:rFonts w:ascii="Arial" w:cs="Arial" w:eastAsia="Arial" w:hAnsi="Arial"/>
                <w:sz w:val="14"/>
                <w:szCs w:val="14"/>
                <w:color w:val="auto"/>
              </w:rPr>
              <w:t>Pension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80"/>
              <w:spacing w:after="0" w:line="147" w:lineRule="exact"/>
              <w:rPr>
                <w:sz w:val="20"/>
                <w:szCs w:val="20"/>
                <w:color w:val="auto"/>
              </w:rPr>
            </w:pPr>
            <w:r>
              <w:rPr>
                <w:rFonts w:ascii="Arial" w:cs="Arial" w:eastAsia="Arial" w:hAnsi="Arial"/>
                <w:sz w:val="14"/>
                <w:szCs w:val="14"/>
                <w:color w:val="auto"/>
                <w:w w:val="92"/>
              </w:rPr>
              <w:t>Foreign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Arial" w:cs="Arial" w:eastAsia="Arial" w:hAnsi="Arial"/>
                <w:sz w:val="18"/>
                <w:szCs w:val="18"/>
                <w:color w:val="auto"/>
              </w:rPr>
              <w:t>Balance at beginning of fiscal year</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2"/>
              <w:spacing w:after="0"/>
              <w:rPr>
                <w:sz w:val="20"/>
                <w:szCs w:val="20"/>
                <w:color w:val="auto"/>
              </w:rPr>
            </w:pPr>
            <w:r>
              <w:rPr>
                <w:rFonts w:ascii="Arial" w:cs="Arial" w:eastAsia="Arial" w:hAnsi="Arial"/>
                <w:sz w:val="14"/>
                <w:szCs w:val="14"/>
                <w:color w:val="auto"/>
              </w:rPr>
              <w:t>Plans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Currency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2"/>
              <w:spacing w:after="0"/>
              <w:rPr>
                <w:sz w:val="20"/>
                <w:szCs w:val="20"/>
                <w:color w:val="auto"/>
              </w:rPr>
            </w:pPr>
            <w:r>
              <w:rPr>
                <w:rFonts w:ascii="Arial" w:cs="Arial" w:eastAsia="Arial" w:hAnsi="Arial"/>
                <w:sz w:val="14"/>
                <w:szCs w:val="14"/>
                <w:color w:val="auto"/>
              </w:rPr>
              <w:t>Plans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Currency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0"/>
        </w:trPr>
        <w:tc>
          <w:tcPr>
            <w:tcW w:w="4320" w:type="dxa"/>
            <w:vAlign w:val="bottom"/>
            <w:vMerge w:val="continue"/>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(7,795)</w:t>
            </w:r>
          </w:p>
        </w:tc>
        <w:tc>
          <w:tcPr>
            <w:tcW w:w="18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(443)</w:t>
            </w:r>
          </w:p>
        </w:tc>
        <w:tc>
          <w:tcPr>
            <w:tcW w:w="2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(8,238)</w:t>
            </w:r>
          </w:p>
        </w:tc>
        <w:tc>
          <w:tcPr>
            <w:tcW w:w="18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(4,547)</w:t>
            </w:r>
          </w:p>
        </w:tc>
        <w:tc>
          <w:tcPr>
            <w:tcW w:w="180" w:type="dxa"/>
            <w:vAlign w:val="bottom"/>
            <w:gridSpan w:val="2"/>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Arial" w:cs="Arial" w:eastAsia="Arial" w:hAnsi="Arial"/>
                <w:sz w:val="18"/>
                <w:szCs w:val="18"/>
                <w:color w:val="auto"/>
              </w:rPr>
              <w:t>reclassifications, net of taxes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5"/>
          </w:tcPr>
          <w:p>
            <w:pPr>
              <w:jc w:val="right"/>
              <w:ind w:right="9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5"/>
          </w:tcPr>
          <w:p>
            <w:pPr>
              <w:jc w:val="right"/>
              <w:ind w:right="9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4"/>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spacing w:after="0"/>
              <w:rPr>
                <w:sz w:val="19"/>
                <w:szCs w:val="19"/>
                <w:color w:val="auto"/>
              </w:rPr>
            </w:pPr>
          </w:p>
        </w:tc>
        <w:tc>
          <w:tcPr>
            <w:tcW w:w="200" w:type="dxa"/>
            <w:vAlign w:val="bottom"/>
            <w:gridSpan w:val="3"/>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Pr>
          <w:p>
            <w:pPr>
              <w:spacing w:after="0"/>
              <w:rPr>
                <w:sz w:val="20"/>
                <w:szCs w:val="20"/>
                <w:color w:val="auto"/>
              </w:rPr>
            </w:pPr>
            <w:r>
              <w:rPr>
                <w:rFonts w:ascii="Arial" w:cs="Arial" w:eastAsia="Arial" w:hAnsi="Arial"/>
                <w:sz w:val="18"/>
                <w:szCs w:val="18"/>
                <w:color w:val="auto"/>
              </w:rPr>
              <w:t>Balance at end of quarter</w:t>
            </w:r>
          </w:p>
        </w:tc>
        <w:tc>
          <w:tcPr>
            <w:tcW w:w="8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(7,026</w:t>
            </w:r>
          </w:p>
        </w:tc>
        <w:tc>
          <w:tcPr>
            <w:tcW w:w="180" w:type="dxa"/>
            <w:vAlign w:val="bottom"/>
            <w:gridSpan w:val="2"/>
          </w:tcPr>
          <w:p>
            <w:pPr>
              <w:jc w:val="right"/>
              <w:ind w:right="37"/>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(413)</w:t>
            </w:r>
          </w:p>
        </w:tc>
        <w:tc>
          <w:tcPr>
            <w:tcW w:w="2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(7,439</w:t>
            </w:r>
          </w:p>
        </w:tc>
        <w:tc>
          <w:tcPr>
            <w:tcW w:w="180" w:type="dxa"/>
            <w:vAlign w:val="bottom"/>
            <w:gridSpan w:val="2"/>
          </w:tcPr>
          <w:p>
            <w:pPr>
              <w:jc w:val="right"/>
              <w:ind w:right="3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(4,123</w:t>
            </w:r>
          </w:p>
        </w:tc>
        <w:tc>
          <w:tcPr>
            <w:tcW w:w="180" w:type="dxa"/>
            <w:vAlign w:val="bottom"/>
            <w:gridSpan w:val="2"/>
          </w:tcPr>
          <w:p>
            <w:pPr>
              <w:jc w:val="right"/>
              <w:ind w:right="4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020" w:right="80" w:hanging="505"/>
        <w:spacing w:after="0" w:line="275"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$162,000 and $65,000 for the three months ended October 31, 2015 and November 1, 2014, respectively, and $485,000 and $178,000 for the nine months ended October 31, 2015 and November 1, 2014, respectively. There was no tax benefit for any period.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Stock-based Compensation</w:t>
      </w:r>
    </w:p>
    <w:p>
      <w:pPr>
        <w:spacing w:after="0" w:line="1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 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Advertising Costs</w:t>
      </w:r>
      <w:r>
        <w:rPr>
          <w:rFonts w:ascii="Arial" w:cs="Arial" w:eastAsia="Arial" w:hAnsi="Arial"/>
          <w:sz w:val="16"/>
          <w:szCs w:val="16"/>
          <w:color w:val="auto"/>
        </w:rPr>
        <w:t>”. The core principle of ASU 2014-09 is that an entity should recognize revenue in a way that depicts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 defer the effective date of ASU 2014-09 by one year.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does not believe that there will be any material impact of ASU 2014-09 on its Consolidated Financial Statements upon adoption.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June 2014, the FASB issued ASU 2014-12, “</w:t>
      </w:r>
      <w:r>
        <w:rPr>
          <w:rFonts w:ascii="Arial" w:cs="Arial" w:eastAsia="Arial" w:hAnsi="Arial"/>
          <w:sz w:val="17"/>
          <w:szCs w:val="17"/>
          <w:i w:val="1"/>
          <w:iCs w:val="1"/>
          <w:color w:val="auto"/>
        </w:rPr>
        <w:t>Accounting for Share-Based Payments When the Terms of an Award Provide That a Performance Target Could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 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Company does not believe that there will be any material impact of ASU 2014-12 on its Consolidated Financial Statements upon adoption.</w:t>
      </w: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2015, the FASB issued ASU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ASU 2015-01 eliminates the concept of extraordinary items from GAAP, which requires an entity to separately classify, present, and disclose extraordinary events and transactions. ASU 2015-01 is effective for annual reporting periods beginning after December 15, 2015, and for annual periods and interim periods thereafter. Early application is permitted. The adoption of ASU 2015-01 is not expected to have an impact on the Company’s financial position or results of operations.</w:t>
      </w:r>
    </w:p>
    <w:p>
      <w:pPr>
        <w:spacing w:after="0" w:line="15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May 2015, the FASB issued ASU 2015-05, “</w:t>
      </w:r>
      <w:r>
        <w:rPr>
          <w:rFonts w:ascii="Arial" w:cs="Arial" w:eastAsia="Arial" w:hAnsi="Arial"/>
          <w:sz w:val="18"/>
          <w:szCs w:val="18"/>
          <w:i w:val="1"/>
          <w:iCs w:val="1"/>
          <w:color w:val="auto"/>
        </w:rPr>
        <w:t>Intangibles - Goodwill and Other - Internal - 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 in a Cloud Computing Arrangement”. </w:t>
      </w:r>
      <w:r>
        <w:rPr>
          <w:rFonts w:ascii="Arial" w:cs="Arial" w:eastAsia="Arial" w:hAnsi="Arial"/>
          <w:sz w:val="18"/>
          <w:szCs w:val="18"/>
          <w:color w:val="auto"/>
        </w:rPr>
        <w:t>ASU 2015-05 provides accounting guidance on how customers should treat cloud computing arrangements. If a</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annual reporting periods beginning after December 15, 2015 and interim periods within those reporting periods. An entity can elect to adopt the amendments either (1) prospectively to all arrangements entered into or materially modified after the effective date or (2) retrospectively. The adoption of ASU 2015-05 is not expected to have a material impact on the Company’s financial position or results of operations.</w:t>
      </w:r>
    </w:p>
    <w:p>
      <w:pPr>
        <w:spacing w:after="0" w:line="19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is a change from previous measurement of lower of cost or market, where market could be replacement cost, net realizable value, or net realizable value less an approximately normal profit margin. This ASU is effective for annual and interim periods beginning after December 15, 2016, and should be applied prospectively with early adoption permitted at the beginning of an interim or annual reporting period. The Company is currently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0" w:name="page11"/>
    <w:bookmarkEnd w:id="10"/>
    <w:p>
      <w:pPr>
        <w:ind w:right="420"/>
        <w:spacing w:after="0" w:line="270" w:lineRule="auto"/>
        <w:rPr>
          <w:sz w:val="20"/>
          <w:szCs w:val="20"/>
          <w:color w:val="auto"/>
        </w:rPr>
      </w:pPr>
      <w:r>
        <w:rPr>
          <w:rFonts w:ascii="Arial" w:cs="Arial" w:eastAsia="Arial" w:hAnsi="Arial"/>
          <w:sz w:val="18"/>
          <w:szCs w:val="18"/>
          <w:color w:val="auto"/>
        </w:rPr>
        <w:t>evaluating the impact the pronouncement will have on the Company's financial position but does not expect that there will be any material impact of ASU 2015-11 on its Consolidated Financial Statements upon adoption.</w:t>
      </w:r>
    </w:p>
    <w:p>
      <w:pPr>
        <w:spacing w:after="0" w:line="17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September 2015, the FASB issued ASU 2015-16,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which simplified the accounting for measurement-period adjustments. The guidance requires a company to recognize adjustments to provisional amounts that are identified in the measurement period in the reporting period in which the adjustment amounts are determined. Any effect on earnings or changes in depreciation, amortization, or other income effects, as a result of the change in provisional amounts, will be recorded as if the accounting had been completed at the acquisition date. The portion of the amount that would have been recorded in previous reporting periods if the adjustment to the provisional amounts had been recognized will be separately presented on the face of the income statement or disclosed in the notes. The ASU is effective for annual and interim periods beginning after December 31, 2015, and should be applied prospectively to adjustments to provisional amounts, with early adoption permitted. The Company is currently evaluating the impact the pronouncement will have on the Company’s financial position but does not expect that there will be any material impact of ASU 2015-16 on its Consolidated Financial Statements upon adoption.</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No other new accounting pronouncements, issued or effective during the first nine months of fiscal 2015, have had or are expected to have a significant impact on the Company’s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At October 31, 2015, the Company had outstanding borrowings under the Credit Facility of $56.4 million, before unamortized debt issuance costs of $0.5 million. Outstanding standby letters of credit were $2.5 million with no outstanding documentary letters of credit. Unused excess availability at October 31, 2015 was $62.8 million. Average monthly borrowings outstanding under the Credit Facility during the first nine months of fiscal 2015 were $40.7 million, resulting in an average unused excess availability of approximately $67.6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October 31, 2015, the Company’s prime-based interest rate was 3.75%. At October 31, 2015, the Company had approximately $52.0 million of its outstanding borrowings in LIBOR-based contracts with an interest rate of 1.65%. The LIBOR-based contracts expired between November 2, 2015 and November 5, 2015. When a LIBOR-based borrowing expires, the borrowings revert back to prime-based borrowings unless the Company enters into a new LIBOR-based borrowing arrangement.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fair value of the amount outstanding under the Credit Facility at October 31, 2015 approximated the carrying value.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0" w:lineRule="exact"/>
        <w:rPr>
          <w:sz w:val="20"/>
          <w:szCs w:val="20"/>
          <w:color w:val="auto"/>
        </w:rPr>
      </w:pPr>
    </w:p>
    <w:tbl>
      <w:tblPr>
        <w:tblLayout w:type="fixed"/>
        <w:tblInd w:w="1560" w:type="dxa"/>
        <w:tblCellMar>
          <w:top w:w="0" w:type="dxa"/>
          <w:left w:w="0" w:type="dxa"/>
          <w:bottom w:w="0" w:type="dxa"/>
          <w:right w:w="0" w:type="dxa"/>
        </w:tblCellMar>
      </w:tblPr>
      <w:tr>
        <w:trPr>
          <w:trHeight w:val="166"/>
        </w:trPr>
        <w:tc>
          <w:tcPr>
            <w:tcW w:w="5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October 31, 2015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January 31, 2015</w:t>
            </w:r>
          </w:p>
        </w:tc>
      </w:tr>
      <w:tr>
        <w:trPr>
          <w:trHeight w:val="221"/>
        </w:trPr>
        <w:tc>
          <w:tcPr>
            <w:tcW w:w="20" w:type="dxa"/>
            <w:vAlign w:val="bottom"/>
          </w:tcPr>
          <w:p>
            <w:pPr>
              <w:spacing w:after="0"/>
              <w:rPr>
                <w:sz w:val="19"/>
                <w:szCs w:val="19"/>
                <w:color w:val="auto"/>
              </w:rPr>
            </w:pPr>
          </w:p>
        </w:tc>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14,516</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19,390</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Term loan, due 2019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14,750</w:t>
            </w:r>
          </w:p>
        </w:tc>
        <w:tc>
          <w:tcPr>
            <w:tcW w:w="8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 (1)</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(634)</w:t>
            </w:r>
          </w:p>
        </w:tc>
      </w:tr>
      <w:tr>
        <w:trPr>
          <w:trHeight w:val="220"/>
        </w:trPr>
        <w:tc>
          <w:tcPr>
            <w:tcW w:w="55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33,506</w:t>
            </w:r>
          </w:p>
        </w:tc>
        <w:tc>
          <w:tcPr>
            <w:tcW w:w="8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CFF0FC"/>
          </w:tcPr>
          <w:p>
            <w:pPr>
              <w:spacing w:after="0"/>
              <w:rPr>
                <w:sz w:val="19"/>
                <w:szCs w:val="19"/>
                <w:color w:val="auto"/>
              </w:rPr>
            </w:pPr>
          </w:p>
        </w:tc>
      </w:tr>
      <w:tr>
        <w:trPr>
          <w:trHeight w:val="220"/>
        </w:trPr>
        <w:tc>
          <w:tcPr>
            <w:tcW w:w="554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6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r>
    </w:tbl>
    <w:p>
      <w:pPr>
        <w:spacing w:after="0" w:line="93" w:lineRule="exact"/>
        <w:rPr>
          <w:sz w:val="20"/>
          <w:szCs w:val="20"/>
          <w:color w:val="auto"/>
        </w:rPr>
      </w:pPr>
    </w:p>
    <w:p>
      <w:pPr>
        <w:ind w:left="760" w:right="300" w:hanging="379"/>
        <w:spacing w:after="0" w:line="270"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reclassification of debt issuance costs of $0.1 million from “Prepaid expenses and other current assets” and $0.5 million from “Other assets” at January 31, 2015 as a result of the Company adopting ASU 2015-03, see Note 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and 3.50%. Principal and interest are paid monthly, in arrears.</w:t>
      </w:r>
    </w:p>
    <w:p>
      <w:pPr>
        <w:spacing w:after="0" w:line="19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The Notes are secured by a security interest in all of the Company’s rights, title and interest in and to certain equipment. The Company is subject to a prepayment penalty equal to 1% of the prepaid principal of the Notes until the first anniversary of each Note,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commencing the first business day of January 2015, in an aggregate principal amount equal to $250,000, subject to adjustment, with the balance payable on the termination date.</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Stock-Based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2013-2016 LTIP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2013-2016 Destination XL Group, Inc. Long-Term Incentive Plan (the “2013-2016 LTIP”) was approved in the second quarter of fiscal</w:t>
      </w:r>
    </w:p>
    <w:p>
      <w:pPr>
        <w:spacing w:after="0" w:line="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9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will vest at the end of fiscal 2015 and the remaining 40% will vest at the end of fiscal 2016.</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2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Assuming the Company achieves the performance target and 100% of the Projected Benefit Amount vests, excluding estimated forfeitures, the total potential value of all awards over this four-year period, as of October 31, 2015, would be approximately $19.4 million. Approximately half of the compensation expense relates to the time-vested awards, which is being expensed over forty-four months, based on the respective vesting dates. As the performance targets were not deemed probable at October 31, 2015, no expense for the performance-based awards has been recognized through the first nine months ended October 31, 2015.</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Long-Term Incentive Wrap-Around Plan</w:t>
      </w:r>
    </w:p>
    <w:p>
      <w:pPr>
        <w:spacing w:after="0" w:line="11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fourth quarter of fiscal 2014, the Compensation Committee of the Company’s Board of Directors approved the 2016 Long-Term Incentive Wrap-Around Plan (the “Wrap-Around Plan”). The Wrap-Around Plan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Wrap-Around Plan also provides for an opportunity to receive additional shares of restricted stock if at least the threshold EBITDA target is achieved and the Company’s closing stock price is $6.75 or higher on the day earnings for fiscal 2016 are publicly released. If the Company’s stock price is $6.75, the payout in restricted shares will be increased by 20% and if the stock price is $7.25 or higher, the payout in restricted shares will be increased by 30%. The portion of the award payable in cash is not affected by the stock price. In any event, the most that can be achieved is the 100% payout level. All awards granted pursuant to the Wrap-Around Plan will not vest until the last day of the second quarter of fiscal 2017</w:t>
      </w:r>
      <w:r>
        <w:rPr>
          <w:rFonts w:ascii="Arial" w:cs="Arial" w:eastAsia="Arial" w:hAnsi="Arial"/>
          <w:sz w:val="20"/>
          <w:szCs w:val="20"/>
          <w:color w:val="auto"/>
        </w:rPr>
        <w:t>.</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Assuming that the Company achieves the performance target at target levels under the Wrap-Around Plan, and further assuming that the Company’s stock price is greater than $7.25, at the time the Company’s earnings are publicly released, the compensation expense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associated with this Wrap-Around Plan is estimated to be approximately $8.7 million. However, because the performance targets under the Wrap-Around Plan were not deemed probable at October 31, 2015, no compensation expense for the performance-based awards has been recognized through the end of the first nine months of fiscal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22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Pursuant to the Company’s 2006 Incentive Compensation Plan, as amended (the “2006 Plan”), the Company has 7,250,000 shares authorized for issuance, of which 4,250,000 shares may be subject to the granting of awards other than stock options and stock appreciation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stock option activity and restricted share activity under the 2006 Plan for the first nine months of fiscal 2015:</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Weighted-average</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Weighted-average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7"/>
        </w:trPr>
        <w:tc>
          <w:tcPr>
            <w:tcW w:w="5600" w:type="dxa"/>
            <w:vAlign w:val="bottom"/>
          </w:tcPr>
          <w:p>
            <w:pPr>
              <w:spacing w:after="0"/>
              <w:rPr>
                <w:sz w:val="12"/>
                <w:szCs w:val="12"/>
                <w:color w:val="auto"/>
              </w:rPr>
            </w:pPr>
          </w:p>
        </w:tc>
        <w:tc>
          <w:tcPr>
            <w:tcW w:w="122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7" w:lineRule="exact"/>
              <w:rPr>
                <w:sz w:val="20"/>
                <w:szCs w:val="20"/>
                <w:color w:val="auto"/>
              </w:rPr>
            </w:pPr>
            <w:r>
              <w:rPr>
                <w:rFonts w:ascii="Arial" w:cs="Arial" w:eastAsia="Arial" w:hAnsi="Arial"/>
                <w:sz w:val="14"/>
                <w:szCs w:val="14"/>
                <w:color w:val="auto"/>
                <w:w w:val="90"/>
              </w:rPr>
              <w:t>exercise price</w:t>
            </w: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2"/>
              </w:rPr>
              <w:t>Aggregate</w:t>
            </w:r>
          </w:p>
        </w:tc>
      </w:tr>
      <w:tr>
        <w:trPr>
          <w:trHeight w:val="166"/>
        </w:trPr>
        <w:tc>
          <w:tcPr>
            <w:tcW w:w="56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per option</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intrinsic value</w:t>
            </w:r>
          </w:p>
        </w:tc>
      </w:tr>
      <w:tr>
        <w:trPr>
          <w:trHeight w:val="221"/>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60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100" w:type="dxa"/>
            <w:vAlign w:val="bottom"/>
          </w:tcPr>
          <w:p>
            <w:pPr>
              <w:jc w:val="right"/>
              <w:spacing w:after="0"/>
              <w:rPr>
                <w:sz w:val="20"/>
                <w:szCs w:val="20"/>
                <w:color w:val="auto"/>
              </w:rPr>
            </w:pPr>
            <w:r>
              <w:rPr>
                <w:rFonts w:ascii="Arial" w:cs="Arial" w:eastAsia="Arial" w:hAnsi="Arial"/>
                <w:sz w:val="18"/>
                <w:szCs w:val="18"/>
                <w:color w:val="auto"/>
              </w:rPr>
              <w:t>2,747,802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60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(60,287)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(22,136)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5600" w:type="dxa"/>
            <w:vAlign w:val="bottom"/>
          </w:tcPr>
          <w:p>
            <w:pPr>
              <w:ind w:left="240"/>
              <w:spacing w:after="0"/>
              <w:rPr>
                <w:sz w:val="20"/>
                <w:szCs w:val="20"/>
                <w:color w:val="auto"/>
              </w:rPr>
            </w:pPr>
            <w:r>
              <w:rPr>
                <w:rFonts w:ascii="Arial" w:cs="Arial" w:eastAsia="Arial" w:hAnsi="Arial"/>
                <w:sz w:val="18"/>
                <w:szCs w:val="18"/>
                <w:color w:val="auto"/>
              </w:rPr>
              <w:t>Outstanding options at end of quarter</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2,665,379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9"/>
                <w:szCs w:val="19"/>
                <w:color w:val="auto"/>
              </w:rPr>
            </w:pPr>
          </w:p>
        </w:tc>
        <w:tc>
          <w:tcPr>
            <w:tcW w:w="1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6"/>
              </w:rPr>
              <w:t>7.2 years</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2,376,745</w:t>
            </w:r>
          </w:p>
        </w:tc>
        <w:tc>
          <w:tcPr>
            <w:tcW w:w="80" w:type="dxa"/>
            <w:vAlign w:val="bottom"/>
          </w:tcPr>
          <w:p>
            <w:pPr>
              <w:spacing w:after="0"/>
              <w:rPr>
                <w:sz w:val="19"/>
                <w:szCs w:val="19"/>
                <w:color w:val="auto"/>
              </w:rPr>
            </w:pPr>
          </w:p>
        </w:tc>
      </w:tr>
      <w:tr>
        <w:trPr>
          <w:trHeight w:val="227"/>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exercisable at end of quarter</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588,692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6"/>
              </w:rPr>
              <w:t>5.6 years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719,276</w:t>
            </w:r>
          </w:p>
        </w:tc>
        <w:tc>
          <w:tcPr>
            <w:tcW w:w="80" w:type="dxa"/>
            <w:vAlign w:val="bottom"/>
            <w:shd w:val="clear" w:color="auto" w:fill="CFF0FC"/>
          </w:tcPr>
          <w:p>
            <w:pPr>
              <w:spacing w:after="0"/>
              <w:rPr>
                <w:sz w:val="19"/>
                <w:szCs w:val="19"/>
                <w:color w:val="auto"/>
              </w:rPr>
            </w:pPr>
          </w:p>
        </w:tc>
      </w:tr>
    </w:tbl>
    <w:p>
      <w:pPr>
        <w:spacing w:after="0" w:line="199"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intrinsic value of options exercised was immaterial.</w:t>
      </w:r>
    </w:p>
    <w:p>
      <w:pPr>
        <w:spacing w:after="0" w:line="18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Weighted-</w:t>
            </w:r>
          </w:p>
        </w:tc>
        <w:tc>
          <w:tcPr>
            <w:tcW w:w="0" w:type="dxa"/>
            <w:vAlign w:val="bottom"/>
          </w:tcPr>
          <w:p>
            <w:pPr>
              <w:spacing w:after="0"/>
              <w:rPr>
                <w:sz w:val="1"/>
                <w:szCs w:val="1"/>
                <w:color w:val="auto"/>
              </w:rPr>
            </w:pPr>
          </w:p>
        </w:tc>
      </w:tr>
      <w:tr>
        <w:trPr>
          <w:trHeight w:val="147"/>
        </w:trPr>
        <w:tc>
          <w:tcPr>
            <w:tcW w:w="5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9"/>
              </w:rPr>
              <w:t>Fully-</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7"/>
        </w:trPr>
        <w:tc>
          <w:tcPr>
            <w:tcW w:w="5660" w:type="dxa"/>
            <w:vAlign w:val="bottom"/>
          </w:tcPr>
          <w:p>
            <w:pPr>
              <w:spacing w:after="0"/>
              <w:rPr>
                <w:sz w:val="12"/>
                <w:szCs w:val="12"/>
                <w:color w:val="auto"/>
              </w:rPr>
            </w:pPr>
          </w:p>
        </w:tc>
        <w:tc>
          <w:tcPr>
            <w:tcW w:w="106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Restricted</w:t>
            </w:r>
          </w:p>
        </w:tc>
        <w:tc>
          <w:tcPr>
            <w:tcW w:w="8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Deferred</w:t>
            </w: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color w:val="auto"/>
                <w:w w:val="87"/>
              </w:rPr>
              <w:t>vested</w:t>
            </w:r>
          </w:p>
        </w:tc>
        <w:tc>
          <w:tcPr>
            <w:tcW w:w="108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w w:val="99"/>
              </w:rPr>
              <w:t>Total number</w:t>
            </w:r>
          </w:p>
        </w:tc>
        <w:tc>
          <w:tcPr>
            <w:tcW w:w="820" w:type="dxa"/>
            <w:vAlign w:val="bottom"/>
            <w:gridSpan w:val="3"/>
          </w:tcPr>
          <w:p>
            <w:pPr>
              <w:jc w:val="center"/>
              <w:ind w:right="80"/>
              <w:spacing w:after="0" w:line="147" w:lineRule="exact"/>
              <w:rPr>
                <w:sz w:val="20"/>
                <w:szCs w:val="20"/>
                <w:color w:val="auto"/>
              </w:rPr>
            </w:pPr>
            <w:r>
              <w:rPr>
                <w:rFonts w:ascii="Arial" w:cs="Arial" w:eastAsia="Arial" w:hAnsi="Arial"/>
                <w:sz w:val="14"/>
                <w:szCs w:val="14"/>
                <w:color w:val="auto"/>
                <w:w w:val="90"/>
              </w:rPr>
              <w:t>grant-date</w:t>
            </w:r>
          </w:p>
        </w:tc>
        <w:tc>
          <w:tcPr>
            <w:tcW w:w="0" w:type="dxa"/>
            <w:vAlign w:val="bottom"/>
          </w:tcPr>
          <w:p>
            <w:pPr>
              <w:spacing w:after="0"/>
              <w:rPr>
                <w:sz w:val="1"/>
                <w:szCs w:val="1"/>
                <w:color w:val="auto"/>
              </w:rPr>
            </w:pPr>
          </w:p>
        </w:tc>
      </w:tr>
      <w:tr>
        <w:trPr>
          <w:trHeight w:val="166"/>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(1)</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 xml:space="preserve">shares </w:t>
            </w:r>
            <w:r>
              <w:rPr>
                <w:rFonts w:ascii="Arial" w:cs="Arial" w:eastAsia="Arial" w:hAnsi="Arial"/>
                <w:sz w:val="12"/>
                <w:szCs w:val="12"/>
                <w:color w:val="auto"/>
                <w:w w:val="89"/>
              </w:rPr>
              <w:t>(2)</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of shares</w:t>
            </w: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 xml:space="preserve">fair value </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0"/>
        </w:trPr>
        <w:tc>
          <w:tcPr>
            <w:tcW w:w="5660" w:type="dxa"/>
            <w:vAlign w:val="bottom"/>
            <w:vMerge w:val="continue"/>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1,685,290</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11,238</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1,696,528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40"/>
              <w:spacing w:after="0"/>
              <w:rPr>
                <w:sz w:val="20"/>
                <w:szCs w:val="20"/>
                <w:color w:val="auto"/>
              </w:rPr>
            </w:pPr>
            <w:r>
              <w:rPr>
                <w:rFonts w:ascii="Arial" w:cs="Arial" w:eastAsia="Arial" w:hAnsi="Arial"/>
                <w:sz w:val="18"/>
                <w:szCs w:val="18"/>
                <w:color w:val="auto"/>
              </w:rPr>
              <w:t>Shares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15,790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46,536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72,326</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vested/issued</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(32,223)</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(46,536)</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(78,759)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40"/>
              <w:spacing w:after="0"/>
              <w:rPr>
                <w:sz w:val="20"/>
                <w:szCs w:val="20"/>
                <w:color w:val="auto"/>
              </w:rPr>
            </w:pPr>
            <w:r>
              <w:rPr>
                <w:rFonts w:ascii="Arial" w:cs="Arial" w:eastAsia="Arial" w:hAnsi="Arial"/>
                <w:sz w:val="18"/>
                <w:szCs w:val="18"/>
                <w:color w:val="auto"/>
              </w:rPr>
              <w:t>Shares canceled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Outstanding non-vested shares at end of quarter</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1,663,067</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1,690,095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020" w:hanging="505"/>
        <w:spacing w:after="0" w:line="281"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first nine months of fiscal 2015, the Company granted 15,790 shares of deferred stock, with a fair value of approximately $78,209 to certain directors as compensation in lieu of cash, in accordance with their irrevocable elections. The shares of deferred stock will vest three years from the date of grant or at separation of service, based on the irrevocable election of each director.</w:t>
      </w:r>
    </w:p>
    <w:p>
      <w:pPr>
        <w:spacing w:after="0" w:line="195" w:lineRule="exact"/>
        <w:rPr>
          <w:rFonts w:ascii="Arial" w:cs="Arial" w:eastAsia="Arial" w:hAnsi="Arial"/>
          <w:sz w:val="17"/>
          <w:szCs w:val="17"/>
          <w:color w:val="auto"/>
        </w:rPr>
      </w:pPr>
    </w:p>
    <w:p>
      <w:pPr>
        <w:jc w:val="both"/>
        <w:ind w:left="1020" w:right="40" w:hanging="505"/>
        <w:spacing w:after="0" w:line="29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first nine months of fiscal 2015, the Company granted 46,536 shares of stock, with a fair value of approximately $230,143 to certain directors as compensation in lieu of cash, in accordance with their irrevocable elections. Beginning in fiscal 2015, directors are required to elect 50% of their quarterly retainer in equity. All shares paid to directors to satisfy this election are issued from the Company’s 2006 Stock Incentive Plan. Any shares in excess of the minimum required election will be issued from the Company’s Non-Employee Director Stock Purchase Plan.</w:t>
      </w:r>
    </w:p>
    <w:p>
      <w:pPr>
        <w:spacing w:after="0" w:line="51" w:lineRule="exact"/>
        <w:rPr>
          <w:rFonts w:ascii="Arial" w:cs="Arial" w:eastAsia="Arial" w:hAnsi="Arial"/>
          <w:sz w:val="16"/>
          <w:szCs w:val="16"/>
          <w:color w:val="auto"/>
        </w:rPr>
      </w:pPr>
    </w:p>
    <w:p>
      <w:pPr>
        <w:ind w:left="1020" w:hanging="50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a restricted share, deferred share and fully-vested share is equal to the Company’s closing stock price on the date of grant.</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u w:val="single" w:color="auto"/>
          <w:color w:val="auto"/>
        </w:rPr>
        <w:t>1992 Stock Incentive Plan (the “1992 Plan”)—Stock Option Activity</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stock option activity under the 1992 Plan for the first nine months of fiscal 2015:</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Weighted-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5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7" w:lineRule="exact"/>
              <w:rPr>
                <w:sz w:val="20"/>
                <w:szCs w:val="20"/>
                <w:color w:val="auto"/>
              </w:rPr>
            </w:pPr>
            <w:r>
              <w:rPr>
                <w:rFonts w:ascii="Arial" w:cs="Arial" w:eastAsia="Arial" w:hAnsi="Arial"/>
                <w:sz w:val="14"/>
                <w:szCs w:val="14"/>
                <w:color w:val="auto"/>
                <w:w w:val="86"/>
              </w:rPr>
              <w:t>average</w:t>
            </w:r>
          </w:p>
        </w:tc>
        <w:tc>
          <w:tcPr>
            <w:tcW w:w="124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9"/>
              </w:rPr>
              <w:t>Weighted-average</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5420" w:type="dxa"/>
            <w:vAlign w:val="bottom"/>
          </w:tcPr>
          <w:p>
            <w:pPr>
              <w:spacing w:after="0"/>
              <w:rPr>
                <w:sz w:val="12"/>
                <w:szCs w:val="12"/>
                <w:color w:val="auto"/>
              </w:rPr>
            </w:pPr>
          </w:p>
        </w:tc>
        <w:tc>
          <w:tcPr>
            <w:tcW w:w="1220" w:type="dxa"/>
            <w:vAlign w:val="bottom"/>
            <w:gridSpan w:val="2"/>
          </w:tcPr>
          <w:p>
            <w:pPr>
              <w:jc w:val="right"/>
              <w:ind w:right="400"/>
              <w:spacing w:after="0" w:line="147"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0"/>
              </w:rPr>
              <w:t>exercise price</w:t>
            </w:r>
          </w:p>
        </w:tc>
        <w:tc>
          <w:tcPr>
            <w:tcW w:w="124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4"/>
              </w:rPr>
              <w:t>remaining</w:t>
            </w:r>
          </w:p>
        </w:tc>
        <w:tc>
          <w:tcPr>
            <w:tcW w:w="116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92"/>
              </w:rPr>
              <w:t>Aggregate</w:t>
            </w:r>
          </w:p>
        </w:tc>
      </w:tr>
      <w:tr>
        <w:trPr>
          <w:trHeight w:val="166"/>
        </w:trPr>
        <w:tc>
          <w:tcPr>
            <w:tcW w:w="542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per option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contractual term</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 xml:space="preserve">intrinsic value </w:t>
            </w:r>
            <w:r>
              <w:rPr>
                <w:rFonts w:ascii="Arial" w:cs="Arial" w:eastAsia="Arial" w:hAnsi="Arial"/>
                <w:sz w:val="12"/>
                <w:szCs w:val="12"/>
                <w:color w:val="auto"/>
                <w:w w:val="94"/>
              </w:rPr>
              <w:t>(1)</w:t>
            </w:r>
          </w:p>
        </w:tc>
      </w:tr>
      <w:tr>
        <w:trPr>
          <w:trHeight w:val="221"/>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42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217,500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420" w:type="dxa"/>
            <w:vAlign w:val="bottom"/>
          </w:tcPr>
          <w:p>
            <w:pPr>
              <w:ind w:left="240"/>
              <w:spacing w:after="0"/>
              <w:rPr>
                <w:sz w:val="20"/>
                <w:szCs w:val="20"/>
                <w:color w:val="auto"/>
              </w:rPr>
            </w:pPr>
            <w:r>
              <w:rPr>
                <w:rFonts w:ascii="Arial" w:cs="Arial" w:eastAsia="Arial" w:hAnsi="Arial"/>
                <w:sz w:val="18"/>
                <w:szCs w:val="18"/>
                <w:color w:val="auto"/>
              </w:rPr>
              <w:t>Options expired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(201,500)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canceled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42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4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quarter</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3"/>
              </w:rPr>
              <w:t>0.2 years</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420" w:type="dxa"/>
            <w:vAlign w:val="bottom"/>
          </w:tcPr>
          <w:p>
            <w:pPr>
              <w:ind w:left="240"/>
              <w:spacing w:after="0"/>
              <w:rPr>
                <w:sz w:val="20"/>
                <w:szCs w:val="20"/>
                <w:color w:val="auto"/>
              </w:rPr>
            </w:pPr>
            <w:r>
              <w:rPr>
                <w:rFonts w:ascii="Arial" w:cs="Arial" w:eastAsia="Arial" w:hAnsi="Arial"/>
                <w:sz w:val="18"/>
                <w:szCs w:val="18"/>
                <w:color w:val="auto"/>
              </w:rPr>
              <w:t>Options exercisable at end of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9"/>
                <w:szCs w:val="19"/>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w w:val="97"/>
              </w:rPr>
              <w:t>0.2 years</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ind w:left="1000" w:hanging="485"/>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intrinsic value of the options outstanding at October 31, 2015 was immaterial.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Availability Under the 2006 Plan</w:t>
      </w:r>
    </w:p>
    <w:p>
      <w:pPr>
        <w:spacing w:after="0" w:line="11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At October 31, 2015, the Company had 1,110,608 shares available for future grant under the 2006 Plan, of which 942,960 remain available under the sublimit for awards other than options and stock appreciation rights. No further grants can be made under the 1992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Company granted 18,639 shares of common stock, with a fair value of approximately $93,228, to certain of its non-employee directors as compensation in lieu of cash in the first nine months of fiscal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 and Restricted Stock</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first nine months of fiscal 2015, the Company granted 15,790 shares of deferred stock and 10,000 shares of restricted stock. For the first nine months of fiscal 2014, the Company granted 97,950 shares of restricted stock, 8,345 shares of deferred stock and stock options to purchase 141,684 shares of common stock.</w:t>
      </w:r>
    </w:p>
    <w:p>
      <w:pPr>
        <w:spacing w:after="0" w:line="7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For the first nine months of fiscal 2015, there were no grants of stock options. The following assumptions were used for grants for the first nine months of fiscal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80" w:type="dxa"/>
            <w:vAlign w:val="bottom"/>
            <w:tcBorders>
              <w:bottom w:val="single" w:sz="8" w:color="CFF0FC"/>
            </w:tcBorders>
          </w:tcPr>
          <w:p>
            <w:pPr>
              <w:spacing w:after="0"/>
              <w:rPr>
                <w:sz w:val="14"/>
                <w:szCs w:val="14"/>
                <w:color w:val="auto"/>
              </w:rPr>
            </w:pP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November 1, 2014</w:t>
            </w:r>
          </w:p>
        </w:tc>
        <w:tc>
          <w:tcPr>
            <w:tcW w:w="180" w:type="dxa"/>
            <w:vAlign w:val="bottom"/>
            <w:tcBorders>
              <w:bottom w:val="single" w:sz="8" w:color="CFF0FC"/>
            </w:tcBorders>
          </w:tcPr>
          <w:p>
            <w:pPr>
              <w:spacing w:after="0"/>
              <w:rPr>
                <w:sz w:val="14"/>
                <w:szCs w:val="14"/>
                <w:color w:val="auto"/>
              </w:rPr>
            </w:pPr>
          </w:p>
        </w:tc>
      </w:tr>
      <w:tr>
        <w:trPr>
          <w:trHeight w:val="221"/>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w:t>
            </w:r>
          </w:p>
        </w:tc>
      </w:tr>
      <w:tr>
        <w:trPr>
          <w:trHeight w:val="227"/>
        </w:trPr>
        <w:tc>
          <w:tcPr>
            <w:tcW w:w="9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tcPr>
          <w:p>
            <w:pPr>
              <w:jc w:val="right"/>
              <w:spacing w:after="0"/>
              <w:rPr>
                <w:sz w:val="20"/>
                <w:szCs w:val="20"/>
                <w:color w:val="auto"/>
              </w:rPr>
            </w:pPr>
            <w:r>
              <w:rPr>
                <w:rFonts w:ascii="Arial" w:cs="Arial" w:eastAsia="Arial" w:hAnsi="Arial"/>
                <w:sz w:val="18"/>
                <w:szCs w:val="18"/>
                <w:color w:val="auto"/>
              </w:rPr>
              <w:t>0.79%-0.93%</w:t>
            </w:r>
          </w:p>
        </w:tc>
        <w:tc>
          <w:tcPr>
            <w:tcW w:w="180" w:type="dxa"/>
            <w:vAlign w:val="bottom"/>
          </w:tcPr>
          <w:p>
            <w:pPr>
              <w:spacing w:after="0"/>
              <w:rPr>
                <w:sz w:val="19"/>
                <w:szCs w:val="19"/>
                <w:color w:val="auto"/>
              </w:rPr>
            </w:pPr>
          </w:p>
        </w:tc>
      </w:tr>
      <w:tr>
        <w:trPr>
          <w:trHeight w:val="227"/>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3.1 - 3.5 yrs</w:t>
            </w:r>
          </w:p>
        </w:tc>
      </w:tr>
      <w:tr>
        <w:trPr>
          <w:trHeight w:val="227"/>
        </w:trPr>
        <w:tc>
          <w:tcPr>
            <w:tcW w:w="9380" w:type="dxa"/>
            <w:vAlign w:val="bottom"/>
          </w:tcPr>
          <w:p>
            <w:pPr>
              <w:spacing w:after="0"/>
              <w:rPr>
                <w:sz w:val="20"/>
                <w:szCs w:val="20"/>
                <w:color w:val="auto"/>
              </w:rPr>
            </w:pPr>
            <w:r>
              <w:rPr>
                <w:rFonts w:ascii="Arial" w:cs="Arial" w:eastAsia="Arial" w:hAnsi="Arial"/>
                <w:sz w:val="18"/>
                <w:szCs w:val="18"/>
                <w:color w:val="auto"/>
              </w:rPr>
              <w:t>Dividend rate</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jc w:val="both"/>
        <w:ind w:right="160"/>
        <w:spacing w:after="0" w:line="281"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first nine months of fiscal 2015 and fiscal 2014, the Company recognized total stock-based compensation expense of $1.6 million and $2.2 million, respectively. The total compensation cost related to time-vested stock options and time-based restricted stock awards not yet recognized as of October 31, 2015 is approximately $1.3 million, net of estimated forfeitures, which will be expensed over a weighted average remaining life of 12.8 months. At October 31, 2015, the Company had $7.1 million of unrecognized compensation expense, net of estimated forfeitures, related to its performance-based stock options and restricted stock. As discussed above, the Company will begin recognizing compensation if, and when, achievement of the performance targets under the 2013-2016 LTIP or Wrap-Around Plan becomes probable.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4. 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40" w:type="dxa"/>
            <w:vAlign w:val="bottom"/>
            <w:gridSpan w:val="4"/>
          </w:tcPr>
          <w:p>
            <w:pPr>
              <w:ind w:left="640"/>
              <w:spacing w:after="0"/>
              <w:rPr>
                <w:sz w:val="20"/>
                <w:szCs w:val="20"/>
                <w:color w:val="auto"/>
              </w:rPr>
            </w:pPr>
            <w:r>
              <w:rPr>
                <w:rFonts w:ascii="Arial" w:cs="Arial" w:eastAsia="Arial" w:hAnsi="Arial"/>
                <w:sz w:val="14"/>
                <w:szCs w:val="14"/>
                <w:color w:val="auto"/>
              </w:rPr>
              <w:t>For the three months ended</w:t>
            </w:r>
          </w:p>
        </w:tc>
        <w:tc>
          <w:tcPr>
            <w:tcW w:w="2740" w:type="dxa"/>
            <w:vAlign w:val="bottom"/>
            <w:gridSpan w:val="4"/>
          </w:tcPr>
          <w:p>
            <w:pPr>
              <w:ind w:left="58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6"/>
        </w:trPr>
        <w:tc>
          <w:tcPr>
            <w:tcW w:w="5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October 31, 2015</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November 1, 2014</w:t>
            </w: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rPr>
              <w:t>October 31, 2015</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November 1, 2014</w:t>
            </w:r>
          </w:p>
        </w:tc>
        <w:tc>
          <w:tcPr>
            <w:tcW w:w="0" w:type="dxa"/>
            <w:vAlign w:val="bottom"/>
          </w:tcPr>
          <w:p>
            <w:pPr>
              <w:spacing w:after="0"/>
              <w:rPr>
                <w:sz w:val="1"/>
                <w:szCs w:val="1"/>
                <w:color w:val="auto"/>
              </w:rPr>
            </w:pPr>
          </w:p>
        </w:tc>
      </w:tr>
      <w:tr>
        <w:trPr>
          <w:trHeight w:val="154"/>
        </w:trPr>
        <w:tc>
          <w:tcPr>
            <w:tcW w:w="5520" w:type="dxa"/>
            <w:vAlign w:val="bottom"/>
            <w:vMerge w:val="continue"/>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49,116</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48,773</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49,072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equivalents – stock options and restricted stock </w:t>
            </w:r>
            <w:r>
              <w:rPr>
                <w:rFonts w:ascii="Arial" w:cs="Arial" w:eastAsia="Arial" w:hAnsi="Arial"/>
                <w:sz w:val="15"/>
                <w:szCs w:val="15"/>
                <w:color w:val="auto"/>
              </w:rPr>
              <w:t>(1)</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49,116</w:t>
            </w:r>
          </w:p>
        </w:tc>
        <w:tc>
          <w:tcPr>
            <w:tcW w:w="1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48,773</w:t>
            </w:r>
          </w:p>
        </w:tc>
        <w:tc>
          <w:tcPr>
            <w:tcW w:w="1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49,072</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020" w:right="300" w:hanging="505"/>
        <w:spacing w:after="0" w:line="33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Common Stock equivalents of 700 and 558 shares for the three months ended October 31, 2015 and November 1, 2014, respectively, and 560 and 534 for the first nine months ended October 31, 2015 and November 1, 2014, respectively, were excluded due to the net loss.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the stock options or restricted stock.</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20" w:type="dxa"/>
            <w:vAlign w:val="bottom"/>
            <w:gridSpan w:val="4"/>
          </w:tcPr>
          <w:p>
            <w:pPr>
              <w:ind w:left="580"/>
              <w:spacing w:after="0"/>
              <w:rPr>
                <w:sz w:val="20"/>
                <w:szCs w:val="20"/>
                <w:color w:val="auto"/>
              </w:rPr>
            </w:pPr>
            <w:r>
              <w:rPr>
                <w:rFonts w:ascii="Arial" w:cs="Arial" w:eastAsia="Arial" w:hAnsi="Arial"/>
                <w:sz w:val="14"/>
                <w:szCs w:val="14"/>
                <w:color w:val="auto"/>
              </w:rPr>
              <w:t>For the three months ended</w:t>
            </w:r>
          </w:p>
        </w:tc>
        <w:tc>
          <w:tcPr>
            <w:tcW w:w="2860" w:type="dxa"/>
            <w:vAlign w:val="bottom"/>
            <w:gridSpan w:val="4"/>
          </w:tcPr>
          <w:p>
            <w:pPr>
              <w:ind w:left="640"/>
              <w:spacing w:after="0"/>
              <w:rPr>
                <w:sz w:val="20"/>
                <w:szCs w:val="20"/>
                <w:color w:val="auto"/>
              </w:rPr>
            </w:pPr>
            <w:r>
              <w:rPr>
                <w:rFonts w:ascii="Arial" w:cs="Arial" w:eastAsia="Arial" w:hAnsi="Arial"/>
                <w:sz w:val="14"/>
                <w:szCs w:val="14"/>
                <w:color w:val="auto"/>
              </w:rPr>
              <w:t>For the nine months ended</w:t>
            </w:r>
          </w:p>
        </w:tc>
      </w:tr>
      <w:tr>
        <w:trPr>
          <w:trHeight w:val="166"/>
        </w:trPr>
        <w:tc>
          <w:tcPr>
            <w:tcW w:w="55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October 31, 2015</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November 1, 2014</w:t>
            </w: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October 31, 2015</w:t>
            </w: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November 1, 2014</w:t>
            </w:r>
          </w:p>
        </w:tc>
      </w:tr>
      <w:tr>
        <w:trPr>
          <w:trHeight w:val="167"/>
        </w:trPr>
        <w:tc>
          <w:tcPr>
            <w:tcW w:w="552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60" w:type="dxa"/>
            <w:vAlign w:val="bottom"/>
            <w:shd w:val="clear" w:color="auto" w:fill="CFF0FC"/>
          </w:tcPr>
          <w:p>
            <w:pPr>
              <w:spacing w:after="0"/>
              <w:rPr>
                <w:sz w:val="19"/>
                <w:szCs w:val="19"/>
                <w:color w:val="auto"/>
              </w:rPr>
            </w:pPr>
          </w:p>
        </w:tc>
      </w:tr>
      <w:tr>
        <w:trPr>
          <w:trHeight w:val="227"/>
        </w:trPr>
        <w:tc>
          <w:tcPr>
            <w:tcW w:w="5520" w:type="dxa"/>
            <w:vAlign w:val="bottom"/>
          </w:tcPr>
          <w:p>
            <w:pPr>
              <w:spacing w:after="0"/>
              <w:rPr>
                <w:sz w:val="20"/>
                <w:szCs w:val="20"/>
                <w:color w:val="auto"/>
              </w:rPr>
            </w:pPr>
            <w:r>
              <w:rPr>
                <w:rFonts w:ascii="Arial" w:cs="Arial" w:eastAsia="Arial" w:hAnsi="Arial"/>
                <w:sz w:val="18"/>
                <w:szCs w:val="18"/>
                <w:color w:val="auto"/>
              </w:rPr>
              <w:t>Restricted Stock (time-vested)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$5.27 - $7.52</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$4.96 - $7.52</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$4.96 - $7.52</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$4.96 - $7.52</w:t>
            </w:r>
          </w:p>
        </w:tc>
        <w:tc>
          <w:tcPr>
            <w:tcW w:w="60" w:type="dxa"/>
            <w:vAlign w:val="bottom"/>
            <w:shd w:val="clear" w:color="auto" w:fill="CFF0FC"/>
          </w:tcPr>
          <w:p>
            <w:pPr>
              <w:spacing w:after="0"/>
              <w:rPr>
                <w:sz w:val="19"/>
                <w:szCs w:val="19"/>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31, 2015, expire from January 16, 2016 to November 10, 2024.</w:t>
      </w:r>
    </w:p>
    <w:p>
      <w:pPr>
        <w:spacing w:after="0" w:line="22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Excluded from the Company’s computation of basic and diluted earnings per share for both the third quarter and first nine months of fiscal 2015 were 933,486 shares of unvested performance-based restricted stock and 1,162,047 performance-based stock options. For the third quarter and first nine months of fiscal 2014, 948,190 shares of unvested performance-based restricted stock and 1,175,971 performance-based stock options were excluded from the Company’s computation of basic and diluted earnings per share for both periods. Performance-based awards will be included in the computation of basic and diluted earnings per share if, and when, the respective performance targets are achieved. In addition, shares of unvested time-based restricted stock of 729,581 and 948,190 were excluded from the computation of basic earnings per share for the third quarter and first nine months of fiscal 2015 and fiscal 2014, respectively, and will be until such shares vest. See Note 3, Stock-Based Compensation, for a discussion of the Company’s 2013-2016 LTIP and the respective performance targets.</w:t>
      </w:r>
    </w:p>
    <w:p>
      <w:pPr>
        <w:spacing w:after="0" w:line="19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1,663,067 shares of restricted stock outstanding at October 31, 2015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8" w:lineRule="exact"/>
        <w:rPr>
          <w:sz w:val="20"/>
          <w:szCs w:val="20"/>
          <w:color w:val="auto"/>
        </w:rPr>
      </w:pPr>
    </w:p>
    <w:p>
      <w:pPr>
        <w:ind w:right="980"/>
        <w:spacing w:after="0" w:line="270" w:lineRule="auto"/>
        <w:rPr>
          <w:sz w:val="20"/>
          <w:szCs w:val="20"/>
          <w:color w:val="auto"/>
        </w:rPr>
      </w:pPr>
      <w:r>
        <w:rPr>
          <w:rFonts w:ascii="Arial" w:cs="Arial" w:eastAsia="Arial" w:hAnsi="Arial"/>
          <w:sz w:val="18"/>
          <w:szCs w:val="18"/>
          <w:color w:val="auto"/>
        </w:rPr>
        <w:t>At October 31, 2015, the Company had total deferred tax assets of approximately $78.2 million, total deferred tax liabilities of $15.6 million and a corresponding valuation allowance of $62.8 million.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three-year loss to increase as of the end of fiscal 2014. Management determined that this represented significant negative evidence at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February 1, 2014. While the Company has projected it will return to profitability, generate taxable income and ultimately emerge from a three-year cumulative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loss, based on a consideration of all positive and negative evidence as of February 1, 2014, the Company established a full allowance against its net deferred tax</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assets. Based on the Company’s forecast for fiscal 2015, the Company believes that a full allowance remains appropriate at this time.</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October 31, 2015, the Company had net operating loss carryforwards of $128.7 million for federal income tax purposes and $73.5 million for state income tax purposes that are available to offset future taxable income through fiscal year 2035. Additionally, the Company has alternative minimum tax credit carryforwards of $2.3 million, which are available to further reduce income taxes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180"/>
        <w:spacing w:after="0" w:line="255" w:lineRule="auto"/>
        <w:rPr>
          <w:sz w:val="20"/>
          <w:szCs w:val="20"/>
          <w:color w:val="auto"/>
        </w:rPr>
      </w:pPr>
      <w:r>
        <w:rPr>
          <w:rFonts w:ascii="Arial" w:cs="Arial" w:eastAsia="Arial" w:hAnsi="Arial"/>
          <w:sz w:val="18"/>
          <w:szCs w:val="18"/>
          <w:color w:val="auto"/>
        </w:rPr>
        <w:t>over an indefinite period. Additionally, the Company has $0.1 million and $2.3 million of net operating loss for tax purposes related to the Company’s operations in Hong Kong and Canada, respectively, though both are expected to expire largely unutilized. Included in the net operating loss carryforwards for both federal and state income tax is approximately $13.0 million relating to stock compensation deductions, the tax benefit from which, if realized, will be credited to additional paid-in capital.</w:t>
      </w:r>
    </w:p>
    <w:p>
      <w:pPr>
        <w:spacing w:after="0" w:line="1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5"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The Company’s tax provision for the first nine months of fiscal 2015 and fiscal 2014 represents an increase in our deferred tax liability for indefinite-lived intangibles as well as current state margin tax and foreign income tax.</w:t>
      </w:r>
    </w:p>
    <w:p>
      <w:pPr>
        <w:spacing w:after="0" w:line="17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liability for unrecognized tax benefits at October 31, 2015 was $3.0 million. This amount is directly associated with a prior year tax position related to exiting the European direct business.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the second quarter of fiscal 2014, the Company notified Sears Canada of its intent to exit the business and began the process of an orderly wind-down. The Company ceased taking new orders and completed the run-off of operations through a final settlement with Sears during the fourth quarter of fiscal</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2014. Accordingly, the results of operations for the third quarter and first nine months of fiscal 2014 have been reclassified to reflect the operating results as discontinued operations. The loss for the first nine months of fiscal 2014, as shown in the table below, includes a charge of approximately $0.8 million related primarily to inventory reserves and sales allowances as a result of the Company’s decision to exit the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For the three months ended</w:t>
            </w:r>
          </w:p>
        </w:tc>
        <w:tc>
          <w:tcPr>
            <w:tcW w:w="260" w:type="dxa"/>
            <w:vAlign w:val="bottom"/>
          </w:tcPr>
          <w:p>
            <w:pPr>
              <w:spacing w:after="0"/>
              <w:rPr>
                <w:sz w:val="14"/>
                <w:szCs w:val="14"/>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For the nine months ended</w:t>
            </w:r>
          </w:p>
        </w:tc>
      </w:tr>
      <w:tr>
        <w:trPr>
          <w:trHeight w:val="166"/>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4"/>
                <w:szCs w:val="14"/>
                <w:color w:val="auto"/>
              </w:rPr>
              <w:t>November 1, 2014</w:t>
            </w:r>
          </w:p>
        </w:tc>
        <w:tc>
          <w:tcPr>
            <w:tcW w:w="260" w:type="dxa"/>
            <w:vAlign w:val="bottom"/>
          </w:tcPr>
          <w:p>
            <w:pPr>
              <w:spacing w:after="0"/>
              <w:rPr>
                <w:sz w:val="14"/>
                <w:szCs w:val="14"/>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4"/>
                <w:szCs w:val="14"/>
                <w:color w:val="auto"/>
              </w:rPr>
              <w:t>November 1, 2014</w:t>
            </w:r>
          </w:p>
        </w:tc>
      </w:tr>
      <w:tr>
        <w:trPr>
          <w:trHeight w:val="221"/>
        </w:trPr>
        <w:tc>
          <w:tcPr>
            <w:tcW w:w="5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(347)</w:t>
            </w:r>
          </w:p>
        </w:tc>
      </w:tr>
      <w:tr>
        <w:trPr>
          <w:trHeight w:val="227"/>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(882)</w:t>
            </w: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r>
      <w:tr>
        <w:trPr>
          <w:trHeight w:val="227"/>
        </w:trPr>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from income taxes</w:t>
            </w:r>
          </w:p>
        </w:tc>
        <w:tc>
          <w:tcPr>
            <w:tcW w:w="1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24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2015 and beyond, the expected benefit of marketing initiatives, international sales growth and the anticipated pace and number of store openings in fiscal 2015.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the Quarterly Report on Form 10-Q and our audited consolidated financial statements for the year ended January 31, 2015, included in our Annual Report on Form 10-K, for the year ended January 31, 2015, as filed with the Securities and Exchange Commission on March 25, 2015.</w:t>
      </w:r>
    </w:p>
    <w:p>
      <w:pPr>
        <w:spacing w:after="0" w:line="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We encourage readers to refer to the “Risk Factors” section in Part I, Item 1A of our Annual Report on Form 10-K for the fiscal year ended January 31, 2015, that sets forth certain risks and uncertainties that may have an impact on future results and direction of our Company, including risks relating to the execution of our DXL strategy and ability to grow our market share, our ability to predict customer tastes and fashion trends and to compete successfully in the United States men’s big &amp; tall apparel market.</w:t>
      </w:r>
    </w:p>
    <w:p>
      <w:pPr>
        <w:spacing w:after="0" w:line="15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 together with our consolidated subsidiaries (the “Company”), is the largest specialty retailer of big &amp; tall men’s apparel with retail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and direct operations in the United States and London, England. We operate under the trade names of Destination XL</w:t>
      </w:r>
      <w:r>
        <w:rPr>
          <w:rFonts w:ascii="Arial" w:cs="Arial" w:eastAsia="Arial" w:hAnsi="Arial"/>
          <w:sz w:val="22"/>
          <w:szCs w:val="22"/>
          <w:color w:val="auto"/>
          <w:vertAlign w:val="superscript"/>
        </w:rPr>
        <w:t>®</w:t>
      </w:r>
      <w:r>
        <w:rPr>
          <w:rFonts w:ascii="Arial" w:cs="Arial" w:eastAsia="Arial" w:hAnsi="Arial"/>
          <w:sz w:val="16"/>
          <w:szCs w:val="16"/>
          <w:color w:val="auto"/>
        </w:rPr>
        <w:t>, DXL</w:t>
      </w:r>
      <w:r>
        <w:rPr>
          <w:rFonts w:ascii="Arial" w:cs="Arial" w:eastAsia="Arial" w:hAnsi="Arial"/>
          <w:sz w:val="22"/>
          <w:szCs w:val="22"/>
          <w:color w:val="auto"/>
          <w:vertAlign w:val="superscript"/>
        </w:rPr>
        <w:t>®</w:t>
      </w:r>
      <w:r>
        <w:rPr>
          <w:rFonts w:ascii="Arial" w:cs="Arial" w:eastAsia="Arial" w:hAnsi="Arial"/>
          <w:sz w:val="16"/>
          <w:szCs w:val="16"/>
          <w:color w:val="auto"/>
        </w:rPr>
        <w:t>, DXL Outlets, Casual Male</w:t>
      </w:r>
    </w:p>
    <w:p>
      <w:pPr>
        <w:spacing w:after="0" w:line="202" w:lineRule="auto"/>
        <w:rPr>
          <w:sz w:val="20"/>
          <w:szCs w:val="20"/>
          <w:color w:val="auto"/>
        </w:rPr>
      </w:pPr>
      <w:r>
        <w:rPr>
          <w:rFonts w:ascii="Arial" w:cs="Arial" w:eastAsia="Arial" w:hAnsi="Arial"/>
          <w:sz w:val="16"/>
          <w:szCs w:val="16"/>
          <w:color w:val="auto"/>
        </w:rPr>
        <w:t>XL</w:t>
      </w:r>
      <w:r>
        <w:rPr>
          <w:rFonts w:ascii="Arial" w:cs="Arial" w:eastAsia="Arial" w:hAnsi="Arial"/>
          <w:sz w:val="22"/>
          <w:szCs w:val="22"/>
          <w:color w:val="auto"/>
          <w:vertAlign w:val="superscript"/>
        </w:rPr>
        <w:t>®</w:t>
      </w:r>
      <w:r>
        <w:rPr>
          <w:rFonts w:ascii="Arial" w:cs="Arial" w:eastAsia="Arial" w:hAnsi="Arial"/>
          <w:sz w:val="16"/>
          <w:szCs w:val="16"/>
          <w:color w:val="auto"/>
        </w:rPr>
        <w:t>, Casual Male XL Outlets, Rochester Clothing, ShoesXL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LivingXL</w:t>
      </w:r>
      <w:r>
        <w:rPr>
          <w:rFonts w:ascii="Arial" w:cs="Arial" w:eastAsia="Arial" w:hAnsi="Arial"/>
          <w:sz w:val="22"/>
          <w:szCs w:val="22"/>
          <w:color w:val="auto"/>
          <w:vertAlign w:val="superscript"/>
        </w:rPr>
        <w:t>®</w:t>
      </w:r>
      <w:r>
        <w:rPr>
          <w:rFonts w:ascii="Arial" w:cs="Arial" w:eastAsia="Arial" w:hAnsi="Arial"/>
          <w:sz w:val="16"/>
          <w:szCs w:val="16"/>
          <w:color w:val="auto"/>
        </w:rPr>
        <w:t>. At October 31, 2015, we operated 163 Destination XL stores, 136 Casual Male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XL retail stores, 9 DXL outlet stores, 41 Casual Male XL outlet stores and 5 Rochester Clothing stores. Our direct business includes our DestinationXL.com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bigandtall.com e-commerce sites which support our stores, brands and product extensions.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January 30, 2016 and January 31, 2015 as “fiscal 2015” and “fiscal 2014,” respectively. Both fiscal years are 52-week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 especially in our growing omni-channel environment, to be similar in terms of economic characteristics, production processes and operations, and have, therefore, aggregated them into a single reporting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1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8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Effective fiscal 2014, as part of our omni-channel initiatives, more than 300 of our retail stores now have the capability of fulfilling online orders if merchandise is not available in the warehouse. As a result, we are seeing more transactions that begin online but are ultimately completed at the store level. Similarly, if a customer visits a store and the item is out of stock, the associate can order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8" w:name="page19"/>
    <w:bookmarkEnd w:id="18"/>
    <w:p>
      <w:pPr>
        <w:ind w:right="140"/>
        <w:spacing w:after="0" w:line="255" w:lineRule="auto"/>
        <w:rPr>
          <w:sz w:val="20"/>
          <w:szCs w:val="20"/>
          <w:color w:val="auto"/>
        </w:rPr>
      </w:pPr>
      <w:r>
        <w:rPr>
          <w:rFonts w:ascii="Arial" w:cs="Arial" w:eastAsia="Arial" w:hAnsi="Arial"/>
          <w:sz w:val="18"/>
          <w:szCs w:val="18"/>
          <w:color w:val="auto"/>
        </w:rPr>
        <w:t>item through our website.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the first quarter of fiscal 2015, we elected early adoption of ASU 2015-03 “</w:t>
      </w:r>
      <w:r>
        <w:rPr>
          <w:rFonts w:ascii="Arial" w:cs="Arial" w:eastAsia="Arial" w:hAnsi="Arial"/>
          <w:sz w:val="16"/>
          <w:szCs w:val="16"/>
          <w:i w:val="1"/>
          <w:iCs w:val="1"/>
          <w:color w:val="auto"/>
        </w:rPr>
        <w:t>Interest-Imputation of Interest (Subtopic 835-30), Simplifying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Debt Issuance Costs.</w:t>
      </w:r>
      <w:r>
        <w:rPr>
          <w:rFonts w:ascii="Arial" w:cs="Arial" w:eastAsia="Arial" w:hAnsi="Arial"/>
          <w:sz w:val="16"/>
          <w:szCs w:val="16"/>
          <w:color w:val="auto"/>
        </w:rPr>
        <w:t>” Historically, we presented deferred debt issuance costs, or fees, directly related to issuing debt, as assets on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With the adoption of ASU 2015-03, these costs are now shown as a deduction from the corresponding liability, consistent with debt</w:t>
      </w:r>
    </w:p>
    <w:p>
      <w:pPr>
        <w:spacing w:after="0" w:line="1"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discounts. Accordingly, we have applied the new guidance retrospectively to all prior periods presented and treated the adoption as a change in accounting principle. The reclassification did not impact any amounts reported on the Consolidated Statements of Operations. See Note 1 to the Consolidated Financial Statements for a full description.</w:t>
      </w:r>
    </w:p>
    <w:p>
      <w:pPr>
        <w:spacing w:after="0" w:line="86" w:lineRule="exact"/>
        <w:rPr>
          <w:sz w:val="20"/>
          <w:szCs w:val="20"/>
          <w:color w:val="auto"/>
        </w:rPr>
      </w:pPr>
    </w:p>
    <w:p>
      <w:pPr>
        <w:ind w:right="860"/>
        <w:spacing w:after="0" w:line="270" w:lineRule="auto"/>
        <w:rPr>
          <w:sz w:val="20"/>
          <w:szCs w:val="20"/>
          <w:color w:val="auto"/>
        </w:rPr>
      </w:pPr>
      <w:r>
        <w:rPr>
          <w:rFonts w:ascii="Arial" w:cs="Arial" w:eastAsia="Arial" w:hAnsi="Arial"/>
          <w:sz w:val="18"/>
          <w:szCs w:val="18"/>
          <w:color w:val="auto"/>
        </w:rPr>
        <w:t>In the fourth quarter of fiscal 2014, we ended our business relationship with Sears Canada and, as a result, the operating results for this business were reclassified to discontinued operations for the third quarter and first nine months of fiscal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 xml:space="preserve">The following is a summary of results for the third quarter and first nine months of fiscal 2015, including EBITDA from continuing operations and adjusted net loss, which are non-GAAP measures </w:t>
      </w:r>
      <w:r>
        <w:rPr>
          <w:rFonts w:ascii="Arial" w:cs="Arial" w:eastAsia="Arial" w:hAnsi="Arial"/>
          <w:sz w:val="16"/>
          <w:szCs w:val="16"/>
          <w:i w:val="1"/>
          <w:iCs w:val="1"/>
          <w:color w:val="auto"/>
        </w:rPr>
        <w:t>(Certain columns may not foot due to rounding)</w:t>
      </w:r>
      <w:r>
        <w:rPr>
          <w:rFonts w:ascii="Arial" w:cs="Arial" w:eastAsia="Arial" w:hAnsi="Arial"/>
          <w:sz w:val="16"/>
          <w:szCs w:val="16"/>
          <w:color w:val="auto"/>
        </w:rPr>
        <w:t>. Please see “Presentation of Non-GAAP Measures” below.</w:t>
      </w:r>
    </w:p>
    <w:tbl>
      <w:tblPr>
        <w:tblLayout w:type="fixed"/>
        <w:tblInd w:w="0" w:type="dxa"/>
        <w:tblCellMar>
          <w:top w:w="0" w:type="dxa"/>
          <w:left w:w="0" w:type="dxa"/>
          <w:bottom w:w="0" w:type="dxa"/>
          <w:right w:w="0" w:type="dxa"/>
        </w:tblCellMar>
      </w:tblPr>
      <w:tr>
        <w:trPr>
          <w:trHeight w:val="158"/>
        </w:trPr>
        <w:tc>
          <w:tcPr>
            <w:tcW w:w="1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6"/>
          </w:tcPr>
          <w:p>
            <w:pPr>
              <w:jc w:val="right"/>
              <w:ind w:right="820"/>
              <w:spacing w:after="0" w:line="158" w:lineRule="exact"/>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6"/>
          </w:tcPr>
          <w:p>
            <w:pPr>
              <w:jc w:val="right"/>
              <w:ind w:right="760"/>
              <w:spacing w:after="0" w:line="158" w:lineRule="exact"/>
              <w:rPr>
                <w:sz w:val="20"/>
                <w:szCs w:val="20"/>
                <w:color w:val="auto"/>
              </w:rPr>
            </w:pPr>
            <w:r>
              <w:rPr>
                <w:rFonts w:ascii="Arial" w:cs="Arial" w:eastAsia="Arial" w:hAnsi="Arial"/>
                <w:sz w:val="14"/>
                <w:szCs w:val="14"/>
                <w:color w:val="auto"/>
              </w:rPr>
              <w:t>For the nine months ended</w:t>
            </w:r>
          </w:p>
        </w:tc>
      </w:tr>
      <w:tr>
        <w:trPr>
          <w:trHeight w:val="166"/>
        </w:trPr>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October 31, 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November 1, 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October 31, 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November 1, 2014</w:t>
            </w:r>
          </w:p>
        </w:tc>
      </w:tr>
      <w:tr>
        <w:trPr>
          <w:trHeight w:val="140"/>
        </w:trPr>
        <w:tc>
          <w:tcPr>
            <w:tcW w:w="5420" w:type="dxa"/>
            <w:vAlign w:val="bottom"/>
            <w:tcBorders>
              <w:top w:val="single" w:sz="8" w:color="CFF0FC"/>
            </w:tcBorders>
            <w:gridSpan w:val="3"/>
            <w:shd w:val="clear" w:color="auto" w:fill="CFF0FC"/>
          </w:tcPr>
          <w:p>
            <w:pPr>
              <w:spacing w:after="0" w:line="141" w:lineRule="exact"/>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r>
      <w:tr>
        <w:trPr>
          <w:trHeight w:val="154"/>
        </w:trPr>
        <w:tc>
          <w:tcPr>
            <w:tcW w:w="20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color w:val="auto"/>
              </w:rPr>
              <w:t>Operating loss</w:t>
            </w:r>
          </w:p>
        </w:tc>
        <w:tc>
          <w:tcPr>
            <w:tcW w:w="34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CFF0FC"/>
            </w:tcBorders>
            <w:gridSpan w:val="2"/>
          </w:tcPr>
          <w:p>
            <w:pPr>
              <w:jc w:val="right"/>
              <w:ind w:right="60"/>
              <w:spacing w:after="0" w:line="154" w:lineRule="exact"/>
              <w:rPr>
                <w:sz w:val="20"/>
                <w:szCs w:val="20"/>
                <w:color w:val="auto"/>
              </w:rPr>
            </w:pPr>
            <w:r>
              <w:rPr>
                <w:rFonts w:ascii="Arial" w:cs="Arial" w:eastAsia="Arial" w:hAnsi="Arial"/>
                <w:sz w:val="14"/>
                <w:szCs w:val="14"/>
                <w:color w:val="auto"/>
              </w:rPr>
              <w:t>(4.6)</w:t>
            </w:r>
          </w:p>
        </w:tc>
        <w:tc>
          <w:tcPr>
            <w:tcW w:w="200" w:type="dxa"/>
            <w:vAlign w:val="bottom"/>
            <w:tcBorders>
              <w:top w:val="single" w:sz="8" w:color="CFF0FC"/>
            </w:tcBorders>
            <w:gridSpan w:val="2"/>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CFF0FC"/>
            </w:tcBorders>
            <w:gridSpan w:val="2"/>
          </w:tcPr>
          <w:p>
            <w:pPr>
              <w:jc w:val="right"/>
              <w:ind w:right="60"/>
              <w:spacing w:after="0" w:line="154" w:lineRule="exact"/>
              <w:rPr>
                <w:sz w:val="20"/>
                <w:szCs w:val="20"/>
                <w:color w:val="auto"/>
              </w:rPr>
            </w:pPr>
            <w:r>
              <w:rPr>
                <w:rFonts w:ascii="Arial" w:cs="Arial" w:eastAsia="Arial" w:hAnsi="Arial"/>
                <w:sz w:val="14"/>
                <w:szCs w:val="14"/>
                <w:color w:val="auto"/>
              </w:rPr>
              <w:t>(5.5)</w:t>
            </w:r>
          </w:p>
        </w:tc>
        <w:tc>
          <w:tcPr>
            <w:tcW w:w="200" w:type="dxa"/>
            <w:vAlign w:val="bottom"/>
            <w:tcBorders>
              <w:top w:val="single" w:sz="8" w:color="CFF0FC"/>
            </w:tcBorders>
            <w:gridSpan w:val="2"/>
          </w:tcPr>
          <w:p>
            <w:pPr>
              <w:jc w:val="right"/>
              <w:ind w:right="20"/>
              <w:spacing w:after="0" w:line="154"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CFF0FC"/>
            </w:tcBorders>
            <w:gridSpan w:val="2"/>
          </w:tcPr>
          <w:p>
            <w:pPr>
              <w:jc w:val="right"/>
              <w:ind w:right="60"/>
              <w:spacing w:after="0" w:line="154" w:lineRule="exact"/>
              <w:rPr>
                <w:sz w:val="20"/>
                <w:szCs w:val="20"/>
                <w:color w:val="auto"/>
              </w:rPr>
            </w:pPr>
            <w:r>
              <w:rPr>
                <w:rFonts w:ascii="Arial" w:cs="Arial" w:eastAsia="Arial" w:hAnsi="Arial"/>
                <w:sz w:val="14"/>
                <w:szCs w:val="14"/>
                <w:color w:val="auto"/>
              </w:rPr>
              <w:t>(4.5)</w:t>
            </w:r>
          </w:p>
        </w:tc>
        <w:tc>
          <w:tcPr>
            <w:tcW w:w="200" w:type="dxa"/>
            <w:vAlign w:val="bottom"/>
            <w:tcBorders>
              <w:top w:val="single" w:sz="8" w:color="CFF0FC"/>
            </w:tcBorders>
            <w:gridSpan w:val="2"/>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CFF0FC"/>
            </w:tcBorders>
            <w:gridSpan w:val="2"/>
          </w:tcPr>
          <w:p>
            <w:pPr>
              <w:jc w:val="right"/>
              <w:ind w:right="40"/>
              <w:spacing w:after="0" w:line="154" w:lineRule="exact"/>
              <w:rPr>
                <w:sz w:val="20"/>
                <w:szCs w:val="20"/>
                <w:color w:val="auto"/>
              </w:rPr>
            </w:pPr>
            <w:r>
              <w:rPr>
                <w:rFonts w:ascii="Arial" w:cs="Arial" w:eastAsia="Arial" w:hAnsi="Arial"/>
                <w:sz w:val="14"/>
                <w:szCs w:val="14"/>
                <w:color w:val="auto"/>
              </w:rPr>
              <w:t>(11.0)</w:t>
            </w:r>
          </w:p>
        </w:tc>
      </w:tr>
      <w:tr>
        <w:trPr>
          <w:trHeight w:val="160"/>
        </w:trPr>
        <w:tc>
          <w:tcPr>
            <w:tcW w:w="5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 Depreciation and amortization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FF0FC"/>
          </w:tcPr>
          <w:p>
            <w:pPr>
              <w:spacing w:after="0"/>
              <w:rPr>
                <w:sz w:val="13"/>
                <w:szCs w:val="13"/>
                <w:color w:val="auto"/>
              </w:rPr>
            </w:pPr>
          </w:p>
        </w:tc>
      </w:tr>
      <w:tr>
        <w:trPr>
          <w:trHeight w:val="154"/>
        </w:trPr>
        <w:tc>
          <w:tcPr>
            <w:tcW w:w="5420" w:type="dxa"/>
            <w:vAlign w:val="bottom"/>
            <w:gridSpan w:val="3"/>
          </w:tcPr>
          <w:p>
            <w:pPr>
              <w:spacing w:after="0" w:line="154" w:lineRule="exact"/>
              <w:rPr>
                <w:sz w:val="20"/>
                <w:szCs w:val="20"/>
                <w:color w:val="auto"/>
              </w:rPr>
            </w:pPr>
            <w:r>
              <w:rPr>
                <w:rFonts w:ascii="Arial" w:cs="Arial" w:eastAsia="Arial" w:hAnsi="Arial"/>
                <w:sz w:val="14"/>
                <w:szCs w:val="14"/>
                <w:color w:val="auto"/>
              </w:rPr>
              <w:t>EBITDA from continuing operations (Non-GAAP basis)</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54"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4"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4"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4" w:lineRule="exact"/>
              <w:rPr>
                <w:sz w:val="20"/>
                <w:szCs w:val="20"/>
                <w:color w:val="auto"/>
              </w:rPr>
            </w:pPr>
            <w:r>
              <w:rPr>
                <w:rFonts w:ascii="Arial" w:cs="Arial" w:eastAsia="Arial" w:hAnsi="Arial"/>
                <w:sz w:val="14"/>
                <w:szCs w:val="14"/>
                <w:color w:val="auto"/>
              </w:rPr>
              <w:t>16.0</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4"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3"/>
                <w:szCs w:val="13"/>
                <w:color w:val="auto"/>
              </w:rPr>
            </w:pPr>
          </w:p>
        </w:tc>
      </w:tr>
      <w:tr>
        <w:trPr>
          <w:trHeight w:val="160"/>
        </w:trPr>
        <w:tc>
          <w:tcPr>
            <w:tcW w:w="1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7"/>
        </w:trPr>
        <w:tc>
          <w:tcPr>
            <w:tcW w:w="5420" w:type="dxa"/>
            <w:vAlign w:val="bottom"/>
            <w:gridSpan w:val="3"/>
          </w:tcPr>
          <w:p>
            <w:pPr>
              <w:spacing w:after="0" w:line="147" w:lineRule="exact"/>
              <w:rPr>
                <w:sz w:val="20"/>
                <w:szCs w:val="20"/>
                <w:color w:val="auto"/>
              </w:rPr>
            </w:pPr>
            <w:r>
              <w:rPr>
                <w:rFonts w:ascii="Arial" w:cs="Arial" w:eastAsia="Arial" w:hAnsi="Arial"/>
                <w:sz w:val="14"/>
                <w:szCs w:val="14"/>
                <w:color w:val="auto"/>
              </w:rPr>
              <w:t>Diluted loss per share:</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28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Net loss</w:t>
            </w:r>
          </w:p>
        </w:tc>
        <w:tc>
          <w:tcPr>
            <w:tcW w:w="414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60"/>
              <w:spacing w:after="0" w:line="154" w:lineRule="exact"/>
              <w:rPr>
                <w:sz w:val="20"/>
                <w:szCs w:val="20"/>
                <w:color w:val="auto"/>
              </w:rPr>
            </w:pPr>
            <w:r>
              <w:rPr>
                <w:rFonts w:ascii="Arial" w:cs="Arial" w:eastAsia="Arial" w:hAnsi="Arial"/>
                <w:sz w:val="14"/>
                <w:szCs w:val="14"/>
                <w:color w:val="auto"/>
              </w:rPr>
              <w:t>(0.11)</w:t>
            </w:r>
          </w:p>
        </w:tc>
        <w:tc>
          <w:tcPr>
            <w:tcW w:w="200" w:type="dxa"/>
            <w:vAlign w:val="bottom"/>
            <w:gridSpan w:val="2"/>
            <w:shd w:val="clear" w:color="auto" w:fill="CFF0FC"/>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60"/>
              <w:spacing w:after="0" w:line="154" w:lineRule="exact"/>
              <w:rPr>
                <w:sz w:val="20"/>
                <w:szCs w:val="20"/>
                <w:color w:val="auto"/>
              </w:rPr>
            </w:pPr>
            <w:r>
              <w:rPr>
                <w:rFonts w:ascii="Arial" w:cs="Arial" w:eastAsia="Arial" w:hAnsi="Arial"/>
                <w:sz w:val="14"/>
                <w:szCs w:val="14"/>
                <w:color w:val="auto"/>
              </w:rPr>
              <w:t>(0.13)</w:t>
            </w:r>
          </w:p>
        </w:tc>
        <w:tc>
          <w:tcPr>
            <w:tcW w:w="200" w:type="dxa"/>
            <w:vAlign w:val="bottom"/>
            <w:gridSpan w:val="2"/>
            <w:shd w:val="clear" w:color="auto" w:fill="CFF0FC"/>
          </w:tcPr>
          <w:p>
            <w:pPr>
              <w:jc w:val="right"/>
              <w:ind w:right="20"/>
              <w:spacing w:after="0" w:line="154"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60"/>
              <w:spacing w:after="0" w:line="154" w:lineRule="exact"/>
              <w:rPr>
                <w:sz w:val="20"/>
                <w:szCs w:val="20"/>
                <w:color w:val="auto"/>
              </w:rPr>
            </w:pPr>
            <w:r>
              <w:rPr>
                <w:rFonts w:ascii="Arial" w:cs="Arial" w:eastAsia="Arial" w:hAnsi="Arial"/>
                <w:sz w:val="14"/>
                <w:szCs w:val="14"/>
                <w:color w:val="auto"/>
              </w:rPr>
              <w:t>(0.14)</w:t>
            </w:r>
          </w:p>
        </w:tc>
        <w:tc>
          <w:tcPr>
            <w:tcW w:w="200" w:type="dxa"/>
            <w:vAlign w:val="bottom"/>
            <w:gridSpan w:val="2"/>
            <w:shd w:val="clear" w:color="auto" w:fill="CFF0FC"/>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40"/>
              <w:spacing w:after="0" w:line="154" w:lineRule="exact"/>
              <w:rPr>
                <w:sz w:val="20"/>
                <w:szCs w:val="20"/>
                <w:color w:val="auto"/>
              </w:rPr>
            </w:pPr>
            <w:r>
              <w:rPr>
                <w:rFonts w:ascii="Arial" w:cs="Arial" w:eastAsia="Arial" w:hAnsi="Arial"/>
                <w:sz w:val="14"/>
                <w:szCs w:val="14"/>
                <w:color w:val="auto"/>
              </w:rPr>
              <w:t>(0.28)</w:t>
            </w:r>
          </w:p>
        </w:tc>
      </w:tr>
      <w:tr>
        <w:trPr>
          <w:trHeight w:val="181"/>
        </w:trPr>
        <w:tc>
          <w:tcPr>
            <w:tcW w:w="5420" w:type="dxa"/>
            <w:vAlign w:val="bottom"/>
            <w:gridSpan w:val="3"/>
          </w:tcPr>
          <w:p>
            <w:pPr>
              <w:spacing w:after="0"/>
              <w:rPr>
                <w:sz w:val="20"/>
                <w:szCs w:val="20"/>
                <w:color w:val="auto"/>
              </w:rPr>
            </w:pPr>
            <w:r>
              <w:rPr>
                <w:rFonts w:ascii="Arial" w:cs="Arial" w:eastAsia="Arial" w:hAnsi="Arial"/>
                <w:sz w:val="14"/>
                <w:szCs w:val="14"/>
                <w:color w:val="auto"/>
              </w:rPr>
              <w:t>Adjusted net loss (Non-GAAP basis)</w:t>
            </w:r>
            <w:r>
              <w:rPr>
                <w:rFonts w:ascii="Arial" w:cs="Arial" w:eastAsia="Arial" w:hAnsi="Arial"/>
                <w:sz w:val="12"/>
                <w:szCs w:val="12"/>
                <w:color w:val="auto"/>
              </w:rPr>
              <w:t>(1)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(0.07)</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(0.08)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(0.08)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(0.17)</w:t>
            </w:r>
          </w:p>
        </w:tc>
      </w:tr>
    </w:tbl>
    <w:p>
      <w:pPr>
        <w:spacing w:after="0" w:line="76" w:lineRule="exact"/>
        <w:rPr>
          <w:sz w:val="20"/>
          <w:szCs w:val="20"/>
          <w:color w:val="auto"/>
        </w:rPr>
      </w:pPr>
    </w:p>
    <w:p>
      <w:pPr>
        <w:ind w:left="760" w:hanging="753"/>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a normalized tax rate of 40% for the all periods.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are very pleased with our financial results for the third quarter of fiscal 2015. Despite the weak retail environment, which was further affected by the unseasonably warm weather in October, our DXL retail stores performed strongly delivering a 9.2% comparable sales increase against the prior year’s third quarter increase of 12.8%. Further, our gross margins for the third quarter improved 170 basis points over the prior year. Approximately 120 of this 170 basis point improvement was the result of an increase in our merchandise margins, driven by a need for fewer promotional markdowns and low levels of clearance inventory. As a result, EBITDA from continuing operations for the third quarter of fiscal 2015 increased to $2.5 million as compared to $0.5 million for the prior year third quarter. Our net loss for the third quarter of fiscal 2015 was $(5.5) million as compared to a net loss of $(6.3) million for the third quarter of fiscal 2014.</w:t>
      </w:r>
    </w:p>
    <w:p>
      <w:pPr>
        <w:spacing w:after="0" w:line="89"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This growth and improved performance is attributable to the performance of our DXL concept. Our customer base for these stores continues to grow and through the third quarter of fiscal 2015 we have surpassed our growth in active customers from fiscal 2014. During the third quarter of fiscal 2015, the number of transactions increased 5.8% and the average dollars per transaction and units per transaction also increased approximately 3.0%. In addition, we continue to see an increase in our “end-of-rack” customer. In the past, we have talked about the importance of attracting the “end-of-rack” customer, which for us is that customer with a waist size smaller than 46”. This customer visits, on average, 2.4 times a year compared to our larger-waist customer who shops on average</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1.7 times a year. Furthermore, the end-of-rack customer, on average, spends double the amount of our larger-waist customer in an average transaction. For the first nine months of fiscal 2015, our end-of-rack customer represented 42.5% of our sales in bottoms, compared with 40.0% for the first nine months of fiscal 2014. A key metric that we monitor very closely to ensure we are making progress towards our long-term sales goals is sales per square foot. For our DXL stores, sales per square foot, on a rolling 12-month basis, were $174 at the end of the third quarter as compared with $160 per square foot for the rolling 12-month period at the end of the third quarter last year.</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first nine months of fiscal 2015, we opened 26 DXL retail stores and closed 21 Casual Male XL retail stores. In addition, we opened 7 DXL outlets during the first nine months of fiscal 2015, while closing 8 Casual Male XL outlets. We expect that we will open another 3 DXL retail stores through the remainder of fiscal 2015. Of the 26 DXL retail stores opened in the first nine months of fiscal 2015, 11 were our smaller store format (less than 6,500 square feet).</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232" w:right="139" w:bottom="1440" w:gutter="0" w:footer="0" w:header="0"/>
        </w:sectPr>
      </w:pPr>
    </w:p>
    <w:bookmarkStart w:id="19" w:name="page20"/>
    <w:bookmarkEnd w:id="19"/>
    <w:p>
      <w:pPr>
        <w:spacing w:after="0" w:line="275" w:lineRule="auto"/>
        <w:rPr>
          <w:sz w:val="20"/>
          <w:szCs w:val="20"/>
          <w:color w:val="auto"/>
        </w:rPr>
      </w:pPr>
      <w:r>
        <w:rPr>
          <w:rFonts w:ascii="Arial" w:cs="Arial" w:eastAsia="Arial" w:hAnsi="Arial"/>
          <w:sz w:val="17"/>
          <w:szCs w:val="17"/>
          <w:color w:val="auto"/>
        </w:rPr>
        <w:t>The retail environment began to soften during the month of October and while we performed well during the third quarter, we are starting to see a slower than expected demand from our seasonal categories as we move into the fourth quarter of fiscal 2015. As a result, we are narrowing our sales guidance to a range of $438.0 million to $440.0 million with an EBITDA range of $21.0 million to $22.0 million. Our adjusted net loss for fiscal 2015 remains unchanged at $(0.12) to $(0.14) per diluted share. See “</w:t>
      </w:r>
      <w:r>
        <w:rPr>
          <w:rFonts w:ascii="Arial" w:cs="Arial" w:eastAsia="Arial" w:hAnsi="Arial"/>
          <w:sz w:val="17"/>
          <w:szCs w:val="17"/>
          <w:i w:val="1"/>
          <w:iCs w:val="1"/>
          <w:color w:val="auto"/>
        </w:rPr>
        <w:t>Fiscal 2015 Outlook</w:t>
      </w:r>
      <w:r>
        <w:rPr>
          <w:rFonts w:ascii="Arial" w:cs="Arial" w:eastAsia="Arial" w:hAnsi="Arial"/>
          <w:sz w:val="17"/>
          <w:szCs w:val="17"/>
          <w:color w:val="auto"/>
        </w:rPr>
        <w:t>” below for a complete discussion of our guidance.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1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believe that the international big &amp; tall market is currently underserved and, based on the success of our DXL concept and the positive customer response for our Kuwait City franchise store, we see an opportunity for growth internationally. Our strategy will be centered on a franchise and license model which requires very little capital commitment. In November 2015, we hired a Senior Vice President of International Business Development to lead this initiative, and we are actively exploring opportunities. We expect that our first group of international stores could open as early as fiscal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Study</w:t>
      </w:r>
    </w:p>
    <w:p>
      <w:pPr>
        <w:spacing w:after="0" w:line="11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2014, we launched two new initiatives that we now believe will have a profound impact on our long-term outlook. First, we successfully introduced our smaller DXL concept that allows us to penetrate into markets previously believed to be too small to warrant a DXL store. Second, we developed a successful DXL outlet format that allows us to deliver the DXL brand and experience to our outlet customers. Together with increasing brand awareness, the smaller format DXL store and the DXL outlet store provide us with increased opportunities for continued store growth beyond our previous projections.</w:t>
      </w:r>
    </w:p>
    <w:p>
      <w:pPr>
        <w:spacing w:after="0" w:line="5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During the second quarter of fiscal 2015, we completed a market opportunity study of our existing Casual Male XL and DXL store portfolio. We have identified approximately 400 locations nationwide that could support our DXL concept, up from 250 locations we originally identified. We believe the DXL concept will succeed in approximately 340 DXL retail stores and approximately 60 DXL outlet stores. We now expect to open 30 to 40 DXL stores per year through at least fiscal 2020. We are currently projecting sufficient free cash flow to fund the expanded roll-out, and anticipate healthy returns on invested capital based on our experience to date.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w:t>
      </w:r>
    </w:p>
    <w:p>
      <w:pPr>
        <w:spacing w:after="0" w:line="1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At the end of the third quarter of fiscal 2015, we launched our fall advertising campaign, which includes television and radio commercials. We kicked off our fall campaign on the NFL network during </w:t>
      </w:r>
      <w:r>
        <w:rPr>
          <w:rFonts w:ascii="Arial" w:cs="Arial" w:eastAsia="Arial" w:hAnsi="Arial"/>
          <w:sz w:val="18"/>
          <w:szCs w:val="18"/>
          <w:i w:val="1"/>
          <w:iCs w:val="1"/>
          <w:color w:val="auto"/>
        </w:rPr>
        <w:t>Thursday Night Football,</w:t>
      </w:r>
      <w:r>
        <w:rPr>
          <w:rFonts w:ascii="Arial" w:cs="Arial" w:eastAsia="Arial" w:hAnsi="Arial"/>
          <w:sz w:val="18"/>
          <w:szCs w:val="18"/>
          <w:color w:val="auto"/>
        </w:rPr>
        <w:t xml:space="preserve"> and it will run through the end of the first week in December. Our commercial will air on several major networks, including ESPN, CBS, ABC and FOX, and during college football, NFL and NBA games. Our Spring 2015 campaign was very successful in driving sales and we anticipate similar results from our fall campaign.</w:t>
      </w:r>
    </w:p>
    <w:p>
      <w:pPr>
        <w:spacing w:after="0" w:line="83"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For fiscal 2015, we are expecting to spend approximately 8% less than in fiscal 2014, as we fine-tune our advertising efforts and increase our digital marketing presence.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Outlook</w:t>
      </w:r>
    </w:p>
    <w:p>
      <w:pPr>
        <w:spacing w:after="0" w:line="1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Sales in the fourth quarter are dependent on seasonal cold weather categories. Like many retailers, with the unseasonably warm weather, we have seen a slower than expected increase in sales from our cold weather assortments. Accordingly, we are maintaining a cautious approach with our guidance for fiscal 2015 and are narrowing our sales guidance to $438.0 million to $440.0 million. We are also narrowing our EBITDA guidance to $21.0 million to $22.0 million. At the same time, we are also lowering our expected depreciation and interest costs to be lower than our original guidance.</w:t>
      </w:r>
    </w:p>
    <w:p>
      <w:pPr>
        <w:spacing w:after="0" w:line="5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Our expected net loss range of $(0.20)-$(0.23) per diluted share remains unchanged. On an adjusted basis, we are expecting a net loss of $(0.12)-$(0.14) per diluted share. We expect to continue providing a full valuation allowance against our deferred tax assets; therefore, we will not recognize any income tax benefit in fiscal 2015. The adjusted net loss of $(0.12)-$(0.14) per diluted share, assumes a normal tax benefit of approximately 40%. This adjusted net loss was calculated by taking the 2015 forecasted net loss of $(0.20)-$(0.23) per diluted share and multiplying each by 40% to calculate an estimated income tax benefit of $0.08-$0.09 per diluted share, resulting in an adjusted non-GAAP net loss of $(0.12)-$(0.14) per diluted share.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guidance for fiscal 2015 is as follows:</w:t>
      </w:r>
    </w:p>
    <w:p>
      <w:pPr>
        <w:spacing w:after="0" w:line="221" w:lineRule="exact"/>
        <w:rPr>
          <w:sz w:val="20"/>
          <w:szCs w:val="20"/>
          <w:color w:val="auto"/>
        </w:rPr>
      </w:pPr>
    </w:p>
    <w:p>
      <w:pPr>
        <w:ind w:left="760" w:hanging="379"/>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range of $438.0 million to $440.0 million (a change from our previous guidance of $438.0 million to $443.0 million).</w:t>
      </w:r>
    </w:p>
    <w:p>
      <w:pPr>
        <w:spacing w:after="0" w:line="220" w:lineRule="exact"/>
        <w:rPr>
          <w:rFonts w:ascii="Arial" w:cs="Arial" w:eastAsia="Arial" w:hAnsi="Arial"/>
          <w:sz w:val="18"/>
          <w:szCs w:val="18"/>
          <w:color w:val="auto"/>
        </w:rPr>
      </w:pPr>
    </w:p>
    <w:p>
      <w:pPr>
        <w:ind w:left="760" w:right="460" w:hanging="379"/>
        <w:spacing w:after="0" w:line="30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margin rate remains unchanged and is expected to be 45.9%, which is flat as compared to fiscal 2014. This rate is based on merchandise margins improving approximately 30 basis points, offset by occupancy costs increasing 30 basis points from fiscal 2014.</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32" w:right="279" w:bottom="1440" w:gutter="0" w:footer="0" w:header="0"/>
        </w:sectPr>
      </w:pPr>
    </w:p>
    <w:bookmarkStart w:id="20" w:name="page21"/>
    <w:bookmarkEnd w:id="20"/>
    <w:p>
      <w:pPr>
        <w:ind w:left="760" w:right="160" w:hanging="379"/>
        <w:spacing w:after="0" w:line="25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SG&amp;A costs remain unchanged and are expected be approximately $180.5 million. The increase in SG&amp;A costs over the prior year is primarily related to an increase in operating costs associated with a greater number of DXL stores, including pre-opening costs and payroll (both store and support). As a percentage of sales, SG&amp;A expenses are expected to decrease by approximately 100 to 120 basis points (a change from our previous guidance of 110 to 140 basis points).</w:t>
      </w:r>
    </w:p>
    <w:p>
      <w:pPr>
        <w:spacing w:after="0" w:line="189" w:lineRule="exact"/>
        <w:rPr>
          <w:rFonts w:ascii="Arial" w:cs="Arial" w:eastAsia="Arial" w:hAnsi="Arial"/>
          <w:sz w:val="18"/>
          <w:szCs w:val="18"/>
          <w:color w:val="auto"/>
        </w:rPr>
      </w:pPr>
    </w:p>
    <w:p>
      <w:pPr>
        <w:ind w:left="760" w:right="60" w:hanging="379"/>
        <w:spacing w:after="0" w:line="270"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from continuing operations is expected to be $21.0 million to $22.0 million (a change from our previous guidance of $21.0 million to$23.0 million).</w:t>
      </w:r>
    </w:p>
    <w:p>
      <w:pPr>
        <w:spacing w:after="0" w:line="175" w:lineRule="exact"/>
        <w:rPr>
          <w:rFonts w:ascii="Arial" w:cs="Arial" w:eastAsia="Arial" w:hAnsi="Arial"/>
          <w:sz w:val="18"/>
          <w:szCs w:val="18"/>
          <w:color w:val="auto"/>
        </w:rPr>
      </w:pPr>
    </w:p>
    <w:p>
      <w:pPr>
        <w:ind w:left="760" w:hanging="379"/>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is expected to be approximately $28.1 million (a decrease from our previous guidance of $28.5 million).</w:t>
      </w:r>
    </w:p>
    <w:p>
      <w:pPr>
        <w:spacing w:after="0" w:line="220" w:lineRule="exact"/>
        <w:rPr>
          <w:rFonts w:ascii="Arial" w:cs="Arial" w:eastAsia="Arial" w:hAnsi="Arial"/>
          <w:sz w:val="18"/>
          <w:szCs w:val="18"/>
          <w:color w:val="auto"/>
        </w:rPr>
      </w:pPr>
    </w:p>
    <w:p>
      <w:pPr>
        <w:ind w:left="760" w:hanging="379"/>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remains unchanged at (1.7%)-(1.2%).</w:t>
      </w:r>
    </w:p>
    <w:p>
      <w:pPr>
        <w:spacing w:after="0" w:line="220" w:lineRule="exact"/>
        <w:rPr>
          <w:rFonts w:ascii="Arial" w:cs="Arial" w:eastAsia="Arial" w:hAnsi="Arial"/>
          <w:sz w:val="18"/>
          <w:szCs w:val="18"/>
          <w:color w:val="auto"/>
        </w:rPr>
      </w:pPr>
    </w:p>
    <w:p>
      <w:pPr>
        <w:ind w:left="760" w:hanging="379"/>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costs are expected to be approximately $3.4 million (a decrease from our previous guidance of $3.8 million).</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not adjusted our guidance with respect to capital expenditures, outstanding debt or free cash flow. We expect to spend approximately $36.0-$39.0 million in capital expenditures in fiscal 2015. These capital expenditures are expected to be partially offset by approximately $6.0-$7.0 million in tenant allowances, primarily related to opening our DXL retail and outlet stores. We expect to fund our capital expenditures primarily from our operating cash flow and our credit facility. We expect that our total debt at the end of fiscal 2015 will be approximately $72.0-$76.0 million, consisting of $13.8 million outstanding from a term loan, $12.9 million outstanding from equipment financing notes with the balance from our credit facility. From a liquidity perspective, we expect cash flow from operating activities of $16.5 million to $17.5 million (including tenant allowances), resulting in free cash flow (as defined below under “Presentation of Non-GAAP Measures”) of approximately $(18.5)-$(22.5)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Third Quarter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6"/>
                <w:szCs w:val="16"/>
                <w:color w:val="auto"/>
              </w:rPr>
              <w:t>First Nine Months</w:t>
            </w:r>
          </w:p>
        </w:tc>
      </w:tr>
      <w:tr>
        <w:trPr>
          <w:trHeight w:val="156"/>
        </w:trPr>
        <w:tc>
          <w:tcPr>
            <w:tcW w:w="79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right"/>
              <w:ind w:right="400"/>
              <w:spacing w:after="0" w:line="157" w:lineRule="exact"/>
              <w:rPr>
                <w:sz w:val="20"/>
                <w:szCs w:val="20"/>
                <w:color w:val="auto"/>
              </w:rPr>
            </w:pPr>
            <w:r>
              <w:rPr>
                <w:rFonts w:ascii="Arial" w:cs="Arial" w:eastAsia="Arial" w:hAnsi="Arial"/>
                <w:sz w:val="14"/>
                <w:szCs w:val="14"/>
                <w:i w:val="1"/>
                <w:iCs w:val="1"/>
                <w:color w:val="auto"/>
              </w:rPr>
              <w:t>(in millions)</w:t>
            </w: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the third quarter and first nine months of fiscal 2014</w:t>
            </w:r>
          </w:p>
        </w:tc>
        <w:tc>
          <w:tcPr>
            <w:tcW w:w="1220" w:type="dxa"/>
            <w:vAlign w:val="bottom"/>
            <w:shd w:val="clear" w:color="auto" w:fill="CFF0FC"/>
          </w:tcPr>
          <w:p>
            <w:pPr>
              <w:jc w:val="right"/>
              <w:ind w:right="1033"/>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93.6</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6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294.5</w:t>
            </w:r>
          </w:p>
        </w:tc>
        <w:tc>
          <w:tcPr>
            <w:tcW w:w="120" w:type="dxa"/>
            <w:vAlign w:val="bottom"/>
            <w:shd w:val="clear" w:color="auto" w:fill="CFF0FC"/>
          </w:tcPr>
          <w:p>
            <w:pPr>
              <w:spacing w:after="0"/>
              <w:rPr>
                <w:sz w:val="19"/>
                <w:szCs w:val="19"/>
                <w:color w:val="auto"/>
              </w:rPr>
            </w:pPr>
          </w:p>
        </w:tc>
      </w:tr>
      <w:tr>
        <w:trPr>
          <w:trHeight w:val="227"/>
        </w:trPr>
        <w:tc>
          <w:tcPr>
            <w:tcW w:w="7980" w:type="dxa"/>
            <w:vAlign w:val="bottom"/>
          </w:tcPr>
          <w:p>
            <w:pPr>
              <w:spacing w:after="0"/>
              <w:rPr>
                <w:sz w:val="20"/>
                <w:szCs w:val="20"/>
                <w:color w:val="auto"/>
              </w:rPr>
            </w:pPr>
            <w:r>
              <w:rPr>
                <w:rFonts w:ascii="Arial" w:cs="Arial" w:eastAsia="Arial" w:hAnsi="Arial"/>
                <w:sz w:val="18"/>
                <w:szCs w:val="18"/>
                <w:color w:val="auto"/>
              </w:rPr>
              <w:t>Less 2014 sales for stores that have closed</w:t>
            </w:r>
          </w:p>
        </w:tc>
        <w:tc>
          <w:tcPr>
            <w:tcW w:w="1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r>
      <w:tr>
        <w:trPr>
          <w:trHeight w:val="221"/>
        </w:trPr>
        <w:tc>
          <w:tcPr>
            <w:tcW w:w="79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3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85.6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6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r>
      <w:tr>
        <w:trPr>
          <w:trHeight w:val="227"/>
        </w:trPr>
        <w:tc>
          <w:tcPr>
            <w:tcW w:w="798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r>
      <w:tr>
        <w:trPr>
          <w:trHeight w:val="227"/>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2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r>
      <w:tr>
        <w:trPr>
          <w:trHeight w:val="221"/>
        </w:trPr>
        <w:tc>
          <w:tcPr>
            <w:tcW w:w="7980" w:type="dxa"/>
            <w:vAlign w:val="bottom"/>
          </w:tcPr>
          <w:p>
            <w:pPr>
              <w:spacing w:after="0"/>
              <w:rPr>
                <w:sz w:val="20"/>
                <w:szCs w:val="20"/>
                <w:color w:val="auto"/>
              </w:rPr>
            </w:pPr>
            <w:r>
              <w:rPr>
                <w:rFonts w:ascii="Arial" w:cs="Arial" w:eastAsia="Arial" w:hAnsi="Arial"/>
                <w:sz w:val="18"/>
                <w:szCs w:val="18"/>
                <w:b w:val="1"/>
                <w:bCs w:val="1"/>
                <w:color w:val="auto"/>
              </w:rPr>
              <w:t>Sales for the third quarter and first nine months of fiscal 2015</w:t>
            </w:r>
          </w:p>
        </w:tc>
        <w:tc>
          <w:tcPr>
            <w:tcW w:w="1220" w:type="dxa"/>
            <w:vAlign w:val="bottom"/>
            <w:tcBorders>
              <w:bottom w:val="single" w:sz="8" w:color="auto"/>
            </w:tcBorders>
          </w:tcPr>
          <w:p>
            <w:pPr>
              <w:jc w:val="right"/>
              <w:ind w:right="103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99.6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318.2</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For the third quarter of fiscal 2015, total sales were $99.6 million as compared to $93.6 million for the third quarter of fiscal 2014. The increase of $6.0 million in total sales was primarily due to a 4.3% increase in comparable sales of $3.6 million, an increase in non-comparable store sales of $10.3 million and an increase of $0.1 million of other revenue, partially offset by $8.0 million in lost sales from closed and converted stores.</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Comparable sales from our 119 DXL retail stores increased in the third quarter of fiscal 2015 by 9.2%, or $3.5 million, against a double-digit comparable increase of 12.8% for the third quarter of fiscal 2014. Even with the unseasonably warm weather, comparable sales for the third quarter increased as a result of a 5.8% increase in the number of transactions, an approximate 3.0% increase in dollars and units per transaction and continuing sales growth with our end-of-rack customers.</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first nine months of fiscal 2015, total sales were $318.2 million as compared to $294.5 million for the first nine months of fiscal 2014. The increase in sales of $23.7 million was due to a 5.6% increase in comparable sales of $14.6 million, an increase in non-comparable store sales of $34.3 million and an increase of $0.6 million in other revenue, partially offset by $25.8 million in lost sales from closed and converted stores. Comparable sales for our 119 DXL retail stores increased 10.0%, or $11.4 million, for the first nine months of fiscal 2015.</w:t>
      </w:r>
    </w:p>
    <w:p>
      <w:pPr>
        <w:spacing w:after="0" w:line="190"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For fiscal 2015, we are narrowing our sales forecast to $438.0 million to $440.0 million (from $438.0 million to $443.0 million), with a comparable sales increase of approximately 4.0% to 4.5% (a decrease from our previous expectation of 5.6%).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4"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For the third quarter of fiscal 2015, our gross margin rate, inclusive of occupancy costs, was 45.0% as compared to a gross margin rate of 43.3% for the third quarter of fiscal 2014. The 170 basis point improvement for the third quarter of fiscal 2015 was due to 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40"/>
        <w:spacing w:after="0" w:line="255" w:lineRule="auto"/>
        <w:rPr>
          <w:sz w:val="20"/>
          <w:szCs w:val="20"/>
          <w:color w:val="auto"/>
        </w:rPr>
      </w:pPr>
      <w:r>
        <w:rPr>
          <w:rFonts w:ascii="Arial" w:cs="Arial" w:eastAsia="Arial" w:hAnsi="Arial"/>
          <w:sz w:val="18"/>
          <w:szCs w:val="18"/>
          <w:color w:val="auto"/>
        </w:rPr>
        <w:t>improvement in merchandise margins of 120 basis points and occupancy costs, which, as a percentage of sales, improved 50 basis points. The 120 basis point improvement in merchandise margins was due to an increase in higher initial margins, as a result of favorable sourcing as well as higher sell-through of full-priced merchandise. On a dollar basis, occupancy costs for the third quarter of fiscal 2015 increased 3.7% over the prior year third quarter, driven primarily by the overall increase in square footage as a result of our DXL store openings.</w:t>
      </w:r>
    </w:p>
    <w:p>
      <w:pPr>
        <w:spacing w:after="0" w:line="8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For the first nine months of fiscal 2015, our gross margin rate, inclusive of occupancy costs, was 46.2% as compared to a gross margin rate of 45.1% for the first nine months of fiscal 2014. This 110 basis point improvement was due to an improvement in merchandise margins of 60 basis points and occupancy costs, which, as a percentage of sales, improved 50 basis points. The 60 basis point improvement in merchandise margins was due to a higher sell-through of full-priced merchandise and fewer markdowns. The improvement in occupancy costs is partly due to a favorable change in lease exit accruals during the first quarter of fiscal 2015. On a dollar basis, occupancy costs for the first nine months of fiscal 2015 increased 4.6% over the prior year.</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fiscal 2015, we are expecting that our occupancy costs, on a dollar-basis, will increase approximately $5.3-$5.9 million over fiscal 2014. We anticipate that approximately half of the increased costs will be the result of adding approximately 36 DXL retail and outlet stores to our store count in fiscal 2015 and the remainder of the anticipated increase reflects $2.5 million that we received in fiscal 2014 for exiting a lease prior to the end of the lease term, which resulted in lower occupancy costs in the fourth quarter of last year. As a percentage of sales, we anticipate occupancy costs will be approximately 30 basis points higher than fiscal 2014. We are expecting that our merchandise margins will improve by approximately 30 basis points. Accordingly, for fiscal 2015, we are expecting that gross margin will be approximately 45.9% of sales and will be flat as compared to fiscal 2014.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a percentage of sales, SG&amp;A expenses for the third quarter of fiscal 2015 were 42.6% as compared to 42.8% for the third quarter of fiscal 2014. For the first nine months of fiscal 2015, SG&amp;A expenses were 41.2% of sales as compared to 43.0% for the first nine months of fiscal 2014. On a dollar basis, SG&amp;A increased $2.4 million for the third quarter primarily related to store payroll and supporting expenses. For the first nine months of fiscal 2015, the increase of $4.4 million was similarly related to increases in store and corporate payroll and supporting expenses associated with the DXL store openings and was partially offset by a decrease in marketing costs due to improved advertising rates. Pre-opening payroll, training and other incremental costs to support our DXL store openings were $1.4 million and $3.3 million for the third quarter and first nine months of fiscal 2015, respectively, as compared to $1.1 million and $2.8 million for the third quarter and first nine months of fiscal 2014.</w:t>
      </w:r>
    </w:p>
    <w:p>
      <w:pPr>
        <w:spacing w:after="0" w:line="18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For fiscal 2015, we are expecting that our SG&amp;A expenses will be approximately $180.5 million as we continue to grow our DXL concept. The approximate $5.7 million increase is primarily related to expected increases in store payroll, payroll-related costs and other costs to support our growing DXL stores, partially offset by an expected decrease of $2.0 million in marketing costs. Overall, we expect to limit our SG&amp;A growth rates except where necessary to support our growth activities or where there are unanticipated costs that are necessary to support our overall activities.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and amortization for the third quarter of fiscal 2015 increased $1.1 million to $7.1 million as compared to $6.0 million for the third quarter of fiscal 2014. For the first nine months of fiscal 2015, depreciation and amortization was $20.5 million as compared to $17.2 million for the first nine months of fiscal 2014. The increase in depreciation and amortization for the third quarter and first nine months of fiscal 2015 is due to the continued store growth associated with our rollout of the DXL store concept.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Net interest expense was $0.8 million for the third quarter of fiscal 2015 as compared to $0.5 million for the third quarter of fiscal 2014. For the first nine months of fiscal 2015, net interest expense was $2.3 million as compared to $1.4 million for the first nine months of fiscal 2014. With our continued planned store growth in fiscal 2015, interest costs are expected to increase from fiscal 2014 as we fund a portion of our store growth with borrowings under our credit facility. See “Liquidity and Capital Resources” for more discussion regarding our current credit facility, long-term debt and future liquidity needs.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October 31, 2015, we had total deferred tax assets of $78.2 million, total deferred tax liabilities of $15.6 million and a corresponding valuation allowance of $62.8 million. The deferred tax assets include approximately $45.6 million of net operating loss carryforwards and approximately $5.9 million of deferred gain on our sale-leaseback and, to a lesser extent, other book/tax timing differences.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32" w:right="259" w:bottom="1440" w:gutter="0" w:footer="0" w:header="0"/>
        </w:sectPr>
      </w:pPr>
    </w:p>
    <w:bookmarkStart w:id="22" w:name="page23"/>
    <w:bookmarkEnd w:id="22"/>
    <w:p>
      <w:pPr>
        <w:ind w:right="60"/>
        <w:spacing w:after="0" w:line="270"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2015, we believe that a full valuation allowance remains appropriate at this time.</w:t>
      </w:r>
    </w:p>
    <w:p>
      <w:pPr>
        <w:spacing w:after="0" w:line="176"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Our tax provision, for the third quarter and first nine months of fiscal 2015 and fiscal 2014, represents an increase in our deferred tax liability for indefinite-lived intangibles as well as current state margin tax and foreign income tax.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4"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color w:val="auto"/>
        </w:rPr>
        <w:t>For the third quarter of fiscal 2015, we had a net loss of $(5.5) million, or $(0.11) per diluted share, compared with a net loss of $(6.3) million, or $(0.13) per diluted share, for the third quarter of fiscal 2014. On a non-GAAP basis, assuming a normalized tax rate for both periods, the net loss for the third quarter of fiscal 2015 was ($0.07) per diluted share as compared to ($0.08) per diluted share for the third quarter of fiscal 2014.</w:t>
      </w:r>
    </w:p>
    <w:p>
      <w:pPr>
        <w:spacing w:after="0" w:line="62"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Our net loss for the first nine months of fiscal 2015 was $(7.0) million, or $(0.14) per diluted share, compared with a net loss of $(13.8) million, or $(0.28) per diluted share, for the first nine months of fiscal 2014. On a non-GAAP basis, assuming a normalized tax rate, the net loss for the first nine months of fiscal 2015 was ($0.08) per diluted share as compared to ($0.17) per diluted share for the first nine months of fiscal 2014.</w:t>
      </w:r>
    </w:p>
    <w:p>
      <w:pPr>
        <w:spacing w:after="0" w:line="1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net loss for the third quarter and first nine months of fiscal 2014 includes a loss from discontinued operations of $(0.2) million and $(1.3) million, respectively, related to the discontinuation of our direct business with Sears Canada, which occurred in the fourth quarter of fiscal 2014. Included in the loss from discontinued operations for the first nine months of fiscal 2014 was a charge, recorded in the second quarter of fiscal 2014, of approximately $0.8 million related primarily to inventory reserves and sales allowances as a result of our decision to exit the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4" w:lineRule="exact"/>
        <w:rPr>
          <w:sz w:val="20"/>
          <w:szCs w:val="20"/>
          <w:color w:val="auto"/>
        </w:rPr>
      </w:pPr>
    </w:p>
    <w:p>
      <w:pPr>
        <w:jc w:val="both"/>
        <w:ind w:right="180"/>
        <w:spacing w:after="0" w:line="281" w:lineRule="auto"/>
        <w:rPr>
          <w:sz w:val="20"/>
          <w:szCs w:val="20"/>
          <w:color w:val="auto"/>
        </w:rPr>
      </w:pPr>
      <w:r>
        <w:rPr>
          <w:rFonts w:ascii="Arial" w:cs="Arial" w:eastAsia="Arial" w:hAnsi="Arial"/>
          <w:sz w:val="17"/>
          <w:szCs w:val="17"/>
          <w:color w:val="auto"/>
        </w:rPr>
        <w:t>At October 31, 2015, total inventory was $133.3 million compared to $115.2 million at January 31, 2015 and $126.4 million at November 1, 2014. The 5.5% increase of $6.9 million from November 1, 2014 is due to an increase of 4.3% in total square footage, as well as a greater mix of higher-cost branded apparel. Clearance merchandise represented 9.0% of inventory at the end of the third quarter of fiscal 2015 and fiscal 2014.</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which was most recently amended in October 2014, with Bank of America, N.A. (“Credit Facility”) and our term loan. Our current cash needs are primarily for working capital (essentially inventory requirements), capital expenditures and growth initiatives. As discussed below, our capital expenditures for fiscal 2015 are expected to be $36.0-$39.0 million, primarily related to the planned opening of approximately 29 new DXL stores and 7 DXL outlet stores and information technology projects. However, we expect to receive approximately $6.0-$7.0 million in tenant allowances to offset these capital expenditures. We expect to fund our store growth in fiscal 2015 primarily through earnings and borrowings from our Credit Facility. We expect that our total debt at the end of fiscal 2015 will be approximately $72.0-$76.0 million.</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currently believe that our existing cash generated by operations together with our Credit Facility will be sufficient within current forecasts for us to meet our foreseeable liquidity requirements. As discussed below, during the third quarter of fiscal 2014, we entered into a $15.0 million, 5-year term loan facility and also amended our current Credit Facility, increasing our maximum borrowing levels by $25.0 million. The primary purpose for amending our Credit Facility and entering into this 5-year term loan was to increase our current availability and provide additional borrowing capacity as we continue to complete our DXL store roll-out.</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first nine months of fiscal 2015, free cash flow, which we define as cash flow from operating activities, less capital expenditures and discretionary store asset acquisitions, if any, improved by $15.8 million to $(30.4) million from $(46.2) million for the first nine months of fiscal 2014. This improvement in free cash flow was primarily due to the improvement in operating results and lower capital expenditures as compared to fiscal 2014. See “Presentation of Non-GAAP Measure” below regarding non-GAAP free cash flow.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October 31, 2015 with the associated unamortized debt issuance costs: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Less Debt Issuance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Net Debt</w:t>
            </w:r>
          </w:p>
        </w:tc>
      </w:tr>
      <w:tr>
        <w:trPr>
          <w:trHeight w:val="166"/>
        </w:trPr>
        <w:tc>
          <w:tcPr>
            <w:tcW w:w="6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gridSpan w:val="3"/>
          </w:tcPr>
          <w:p>
            <w:pPr>
              <w:jc w:val="right"/>
              <w:ind w:right="240"/>
              <w:spacing w:after="0"/>
              <w:rPr>
                <w:sz w:val="20"/>
                <w:szCs w:val="20"/>
                <w:color w:val="auto"/>
              </w:rPr>
            </w:pPr>
            <w:r>
              <w:rPr>
                <w:rFonts w:ascii="Arial" w:cs="Arial" w:eastAsia="Arial" w:hAnsi="Arial"/>
                <w:sz w:val="14"/>
                <w:szCs w:val="14"/>
                <w:color w:val="auto"/>
                <w:w w:val="90"/>
              </w:rPr>
              <w:t>Gross Debt Outstanding</w:t>
            </w:r>
          </w:p>
        </w:tc>
        <w:tc>
          <w:tcPr>
            <w:tcW w:w="1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color w:val="auto"/>
              </w:rPr>
              <w:t>Costs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Outstanding</w:t>
            </w:r>
          </w:p>
        </w:tc>
      </w:tr>
      <w:tr>
        <w:trPr>
          <w:trHeight w:val="221"/>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698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14,414</w:t>
            </w:r>
          </w:p>
        </w:tc>
        <w:tc>
          <w:tcPr>
            <w:tcW w:w="120" w:type="dxa"/>
            <w:vAlign w:val="bottom"/>
          </w:tcPr>
          <w:p>
            <w:pPr>
              <w:spacing w:after="0"/>
              <w:rPr>
                <w:sz w:val="19"/>
                <w:szCs w:val="19"/>
                <w:color w:val="auto"/>
              </w:rPr>
            </w:pPr>
          </w:p>
        </w:tc>
      </w:tr>
      <w:tr>
        <w:trPr>
          <w:trHeight w:val="227"/>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13,570</w:t>
            </w:r>
          </w:p>
        </w:tc>
        <w:tc>
          <w:tcPr>
            <w:tcW w:w="120" w:type="dxa"/>
            <w:vAlign w:val="bottom"/>
            <w:shd w:val="clear" w:color="auto" w:fill="CFF0FC"/>
          </w:tcPr>
          <w:p>
            <w:pPr>
              <w:spacing w:after="0"/>
              <w:rPr>
                <w:sz w:val="19"/>
                <w:szCs w:val="19"/>
                <w:color w:val="auto"/>
              </w:rPr>
            </w:pPr>
          </w:p>
        </w:tc>
      </w:tr>
      <w:tr>
        <w:trPr>
          <w:trHeight w:val="220"/>
        </w:trPr>
        <w:tc>
          <w:tcPr>
            <w:tcW w:w="69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500" w:type="dxa"/>
            <w:vAlign w:val="bottom"/>
            <w:tcBorders>
              <w:top w:val="single" w:sz="8" w:color="auto"/>
            </w:tcBorders>
          </w:tcPr>
          <w:p>
            <w:pPr>
              <w:jc w:val="right"/>
              <w:ind w:right="31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84,875</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83,850</w:t>
            </w:r>
          </w:p>
        </w:tc>
        <w:tc>
          <w:tcPr>
            <w:tcW w:w="120" w:type="dxa"/>
            <w:vAlign w:val="bottom"/>
          </w:tcPr>
          <w:p>
            <w:pPr>
              <w:spacing w:after="0"/>
              <w:rPr>
                <w:sz w:val="19"/>
                <w:szCs w:val="19"/>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to the Notes to the Consolidated Financial Statements included in this report.</w:t>
      </w:r>
    </w:p>
    <w:p>
      <w:pPr>
        <w:spacing w:after="0" w:line="173"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9"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We had outstanding borrowings of $56.4 million under the Credit Facility at October 31, 2015. At October 31, 2015, outstanding standby letters of credit were $2.5 million and there were no outstanding documentary letters of credit. The average monthly borrowing outstanding under the Credit Facility during the first nine months ended October 31, 2015 was approximately $40.7 million, resulting in an average unused excess availability of approximately $67.6 million.</w:t>
      </w:r>
    </w:p>
    <w:p>
      <w:pPr>
        <w:spacing w:after="0" w:line="1"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Unused excess availability at October 31, 2015 was $62.8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We are subject to a prepayment penalty equal to 1% of the prepaid principal of the Notes until the first anniversary of each Note, 0.5% of the prepaid principal from the first anniversary until the second anniversary and no prepayment penalty thereafter.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7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October 29, 2015; (b) 2% of the amount prepaid if the prepayment is after October 29, 2015, but prior to the October 29, 2016; and (c) 1% of the amount prepaid if the prepayment is after October 29, 2016, but prior to October 29, 2017. There is no prepayment penalty after October 29, 2017.</w:t>
      </w:r>
    </w:p>
    <w:p>
      <w:pPr>
        <w:spacing w:after="0" w:line="192"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It is secured by a first priority lien on certain of our equipment, and a second priority lien on substantially all of our remaining assets, excluding intellectual property.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Capital Expenditures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October 31, 2015 and November 1, 2014, respectively: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4"/>
                <w:szCs w:val="14"/>
                <w:color w:val="auto"/>
              </w:rPr>
              <w:t>October 31, 2015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ind w:left="180"/>
              <w:spacing w:after="0"/>
              <w:rPr>
                <w:sz w:val="20"/>
                <w:szCs w:val="20"/>
                <w:color w:val="auto"/>
              </w:rPr>
            </w:pPr>
            <w:r>
              <w:rPr>
                <w:rFonts w:ascii="Arial" w:cs="Arial" w:eastAsia="Arial" w:hAnsi="Arial"/>
                <w:sz w:val="14"/>
                <w:szCs w:val="14"/>
                <w:color w:val="auto"/>
              </w:rPr>
              <w:t>November 1, 2014</w:t>
            </w:r>
          </w:p>
        </w:tc>
      </w:tr>
      <w:tr>
        <w:trPr>
          <w:trHeight w:val="147"/>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4"/>
              </w:rPr>
              <w:t>Number of</w:t>
            </w:r>
          </w:p>
        </w:tc>
        <w:tc>
          <w:tcPr>
            <w:tcW w:w="200" w:type="dxa"/>
            <w:vAlign w:val="bottom"/>
          </w:tcPr>
          <w:p>
            <w:pPr>
              <w:spacing w:after="0"/>
              <w:rPr>
                <w:sz w:val="12"/>
                <w:szCs w:val="12"/>
                <w:color w:val="auto"/>
              </w:rPr>
            </w:pPr>
          </w:p>
        </w:tc>
        <w:tc>
          <w:tcPr>
            <w:tcW w:w="84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Square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7"/>
          </w:tcPr>
          <w:p>
            <w:pPr>
              <w:jc w:val="right"/>
              <w:ind w:right="800"/>
              <w:spacing w:after="0" w:line="147" w:lineRule="exact"/>
              <w:rPr>
                <w:sz w:val="20"/>
                <w:szCs w:val="20"/>
                <w:color w:val="auto"/>
              </w:rPr>
            </w:pPr>
            <w:r>
              <w:rPr>
                <w:rFonts w:ascii="Arial" w:cs="Arial" w:eastAsia="Arial" w:hAnsi="Arial"/>
                <w:sz w:val="14"/>
                <w:szCs w:val="14"/>
                <w:color w:val="auto"/>
              </w:rPr>
              <w:t>Number of</w:t>
            </w:r>
          </w:p>
        </w:tc>
        <w:tc>
          <w:tcPr>
            <w:tcW w:w="1000" w:type="dxa"/>
            <w:vAlign w:val="bottom"/>
            <w:gridSpan w:val="2"/>
          </w:tcPr>
          <w:p>
            <w:pPr>
              <w:jc w:val="right"/>
              <w:ind w:right="520"/>
              <w:spacing w:after="0" w:line="147" w:lineRule="exact"/>
              <w:rPr>
                <w:sz w:val="20"/>
                <w:szCs w:val="20"/>
                <w:color w:val="auto"/>
              </w:rPr>
            </w:pPr>
            <w:r>
              <w:rPr>
                <w:rFonts w:ascii="Arial" w:cs="Arial" w:eastAsia="Arial" w:hAnsi="Arial"/>
                <w:sz w:val="14"/>
                <w:szCs w:val="14"/>
                <w:color w:val="auto"/>
              </w:rPr>
              <w:t>Square</w:t>
            </w:r>
          </w:p>
        </w:tc>
      </w:tr>
      <w:tr>
        <w:trPr>
          <w:trHeight w:val="166"/>
        </w:trPr>
        <w:tc>
          <w:tcPr>
            <w:tcW w:w="5020" w:type="dxa"/>
            <w:vAlign w:val="bottom"/>
            <w:gridSpan w:val="2"/>
          </w:tcPr>
          <w:p>
            <w:pPr>
              <w:spacing w:after="0"/>
              <w:rPr>
                <w:sz w:val="20"/>
                <w:szCs w:val="20"/>
                <w:color w:val="auto"/>
              </w:rPr>
            </w:pPr>
            <w:r>
              <w:rPr>
                <w:rFonts w:ascii="Arial" w:cs="Arial" w:eastAsia="Arial" w:hAnsi="Arial"/>
                <w:sz w:val="14"/>
                <w:szCs w:val="14"/>
                <w:color w:val="auto"/>
              </w:rPr>
              <w:t>Store Concept</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color w:val="auto"/>
                <w:w w:val="88"/>
              </w:rPr>
              <w:t>Stores</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Footage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5"/>
          </w:tcPr>
          <w:p>
            <w:pPr>
              <w:jc w:val="right"/>
              <w:ind w:right="940"/>
              <w:spacing w:after="0"/>
              <w:rPr>
                <w:sz w:val="20"/>
                <w:szCs w:val="20"/>
                <w:color w:val="auto"/>
              </w:rPr>
            </w:pPr>
            <w:r>
              <w:rPr>
                <w:rFonts w:ascii="Arial" w:cs="Arial" w:eastAsia="Arial" w:hAnsi="Arial"/>
                <w:sz w:val="14"/>
                <w:szCs w:val="14"/>
                <w:color w:val="auto"/>
                <w:w w:val="83"/>
              </w:rPr>
              <w:t>Stores</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w w:val="93"/>
              </w:rPr>
              <w:t>Footage</w:t>
            </w:r>
          </w:p>
        </w:tc>
      </w:tr>
      <w:tr>
        <w:trPr>
          <w:trHeight w:val="196"/>
        </w:trPr>
        <w:tc>
          <w:tcPr>
            <w:tcW w:w="502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(square footage in thousands)</w:t>
            </w: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7"/>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163</w:t>
            </w: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FF0FC"/>
          </w:tcPr>
          <w:p>
            <w:pPr>
              <w:spacing w:after="0"/>
              <w:rPr>
                <w:sz w:val="19"/>
                <w:szCs w:val="19"/>
                <w:color w:val="auto"/>
              </w:rPr>
            </w:pPr>
          </w:p>
        </w:tc>
      </w:tr>
      <w:tr>
        <w:trPr>
          <w:trHeight w:val="227"/>
        </w:trPr>
        <w:tc>
          <w:tcPr>
            <w:tcW w:w="502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479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FF0FC"/>
          </w:tcPr>
          <w:p>
            <w:pPr>
              <w:spacing w:after="0"/>
              <w:rPr>
                <w:sz w:val="19"/>
                <w:szCs w:val="19"/>
                <w:color w:val="auto"/>
              </w:rPr>
            </w:pPr>
          </w:p>
        </w:tc>
      </w:tr>
      <w:tr>
        <w:trPr>
          <w:trHeight w:val="227"/>
        </w:trPr>
        <w:tc>
          <w:tcPr>
            <w:tcW w:w="502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r>
      <w:tr>
        <w:trPr>
          <w:trHeight w:val="227"/>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r>
      <w:tr>
        <w:trPr>
          <w:trHeight w:val="220"/>
        </w:trPr>
        <w:tc>
          <w:tcPr>
            <w:tcW w:w="5020" w:type="dxa"/>
            <w:vAlign w:val="bottom"/>
            <w:gridSpan w:val="2"/>
          </w:tcPr>
          <w:p>
            <w:pPr>
              <w:spacing w:after="0"/>
              <w:rPr>
                <w:sz w:val="20"/>
                <w:szCs w:val="20"/>
                <w:color w:val="auto"/>
              </w:rPr>
            </w:pPr>
            <w:r>
              <w:rPr>
                <w:rFonts w:ascii="Arial" w:cs="Arial" w:eastAsia="Arial" w:hAnsi="Arial"/>
                <w:sz w:val="18"/>
                <w:szCs w:val="18"/>
                <w:color w:val="auto"/>
              </w:rPr>
              <w:t>Total Stores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19"/>
                <w:szCs w:val="19"/>
                <w:color w:val="auto"/>
              </w:rPr>
            </w:pPr>
          </w:p>
        </w:tc>
      </w:tr>
      <w:tr>
        <w:trPr>
          <w:trHeight w:val="427"/>
        </w:trPr>
        <w:tc>
          <w:tcPr>
            <w:tcW w:w="7160" w:type="dxa"/>
            <w:vAlign w:val="bottom"/>
            <w:gridSpan w:val="9"/>
          </w:tcPr>
          <w:p>
            <w:pPr>
              <w:spacing w:after="0"/>
              <w:rPr>
                <w:sz w:val="20"/>
                <w:szCs w:val="20"/>
                <w:color w:val="auto"/>
              </w:rPr>
            </w:pPr>
            <w:r>
              <w:rPr>
                <w:rFonts w:ascii="Arial" w:cs="Arial" w:eastAsia="Arial" w:hAnsi="Arial"/>
                <w:sz w:val="18"/>
                <w:szCs w:val="18"/>
                <w:color w:val="auto"/>
                <w:w w:val="93"/>
              </w:rPr>
              <w:t>Below is a summary of store openings and closings from January 31, 2015 to October 31, 2015: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7"/>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color w:val="auto"/>
                <w:w w:val="92"/>
              </w:rPr>
              <w:t>Casual Male</w:t>
            </w: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w w:val="97"/>
              </w:rPr>
              <w:t>Casual Male</w:t>
            </w:r>
          </w:p>
        </w:tc>
        <w:tc>
          <w:tcPr>
            <w:tcW w:w="180" w:type="dxa"/>
            <w:vAlign w:val="bottom"/>
          </w:tcPr>
          <w:p>
            <w:pPr>
              <w:spacing w:after="0"/>
              <w:rPr>
                <w:sz w:val="24"/>
                <w:szCs w:val="24"/>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color w:val="auto"/>
              </w:rPr>
              <w:t>Rochester</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6"/>
        </w:trPr>
        <w:tc>
          <w:tcPr>
            <w:tcW w:w="5020" w:type="dxa"/>
            <w:vAlign w:val="bottom"/>
            <w:gridSpan w:val="2"/>
          </w:tcPr>
          <w:p>
            <w:pPr>
              <w:spacing w:after="0"/>
              <w:rPr>
                <w:sz w:val="20"/>
                <w:szCs w:val="20"/>
                <w:color w:val="auto"/>
              </w:rPr>
            </w:pPr>
            <w:r>
              <w:rPr>
                <w:rFonts w:ascii="Arial" w:cs="Arial" w:eastAsia="Arial" w:hAnsi="Arial"/>
                <w:sz w:val="14"/>
                <w:szCs w:val="14"/>
                <w:color w:val="auto"/>
              </w:rPr>
              <w:t>Number of Stores:</w:t>
            </w:r>
          </w:p>
        </w:tc>
        <w:tc>
          <w:tcPr>
            <w:tcW w:w="980" w:type="dxa"/>
            <w:vAlign w:val="bottom"/>
            <w:gridSpan w:val="3"/>
          </w:tcPr>
          <w:p>
            <w:pPr>
              <w:jc w:val="right"/>
              <w:ind w:right="420"/>
              <w:spacing w:after="0"/>
              <w:rPr>
                <w:sz w:val="20"/>
                <w:szCs w:val="20"/>
                <w:color w:val="auto"/>
              </w:rPr>
            </w:pPr>
            <w:r>
              <w:rPr>
                <w:rFonts w:ascii="Arial" w:cs="Arial" w:eastAsia="Arial" w:hAnsi="Arial"/>
                <w:sz w:val="14"/>
                <w:szCs w:val="14"/>
                <w:color w:val="auto"/>
              </w:rPr>
              <w:t>DXL</w:t>
            </w:r>
          </w:p>
        </w:tc>
        <w:tc>
          <w:tcPr>
            <w:tcW w:w="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DXL Outlets</w:t>
            </w:r>
          </w:p>
        </w:tc>
        <w:tc>
          <w:tcPr>
            <w:tcW w:w="1040" w:type="dxa"/>
            <w:vAlign w:val="bottom"/>
            <w:gridSpan w:val="3"/>
          </w:tcPr>
          <w:p>
            <w:pPr>
              <w:jc w:val="right"/>
              <w:ind w:right="360"/>
              <w:spacing w:after="0"/>
              <w:rPr>
                <w:sz w:val="20"/>
                <w:szCs w:val="20"/>
                <w:color w:val="auto"/>
              </w:rPr>
            </w:pPr>
            <w:r>
              <w:rPr>
                <w:rFonts w:ascii="Arial" w:cs="Arial" w:eastAsia="Arial" w:hAnsi="Arial"/>
                <w:sz w:val="14"/>
                <w:szCs w:val="14"/>
                <w:color w:val="auto"/>
              </w:rPr>
              <w:t>XL Retail</w:t>
            </w:r>
          </w:p>
        </w:tc>
        <w:tc>
          <w:tcPr>
            <w:tcW w:w="920" w:type="dxa"/>
            <w:vAlign w:val="bottom"/>
            <w:gridSpan w:val="4"/>
          </w:tcPr>
          <w:p>
            <w:pPr>
              <w:jc w:val="right"/>
              <w:ind w:right="180"/>
              <w:spacing w:after="0"/>
              <w:rPr>
                <w:sz w:val="20"/>
                <w:szCs w:val="20"/>
                <w:color w:val="auto"/>
              </w:rPr>
            </w:pPr>
            <w:r>
              <w:rPr>
                <w:rFonts w:ascii="Arial" w:cs="Arial" w:eastAsia="Arial" w:hAnsi="Arial"/>
                <w:sz w:val="14"/>
                <w:szCs w:val="14"/>
                <w:color w:val="auto"/>
              </w:rPr>
              <w:t>XL Outlets</w:t>
            </w:r>
          </w:p>
        </w:tc>
        <w:tc>
          <w:tcPr>
            <w:tcW w:w="180" w:type="dxa"/>
            <w:vAlign w:val="bottom"/>
          </w:tcPr>
          <w:p>
            <w:pPr>
              <w:spacing w:after="0"/>
              <w:rPr>
                <w:sz w:val="14"/>
                <w:szCs w:val="14"/>
                <w:color w:val="auto"/>
              </w:rPr>
            </w:pPr>
          </w:p>
        </w:tc>
        <w:tc>
          <w:tcPr>
            <w:tcW w:w="1120" w:type="dxa"/>
            <w:vAlign w:val="bottom"/>
            <w:gridSpan w:val="4"/>
          </w:tcPr>
          <w:p>
            <w:pPr>
              <w:ind w:left="180"/>
              <w:spacing w:after="0"/>
              <w:rPr>
                <w:sz w:val="20"/>
                <w:szCs w:val="20"/>
                <w:color w:val="auto"/>
              </w:rPr>
            </w:pPr>
            <w:r>
              <w:rPr>
                <w:rFonts w:ascii="Arial" w:cs="Arial" w:eastAsia="Arial" w:hAnsi="Arial"/>
                <w:sz w:val="14"/>
                <w:szCs w:val="14"/>
                <w:color w:val="auto"/>
              </w:rPr>
              <w:t>Clothing</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Total Stores</w:t>
            </w:r>
          </w:p>
        </w:tc>
      </w:tr>
      <w:tr>
        <w:trPr>
          <w:trHeight w:val="221"/>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31, 2015</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7"/>
        </w:trPr>
        <w:tc>
          <w:tcPr>
            <w:tcW w:w="5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0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27"/>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5"/>
          </w:tcPr>
          <w:p>
            <w:pPr>
              <w:jc w:val="right"/>
              <w:ind w:right="18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1"/>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October 31, 2015</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93" w:lineRule="exact"/>
        <w:rPr>
          <w:sz w:val="20"/>
          <w:szCs w:val="20"/>
          <w:color w:val="auto"/>
        </w:rPr>
      </w:pPr>
    </w:p>
    <w:p>
      <w:pPr>
        <w:ind w:left="520" w:hanging="513"/>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19" w:lineRule="exact"/>
        <w:rPr>
          <w:rFonts w:ascii="Arial" w:cs="Arial" w:eastAsia="Arial" w:hAnsi="Arial"/>
          <w:sz w:val="18"/>
          <w:szCs w:val="18"/>
          <w:color w:val="auto"/>
        </w:rPr>
      </w:pPr>
    </w:p>
    <w:p>
      <w:pPr>
        <w:ind w:left="520" w:right="120" w:hanging="513"/>
        <w:spacing w:after="0" w:line="24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spacing w:after="0" w:line="1" w:lineRule="exact"/>
        <w:rPr>
          <w:rFonts w:ascii="Arial" w:cs="Arial" w:eastAsia="Arial" w:hAnsi="Arial"/>
          <w:sz w:val="18"/>
          <w:szCs w:val="18"/>
          <w:color w:val="auto"/>
        </w:rPr>
      </w:pPr>
    </w:p>
    <w:p>
      <w:pPr>
        <w:ind w:left="520" w:right="560" w:hanging="513"/>
        <w:spacing w:after="0" w:line="25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 Includes the closure of our Denver, Colorado DXL store.</w:t>
      </w:r>
    </w:p>
    <w:p>
      <w:pPr>
        <w:spacing w:after="0" w:line="189"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Our capital expenditures for the first nine months of fiscal 2015 were $25.4 million as compared to $30.8 million for the first nine months of fiscal 2014. The $5.4 million decrease is primarily related to the decrease in average square footage of the new DXL stores opening in fiscal 2015 as compared to the prior year.</w:t>
      </w:r>
    </w:p>
    <w:p>
      <w:pPr>
        <w:spacing w:after="0" w:line="1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For fiscal 2015, our capital expenditures are expected to be approximately $36.0-$39.0 million and we expect to receive approximately $6.0-$7.0 million in tenant allowances to offset these expenditures. The forecast includes approximately $25.7 million, excluding any allowance, related to the opening of 29 DXL stores and 7 DXL outlets and approximately $9.2 million for continued information technology projects, including the addition of in-store pick up, POS purchases and increased credit card security measures, with the remainder for general overhead projects and improving our distribution center’s capacity. In addition, we expect to close approximately 42 existing Casual Male XL retail and outlet stores and 3 Rochester Clothing stores, most of which are in connection with the opening of our new DXL stores in the same geographic market.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31, 2015, as filed with the Securities and Exchange Commission on March 25, 2015. See Note 1 to the Consolidated Financial Statements included in this report for information on recent accounting pronouncements and changes in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Presentation of Non-GAAP Measures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Adjusted net loss, adjusted net loss per diluted share, free cash flow and EBITDA from continuing operations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report may not be comparable to similar measures used by other companies. We believe that inclusion of these non-GAAP measures helps investors gain a better understanding of our cash flow performance, especially when comparing such results to previous periods. Reconciliations of these non-GAAP measures are presented in following tables:</w:t>
      </w:r>
    </w:p>
    <w:p>
      <w:pPr>
        <w:spacing w:after="0" w:line="1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Adjusted net loss and adjusted net loss per diluted share</w:t>
      </w:r>
      <w:r>
        <w:rPr>
          <w:rFonts w:ascii="Arial" w:cs="Arial" w:eastAsia="Arial" w:hAnsi="Arial"/>
          <w:sz w:val="18"/>
          <w:szCs w:val="18"/>
          <w:color w:val="auto"/>
        </w:rPr>
        <w:t>. The above discussion includes an adjusted net loss for the third quarter and first nine months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fiscal 2014 on a non-GAAP basis. For fiscal 2015, we expect to continue to provide a full valuation allowance against our deferred tax assets; therefore, we will not recognize any income tax benefit in fiscal 2015.</w:t>
      </w:r>
    </w:p>
    <w:p>
      <w:pPr>
        <w:spacing w:after="0" w:line="18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For comparison purposes, the following is a reconciliation of net loss to adjusted net loss, assuming a normal tax benefit of 40% for the third quarter and first nine months of fiscal 2015 and fiscal 2014:</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7"/>
          </w:tcPr>
          <w:p>
            <w:pPr>
              <w:ind w:left="20"/>
              <w:spacing w:after="0"/>
              <w:rPr>
                <w:sz w:val="20"/>
                <w:szCs w:val="20"/>
                <w:color w:val="auto"/>
              </w:rPr>
            </w:pPr>
            <w:r>
              <w:rPr>
                <w:rFonts w:ascii="Arial" w:cs="Arial" w:eastAsia="Arial" w:hAnsi="Arial"/>
                <w:sz w:val="14"/>
                <w:szCs w:val="14"/>
                <w:color w:val="auto"/>
                <w:w w:val="97"/>
              </w:rPr>
              <w:t>For the 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color w:val="auto"/>
                <w:w w:val="99"/>
              </w:rPr>
              <w:t>October 31, 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4"/>
                <w:szCs w:val="14"/>
                <w:color w:val="auto"/>
                <w:w w:val="98"/>
              </w:rPr>
              <w:t>November 1, 2014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6"/>
          </w:tcPr>
          <w:p>
            <w:pPr>
              <w:jc w:val="right"/>
              <w:ind w:right="420"/>
              <w:spacing w:after="0"/>
              <w:rPr>
                <w:sz w:val="20"/>
                <w:szCs w:val="20"/>
                <w:color w:val="auto"/>
              </w:rPr>
            </w:pPr>
            <w:r>
              <w:rPr>
                <w:rFonts w:ascii="Arial" w:cs="Arial" w:eastAsia="Arial" w:hAnsi="Arial"/>
                <w:sz w:val="14"/>
                <w:szCs w:val="14"/>
                <w:color w:val="auto"/>
                <w:w w:val="97"/>
              </w:rPr>
              <w:t>October 31, 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right"/>
              <w:ind w:right="360"/>
              <w:spacing w:after="0"/>
              <w:rPr>
                <w:sz w:val="20"/>
                <w:szCs w:val="20"/>
                <w:color w:val="auto"/>
              </w:rPr>
            </w:pPr>
            <w:r>
              <w:rPr>
                <w:rFonts w:ascii="Arial" w:cs="Arial" w:eastAsia="Arial" w:hAnsi="Arial"/>
                <w:sz w:val="14"/>
                <w:szCs w:val="14"/>
                <w:color w:val="auto"/>
                <w:w w:val="98"/>
              </w:rPr>
              <w:t>November 1,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color w:val="auto"/>
                <w:w w:val="95"/>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color w:val="auto"/>
                <w:w w:val="95"/>
              </w:rPr>
              <w:t>Per 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color w:val="auto"/>
                <w:w w:val="95"/>
              </w:rPr>
              <w:t>Per diluted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color w:val="auto"/>
                <w:w w:val="89"/>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0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share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share</w:t>
            </w:r>
          </w:p>
        </w:tc>
        <w:tc>
          <w:tcPr>
            <w:tcW w:w="0" w:type="dxa"/>
            <w:vAlign w:val="bottom"/>
          </w:tcPr>
          <w:p>
            <w:pPr>
              <w:spacing w:after="0"/>
              <w:rPr>
                <w:sz w:val="1"/>
                <w:szCs w:val="1"/>
                <w:color w:val="auto"/>
              </w:rPr>
            </w:pPr>
          </w:p>
        </w:tc>
      </w:tr>
      <w:tr>
        <w:trPr>
          <w:trHeight w:val="140"/>
        </w:trPr>
        <w:tc>
          <w:tcPr>
            <w:tcW w:w="41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Net loss (GAAP basis)</w:t>
            </w:r>
          </w:p>
        </w:tc>
        <w:tc>
          <w:tcPr>
            <w:tcW w:w="198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line="154" w:lineRule="exact"/>
              <w:rPr>
                <w:sz w:val="20"/>
                <w:szCs w:val="20"/>
                <w:color w:val="auto"/>
              </w:rPr>
            </w:pPr>
            <w:r>
              <w:rPr>
                <w:rFonts w:ascii="Arial" w:cs="Arial" w:eastAsia="Arial" w:hAnsi="Arial"/>
                <w:sz w:val="14"/>
                <w:szCs w:val="14"/>
                <w:color w:val="auto"/>
              </w:rPr>
              <w:t>(5,472)</w:t>
            </w:r>
          </w:p>
        </w:tc>
        <w:tc>
          <w:tcPr>
            <w:tcW w:w="240" w:type="dxa"/>
            <w:vAlign w:val="bottom"/>
            <w:gridSpan w:val="2"/>
            <w:shd w:val="clear" w:color="auto" w:fill="CFF0FC"/>
          </w:tcPr>
          <w:p>
            <w:pPr>
              <w:ind w:left="100"/>
              <w:spacing w:after="0" w:line="15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00"/>
              <w:spacing w:after="0" w:line="154" w:lineRule="exact"/>
              <w:rPr>
                <w:sz w:val="20"/>
                <w:szCs w:val="20"/>
                <w:color w:val="auto"/>
              </w:rPr>
            </w:pPr>
            <w:r>
              <w:rPr>
                <w:rFonts w:ascii="Arial" w:cs="Arial" w:eastAsia="Arial" w:hAnsi="Arial"/>
                <w:sz w:val="14"/>
                <w:szCs w:val="14"/>
                <w:color w:val="auto"/>
              </w:rPr>
              <w:t>(0.11)</w:t>
            </w:r>
          </w:p>
        </w:tc>
        <w:tc>
          <w:tcPr>
            <w:tcW w:w="260" w:type="dxa"/>
            <w:vAlign w:val="bottom"/>
            <w:gridSpan w:val="2"/>
            <w:shd w:val="clear" w:color="auto" w:fill="CFF0FC"/>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line="154" w:lineRule="exact"/>
              <w:rPr>
                <w:sz w:val="20"/>
                <w:szCs w:val="20"/>
                <w:color w:val="auto"/>
              </w:rPr>
            </w:pPr>
            <w:r>
              <w:rPr>
                <w:rFonts w:ascii="Arial" w:cs="Arial" w:eastAsia="Arial" w:hAnsi="Arial"/>
                <w:sz w:val="14"/>
                <w:szCs w:val="14"/>
                <w:color w:val="auto"/>
              </w:rPr>
              <w:t>(6,281)</w:t>
            </w:r>
          </w:p>
        </w:tc>
        <w:tc>
          <w:tcPr>
            <w:tcW w:w="220" w:type="dxa"/>
            <w:vAlign w:val="bottom"/>
            <w:gridSpan w:val="2"/>
            <w:shd w:val="clear" w:color="auto" w:fill="CFF0FC"/>
          </w:tcPr>
          <w:p>
            <w:pPr>
              <w:ind w:left="100"/>
              <w:spacing w:after="0" w:line="154"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line="154" w:lineRule="exact"/>
              <w:rPr>
                <w:sz w:val="20"/>
                <w:szCs w:val="20"/>
                <w:color w:val="auto"/>
              </w:rPr>
            </w:pPr>
            <w:r>
              <w:rPr>
                <w:rFonts w:ascii="Arial" w:cs="Arial" w:eastAsia="Arial" w:hAnsi="Arial"/>
                <w:sz w:val="14"/>
                <w:szCs w:val="14"/>
                <w:color w:val="auto"/>
              </w:rPr>
              <w:t>(0.13)</w:t>
            </w:r>
          </w:p>
        </w:tc>
        <w:tc>
          <w:tcPr>
            <w:tcW w:w="260" w:type="dxa"/>
            <w:vAlign w:val="bottom"/>
            <w:gridSpan w:val="2"/>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80"/>
              <w:spacing w:after="0" w:line="154" w:lineRule="exact"/>
              <w:rPr>
                <w:sz w:val="20"/>
                <w:szCs w:val="20"/>
                <w:color w:val="auto"/>
              </w:rPr>
            </w:pPr>
            <w:r>
              <w:rPr>
                <w:rFonts w:ascii="Arial" w:cs="Arial" w:eastAsia="Arial" w:hAnsi="Arial"/>
                <w:sz w:val="14"/>
                <w:szCs w:val="14"/>
                <w:color w:val="auto"/>
              </w:rPr>
              <w:t>(7,025)</w:t>
            </w:r>
          </w:p>
        </w:tc>
        <w:tc>
          <w:tcPr>
            <w:tcW w:w="200" w:type="dxa"/>
            <w:vAlign w:val="bottom"/>
            <w:gridSpan w:val="2"/>
            <w:shd w:val="clear" w:color="auto" w:fill="CFF0FC"/>
          </w:tcPr>
          <w:p>
            <w:pPr>
              <w:ind w:left="80"/>
              <w:spacing w:after="0" w:line="154"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line="154" w:lineRule="exact"/>
              <w:rPr>
                <w:sz w:val="20"/>
                <w:szCs w:val="20"/>
                <w:color w:val="auto"/>
              </w:rPr>
            </w:pPr>
            <w:r>
              <w:rPr>
                <w:rFonts w:ascii="Arial" w:cs="Arial" w:eastAsia="Arial" w:hAnsi="Arial"/>
                <w:sz w:val="14"/>
                <w:szCs w:val="14"/>
                <w:color w:val="auto"/>
              </w:rPr>
              <w:t>(0.14)</w:t>
            </w:r>
          </w:p>
        </w:tc>
        <w:tc>
          <w:tcPr>
            <w:tcW w:w="220" w:type="dxa"/>
            <w:vAlign w:val="bottom"/>
            <w:gridSpan w:val="2"/>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line="154" w:lineRule="exact"/>
              <w:rPr>
                <w:sz w:val="20"/>
                <w:szCs w:val="20"/>
                <w:color w:val="auto"/>
              </w:rPr>
            </w:pPr>
            <w:r>
              <w:rPr>
                <w:rFonts w:ascii="Arial" w:cs="Arial" w:eastAsia="Arial" w:hAnsi="Arial"/>
                <w:sz w:val="14"/>
                <w:szCs w:val="14"/>
                <w:color w:val="auto"/>
              </w:rPr>
              <w:t>(13,849)</w:t>
            </w:r>
          </w:p>
        </w:tc>
        <w:tc>
          <w:tcPr>
            <w:tcW w:w="220" w:type="dxa"/>
            <w:vAlign w:val="bottom"/>
            <w:gridSpan w:val="2"/>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60"/>
              <w:spacing w:after="0" w:line="154"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2"/>
          </w:tcPr>
          <w:p>
            <w:pPr>
              <w:ind w:left="220"/>
              <w:spacing w:after="0"/>
              <w:rPr>
                <w:sz w:val="20"/>
                <w:szCs w:val="20"/>
                <w:color w:val="auto"/>
              </w:rPr>
            </w:pPr>
            <w:r>
              <w:rPr>
                <w:rFonts w:ascii="Arial" w:cs="Arial" w:eastAsia="Arial" w:hAnsi="Arial"/>
                <w:sz w:val="14"/>
                <w:szCs w:val="14"/>
                <w:color w:val="auto"/>
              </w:rPr>
              <w:t>Income tax benefit, assuming normal tax rate of 40%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2,734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00" w:type="dxa"/>
            <w:vAlign w:val="bottom"/>
            <w:gridSpan w:val="4"/>
          </w:tcPr>
          <w:p>
            <w:pPr>
              <w:spacing w:after="0" w:line="154" w:lineRule="exact"/>
              <w:rPr>
                <w:sz w:val="20"/>
                <w:szCs w:val="20"/>
                <w:color w:val="auto"/>
              </w:rPr>
            </w:pPr>
            <w:r>
              <w:rPr>
                <w:rFonts w:ascii="Arial" w:cs="Arial" w:eastAsia="Arial" w:hAnsi="Arial"/>
                <w:sz w:val="14"/>
                <w:szCs w:val="14"/>
                <w:b w:val="1"/>
                <w:bCs w:val="1"/>
                <w:color w:val="auto"/>
              </w:rPr>
              <w:t>Adjusted net loss (non-GAAP basis)</w:t>
            </w:r>
          </w:p>
        </w:tc>
        <w:tc>
          <w:tcPr>
            <w:tcW w:w="1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4" w:lineRule="exact"/>
              <w:rPr>
                <w:sz w:val="20"/>
                <w:szCs w:val="20"/>
                <w:color w:val="auto"/>
              </w:rPr>
            </w:pPr>
            <w:r>
              <w:rPr>
                <w:rFonts w:ascii="Arial" w:cs="Arial" w:eastAsia="Arial" w:hAnsi="Arial"/>
                <w:sz w:val="14"/>
                <w:szCs w:val="14"/>
                <w:color w:val="auto"/>
              </w:rPr>
              <w:t>(3,245)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4" w:lineRule="exact"/>
              <w:rPr>
                <w:sz w:val="20"/>
                <w:szCs w:val="20"/>
                <w:color w:val="auto"/>
              </w:rPr>
            </w:pPr>
            <w:r>
              <w:rPr>
                <w:rFonts w:ascii="Arial" w:cs="Arial" w:eastAsia="Arial" w:hAnsi="Arial"/>
                <w:sz w:val="14"/>
                <w:szCs w:val="14"/>
                <w:color w:val="auto"/>
              </w:rPr>
              <w:t>(0.07)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4" w:lineRule="exact"/>
              <w:rPr>
                <w:sz w:val="20"/>
                <w:szCs w:val="20"/>
                <w:color w:val="auto"/>
              </w:rPr>
            </w:pPr>
            <w:r>
              <w:rPr>
                <w:rFonts w:ascii="Arial" w:cs="Arial" w:eastAsia="Arial" w:hAnsi="Arial"/>
                <w:sz w:val="14"/>
                <w:szCs w:val="14"/>
                <w:color w:val="auto"/>
              </w:rPr>
              <w:t>(3,731)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4" w:lineRule="exact"/>
              <w:rPr>
                <w:sz w:val="20"/>
                <w:szCs w:val="20"/>
                <w:color w:val="auto"/>
              </w:rPr>
            </w:pPr>
            <w:r>
              <w:rPr>
                <w:rFonts w:ascii="Arial" w:cs="Arial" w:eastAsia="Arial" w:hAnsi="Arial"/>
                <w:sz w:val="14"/>
                <w:szCs w:val="14"/>
                <w:color w:val="auto"/>
              </w:rPr>
              <w:t>(0.08)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4" w:lineRule="exact"/>
              <w:rPr>
                <w:sz w:val="20"/>
                <w:szCs w:val="20"/>
                <w:color w:val="auto"/>
              </w:rPr>
            </w:pPr>
            <w:r>
              <w:rPr>
                <w:rFonts w:ascii="Arial" w:cs="Arial" w:eastAsia="Arial" w:hAnsi="Arial"/>
                <w:sz w:val="14"/>
                <w:szCs w:val="14"/>
                <w:color w:val="auto"/>
              </w:rPr>
              <w:t>(4,100)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4" w:lineRule="exact"/>
              <w:rPr>
                <w:sz w:val="20"/>
                <w:szCs w:val="20"/>
                <w:color w:val="auto"/>
              </w:rPr>
            </w:pPr>
            <w:r>
              <w:rPr>
                <w:rFonts w:ascii="Arial" w:cs="Arial" w:eastAsia="Arial" w:hAnsi="Arial"/>
                <w:sz w:val="14"/>
                <w:szCs w:val="14"/>
                <w:color w:val="auto"/>
              </w:rPr>
              <w:t>(0.08)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4" w:lineRule="exact"/>
              <w:rPr>
                <w:sz w:val="20"/>
                <w:szCs w:val="20"/>
                <w:color w:val="auto"/>
              </w:rPr>
            </w:pPr>
            <w:r>
              <w:rPr>
                <w:rFonts w:ascii="Arial" w:cs="Arial" w:eastAsia="Arial" w:hAnsi="Arial"/>
                <w:sz w:val="14"/>
                <w:szCs w:val="14"/>
                <w:color w:val="auto"/>
              </w:rPr>
              <w:t>(8,206)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4" w:lineRule="exact"/>
              <w:rPr>
                <w:sz w:val="20"/>
                <w:szCs w:val="20"/>
                <w:color w:val="auto"/>
              </w:rPr>
            </w:pPr>
            <w:r>
              <w:rPr>
                <w:rFonts w:ascii="Arial" w:cs="Arial" w:eastAsia="Arial" w:hAnsi="Arial"/>
                <w:sz w:val="14"/>
                <w:szCs w:val="14"/>
                <w:color w:val="auto"/>
              </w:rPr>
              <w:t>(0.17)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60" w:type="dxa"/>
            <w:vAlign w:val="bottom"/>
            <w:gridSpan w:val="2"/>
          </w:tcPr>
          <w:p>
            <w:pPr>
              <w:spacing w:after="0" w:line="142" w:lineRule="exact"/>
              <w:rPr>
                <w:sz w:val="20"/>
                <w:szCs w:val="20"/>
                <w:color w:val="auto"/>
              </w:rPr>
            </w:pPr>
            <w:r>
              <w:rPr>
                <w:rFonts w:ascii="Arial" w:cs="Arial" w:eastAsia="Arial" w:hAnsi="Arial"/>
                <w:sz w:val="14"/>
                <w:szCs w:val="14"/>
                <w:color w:val="auto"/>
                <w:w w:val="92"/>
              </w:rPr>
              <w:t>Weighted average number of common shares outstanding on a diluted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4"/>
          </w:tcPr>
          <w:p>
            <w:pPr>
              <w:spacing w:after="0"/>
              <w:rPr>
                <w:sz w:val="20"/>
                <w:szCs w:val="20"/>
                <w:color w:val="auto"/>
              </w:rPr>
            </w:pPr>
            <w:r>
              <w:rPr>
                <w:rFonts w:ascii="Arial" w:cs="Arial" w:eastAsia="Arial" w:hAnsi="Arial"/>
                <w:sz w:val="14"/>
                <w:szCs w:val="14"/>
                <w:color w:val="auto"/>
              </w:rPr>
              <w:t>basis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49,116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48,773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49,072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48,724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reconciles our free cash flow measure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80" w:type="dxa"/>
            <w:vAlign w:val="bottom"/>
            <w:gridSpan w:val="4"/>
          </w:tcPr>
          <w:p>
            <w:pPr>
              <w:jc w:val="right"/>
              <w:ind w:right="742"/>
              <w:spacing w:after="0"/>
              <w:rPr>
                <w:sz w:val="20"/>
                <w:szCs w:val="20"/>
                <w:color w:val="auto"/>
              </w:rPr>
            </w:pPr>
            <w:r>
              <w:rPr>
                <w:rFonts w:ascii="Arial" w:cs="Arial" w:eastAsia="Arial" w:hAnsi="Arial"/>
                <w:sz w:val="14"/>
                <w:szCs w:val="14"/>
                <w:color w:val="auto"/>
              </w:rPr>
              <w:t>For the nine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Projected</w:t>
            </w:r>
          </w:p>
        </w:tc>
        <w:tc>
          <w:tcPr>
            <w:tcW w:w="340" w:type="dxa"/>
            <w:vAlign w:val="bottom"/>
          </w:tcPr>
          <w:p>
            <w:pPr>
              <w:spacing w:after="0"/>
              <w:rPr>
                <w:sz w:val="14"/>
                <w:szCs w:val="14"/>
                <w:color w:val="auto"/>
              </w:rPr>
            </w:pPr>
          </w:p>
        </w:tc>
      </w:tr>
      <w:tr>
        <w:trPr>
          <w:trHeight w:val="166"/>
        </w:trPr>
        <w:tc>
          <w:tcPr>
            <w:tcW w:w="52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October 31, 2015</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November 1, 2014</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Fiscal 2015</w:t>
            </w:r>
          </w:p>
        </w:tc>
        <w:tc>
          <w:tcPr>
            <w:tcW w:w="340" w:type="dxa"/>
            <w:vAlign w:val="bottom"/>
            <w:tcBorders>
              <w:bottom w:val="single" w:sz="8" w:color="CFF0FC"/>
            </w:tcBorders>
          </w:tcPr>
          <w:p>
            <w:pPr>
              <w:spacing w:after="0"/>
              <w:rPr>
                <w:sz w:val="14"/>
                <w:szCs w:val="14"/>
                <w:color w:val="auto"/>
              </w:rPr>
            </w:pPr>
          </w:p>
        </w:tc>
      </w:tr>
      <w:tr>
        <w:trPr>
          <w:trHeight w:val="154"/>
        </w:trPr>
        <w:tc>
          <w:tcPr>
            <w:tcW w:w="5280" w:type="dxa"/>
            <w:vAlign w:val="bottom"/>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Cash flow from operating activities (GAAP basis)</w:t>
            </w:r>
          </w:p>
        </w:tc>
        <w:tc>
          <w:tcPr>
            <w:tcW w:w="1400" w:type="dxa"/>
            <w:vAlign w:val="bottom"/>
            <w:shd w:val="clear" w:color="auto" w:fill="CFF0FC"/>
          </w:tcPr>
          <w:p>
            <w:pPr>
              <w:jc w:val="right"/>
              <w:ind w:right="1249"/>
              <w:spacing w:after="0" w:line="154"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(5.1)</w:t>
            </w:r>
          </w:p>
        </w:tc>
        <w:tc>
          <w:tcPr>
            <w:tcW w:w="22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38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w w:val="87"/>
              </w:rPr>
              <w:t>(15.4)</w:t>
            </w:r>
          </w:p>
        </w:tc>
        <w:tc>
          <w:tcPr>
            <w:tcW w:w="220" w:type="dxa"/>
            <w:vAlign w:val="bottom"/>
            <w:shd w:val="clear" w:color="auto" w:fill="CFF0FC"/>
          </w:tcPr>
          <w:p>
            <w:pPr>
              <w:spacing w:after="0"/>
              <w:rPr>
                <w:sz w:val="13"/>
                <w:szCs w:val="13"/>
                <w:color w:val="auto"/>
              </w:rPr>
            </w:pPr>
          </w:p>
        </w:tc>
        <w:tc>
          <w:tcPr>
            <w:tcW w:w="1760" w:type="dxa"/>
            <w:vAlign w:val="bottom"/>
            <w:shd w:val="clear" w:color="auto" w:fill="CFF0FC"/>
          </w:tcPr>
          <w:p>
            <w:pPr>
              <w:jc w:val="center"/>
              <w:spacing w:after="0" w:line="154" w:lineRule="exact"/>
              <w:rPr>
                <w:sz w:val="20"/>
                <w:szCs w:val="20"/>
                <w:color w:val="auto"/>
              </w:rPr>
            </w:pPr>
            <w:r>
              <w:rPr>
                <w:rFonts w:ascii="Arial" w:cs="Arial" w:eastAsia="Arial" w:hAnsi="Arial"/>
                <w:sz w:val="14"/>
                <w:szCs w:val="14"/>
                <w:color w:val="auto"/>
                <w:w w:val="93"/>
              </w:rPr>
              <w:t>$16.5-$17.5</w:t>
            </w:r>
          </w:p>
        </w:tc>
        <w:tc>
          <w:tcPr>
            <w:tcW w:w="340" w:type="dxa"/>
            <w:vAlign w:val="bottom"/>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rPr>
              <w:t>(1)</w:t>
            </w:r>
          </w:p>
        </w:tc>
      </w:tr>
      <w:tr>
        <w:trPr>
          <w:trHeight w:val="160"/>
        </w:trPr>
        <w:tc>
          <w:tcPr>
            <w:tcW w:w="5280" w:type="dxa"/>
            <w:vAlign w:val="bottom"/>
          </w:tcPr>
          <w:p>
            <w:pPr>
              <w:spacing w:after="0"/>
              <w:rPr>
                <w:sz w:val="20"/>
                <w:szCs w:val="20"/>
                <w:color w:val="auto"/>
              </w:rPr>
            </w:pPr>
            <w:r>
              <w:rPr>
                <w:rFonts w:ascii="Arial" w:cs="Arial" w:eastAsia="Arial" w:hAnsi="Arial"/>
                <w:sz w:val="14"/>
                <w:szCs w:val="14"/>
                <w:color w:val="auto"/>
              </w:rPr>
              <w:t>Less: Capital expenditures</w:t>
            </w:r>
          </w:p>
        </w:tc>
        <w:tc>
          <w:tcPr>
            <w:tcW w:w="14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(25.4)</w:t>
            </w:r>
          </w:p>
        </w:tc>
        <w:tc>
          <w:tcPr>
            <w:tcW w:w="150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(30.8)</w:t>
            </w:r>
          </w:p>
        </w:tc>
        <w:tc>
          <w:tcPr>
            <w:tcW w:w="1760" w:type="dxa"/>
            <w:vAlign w:val="bottom"/>
          </w:tcPr>
          <w:p>
            <w:pPr>
              <w:jc w:val="center"/>
              <w:spacing w:after="0"/>
              <w:rPr>
                <w:sz w:val="20"/>
                <w:szCs w:val="20"/>
                <w:color w:val="auto"/>
              </w:rPr>
            </w:pPr>
            <w:r>
              <w:rPr>
                <w:rFonts w:ascii="Arial" w:cs="Arial" w:eastAsia="Arial" w:hAnsi="Arial"/>
                <w:sz w:val="14"/>
                <w:szCs w:val="14"/>
                <w:color w:val="auto"/>
                <w:w w:val="95"/>
              </w:rPr>
              <w:t>(36.0)-(39.0)</w:t>
            </w:r>
          </w:p>
        </w:tc>
        <w:tc>
          <w:tcPr>
            <w:tcW w:w="340" w:type="dxa"/>
            <w:vAlign w:val="bottom"/>
          </w:tcPr>
          <w:p>
            <w:pPr>
              <w:spacing w:after="0"/>
              <w:rPr>
                <w:sz w:val="13"/>
                <w:szCs w:val="13"/>
                <w:color w:val="auto"/>
              </w:rPr>
            </w:pPr>
          </w:p>
        </w:tc>
      </w:tr>
      <w:tr>
        <w:trPr>
          <w:trHeight w:val="160"/>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Less: Store acquisitions, if applicable</w:t>
            </w:r>
          </w:p>
        </w:tc>
        <w:tc>
          <w:tcPr>
            <w:tcW w:w="14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r>
      <w:tr>
        <w:trPr>
          <w:trHeight w:val="154"/>
        </w:trPr>
        <w:tc>
          <w:tcPr>
            <w:tcW w:w="5280" w:type="dxa"/>
            <w:vAlign w:val="bottom"/>
          </w:tcPr>
          <w:p>
            <w:pPr>
              <w:spacing w:after="0" w:line="154" w:lineRule="exact"/>
              <w:rPr>
                <w:sz w:val="20"/>
                <w:szCs w:val="20"/>
                <w:color w:val="auto"/>
              </w:rPr>
            </w:pPr>
            <w:r>
              <w:rPr>
                <w:rFonts w:ascii="Arial" w:cs="Arial" w:eastAsia="Arial" w:hAnsi="Arial"/>
                <w:sz w:val="14"/>
                <w:szCs w:val="14"/>
                <w:b w:val="1"/>
                <w:bCs w:val="1"/>
                <w:color w:val="auto"/>
              </w:rPr>
              <w:t>Free Cash Flow (non-GAAP basis)</w:t>
            </w:r>
          </w:p>
        </w:tc>
        <w:tc>
          <w:tcPr>
            <w:tcW w:w="1400" w:type="dxa"/>
            <w:vAlign w:val="bottom"/>
            <w:tcBorders>
              <w:top w:val="single" w:sz="8" w:color="auto"/>
              <w:bottom w:val="single" w:sz="8" w:color="auto"/>
            </w:tcBorders>
          </w:tcPr>
          <w:p>
            <w:pPr>
              <w:jc w:val="right"/>
              <w:ind w:right="1249"/>
              <w:spacing w:after="0" w:line="154"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2"/>
              </w:rPr>
              <w:t>(30.4)</w:t>
            </w:r>
          </w:p>
        </w:tc>
        <w:tc>
          <w:tcPr>
            <w:tcW w:w="22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right"/>
              <w:ind w:right="138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7"/>
              </w:rPr>
              <w:t>(46.2)</w:t>
            </w:r>
          </w:p>
        </w:tc>
        <w:tc>
          <w:tcPr>
            <w:tcW w:w="220" w:type="dxa"/>
            <w:vAlign w:val="bottom"/>
          </w:tcPr>
          <w:p>
            <w:pPr>
              <w:spacing w:after="0"/>
              <w:rPr>
                <w:sz w:val="13"/>
                <w:szCs w:val="13"/>
                <w:color w:val="auto"/>
              </w:rPr>
            </w:pPr>
          </w:p>
        </w:tc>
        <w:tc>
          <w:tcPr>
            <w:tcW w:w="176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$(18.5)-$(22.5)</w:t>
            </w:r>
          </w:p>
        </w:tc>
        <w:tc>
          <w:tcPr>
            <w:tcW w:w="340" w:type="dxa"/>
            <w:vAlign w:val="bottom"/>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ind w:left="1020" w:hanging="639"/>
        <w:spacing w:after="0" w:line="218" w:lineRule="auto"/>
        <w:tabs>
          <w:tab w:leader="none" w:pos="1020" w:val="left"/>
        </w:tabs>
        <w:numPr>
          <w:ilvl w:val="0"/>
          <w:numId w:val="11"/>
        </w:numPr>
        <w:rPr>
          <w:rFonts w:ascii="Arial" w:cs="Arial" w:eastAsia="Arial" w:hAnsi="Arial"/>
          <w:sz w:val="36"/>
          <w:szCs w:val="36"/>
          <w:color w:val="auto"/>
          <w:vertAlign w:val="subscript"/>
        </w:rPr>
      </w:pPr>
      <w:r>
        <w:rPr>
          <w:rFonts w:ascii="Arial" w:cs="Arial" w:eastAsia="Arial" w:hAnsi="Arial"/>
          <w:sz w:val="14"/>
          <w:szCs w:val="14"/>
          <w:color w:val="auto"/>
        </w:rPr>
        <w:t>Projected cash flow from operating activities for fiscal 2015 includes an estimated $6.0-$7.0 million in lease incentives.</w:t>
      </w:r>
    </w:p>
    <w:p>
      <w:pPr>
        <w:spacing w:after="0" w:line="251"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i w:val="1"/>
          <w:iCs w:val="1"/>
          <w:u w:val="single" w:color="auto"/>
          <w:color w:val="auto"/>
        </w:rPr>
        <w:t>EBITDA from continuing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is a reconciliation of net loss to EBITDA from continuing operations for the third quarter and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fiscal 2015 and fiscal 2014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5"/>
          </w:tcPr>
          <w:p>
            <w:pPr>
              <w:jc w:val="right"/>
              <w:ind w:right="76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6"/>
          </w:tcPr>
          <w:p>
            <w:pPr>
              <w:jc w:val="right"/>
              <w:ind w:right="700"/>
              <w:spacing w:after="0"/>
              <w:rPr>
                <w:sz w:val="20"/>
                <w:szCs w:val="20"/>
                <w:color w:val="auto"/>
              </w:rPr>
            </w:pPr>
            <w:r>
              <w:rPr>
                <w:rFonts w:ascii="Arial" w:cs="Arial" w:eastAsia="Arial" w:hAnsi="Arial"/>
                <w:sz w:val="14"/>
                <w:szCs w:val="14"/>
                <w:color w:val="auto"/>
              </w:rPr>
              <w:t>For the nine months ended</w:t>
            </w:r>
          </w:p>
        </w:tc>
      </w:tr>
      <w:tr>
        <w:trPr>
          <w:trHeight w:val="166"/>
        </w:trPr>
        <w:tc>
          <w:tcPr>
            <w:tcW w:w="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October 31, 2015</w:t>
            </w: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November 1, 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October 31, 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November 1, 2014</w:t>
            </w:r>
          </w:p>
        </w:tc>
      </w:tr>
      <w:tr>
        <w:trPr>
          <w:trHeight w:val="207"/>
        </w:trPr>
        <w:tc>
          <w:tcPr>
            <w:tcW w:w="55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5560" w:type="dxa"/>
            <w:vAlign w:val="bottom"/>
            <w:gridSpan w:val="2"/>
            <w:shd w:val="clear" w:color="auto" w:fill="CFF0FC"/>
          </w:tcPr>
          <w:p>
            <w:pPr>
              <w:spacing w:after="0" w:line="154" w:lineRule="exact"/>
              <w:rPr>
                <w:sz w:val="20"/>
                <w:szCs w:val="20"/>
                <w:color w:val="auto"/>
              </w:rPr>
            </w:pPr>
            <w:r>
              <w:rPr>
                <w:rFonts w:ascii="Arial" w:cs="Arial" w:eastAsia="Arial" w:hAnsi="Arial"/>
                <w:sz w:val="14"/>
                <w:szCs w:val="14"/>
                <w:color w:val="auto"/>
              </w:rPr>
              <w:t>Net loss (GAAP basis)</w:t>
            </w:r>
          </w:p>
        </w:tc>
        <w:tc>
          <w:tcPr>
            <w:tcW w:w="10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200"/>
              <w:spacing w:after="0" w:line="154" w:lineRule="exact"/>
              <w:rPr>
                <w:sz w:val="20"/>
                <w:szCs w:val="20"/>
                <w:color w:val="auto"/>
              </w:rPr>
            </w:pPr>
            <w:r>
              <w:rPr>
                <w:rFonts w:ascii="Arial" w:cs="Arial" w:eastAsia="Arial" w:hAnsi="Arial"/>
                <w:sz w:val="14"/>
                <w:szCs w:val="14"/>
                <w:color w:val="auto"/>
              </w:rPr>
              <w:t>(5.5)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ind w:right="60"/>
              <w:spacing w:after="0" w:line="154" w:lineRule="exact"/>
              <w:rPr>
                <w:sz w:val="20"/>
                <w:szCs w:val="20"/>
                <w:color w:val="auto"/>
              </w:rPr>
            </w:pPr>
            <w:r>
              <w:rPr>
                <w:rFonts w:ascii="Arial" w:cs="Arial" w:eastAsia="Arial" w:hAnsi="Arial"/>
                <w:sz w:val="14"/>
                <w:szCs w:val="14"/>
                <w:color w:val="auto"/>
              </w:rPr>
              <w:t>(6.3)</w:t>
            </w:r>
          </w:p>
        </w:tc>
        <w:tc>
          <w:tcPr>
            <w:tcW w:w="180" w:type="dxa"/>
            <w:vAlign w:val="bottom"/>
            <w:gridSpan w:val="2"/>
            <w:shd w:val="clear" w:color="auto" w:fill="CFF0FC"/>
          </w:tcPr>
          <w:p>
            <w:pPr>
              <w:jc w:val="right"/>
              <w:ind w:right="20"/>
              <w:spacing w:after="0" w:line="154"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80"/>
              <w:spacing w:after="0" w:line="154" w:lineRule="exact"/>
              <w:rPr>
                <w:sz w:val="20"/>
                <w:szCs w:val="20"/>
                <w:color w:val="auto"/>
              </w:rPr>
            </w:pPr>
            <w:r>
              <w:rPr>
                <w:rFonts w:ascii="Arial" w:cs="Arial" w:eastAsia="Arial" w:hAnsi="Arial"/>
                <w:sz w:val="14"/>
                <w:szCs w:val="14"/>
                <w:color w:val="auto"/>
              </w:rPr>
              <w:t>(7.0)</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40"/>
              <w:spacing w:after="0" w:line="154" w:lineRule="exact"/>
              <w:rPr>
                <w:sz w:val="20"/>
                <w:szCs w:val="20"/>
                <w:color w:val="auto"/>
              </w:rPr>
            </w:pPr>
            <w:r>
              <w:rPr>
                <w:rFonts w:ascii="Arial" w:cs="Arial" w:eastAsia="Arial" w:hAnsi="Arial"/>
                <w:sz w:val="14"/>
                <w:szCs w:val="14"/>
                <w:color w:val="auto"/>
              </w:rPr>
              <w:t>(13.8)</w:t>
            </w:r>
          </w:p>
        </w:tc>
      </w:tr>
      <w:tr>
        <w:trPr>
          <w:trHeight w:val="160"/>
        </w:trPr>
        <w:tc>
          <w:tcPr>
            <w:tcW w:w="5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5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FF0FC"/>
          </w:tcPr>
          <w:p>
            <w:pPr>
              <w:spacing w:after="0"/>
              <w:rPr>
                <w:sz w:val="13"/>
                <w:szCs w:val="13"/>
                <w:color w:val="auto"/>
              </w:rPr>
            </w:pPr>
          </w:p>
        </w:tc>
      </w:tr>
      <w:tr>
        <w:trPr>
          <w:trHeight w:val="160"/>
        </w:trPr>
        <w:tc>
          <w:tcPr>
            <w:tcW w:w="55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r>
      <w:tr>
        <w:trPr>
          <w:trHeight w:val="160"/>
        </w:trPr>
        <w:tc>
          <w:tcPr>
            <w:tcW w:w="5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FF0FC"/>
          </w:tcPr>
          <w:p>
            <w:pPr>
              <w:spacing w:after="0"/>
              <w:rPr>
                <w:sz w:val="13"/>
                <w:szCs w:val="13"/>
                <w:color w:val="auto"/>
              </w:rPr>
            </w:pPr>
          </w:p>
        </w:tc>
      </w:tr>
      <w:tr>
        <w:trPr>
          <w:trHeight w:val="154"/>
        </w:trPr>
        <w:tc>
          <w:tcPr>
            <w:tcW w:w="5560" w:type="dxa"/>
            <w:vAlign w:val="bottom"/>
            <w:gridSpan w:val="2"/>
          </w:tcPr>
          <w:p>
            <w:pPr>
              <w:spacing w:after="0" w:line="154" w:lineRule="exact"/>
              <w:rPr>
                <w:sz w:val="20"/>
                <w:szCs w:val="20"/>
                <w:color w:val="auto"/>
              </w:rPr>
            </w:pPr>
            <w:r>
              <w:rPr>
                <w:rFonts w:ascii="Arial" w:cs="Arial" w:eastAsia="Arial" w:hAnsi="Arial"/>
                <w:sz w:val="14"/>
                <w:szCs w:val="14"/>
                <w:color w:val="auto"/>
              </w:rPr>
              <w:t>EBITDA (non-GAAP basis)</w:t>
            </w:r>
          </w:p>
        </w:tc>
        <w:tc>
          <w:tcPr>
            <w:tcW w:w="100" w:type="dxa"/>
            <w:vAlign w:val="bottom"/>
          </w:tcPr>
          <w:p>
            <w:pPr>
              <w:spacing w:after="0"/>
              <w:rPr>
                <w:sz w:val="13"/>
                <w:szCs w:val="13"/>
                <w:color w:val="auto"/>
              </w:rPr>
            </w:pPr>
          </w:p>
        </w:tc>
        <w:tc>
          <w:tcPr>
            <w:tcW w:w="1140" w:type="dxa"/>
            <w:vAlign w:val="bottom"/>
          </w:tcPr>
          <w:p>
            <w:pPr>
              <w:jc w:val="right"/>
              <w:spacing w:after="0" w:line="154"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line="154"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line="154"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spacing w:after="0" w:line="154"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r>
      <w:tr>
        <w:trPr>
          <w:trHeight w:val="160"/>
        </w:trPr>
        <w:tc>
          <w:tcPr>
            <w:tcW w:w="5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discontinued operations</w:t>
            </w:r>
          </w:p>
        </w:tc>
        <w:tc>
          <w:tcPr>
            <w:tcW w:w="1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w:t>
            </w:r>
          </w:p>
        </w:tc>
      </w:tr>
      <w:tr>
        <w:trPr>
          <w:trHeight w:val="154"/>
        </w:trPr>
        <w:tc>
          <w:tcPr>
            <w:tcW w:w="5560" w:type="dxa"/>
            <w:vAlign w:val="bottom"/>
            <w:gridSpan w:val="2"/>
          </w:tcPr>
          <w:p>
            <w:pPr>
              <w:spacing w:after="0" w:line="154" w:lineRule="exact"/>
              <w:rPr>
                <w:sz w:val="20"/>
                <w:szCs w:val="20"/>
                <w:color w:val="auto"/>
              </w:rPr>
            </w:pPr>
            <w:r>
              <w:rPr>
                <w:rFonts w:ascii="Arial" w:cs="Arial" w:eastAsia="Arial" w:hAnsi="Arial"/>
                <w:sz w:val="14"/>
                <w:szCs w:val="14"/>
                <w:color w:val="auto"/>
              </w:rPr>
              <w:t>EBITDA from continuing operations (non-GAAP basis)</w:t>
            </w: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0"/>
              <w:spacing w:after="0" w:line="154"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3"/>
                <w:szCs w:val="13"/>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October 31, 2015, the interest rate on our prime based borrowings was 3.75%. Approximately $52.0 million of our outstanding borrowings were in LIBOR contracts with an interest rate of 1.65%. We also have $14.0 million outstanding under a term loan, which bears interest at a variable rate based on one-month LIBOR rates plus 6.5%.</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upon a sensitivity analysis as of October 31, 2015, assuming average outstanding borrowing during the first nine months of fiscal 2015 of $40.7 million under our Credit Facility and $14.0 million outstanding under our term loan, a 50 basis point increase in interest rates would have resulted in a potential increase in interest expense of approximately $274,000 on an annualized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any assets to U.S. dollars may decline. As of October 31, 2015,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31, 2015.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31, 2015, our disclosure controls and procedures were effective.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4"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October 31,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left="260" w:right="160"/>
        <w:spacing w:after="0" w:line="270" w:lineRule="auto"/>
        <w:rPr>
          <w:sz w:val="20"/>
          <w:szCs w:val="20"/>
          <w:color w:val="auto"/>
        </w:rPr>
      </w:pPr>
      <w:r>
        <w:rPr>
          <w:rFonts w:ascii="Arial" w:cs="Arial" w:eastAsia="Arial" w:hAnsi="Arial"/>
          <w:sz w:val="18"/>
          <w:szCs w:val="18"/>
          <w:color w:val="auto"/>
        </w:rPr>
        <w:t>There have been no material changes to the risk factors as previously disclosed in Part I, Item 1A of our Annual Report on Form 10-K for the year ended January 31, 2015, as filed with the Securities and Exchange Commission on March 25, 2015.</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ind w:left="260"/>
        <w:spacing w:after="0" w:line="297" w:lineRule="auto"/>
        <w:rPr>
          <w:sz w:val="20"/>
          <w:szCs w:val="20"/>
          <w:color w:val="auto"/>
        </w:rPr>
      </w:pPr>
      <w:r>
        <w:rPr>
          <w:rFonts w:ascii="Arial" w:cs="Arial" w:eastAsia="Arial" w:hAnsi="Arial"/>
          <w:sz w:val="16"/>
          <w:szCs w:val="16"/>
          <w:color w:val="auto"/>
        </w:rPr>
        <w:t>On September 2, 2015, the Company entered into a new employment agreement with Kenneth M. Ederle, effective April 10, 2015 (the “Employment Agreement”) which replaced Mr. Ederle’s previous employment agreement dated as of January 1, 2013. The Employment Agreement reflects Mr. Ederle’s current salary and title, which was expanded to include Planning and Allocation as disclosed in the Company’s definitive proxy statement filed on July 2, 2015. The remaining terms of his Employment Agreement are substantially unchanged from Mr. Ederle’s previous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with Kenneth M. Ederle dated September 2, 2015</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27" w:lineRule="exact"/>
        <w:rPr>
          <w:sz w:val="20"/>
          <w:szCs w:val="20"/>
          <w:color w:val="auto"/>
        </w:rPr>
      </w:pPr>
    </w:p>
    <w:p>
      <w:pPr>
        <w:ind w:left="560" w:right="40" w:hanging="553"/>
        <w:spacing w:after="0" w:line="255"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October 31, 2015,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SIGNATURES</w:t>
      </w:r>
    </w:p>
    <w:p>
      <w:pPr>
        <w:spacing w:after="0" w:line="221" w:lineRule="exact"/>
        <w:rPr>
          <w:sz w:val="20"/>
          <w:szCs w:val="20"/>
          <w:color w:val="auto"/>
        </w:rPr>
      </w:pPr>
    </w:p>
    <w:p>
      <w:pPr>
        <w:ind w:firstLine="259"/>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19"/>
                <w:szCs w:val="19"/>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DESTINATION XL GROUP, INC.</w:t>
            </w:r>
          </w:p>
        </w:tc>
      </w:tr>
      <w:tr>
        <w:trPr>
          <w:trHeight w:val="455"/>
        </w:trPr>
        <w:tc>
          <w:tcPr>
            <w:tcW w:w="4180" w:type="dxa"/>
            <w:vAlign w:val="bottom"/>
          </w:tcPr>
          <w:p>
            <w:pPr>
              <w:spacing w:after="0"/>
              <w:rPr>
                <w:sz w:val="20"/>
                <w:szCs w:val="20"/>
                <w:color w:val="auto"/>
              </w:rPr>
            </w:pPr>
            <w:r>
              <w:rPr>
                <w:rFonts w:ascii="Arial" w:cs="Arial" w:eastAsia="Arial" w:hAnsi="Arial"/>
                <w:sz w:val="18"/>
                <w:szCs w:val="18"/>
                <w:color w:val="auto"/>
              </w:rPr>
              <w:t>Date: November 20, 2015</w:t>
            </w: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By:  /S/ John F. Cooney</w:t>
            </w:r>
          </w:p>
        </w:tc>
      </w:tr>
      <w:tr>
        <w:trPr>
          <w:trHeight w:val="194"/>
        </w:trPr>
        <w:tc>
          <w:tcPr>
            <w:tcW w:w="4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John F. Cooney</w:t>
            </w:r>
          </w:p>
        </w:tc>
      </w:tr>
      <w:tr>
        <w:trPr>
          <w:trHeight w:val="214"/>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4"/>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27"/>
        </w:trPr>
        <w:tc>
          <w:tcPr>
            <w:tcW w:w="41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10.1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EMPLOYMENT AGREEMENT</w:t>
      </w:r>
    </w:p>
    <w:p>
      <w:pPr>
        <w:spacing w:after="0" w:line="200" w:lineRule="exact"/>
        <w:rPr>
          <w:sz w:val="20"/>
          <w:szCs w:val="20"/>
          <w:color w:val="auto"/>
        </w:rPr>
      </w:pPr>
    </w:p>
    <w:p>
      <w:pPr>
        <w:spacing w:after="0" w:line="262"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This Employment Agreement ("Agreement") is made effective as of April 10, 2015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Kenneth M. Ederle (the “Executive”) having an address at 28 Cole Avenue, Providence, RI 02906.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240" w:lineRule="exact"/>
        <w:rPr>
          <w:sz w:val="20"/>
          <w:szCs w:val="20"/>
          <w:color w:val="auto"/>
        </w:rPr>
      </w:pPr>
    </w:p>
    <w:p>
      <w:pPr>
        <w:ind w:right="800" w:firstLine="527"/>
        <w:spacing w:after="0" w:line="269" w:lineRule="auto"/>
        <w:rPr>
          <w:sz w:val="20"/>
          <w:szCs w:val="20"/>
          <w:color w:val="auto"/>
        </w:rPr>
      </w:pPr>
      <w:r>
        <w:rPr>
          <w:rFonts w:ascii="Arial" w:cs="Arial" w:eastAsia="Arial" w:hAnsi="Arial"/>
          <w:sz w:val="21"/>
          <w:szCs w:val="21"/>
          <w:color w:val="auto"/>
        </w:rPr>
        <w:t>WHEREAS, the Company desires that Executive work for the Company and Executive desires to be employed by the Company.</w:t>
      </w:r>
    </w:p>
    <w:p>
      <w:pPr>
        <w:spacing w:after="0" w:line="180" w:lineRule="exact"/>
        <w:rPr>
          <w:sz w:val="20"/>
          <w:szCs w:val="20"/>
          <w:color w:val="auto"/>
        </w:rPr>
      </w:pPr>
    </w:p>
    <w:p>
      <w:pPr>
        <w:ind w:right="40" w:firstLine="527"/>
        <w:spacing w:after="0" w:line="269" w:lineRule="auto"/>
        <w:rPr>
          <w:sz w:val="20"/>
          <w:szCs w:val="20"/>
          <w:color w:val="auto"/>
        </w:rPr>
      </w:pPr>
      <w:r>
        <w:rPr>
          <w:rFonts w:ascii="Arial" w:cs="Arial" w:eastAsia="Arial" w:hAnsi="Arial"/>
          <w:sz w:val="21"/>
          <w:szCs w:val="21"/>
          <w:color w:val="auto"/>
        </w:rPr>
        <w:t>WHEREAS, Executive and the Company desire to set forth in writing the terms and conditions of the Executive's employment with the Company from the date hereof.</w:t>
      </w:r>
    </w:p>
    <w:p>
      <w:pPr>
        <w:spacing w:after="0" w:line="180" w:lineRule="exact"/>
        <w:rPr>
          <w:sz w:val="20"/>
          <w:szCs w:val="20"/>
          <w:color w:val="auto"/>
        </w:rPr>
      </w:pPr>
    </w:p>
    <w:p>
      <w:pPr>
        <w:ind w:right="800" w:firstLine="512"/>
        <w:spacing w:after="0" w:line="269" w:lineRule="auto"/>
        <w:rPr>
          <w:sz w:val="20"/>
          <w:szCs w:val="20"/>
          <w:color w:val="auto"/>
        </w:rPr>
      </w:pPr>
      <w:r>
        <w:rPr>
          <w:rFonts w:ascii="Arial" w:cs="Arial" w:eastAsia="Arial" w:hAnsi="Arial"/>
          <w:sz w:val="21"/>
          <w:szCs w:val="21"/>
          <w:color w:val="auto"/>
        </w:rPr>
        <w:t>NOW, THEREFORE, in consideration of the promises and the mutual promises, representations and covenants herein contained, the parties hereto agree as follows:</w:t>
      </w:r>
    </w:p>
    <w:p>
      <w:pPr>
        <w:spacing w:after="0" w:line="180" w:lineRule="exact"/>
        <w:rPr>
          <w:sz w:val="20"/>
          <w:szCs w:val="20"/>
          <w:color w:val="auto"/>
        </w:rPr>
      </w:pPr>
    </w:p>
    <w:p>
      <w:pPr>
        <w:ind w:left="1440" w:hanging="591"/>
        <w:spacing w:after="0"/>
        <w:tabs>
          <w:tab w:leader="none" w:pos="1440"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EMPLOYMENT</w:t>
      </w:r>
    </w:p>
    <w:p>
      <w:pPr>
        <w:spacing w:after="0" w:line="240" w:lineRule="exact"/>
        <w:rPr>
          <w:sz w:val="20"/>
          <w:szCs w:val="20"/>
          <w:color w:val="auto"/>
        </w:rPr>
      </w:pPr>
    </w:p>
    <w:p>
      <w:pPr>
        <w:ind w:right="100" w:firstLine="987"/>
        <w:spacing w:after="0" w:line="273" w:lineRule="auto"/>
        <w:rPr>
          <w:sz w:val="20"/>
          <w:szCs w:val="20"/>
          <w:color w:val="auto"/>
        </w:rPr>
      </w:pPr>
      <w:r>
        <w:rPr>
          <w:rFonts w:ascii="Arial" w:cs="Arial" w:eastAsia="Arial" w:hAnsi="Arial"/>
          <w:sz w:val="20"/>
          <w:szCs w:val="20"/>
          <w:color w:val="auto"/>
        </w:rPr>
        <w:t>The Company hereby employs Executive and Executive hereby accepts such employment, subject to the terms and conditions herein set forth. Executive held the title Senior Vice President and Chief Merchandising Officer as of April 22, 2013 and was promoted to Senior Vice President and Chief Merchandising Officer – Planning and Allocation as of the Effective Date.</w:t>
      </w:r>
    </w:p>
    <w:p>
      <w:pPr>
        <w:spacing w:after="0" w:line="178" w:lineRule="exact"/>
        <w:rPr>
          <w:sz w:val="20"/>
          <w:szCs w:val="20"/>
          <w:color w:val="auto"/>
        </w:rPr>
      </w:pPr>
    </w:p>
    <w:p>
      <w:pPr>
        <w:ind w:left="2100" w:hanging="1452"/>
        <w:spacing w:after="0"/>
        <w:tabs>
          <w:tab w:leader="none" w:pos="210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TERM</w:t>
      </w:r>
    </w:p>
    <w:p>
      <w:pPr>
        <w:spacing w:after="0" w:line="240" w:lineRule="exact"/>
        <w:rPr>
          <w:sz w:val="20"/>
          <w:szCs w:val="20"/>
          <w:color w:val="auto"/>
        </w:rPr>
      </w:pPr>
    </w:p>
    <w:p>
      <w:pPr>
        <w:ind w:right="180" w:firstLine="987"/>
        <w:spacing w:after="0" w:line="269" w:lineRule="auto"/>
        <w:rPr>
          <w:sz w:val="20"/>
          <w:szCs w:val="20"/>
          <w:color w:val="auto"/>
        </w:rPr>
      </w:pPr>
      <w:r>
        <w:rPr>
          <w:rFonts w:ascii="Arial" w:cs="Arial" w:eastAsia="Arial" w:hAnsi="Arial"/>
          <w:sz w:val="21"/>
          <w:szCs w:val="21"/>
          <w:color w:val="auto"/>
        </w:rPr>
        <w:t>The term of employment under this Agreement (the “Term of Employment”) shall begin on the Effective Date and shall continue until terminated by either party as hereinafter set forth.</w:t>
      </w:r>
    </w:p>
    <w:p>
      <w:pPr>
        <w:spacing w:after="0" w:line="180" w:lineRule="exact"/>
        <w:rPr>
          <w:sz w:val="20"/>
          <w:szCs w:val="20"/>
          <w:color w:val="auto"/>
        </w:rPr>
      </w:pPr>
    </w:p>
    <w:p>
      <w:pPr>
        <w:ind w:left="1300" w:hanging="652"/>
        <w:spacing w:after="0"/>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COMPENSATION</w:t>
      </w:r>
    </w:p>
    <w:p>
      <w:pPr>
        <w:spacing w:after="0" w:line="239" w:lineRule="exact"/>
        <w:rPr>
          <w:rFonts w:ascii="Arial" w:cs="Arial" w:eastAsia="Arial" w:hAnsi="Arial"/>
          <w:sz w:val="21"/>
          <w:szCs w:val="21"/>
          <w:color w:val="auto"/>
        </w:rPr>
      </w:pPr>
    </w:p>
    <w:p>
      <w:pPr>
        <w:ind w:right="40" w:firstLine="1045"/>
        <w:spacing w:after="0" w:line="245" w:lineRule="auto"/>
        <w:tabs>
          <w:tab w:leader="none" w:pos="1917" w:val="left"/>
        </w:tabs>
        <w:numPr>
          <w:ilvl w:val="2"/>
          <w:numId w:val="15"/>
        </w:numPr>
        <w:rPr>
          <w:rFonts w:ascii="Arial" w:cs="Arial" w:eastAsia="Arial" w:hAnsi="Arial"/>
          <w:sz w:val="21"/>
          <w:szCs w:val="21"/>
          <w:color w:val="auto"/>
        </w:rPr>
      </w:pPr>
      <w:r>
        <w:rPr>
          <w:rFonts w:ascii="Arial" w:cs="Arial" w:eastAsia="Arial" w:hAnsi="Arial"/>
          <w:sz w:val="21"/>
          <w:szCs w:val="21"/>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Ninety Thousand Dollars and 00/100 Cents ($390,000.00)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204" w:lineRule="exact"/>
        <w:rPr>
          <w:rFonts w:ascii="Arial" w:cs="Arial" w:eastAsia="Arial" w:hAnsi="Arial"/>
          <w:sz w:val="21"/>
          <w:szCs w:val="21"/>
          <w:color w:val="auto"/>
        </w:rPr>
      </w:pPr>
    </w:p>
    <w:p>
      <w:pPr>
        <w:jc w:val="both"/>
        <w:ind w:firstLine="949"/>
        <w:spacing w:after="0" w:line="254" w:lineRule="auto"/>
        <w:tabs>
          <w:tab w:leader="none" w:pos="1252" w:val="left"/>
        </w:tabs>
        <w:numPr>
          <w:ilvl w:val="1"/>
          <w:numId w:val="15"/>
        </w:numPr>
        <w:rPr>
          <w:rFonts w:ascii="Arial" w:cs="Arial" w:eastAsia="Arial" w:hAnsi="Arial"/>
          <w:sz w:val="21"/>
          <w:szCs w:val="21"/>
          <w:color w:val="auto"/>
        </w:rPr>
      </w:pPr>
      <w:r>
        <w:rPr>
          <w:rFonts w:ascii="Arial" w:cs="Arial" w:eastAsia="Arial" w:hAnsi="Arial"/>
          <w:sz w:val="21"/>
          <w:szCs w:val="21"/>
          <w:color w:val="auto"/>
        </w:rPr>
        <w:t>In addition to the Base Salary, during the Term of Employment, Executive is eligible to participate in the Company’s Annual Incentive Plan. Such incentive shall be determined and payable in accordance with the Company's incentive program in effect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311785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both"/>
        <w:spacing w:after="0" w:line="245" w:lineRule="auto"/>
        <w:rPr>
          <w:sz w:val="20"/>
          <w:szCs w:val="20"/>
          <w:color w:val="auto"/>
        </w:rPr>
      </w:pPr>
      <w:r>
        <w:rPr>
          <w:rFonts w:ascii="Arial" w:cs="Arial" w:eastAsia="Arial" w:hAnsi="Arial"/>
          <w:sz w:val="21"/>
          <w:szCs w:val="21"/>
          <w:color w:val="auto"/>
        </w:rPr>
        <w:t>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05" w:lineRule="exact"/>
        <w:rPr>
          <w:sz w:val="20"/>
          <w:szCs w:val="20"/>
          <w:color w:val="auto"/>
        </w:rPr>
      </w:pPr>
    </w:p>
    <w:p>
      <w:pPr>
        <w:jc w:val="both"/>
        <w:ind w:firstLine="1058"/>
        <w:spacing w:after="0" w:line="245" w:lineRule="auto"/>
        <w:tabs>
          <w:tab w:leader="none" w:pos="1930" w:val="left"/>
        </w:tabs>
        <w:numPr>
          <w:ilvl w:val="1"/>
          <w:numId w:val="16"/>
        </w:numPr>
        <w:rPr>
          <w:rFonts w:ascii="Arial" w:cs="Arial" w:eastAsia="Arial" w:hAnsi="Arial"/>
          <w:sz w:val="21"/>
          <w:szCs w:val="21"/>
          <w:color w:val="auto"/>
        </w:rPr>
      </w:pPr>
      <w:r>
        <w:rPr>
          <w:rFonts w:ascii="Arial" w:cs="Arial" w:eastAsia="Arial" w:hAnsi="Arial"/>
          <w:sz w:val="21"/>
          <w:szCs w:val="21"/>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04" w:lineRule="exact"/>
        <w:rPr>
          <w:rFonts w:ascii="Arial" w:cs="Arial" w:eastAsia="Arial" w:hAnsi="Arial"/>
          <w:sz w:val="21"/>
          <w:szCs w:val="21"/>
          <w:color w:val="auto"/>
        </w:rPr>
      </w:pPr>
    </w:p>
    <w:p>
      <w:pPr>
        <w:ind w:left="1840" w:hanging="795"/>
        <w:spacing w:after="0"/>
        <w:tabs>
          <w:tab w:leader="none" w:pos="184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EXPENSES</w:t>
      </w:r>
    </w:p>
    <w:p>
      <w:pPr>
        <w:spacing w:after="0" w:line="240" w:lineRule="exact"/>
        <w:rPr>
          <w:sz w:val="20"/>
          <w:szCs w:val="20"/>
          <w:color w:val="auto"/>
        </w:rPr>
      </w:pPr>
    </w:p>
    <w:p>
      <w:pPr>
        <w:jc w:val="both"/>
        <w:ind w:firstLine="1049"/>
        <w:spacing w:after="0" w:line="262" w:lineRule="auto"/>
        <w:rPr>
          <w:sz w:val="20"/>
          <w:szCs w:val="20"/>
          <w:color w:val="auto"/>
        </w:rPr>
      </w:pPr>
      <w:r>
        <w:rPr>
          <w:rFonts w:ascii="Arial" w:cs="Arial" w:eastAsia="Arial" w:hAnsi="Arial"/>
          <w:sz w:val="20"/>
          <w:szCs w:val="20"/>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w:t>
      </w:r>
      <w:r>
        <w:rPr>
          <w:rFonts w:ascii="Arial" w:cs="Arial" w:eastAsia="Arial" w:hAnsi="Arial"/>
          <w:sz w:val="21"/>
          <w:szCs w:val="21"/>
          <w:u w:val="single" w:color="auto"/>
          <w:color w:val="auto"/>
        </w:rPr>
        <w:t>OTHER BENEFITS</w:t>
      </w:r>
    </w:p>
    <w:p>
      <w:pPr>
        <w:spacing w:after="0" w:line="240" w:lineRule="exact"/>
        <w:rPr>
          <w:sz w:val="20"/>
          <w:szCs w:val="20"/>
          <w:color w:val="auto"/>
        </w:rPr>
      </w:pPr>
    </w:p>
    <w:p>
      <w:pPr>
        <w:jc w:val="both"/>
        <w:ind w:firstLine="1060"/>
        <w:spacing w:after="0" w:line="246" w:lineRule="auto"/>
        <w:tabs>
          <w:tab w:leader="none" w:pos="2057" w:val="left"/>
        </w:tabs>
        <w:numPr>
          <w:ilvl w:val="0"/>
          <w:numId w:val="18"/>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05" w:lineRule="exact"/>
        <w:rPr>
          <w:rFonts w:ascii="Arial" w:cs="Arial" w:eastAsia="Arial" w:hAnsi="Arial"/>
          <w:sz w:val="21"/>
          <w:szCs w:val="21"/>
          <w:color w:val="auto"/>
        </w:rPr>
      </w:pPr>
    </w:p>
    <w:p>
      <w:pPr>
        <w:jc w:val="both"/>
        <w:ind w:firstLine="1060"/>
        <w:spacing w:after="0" w:line="246" w:lineRule="auto"/>
        <w:tabs>
          <w:tab w:leader="none" w:pos="1944"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1" w:name="page32"/>
    <w:bookmarkEnd w:id="31"/>
    <w:p>
      <w:pPr>
        <w:ind w:left="2080" w:hanging="1020"/>
        <w:spacing w:after="0"/>
        <w:tabs>
          <w:tab w:leader="none" w:pos="2080" w:val="left"/>
        </w:tabs>
        <w:numPr>
          <w:ilvl w:val="3"/>
          <w:numId w:val="19"/>
        </w:numPr>
        <w:rPr>
          <w:rFonts w:ascii="Arial" w:cs="Arial" w:eastAsia="Arial" w:hAnsi="Arial"/>
          <w:sz w:val="21"/>
          <w:szCs w:val="21"/>
          <w:color w:val="auto"/>
        </w:rPr>
      </w:pPr>
      <w:r>
        <w:rPr>
          <w:rFonts w:ascii="Arial" w:cs="Arial" w:eastAsia="Arial" w:hAnsi="Arial"/>
          <w:sz w:val="21"/>
          <w:szCs w:val="21"/>
          <w:color w:val="auto"/>
        </w:rPr>
        <w:t>Executive will be eligible to participate in the Company’s annual performance appraisal process.</w:t>
      </w:r>
    </w:p>
    <w:p>
      <w:pPr>
        <w:spacing w:after="0" w:line="200" w:lineRule="exact"/>
        <w:rPr>
          <w:rFonts w:ascii="Arial" w:cs="Arial" w:eastAsia="Arial" w:hAnsi="Arial"/>
          <w:sz w:val="21"/>
          <w:szCs w:val="21"/>
          <w:color w:val="auto"/>
        </w:rPr>
      </w:pPr>
    </w:p>
    <w:p>
      <w:pPr>
        <w:spacing w:after="0" w:line="280" w:lineRule="exact"/>
        <w:rPr>
          <w:rFonts w:ascii="Arial" w:cs="Arial" w:eastAsia="Arial" w:hAnsi="Arial"/>
          <w:sz w:val="21"/>
          <w:szCs w:val="21"/>
          <w:color w:val="auto"/>
        </w:rPr>
      </w:pPr>
    </w:p>
    <w:p>
      <w:pPr>
        <w:ind w:left="1740" w:hanging="864"/>
        <w:spacing w:after="0"/>
        <w:tabs>
          <w:tab w:leader="none" w:pos="174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DUTIES</w:t>
      </w:r>
    </w:p>
    <w:p>
      <w:pPr>
        <w:spacing w:after="0" w:line="239" w:lineRule="exact"/>
        <w:rPr>
          <w:rFonts w:ascii="Arial" w:cs="Arial" w:eastAsia="Arial" w:hAnsi="Arial"/>
          <w:sz w:val="21"/>
          <w:szCs w:val="21"/>
          <w:color w:val="auto"/>
        </w:rPr>
      </w:pPr>
    </w:p>
    <w:p>
      <w:pPr>
        <w:jc w:val="both"/>
        <w:ind w:firstLine="885"/>
        <w:spacing w:after="0" w:line="254" w:lineRule="auto"/>
        <w:tabs>
          <w:tab w:leader="none" w:pos="1756" w:val="left"/>
        </w:tabs>
        <w:numPr>
          <w:ilvl w:val="1"/>
          <w:numId w:val="20"/>
        </w:numPr>
        <w:rPr>
          <w:rFonts w:ascii="Arial" w:cs="Arial" w:eastAsia="Arial" w:hAnsi="Arial"/>
          <w:sz w:val="21"/>
          <w:szCs w:val="21"/>
          <w:color w:val="auto"/>
        </w:rPr>
      </w:pPr>
      <w:r>
        <w:rPr>
          <w:rFonts w:ascii="Arial" w:cs="Arial" w:eastAsia="Arial" w:hAnsi="Arial"/>
          <w:sz w:val="21"/>
          <w:szCs w:val="21"/>
          <w:color w:val="auto"/>
        </w:rPr>
        <w:t>Executive shall perform such duties and functions consistent with the position of Senior Vice President and Chief Merchandising Officer – Planning and Allocation and/or as the Company shall from time to time determine and Executive shall comply in the performance of his duties with the policies of, and be subject to the direction of the Company.</w:t>
      </w:r>
    </w:p>
    <w:p>
      <w:pPr>
        <w:spacing w:after="0" w:line="195" w:lineRule="exact"/>
        <w:rPr>
          <w:rFonts w:ascii="Arial" w:cs="Arial" w:eastAsia="Arial" w:hAnsi="Arial"/>
          <w:sz w:val="21"/>
          <w:szCs w:val="21"/>
          <w:color w:val="auto"/>
        </w:rPr>
      </w:pPr>
    </w:p>
    <w:p>
      <w:pPr>
        <w:jc w:val="both"/>
        <w:ind w:firstLine="885"/>
        <w:spacing w:after="0" w:line="262" w:lineRule="auto"/>
        <w:tabs>
          <w:tab w:leader="none" w:pos="1626" w:val="left"/>
        </w:tabs>
        <w:numPr>
          <w:ilvl w:val="1"/>
          <w:numId w:val="20"/>
        </w:numPr>
        <w:rPr>
          <w:rFonts w:ascii="Arial" w:cs="Arial" w:eastAsia="Arial" w:hAnsi="Arial"/>
          <w:sz w:val="20"/>
          <w:szCs w:val="20"/>
          <w:color w:val="auto"/>
        </w:rPr>
      </w:pPr>
      <w:r>
        <w:rPr>
          <w:rFonts w:ascii="Arial" w:cs="Arial" w:eastAsia="Arial" w:hAnsi="Arial"/>
          <w:sz w:val="20"/>
          <w:szCs w:val="20"/>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88" w:lineRule="exact"/>
        <w:rPr>
          <w:rFonts w:ascii="Arial" w:cs="Arial" w:eastAsia="Arial" w:hAnsi="Arial"/>
          <w:sz w:val="20"/>
          <w:szCs w:val="20"/>
          <w:color w:val="auto"/>
        </w:rPr>
      </w:pPr>
    </w:p>
    <w:p>
      <w:pPr>
        <w:ind w:right="200" w:firstLine="885"/>
        <w:spacing w:after="0" w:line="265" w:lineRule="auto"/>
        <w:tabs>
          <w:tab w:leader="none" w:pos="181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87" w:lineRule="exact"/>
        <w:rPr>
          <w:rFonts w:ascii="Arial" w:cs="Arial" w:eastAsia="Arial" w:hAnsi="Arial"/>
          <w:sz w:val="20"/>
          <w:szCs w:val="20"/>
          <w:color w:val="auto"/>
        </w:rPr>
      </w:pPr>
    </w:p>
    <w:p>
      <w:pPr>
        <w:ind w:left="1040" w:hanging="164"/>
        <w:spacing w:after="0"/>
        <w:tabs>
          <w:tab w:leader="none" w:pos="104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EFFECT OF TERMINATION</w:t>
      </w:r>
    </w:p>
    <w:p>
      <w:pPr>
        <w:spacing w:after="0" w:line="262" w:lineRule="exact"/>
        <w:rPr>
          <w:rFonts w:ascii="Arial" w:cs="Arial" w:eastAsia="Arial" w:hAnsi="Arial"/>
          <w:sz w:val="19"/>
          <w:szCs w:val="19"/>
          <w:color w:val="auto"/>
        </w:rPr>
      </w:pPr>
    </w:p>
    <w:p>
      <w:pPr>
        <w:ind w:left="1580" w:hanging="531"/>
        <w:spacing w:after="0"/>
        <w:tabs>
          <w:tab w:leader="none" w:pos="1580" w:val="left"/>
        </w:tabs>
        <w:numPr>
          <w:ilvl w:val="2"/>
          <w:numId w:val="20"/>
        </w:numPr>
        <w:rPr>
          <w:rFonts w:ascii="Arial" w:cs="Arial" w:eastAsia="Arial" w:hAnsi="Arial"/>
          <w:sz w:val="21"/>
          <w:szCs w:val="21"/>
          <w:color w:val="auto"/>
        </w:rPr>
      </w:pPr>
      <w:r>
        <w:rPr>
          <w:rFonts w:ascii="Arial" w:cs="Arial" w:eastAsia="Arial" w:hAnsi="Arial"/>
          <w:sz w:val="21"/>
          <w:szCs w:val="21"/>
          <w:color w:val="auto"/>
        </w:rPr>
        <w:t>The Term of Employment may be terminated by the Company at any time:</w:t>
      </w:r>
    </w:p>
    <w:p>
      <w:pPr>
        <w:spacing w:after="0" w:line="239" w:lineRule="exact"/>
        <w:rPr>
          <w:rFonts w:ascii="Arial" w:cs="Arial" w:eastAsia="Arial" w:hAnsi="Arial"/>
          <w:sz w:val="21"/>
          <w:szCs w:val="21"/>
          <w:color w:val="auto"/>
        </w:rPr>
      </w:pPr>
    </w:p>
    <w:p>
      <w:pPr>
        <w:jc w:val="both"/>
        <w:ind w:firstLine="1588"/>
        <w:spacing w:after="0" w:line="249" w:lineRule="auto"/>
        <w:tabs>
          <w:tab w:leader="none" w:pos="2923" w:val="left"/>
        </w:tabs>
        <w:numPr>
          <w:ilvl w:val="4"/>
          <w:numId w:val="20"/>
        </w:numPr>
        <w:rPr>
          <w:rFonts w:ascii="Arial" w:cs="Arial" w:eastAsia="Arial" w:hAnsi="Arial"/>
          <w:sz w:val="21"/>
          <w:szCs w:val="21"/>
          <w:color w:val="auto"/>
        </w:rPr>
      </w:pPr>
      <w:r>
        <w:rPr>
          <w:rFonts w:ascii="Arial" w:cs="Arial" w:eastAsia="Arial" w:hAnsi="Arial"/>
          <w:sz w:val="21"/>
          <w:szCs w:val="21"/>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00" w:lineRule="exact"/>
        <w:rPr>
          <w:rFonts w:ascii="Arial" w:cs="Arial" w:eastAsia="Arial" w:hAnsi="Arial"/>
          <w:sz w:val="21"/>
          <w:szCs w:val="21"/>
          <w:color w:val="auto"/>
        </w:rPr>
      </w:pPr>
    </w:p>
    <w:p>
      <w:pPr>
        <w:ind w:left="2980" w:hanging="1392"/>
        <w:spacing w:after="0"/>
        <w:tabs>
          <w:tab w:leader="none" w:pos="2980" w:val="left"/>
        </w:tabs>
        <w:numPr>
          <w:ilvl w:val="4"/>
          <w:numId w:val="20"/>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such termination.</w:t>
      </w:r>
    </w:p>
    <w:p>
      <w:pPr>
        <w:spacing w:after="0" w:line="221" w:lineRule="exact"/>
        <w:rPr>
          <w:rFonts w:ascii="Arial" w:cs="Arial" w:eastAsia="Arial" w:hAnsi="Arial"/>
          <w:sz w:val="19"/>
          <w:szCs w:val="19"/>
          <w:color w:val="auto"/>
        </w:rPr>
      </w:pPr>
    </w:p>
    <w:p>
      <w:pPr>
        <w:ind w:left="1580" w:hanging="531"/>
        <w:spacing w:after="0"/>
        <w:tabs>
          <w:tab w:leader="none" w:pos="1580" w:val="left"/>
        </w:tabs>
        <w:numPr>
          <w:ilvl w:val="2"/>
          <w:numId w:val="20"/>
        </w:numPr>
        <w:rPr>
          <w:rFonts w:ascii="Arial" w:cs="Arial" w:eastAsia="Arial" w:hAnsi="Arial"/>
          <w:sz w:val="21"/>
          <w:szCs w:val="21"/>
          <w:color w:val="auto"/>
        </w:rPr>
      </w:pPr>
      <w:r>
        <w:rPr>
          <w:rFonts w:ascii="Arial" w:cs="Arial" w:eastAsia="Arial" w:hAnsi="Arial"/>
          <w:sz w:val="21"/>
          <w:szCs w:val="21"/>
          <w:color w:val="auto"/>
        </w:rPr>
        <w:t>The Term of Employment shall terminate upon:</w:t>
      </w:r>
    </w:p>
    <w:p>
      <w:pPr>
        <w:spacing w:after="0" w:line="239" w:lineRule="exact"/>
        <w:rPr>
          <w:rFonts w:ascii="Arial" w:cs="Arial" w:eastAsia="Arial" w:hAnsi="Arial"/>
          <w:sz w:val="21"/>
          <w:szCs w:val="21"/>
          <w:color w:val="auto"/>
        </w:rPr>
      </w:pPr>
    </w:p>
    <w:p>
      <w:pPr>
        <w:ind w:left="2100" w:hanging="516"/>
        <w:spacing w:after="0"/>
        <w:tabs>
          <w:tab w:leader="none" w:pos="2100" w:val="left"/>
        </w:tabs>
        <w:numPr>
          <w:ilvl w:val="4"/>
          <w:numId w:val="20"/>
        </w:numPr>
        <w:rPr>
          <w:rFonts w:ascii="Arial" w:cs="Arial" w:eastAsia="Arial" w:hAnsi="Arial"/>
          <w:sz w:val="21"/>
          <w:szCs w:val="21"/>
          <w:color w:val="auto"/>
        </w:rPr>
      </w:pPr>
      <w:r>
        <w:rPr>
          <w:rFonts w:ascii="Arial" w:cs="Arial" w:eastAsia="Arial" w:hAnsi="Arial"/>
          <w:sz w:val="21"/>
          <w:szCs w:val="21"/>
          <w:color w:val="auto"/>
        </w:rPr>
        <w:t>the death of Executive;</w:t>
      </w:r>
    </w:p>
    <w:p>
      <w:pPr>
        <w:spacing w:after="0" w:line="239" w:lineRule="exact"/>
        <w:rPr>
          <w:rFonts w:ascii="Arial" w:cs="Arial" w:eastAsia="Arial" w:hAnsi="Arial"/>
          <w:sz w:val="21"/>
          <w:szCs w:val="21"/>
          <w:color w:val="auto"/>
        </w:rPr>
      </w:pPr>
    </w:p>
    <w:p>
      <w:pPr>
        <w:ind w:left="2100" w:right="40" w:hanging="516"/>
        <w:spacing w:after="0" w:line="295" w:lineRule="auto"/>
        <w:tabs>
          <w:tab w:leader="none" w:pos="2100" w:val="left"/>
        </w:tabs>
        <w:numPr>
          <w:ilvl w:val="4"/>
          <w:numId w:val="20"/>
        </w:numPr>
        <w:rPr>
          <w:rFonts w:ascii="Arial" w:cs="Arial" w:eastAsia="Arial" w:hAnsi="Arial"/>
          <w:sz w:val="20"/>
          <w:szCs w:val="20"/>
          <w:color w:val="auto"/>
        </w:rPr>
      </w:pPr>
      <w:r>
        <w:rPr>
          <w:rFonts w:ascii="Arial" w:cs="Arial" w:eastAsia="Arial" w:hAnsi="Arial"/>
          <w:sz w:val="20"/>
          <w:szCs w:val="20"/>
          <w:color w:val="auto"/>
        </w:rPr>
        <w:t>the date on which the Company elects to terminate the Term of Employment by reason of the "disability" of Executive (as hereinafter defined in subsection (c) herein) pursuant to subsection (g) hereof;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2" w:name="page33"/>
    <w:bookmarkEnd w:id="32"/>
    <w:p>
      <w:pPr>
        <w:ind w:left="2100" w:hanging="516"/>
        <w:spacing w:after="0"/>
        <w:tabs>
          <w:tab w:leader="none" w:pos="2100" w:val="left"/>
        </w:tabs>
        <w:numPr>
          <w:ilvl w:val="3"/>
          <w:numId w:val="21"/>
        </w:numPr>
        <w:rPr>
          <w:rFonts w:ascii="Arial" w:cs="Arial" w:eastAsia="Arial" w:hAnsi="Arial"/>
          <w:sz w:val="21"/>
          <w:szCs w:val="21"/>
          <w:color w:val="auto"/>
        </w:rPr>
      </w:pPr>
      <w:r>
        <w:rPr>
          <w:rFonts w:ascii="Arial" w:cs="Arial" w:eastAsia="Arial" w:hAnsi="Arial"/>
          <w:sz w:val="21"/>
          <w:szCs w:val="21"/>
          <w:color w:val="auto"/>
        </w:rPr>
        <w:t>Executive’s resignation of employment.</w:t>
      </w:r>
    </w:p>
    <w:p>
      <w:pPr>
        <w:spacing w:after="0" w:line="239" w:lineRule="exact"/>
        <w:rPr>
          <w:rFonts w:ascii="Arial" w:cs="Arial" w:eastAsia="Arial" w:hAnsi="Arial"/>
          <w:sz w:val="21"/>
          <w:szCs w:val="21"/>
          <w:color w:val="auto"/>
        </w:rPr>
      </w:pPr>
    </w:p>
    <w:p>
      <w:pPr>
        <w:jc w:val="both"/>
        <w:ind w:firstLine="1105"/>
        <w:spacing w:after="0" w:line="254" w:lineRule="auto"/>
        <w:tabs>
          <w:tab w:leader="none" w:pos="1977" w:val="left"/>
        </w:tabs>
        <w:numPr>
          <w:ilvl w:val="2"/>
          <w:numId w:val="22"/>
        </w:numPr>
        <w:rPr>
          <w:rFonts w:ascii="Arial" w:cs="Arial" w:eastAsia="Arial" w:hAnsi="Arial"/>
          <w:sz w:val="21"/>
          <w:szCs w:val="21"/>
          <w:color w:val="auto"/>
        </w:rPr>
      </w:pPr>
      <w:r>
        <w:rPr>
          <w:rFonts w:ascii="Arial" w:cs="Arial" w:eastAsia="Arial" w:hAnsi="Arial"/>
          <w:sz w:val="21"/>
          <w:szCs w:val="21"/>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95" w:lineRule="exact"/>
        <w:rPr>
          <w:rFonts w:ascii="Arial" w:cs="Arial" w:eastAsia="Arial" w:hAnsi="Arial"/>
          <w:sz w:val="21"/>
          <w:szCs w:val="21"/>
          <w:color w:val="auto"/>
        </w:rPr>
      </w:pPr>
    </w:p>
    <w:p>
      <w:pPr>
        <w:jc w:val="both"/>
        <w:ind w:firstLine="1060"/>
        <w:spacing w:after="0" w:line="269" w:lineRule="auto"/>
        <w:tabs>
          <w:tab w:leader="none" w:pos="1944" w:val="left"/>
        </w:tabs>
        <w:numPr>
          <w:ilvl w:val="1"/>
          <w:numId w:val="23"/>
        </w:numPr>
        <w:rPr>
          <w:rFonts w:ascii="Arial" w:cs="Arial" w:eastAsia="Arial" w:hAnsi="Arial"/>
          <w:sz w:val="19"/>
          <w:szCs w:val="19"/>
          <w:color w:val="auto"/>
        </w:rPr>
      </w:pPr>
      <w:r>
        <w:rPr>
          <w:rFonts w:ascii="Arial" w:cs="Arial" w:eastAsia="Arial" w:hAnsi="Arial"/>
          <w:sz w:val="19"/>
          <w:szCs w:val="19"/>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88" w:lineRule="exact"/>
        <w:rPr>
          <w:rFonts w:ascii="Arial" w:cs="Arial" w:eastAsia="Arial" w:hAnsi="Arial"/>
          <w:sz w:val="19"/>
          <w:szCs w:val="19"/>
          <w:color w:val="auto"/>
        </w:rPr>
      </w:pPr>
    </w:p>
    <w:p>
      <w:pPr>
        <w:jc w:val="both"/>
        <w:ind w:firstLine="885"/>
        <w:spacing w:after="0" w:line="267" w:lineRule="auto"/>
        <w:tabs>
          <w:tab w:leader="none" w:pos="1756"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207" w:lineRule="exact"/>
        <w:rPr>
          <w:sz w:val="20"/>
          <w:szCs w:val="20"/>
          <w:color w:val="auto"/>
        </w:rPr>
      </w:pPr>
    </w:p>
    <w:p>
      <w:pPr>
        <w:jc w:val="both"/>
        <w:ind w:firstLine="1060"/>
        <w:spacing w:after="0" w:line="273" w:lineRule="auto"/>
        <w:tabs>
          <w:tab w:leader="none" w:pos="2033"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77" w:lineRule="exact"/>
        <w:rPr>
          <w:rFonts w:ascii="Arial" w:cs="Arial" w:eastAsia="Arial" w:hAnsi="Arial"/>
          <w:sz w:val="20"/>
          <w:szCs w:val="20"/>
          <w:color w:val="auto"/>
        </w:rPr>
      </w:pPr>
    </w:p>
    <w:p>
      <w:pPr>
        <w:jc w:val="both"/>
        <w:ind w:firstLine="1060"/>
        <w:spacing w:after="0" w:line="254" w:lineRule="auto"/>
        <w:tabs>
          <w:tab w:leader="none" w:pos="2069" w:val="left"/>
        </w:tabs>
        <w:numPr>
          <w:ilvl w:val="0"/>
          <w:numId w:val="25"/>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3" w:name="page34"/>
    <w:bookmarkEnd w:id="33"/>
    <w:p>
      <w:pPr>
        <w:spacing w:after="0" w:line="269" w:lineRule="auto"/>
        <w:rPr>
          <w:sz w:val="20"/>
          <w:szCs w:val="20"/>
          <w:color w:val="auto"/>
        </w:rPr>
      </w:pPr>
      <w:r>
        <w:rPr>
          <w:rFonts w:ascii="Arial" w:cs="Arial" w:eastAsia="Arial" w:hAnsi="Arial"/>
          <w:sz w:val="21"/>
          <w:szCs w:val="21"/>
          <w:color w:val="auto"/>
        </w:rPr>
        <w:t>Company's election to terminate or (ii) the date he begins to receive long-term disability insurance benefits under the policy provided by the Company pursuant to paragraph 5 hereof.</w:t>
      </w:r>
    </w:p>
    <w:p>
      <w:pPr>
        <w:spacing w:after="0" w:line="180" w:lineRule="exact"/>
        <w:rPr>
          <w:sz w:val="20"/>
          <w:szCs w:val="20"/>
          <w:color w:val="auto"/>
        </w:rPr>
      </w:pPr>
    </w:p>
    <w:p>
      <w:pPr>
        <w:ind w:right="40" w:firstLine="1060"/>
        <w:spacing w:after="0" w:line="249" w:lineRule="auto"/>
        <w:tabs>
          <w:tab w:leader="none" w:pos="1944" w:val="left"/>
        </w:tabs>
        <w:numPr>
          <w:ilvl w:val="0"/>
          <w:numId w:val="26"/>
        </w:numPr>
        <w:rPr>
          <w:rFonts w:ascii="Arial" w:cs="Arial" w:eastAsia="Arial" w:hAnsi="Arial"/>
          <w:sz w:val="21"/>
          <w:szCs w:val="21"/>
          <w:color w:val="auto"/>
        </w:rPr>
      </w:pPr>
      <w:r>
        <w:rPr>
          <w:rFonts w:ascii="Arial" w:cs="Arial" w:eastAsia="Arial" w:hAnsi="Arial"/>
          <w:sz w:val="21"/>
          <w:szCs w:val="21"/>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200" w:lineRule="exact"/>
        <w:rPr>
          <w:rFonts w:ascii="Arial" w:cs="Arial" w:eastAsia="Arial" w:hAnsi="Arial"/>
          <w:sz w:val="21"/>
          <w:szCs w:val="21"/>
          <w:color w:val="auto"/>
        </w:rPr>
      </w:pPr>
    </w:p>
    <w:p>
      <w:pPr>
        <w:ind w:right="40" w:firstLine="1060"/>
        <w:spacing w:after="0" w:line="253" w:lineRule="auto"/>
        <w:tabs>
          <w:tab w:leader="none" w:pos="1897"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Good Reason”</w:t>
      </w:r>
      <w:r>
        <w:rPr>
          <w:rFonts w:ascii="Arial" w:cs="Arial" w:eastAsia="Arial" w:hAnsi="Arial"/>
          <w:sz w:val="20"/>
          <w:szCs w:val="20"/>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205" w:lineRule="exact"/>
        <w:rPr>
          <w:sz w:val="20"/>
          <w:szCs w:val="20"/>
          <w:color w:val="auto"/>
        </w:rPr>
      </w:pPr>
    </w:p>
    <w:p>
      <w:pPr>
        <w:ind w:left="1720" w:hanging="835"/>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Clawback of Certain Compensation and Benefits</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 If, after the termination of the Term of Employment for any reason other than by the Company for “justifiable</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cause”:</w:t>
      </w:r>
    </w:p>
    <w:p>
      <w:pPr>
        <w:spacing w:after="0" w:line="200" w:lineRule="exact"/>
        <w:rPr>
          <w:sz w:val="20"/>
          <w:szCs w:val="20"/>
          <w:color w:val="auto"/>
        </w:rPr>
      </w:pPr>
    </w:p>
    <w:p>
      <w:pPr>
        <w:spacing w:after="0" w:line="236" w:lineRule="exact"/>
        <w:rPr>
          <w:sz w:val="20"/>
          <w:szCs w:val="20"/>
          <w:color w:val="auto"/>
        </w:rPr>
      </w:pPr>
    </w:p>
    <w:p>
      <w:pPr>
        <w:jc w:val="both"/>
        <w:ind w:firstLine="2092"/>
        <w:spacing w:after="0" w:line="265" w:lineRule="auto"/>
        <w:tabs>
          <w:tab w:leader="none" w:pos="2928"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4" w:name="page35"/>
    <w:bookmarkEnd w:id="34"/>
    <w:p>
      <w:pPr>
        <w:jc w:val="both"/>
        <w:ind w:firstLine="2092"/>
        <w:spacing w:after="0" w:line="249" w:lineRule="auto"/>
        <w:tabs>
          <w:tab w:leader="none" w:pos="2988"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4" w:lineRule="exact"/>
        <w:rPr>
          <w:sz w:val="20"/>
          <w:szCs w:val="20"/>
          <w:color w:val="auto"/>
        </w:rPr>
      </w:pPr>
    </w:p>
    <w:p>
      <w:pPr>
        <w:jc w:val="both"/>
        <w:ind w:firstLine="3512"/>
        <w:spacing w:after="0" w:line="244" w:lineRule="auto"/>
        <w:rPr>
          <w:sz w:val="20"/>
          <w:szCs w:val="20"/>
          <w:color w:val="auto"/>
        </w:rPr>
      </w:pPr>
      <w:r>
        <w:rPr>
          <w:rFonts w:ascii="Arial" w:cs="Arial" w:eastAsia="Arial" w:hAnsi="Arial"/>
          <w:sz w:val="21"/>
          <w:szCs w:val="21"/>
          <w:color w:val="auto"/>
        </w:rPr>
        <w:t>(A)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79" w:lineRule="exact"/>
        <w:rPr>
          <w:sz w:val="20"/>
          <w:szCs w:val="20"/>
          <w:color w:val="auto"/>
        </w:rPr>
      </w:pPr>
    </w:p>
    <w:p>
      <w:pPr>
        <w:jc w:val="both"/>
        <w:ind w:firstLine="3512"/>
        <w:spacing w:after="0" w:line="269" w:lineRule="auto"/>
        <w:rPr>
          <w:sz w:val="20"/>
          <w:szCs w:val="20"/>
          <w:color w:val="auto"/>
        </w:rPr>
      </w:pPr>
      <w:r>
        <w:rPr>
          <w:rFonts w:ascii="Arial" w:cs="Arial" w:eastAsia="Arial" w:hAnsi="Arial"/>
          <w:sz w:val="21"/>
          <w:szCs w:val="21"/>
          <w:color w:val="auto"/>
        </w:rPr>
        <w:t>(B) all vested and unvested Awards (as that term is defined in the 2006 Incentive Compensation Plan) then held by the Executive shall immediately expire; and</w:t>
      </w:r>
    </w:p>
    <w:p>
      <w:pPr>
        <w:spacing w:after="0" w:line="154" w:lineRule="exact"/>
        <w:rPr>
          <w:sz w:val="20"/>
          <w:szCs w:val="20"/>
          <w:color w:val="auto"/>
        </w:rPr>
      </w:pPr>
    </w:p>
    <w:p>
      <w:pPr>
        <w:ind w:left="3520"/>
        <w:spacing w:after="0"/>
        <w:tabs>
          <w:tab w:leader="none" w:pos="700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the Executive shall be required to pay to the</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1" w:lineRule="exact"/>
        <w:rPr>
          <w:sz w:val="20"/>
          <w:szCs w:val="20"/>
          <w:color w:val="auto"/>
        </w:rPr>
      </w:pPr>
    </w:p>
    <w:p>
      <w:pPr>
        <w:jc w:val="both"/>
        <w:ind w:right="720" w:firstLine="1060"/>
        <w:spacing w:after="0" w:line="323" w:lineRule="auto"/>
        <w:tabs>
          <w:tab w:leader="none" w:pos="1998" w:val="left"/>
        </w:tabs>
        <w:numPr>
          <w:ilvl w:val="1"/>
          <w:numId w:val="30"/>
        </w:numPr>
        <w:rPr>
          <w:rFonts w:ascii="Arial" w:cs="Arial" w:eastAsia="Arial" w:hAnsi="Arial"/>
          <w:sz w:val="19"/>
          <w:szCs w:val="19"/>
          <w:color w:val="auto"/>
        </w:rPr>
      </w:pPr>
      <w:r>
        <w:rPr>
          <w:rFonts w:ascii="Arial" w:cs="Arial" w:eastAsia="Arial" w:hAnsi="Arial"/>
          <w:sz w:val="19"/>
          <w:szCs w:val="19"/>
          <w:color w:val="auto"/>
        </w:rPr>
        <w:t>Any payment pursuant to paragraph 7(e) or 7(j) shall be contingent upon Executive’s execution of the General Release within 21 days after termination of the Term of Employment, and the Executive’s not revoking that release.</w:t>
      </w:r>
    </w:p>
    <w:p>
      <w:pPr>
        <w:spacing w:after="0" w:line="374" w:lineRule="exact"/>
        <w:rPr>
          <w:rFonts w:ascii="Arial" w:cs="Arial" w:eastAsia="Arial" w:hAnsi="Arial"/>
          <w:sz w:val="19"/>
          <w:szCs w:val="19"/>
          <w:color w:val="auto"/>
        </w:rPr>
      </w:pPr>
    </w:p>
    <w:p>
      <w:pPr>
        <w:ind w:left="1680" w:hanging="795"/>
        <w:spacing w:after="0"/>
        <w:tabs>
          <w:tab w:leader="none" w:pos="168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p>
    <w:p>
      <w:pPr>
        <w:spacing w:after="0" w:line="213" w:lineRule="exact"/>
        <w:rPr>
          <w:sz w:val="20"/>
          <w:szCs w:val="20"/>
          <w:color w:val="auto"/>
        </w:rPr>
      </w:pPr>
    </w:p>
    <w:p>
      <w:pPr>
        <w:jc w:val="both"/>
        <w:ind w:firstLine="885"/>
        <w:spacing w:after="0" w:line="245" w:lineRule="auto"/>
        <w:tabs>
          <w:tab w:leader="none" w:pos="1823" w:val="left"/>
        </w:tabs>
        <w:numPr>
          <w:ilvl w:val="0"/>
          <w:numId w:val="32"/>
        </w:numPr>
        <w:rPr>
          <w:rFonts w:ascii="Arial" w:cs="Arial" w:eastAsia="Arial" w:hAnsi="Arial"/>
          <w:sz w:val="21"/>
          <w:szCs w:val="21"/>
          <w:color w:val="auto"/>
        </w:rPr>
      </w:pPr>
      <w:r>
        <w:rPr>
          <w:rFonts w:ascii="Arial" w:cs="Arial" w:eastAsia="Arial" w:hAnsi="Arial"/>
          <w:sz w:val="21"/>
          <w:szCs w:val="21"/>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5" w:name="page36"/>
    <w:bookmarkEnd w:id="35"/>
    <w:p>
      <w:pPr>
        <w:ind w:right="20"/>
        <w:spacing w:after="0" w:line="269" w:lineRule="auto"/>
        <w:rPr>
          <w:sz w:val="20"/>
          <w:szCs w:val="20"/>
          <w:color w:val="auto"/>
        </w:rPr>
      </w:pPr>
      <w:r>
        <w:rPr>
          <w:rFonts w:ascii="Arial" w:cs="Arial" w:eastAsia="Arial" w:hAnsi="Arial"/>
          <w:sz w:val="21"/>
          <w:szCs w:val="21"/>
          <w:color w:val="auto"/>
        </w:rPr>
        <w:t>the other and shall negotiate reasonably and in good faith to amend the timing of such benefits and rights such that they comply with Section 409A (with the most limited possible economic effect on the Executive).</w:t>
      </w:r>
    </w:p>
    <w:p>
      <w:pPr>
        <w:spacing w:after="0" w:line="154" w:lineRule="exact"/>
        <w:rPr>
          <w:sz w:val="20"/>
          <w:szCs w:val="20"/>
          <w:color w:val="auto"/>
        </w:rPr>
      </w:pPr>
    </w:p>
    <w:p>
      <w:pPr>
        <w:jc w:val="both"/>
        <w:ind w:firstLine="885"/>
        <w:spacing w:after="0" w:line="273" w:lineRule="auto"/>
        <w:tabs>
          <w:tab w:leader="none" w:pos="1769"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50" w:lineRule="exact"/>
        <w:rPr>
          <w:rFonts w:ascii="Arial" w:cs="Arial" w:eastAsia="Arial" w:hAnsi="Arial"/>
          <w:sz w:val="20"/>
          <w:szCs w:val="20"/>
          <w:color w:val="auto"/>
        </w:rPr>
      </w:pPr>
    </w:p>
    <w:p>
      <w:pPr>
        <w:ind w:left="1820" w:hanging="935"/>
        <w:spacing w:after="0"/>
        <w:tabs>
          <w:tab w:leader="none" w:pos="18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6 Month Delay for “Specified Employees”.</w:t>
      </w:r>
    </w:p>
    <w:p>
      <w:pPr>
        <w:spacing w:after="0" w:line="212" w:lineRule="exact"/>
        <w:rPr>
          <w:rFonts w:ascii="Arial" w:cs="Arial" w:eastAsia="Arial" w:hAnsi="Arial"/>
          <w:sz w:val="21"/>
          <w:szCs w:val="21"/>
          <w:color w:val="auto"/>
        </w:rPr>
      </w:pPr>
    </w:p>
    <w:p>
      <w:pPr>
        <w:ind w:right="60" w:firstLine="1762"/>
        <w:spacing w:after="0" w:line="271" w:lineRule="auto"/>
        <w:tabs>
          <w:tab w:leader="none" w:pos="2011" w:val="left"/>
        </w:tabs>
        <w:numPr>
          <w:ilvl w:val="1"/>
          <w:numId w:val="33"/>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85" w:lineRule="exact"/>
        <w:rPr>
          <w:rFonts w:ascii="Arial" w:cs="Arial" w:eastAsia="Arial" w:hAnsi="Arial"/>
          <w:sz w:val="19"/>
          <w:szCs w:val="19"/>
          <w:color w:val="auto"/>
        </w:rPr>
      </w:pPr>
    </w:p>
    <w:p>
      <w:pPr>
        <w:jc w:val="both"/>
        <w:ind w:firstLine="1762"/>
        <w:spacing w:after="0" w:line="265" w:lineRule="auto"/>
        <w:tabs>
          <w:tab w:leader="none" w:pos="2074" w:val="left"/>
        </w:tabs>
        <w:numPr>
          <w:ilvl w:val="1"/>
          <w:numId w:val="33"/>
        </w:numPr>
        <w:rPr>
          <w:rFonts w:ascii="Arial" w:cs="Arial" w:eastAsia="Arial" w:hAnsi="Arial"/>
          <w:sz w:val="20"/>
          <w:szCs w:val="20"/>
          <w:color w:val="auto"/>
        </w:rPr>
      </w:pPr>
      <w:r>
        <w:rPr>
          <w:rFonts w:ascii="Arial" w:cs="Arial" w:eastAsia="Arial" w:hAnsi="Arial"/>
          <w:sz w:val="20"/>
          <w:szCs w:val="20"/>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60" w:lineRule="exact"/>
        <w:rPr>
          <w:rFonts w:ascii="Arial" w:cs="Arial" w:eastAsia="Arial" w:hAnsi="Arial"/>
          <w:sz w:val="20"/>
          <w:szCs w:val="20"/>
          <w:color w:val="auto"/>
        </w:rPr>
      </w:pPr>
    </w:p>
    <w:p>
      <w:pPr>
        <w:jc w:val="both"/>
        <w:ind w:firstLine="885"/>
        <w:spacing w:after="0" w:line="249" w:lineRule="auto"/>
        <w:tabs>
          <w:tab w:leader="none" w:pos="1835" w:val="left"/>
        </w:tabs>
        <w:numPr>
          <w:ilvl w:val="0"/>
          <w:numId w:val="33"/>
        </w:numPr>
        <w:rPr>
          <w:rFonts w:ascii="Arial" w:cs="Arial" w:eastAsia="Arial" w:hAnsi="Arial"/>
          <w:sz w:val="21"/>
          <w:szCs w:val="21"/>
          <w:color w:val="auto"/>
        </w:rPr>
      </w:pPr>
      <w:r>
        <w:rPr>
          <w:rFonts w:ascii="Arial" w:cs="Arial" w:eastAsia="Arial" w:hAnsi="Arial"/>
          <w:sz w:val="21"/>
          <w:szCs w:val="21"/>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4" w:lineRule="exact"/>
        <w:rPr>
          <w:rFonts w:ascii="Arial" w:cs="Arial" w:eastAsia="Arial" w:hAnsi="Arial"/>
          <w:sz w:val="21"/>
          <w:szCs w:val="21"/>
          <w:color w:val="auto"/>
        </w:rPr>
      </w:pPr>
    </w:p>
    <w:p>
      <w:pPr>
        <w:jc w:val="both"/>
        <w:ind w:firstLine="885"/>
        <w:spacing w:after="0" w:line="249" w:lineRule="auto"/>
        <w:tabs>
          <w:tab w:leader="none" w:pos="181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74" w:lineRule="exact"/>
        <w:rPr>
          <w:rFonts w:ascii="Arial" w:cs="Arial" w:eastAsia="Arial" w:hAnsi="Arial"/>
          <w:sz w:val="21"/>
          <w:szCs w:val="21"/>
          <w:color w:val="auto"/>
        </w:rPr>
      </w:pPr>
    </w:p>
    <w:p>
      <w:pPr>
        <w:ind w:left="1800" w:hanging="915"/>
        <w:spacing w:after="0"/>
        <w:tabs>
          <w:tab w:leader="none" w:pos="180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Taxable Reimbursements.</w:t>
      </w:r>
    </w:p>
    <w:p>
      <w:pPr>
        <w:spacing w:after="0" w:line="212" w:lineRule="exact"/>
        <w:rPr>
          <w:rFonts w:ascii="Arial" w:cs="Arial" w:eastAsia="Arial" w:hAnsi="Arial"/>
          <w:sz w:val="21"/>
          <w:szCs w:val="21"/>
          <w:color w:val="auto"/>
        </w:rPr>
      </w:pPr>
    </w:p>
    <w:p>
      <w:pPr>
        <w:ind w:firstLine="1762"/>
        <w:spacing w:after="0" w:line="269" w:lineRule="auto"/>
        <w:tabs>
          <w:tab w:leader="none" w:pos="2024" w:val="left"/>
        </w:tabs>
        <w:numPr>
          <w:ilvl w:val="1"/>
          <w:numId w:val="33"/>
        </w:numPr>
        <w:rPr>
          <w:rFonts w:ascii="Arial" w:cs="Arial" w:eastAsia="Arial" w:hAnsi="Arial"/>
          <w:sz w:val="21"/>
          <w:szCs w:val="21"/>
          <w:color w:val="auto"/>
        </w:rPr>
      </w:pPr>
      <w:r>
        <w:rPr>
          <w:rFonts w:ascii="Arial" w:cs="Arial" w:eastAsia="Arial" w:hAnsi="Arial"/>
          <w:sz w:val="21"/>
          <w:szCs w:val="21"/>
          <w:color w:val="auto"/>
        </w:rPr>
        <w:t>Any reimbursements by the Company to the Executive of any eligible expenses under this Agreement that are not excludable from the Executive’s income for Federal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21"/>
          <w:szCs w:val="21"/>
          <w:color w:val="auto"/>
        </w:rPr>
        <w:t>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69" w:lineRule="exact"/>
        <w:rPr>
          <w:sz w:val="20"/>
          <w:szCs w:val="20"/>
          <w:color w:val="auto"/>
        </w:rPr>
      </w:pPr>
    </w:p>
    <w:p>
      <w:pPr>
        <w:ind w:firstLine="1762"/>
        <w:spacing w:after="0" w:line="295" w:lineRule="auto"/>
        <w:tabs>
          <w:tab w:leader="none" w:pos="2079" w:val="left"/>
        </w:tabs>
        <w:numPr>
          <w:ilvl w:val="3"/>
          <w:numId w:val="34"/>
        </w:numPr>
        <w:rPr>
          <w:rFonts w:ascii="Arial" w:cs="Arial" w:eastAsia="Arial" w:hAnsi="Arial"/>
          <w:sz w:val="20"/>
          <w:szCs w:val="20"/>
          <w:color w:val="auto"/>
        </w:rPr>
      </w:pPr>
      <w:r>
        <w:rPr>
          <w:rFonts w:ascii="Arial" w:cs="Arial" w:eastAsia="Arial" w:hAnsi="Arial"/>
          <w:sz w:val="20"/>
          <w:szCs w:val="20"/>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29" w:lineRule="exact"/>
        <w:rPr>
          <w:rFonts w:ascii="Arial" w:cs="Arial" w:eastAsia="Arial" w:hAnsi="Arial"/>
          <w:sz w:val="20"/>
          <w:szCs w:val="20"/>
          <w:color w:val="auto"/>
        </w:rPr>
      </w:pPr>
    </w:p>
    <w:p>
      <w:pPr>
        <w:ind w:left="2140" w:hanging="378"/>
        <w:spacing w:after="0"/>
        <w:tabs>
          <w:tab w:leader="none" w:pos="2140" w:val="left"/>
        </w:tabs>
        <w:numPr>
          <w:ilvl w:val="3"/>
          <w:numId w:val="34"/>
        </w:numPr>
        <w:rPr>
          <w:rFonts w:ascii="Arial" w:cs="Arial" w:eastAsia="Arial" w:hAnsi="Arial"/>
          <w:sz w:val="20"/>
          <w:szCs w:val="20"/>
          <w:color w:val="auto"/>
        </w:rPr>
      </w:pPr>
      <w:r>
        <w:rPr>
          <w:rFonts w:ascii="Arial" w:cs="Arial" w:eastAsia="Arial" w:hAnsi="Arial"/>
          <w:sz w:val="20"/>
          <w:szCs w:val="20"/>
          <w:color w:val="auto"/>
        </w:rPr>
        <w:t>The right to Taxable Reimbursements shall not be subject to liquidation or exchange for another benefit.</w:t>
      </w:r>
    </w:p>
    <w:p>
      <w:pPr>
        <w:spacing w:after="0" w:line="224" w:lineRule="exact"/>
        <w:rPr>
          <w:rFonts w:ascii="Arial" w:cs="Arial" w:eastAsia="Arial" w:hAnsi="Arial"/>
          <w:sz w:val="20"/>
          <w:szCs w:val="20"/>
          <w:color w:val="auto"/>
        </w:rPr>
      </w:pPr>
    </w:p>
    <w:p>
      <w:pPr>
        <w:ind w:left="1480" w:hanging="579"/>
        <w:spacing w:after="0"/>
        <w:tabs>
          <w:tab w:leader="none" w:pos="148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REPRESENTATION AND AGREEMENTS OF EXECUTIVE</w:t>
      </w:r>
    </w:p>
    <w:p>
      <w:pPr>
        <w:spacing w:after="0" w:line="239" w:lineRule="exact"/>
        <w:rPr>
          <w:rFonts w:ascii="Arial" w:cs="Arial" w:eastAsia="Arial" w:hAnsi="Arial"/>
          <w:sz w:val="21"/>
          <w:szCs w:val="21"/>
          <w:color w:val="auto"/>
        </w:rPr>
      </w:pPr>
    </w:p>
    <w:p>
      <w:pPr>
        <w:jc w:val="both"/>
        <w:ind w:firstLine="1056"/>
        <w:spacing w:after="0" w:line="254" w:lineRule="auto"/>
        <w:tabs>
          <w:tab w:leader="none" w:pos="1927" w:val="left"/>
        </w:tabs>
        <w:numPr>
          <w:ilvl w:val="1"/>
          <w:numId w:val="35"/>
        </w:numPr>
        <w:rPr>
          <w:rFonts w:ascii="Arial" w:cs="Arial" w:eastAsia="Arial" w:hAnsi="Arial"/>
          <w:sz w:val="21"/>
          <w:szCs w:val="21"/>
          <w:color w:val="auto"/>
        </w:rPr>
      </w:pPr>
      <w:r>
        <w:rPr>
          <w:rFonts w:ascii="Arial" w:cs="Arial" w:eastAsia="Arial" w:hAnsi="Arial"/>
          <w:sz w:val="21"/>
          <w:szCs w:val="21"/>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95" w:lineRule="exact"/>
        <w:rPr>
          <w:rFonts w:ascii="Arial" w:cs="Arial" w:eastAsia="Arial" w:hAnsi="Arial"/>
          <w:sz w:val="21"/>
          <w:szCs w:val="21"/>
          <w:color w:val="auto"/>
        </w:rPr>
      </w:pPr>
    </w:p>
    <w:p>
      <w:pPr>
        <w:ind w:right="80" w:firstLine="1105"/>
        <w:spacing w:after="0" w:line="273" w:lineRule="auto"/>
        <w:tabs>
          <w:tab w:leader="none" w:pos="1989" w:val="left"/>
        </w:tabs>
        <w:numPr>
          <w:ilvl w:val="2"/>
          <w:numId w:val="35"/>
        </w:numPr>
        <w:rPr>
          <w:rFonts w:ascii="Arial" w:cs="Arial" w:eastAsia="Arial" w:hAnsi="Arial"/>
          <w:sz w:val="20"/>
          <w:szCs w:val="20"/>
          <w:color w:val="auto"/>
        </w:rPr>
      </w:pPr>
      <w:r>
        <w:rPr>
          <w:rFonts w:ascii="Arial" w:cs="Arial" w:eastAsia="Arial" w:hAnsi="Arial"/>
          <w:sz w:val="20"/>
          <w:szCs w:val="20"/>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77" w:lineRule="exact"/>
        <w:rPr>
          <w:rFonts w:ascii="Arial" w:cs="Arial" w:eastAsia="Arial" w:hAnsi="Arial"/>
          <w:sz w:val="20"/>
          <w:szCs w:val="20"/>
          <w:color w:val="auto"/>
        </w:rPr>
      </w:pPr>
    </w:p>
    <w:p>
      <w:pPr>
        <w:ind w:right="60" w:firstLine="1105"/>
        <w:spacing w:after="0" w:line="254" w:lineRule="auto"/>
        <w:tabs>
          <w:tab w:leader="none" w:pos="1977" w:val="left"/>
        </w:tabs>
        <w:numPr>
          <w:ilvl w:val="2"/>
          <w:numId w:val="35"/>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95" w:lineRule="exact"/>
        <w:rPr>
          <w:rFonts w:ascii="Arial" w:cs="Arial" w:eastAsia="Arial" w:hAnsi="Arial"/>
          <w:sz w:val="21"/>
          <w:szCs w:val="21"/>
          <w:color w:val="auto"/>
        </w:rPr>
      </w:pPr>
    </w:p>
    <w:p>
      <w:pPr>
        <w:jc w:val="both"/>
        <w:ind w:firstLine="1105"/>
        <w:spacing w:after="0" w:line="254" w:lineRule="auto"/>
        <w:tabs>
          <w:tab w:leader="none" w:pos="1989" w:val="left"/>
        </w:tabs>
        <w:numPr>
          <w:ilvl w:val="2"/>
          <w:numId w:val="35"/>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95" w:lineRule="exact"/>
        <w:rPr>
          <w:rFonts w:ascii="Arial" w:cs="Arial" w:eastAsia="Arial" w:hAnsi="Arial"/>
          <w:sz w:val="21"/>
          <w:szCs w:val="21"/>
          <w:color w:val="auto"/>
        </w:rPr>
      </w:pPr>
    </w:p>
    <w:p>
      <w:pPr>
        <w:ind w:left="1660" w:hanging="555"/>
        <w:spacing w:after="0"/>
        <w:tabs>
          <w:tab w:leader="none" w:pos="1660" w:val="left"/>
        </w:tabs>
        <w:numPr>
          <w:ilvl w:val="2"/>
          <w:numId w:val="35"/>
        </w:numPr>
        <w:rPr>
          <w:rFonts w:ascii="Arial" w:cs="Arial" w:eastAsia="Arial" w:hAnsi="Arial"/>
          <w:sz w:val="20"/>
          <w:szCs w:val="20"/>
          <w:color w:val="auto"/>
        </w:rPr>
      </w:pPr>
      <w:r>
        <w:rPr>
          <w:rFonts w:ascii="Arial" w:cs="Arial" w:eastAsia="Arial" w:hAnsi="Arial"/>
          <w:sz w:val="20"/>
          <w:szCs w:val="20"/>
          <w:color w:val="auto"/>
        </w:rPr>
        <w:t>Executive represents and warrants that he has never been accused of any impropriety in connection with any</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employment;</w:t>
      </w:r>
    </w:p>
    <w:p>
      <w:pPr>
        <w:spacing w:after="0" w:line="222" w:lineRule="exact"/>
        <w:rPr>
          <w:sz w:val="20"/>
          <w:szCs w:val="20"/>
          <w:color w:val="auto"/>
        </w:rPr>
      </w:pPr>
    </w:p>
    <w:p>
      <w:pPr>
        <w:ind w:right="460"/>
        <w:spacing w:after="0" w:line="269" w:lineRule="auto"/>
        <w:rPr>
          <w:sz w:val="20"/>
          <w:szCs w:val="20"/>
          <w:color w:val="auto"/>
        </w:rPr>
      </w:pPr>
      <w:r>
        <w:rPr>
          <w:rFonts w:ascii="Arial" w:cs="Arial" w:eastAsia="Arial" w:hAnsi="Arial"/>
          <w:sz w:val="21"/>
          <w:szCs w:val="21"/>
          <w:color w:val="auto"/>
        </w:rPr>
        <w:t>Any breach of any of the above representations and warranties is "justifiable cause" for termination under paragraph 7(d) of this Agreement.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10.NON-COMPETITION</w:t>
      </w:r>
    </w:p>
    <w:p>
      <w:pPr>
        <w:spacing w:after="0" w:line="240" w:lineRule="exact"/>
        <w:rPr>
          <w:sz w:val="20"/>
          <w:szCs w:val="20"/>
          <w:color w:val="auto"/>
        </w:rPr>
      </w:pPr>
    </w:p>
    <w:p>
      <w:pPr>
        <w:jc w:val="both"/>
        <w:ind w:firstLine="885"/>
        <w:spacing w:after="0" w:line="246" w:lineRule="auto"/>
        <w:tabs>
          <w:tab w:leader="none" w:pos="1756" w:val="left"/>
        </w:tabs>
        <w:numPr>
          <w:ilvl w:val="0"/>
          <w:numId w:val="36"/>
        </w:numPr>
        <w:rPr>
          <w:rFonts w:ascii="Arial" w:cs="Arial" w:eastAsia="Arial" w:hAnsi="Arial"/>
          <w:sz w:val="21"/>
          <w:szCs w:val="21"/>
          <w:color w:val="auto"/>
        </w:rPr>
      </w:pPr>
      <w:r>
        <w:rPr>
          <w:rFonts w:ascii="Arial" w:cs="Arial" w:eastAsia="Arial" w:hAnsi="Arial"/>
          <w:sz w:val="21"/>
          <w:szCs w:val="21"/>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20"/>
          <w:szCs w:val="20"/>
          <w:color w:val="auto"/>
        </w:rPr>
        <w:t>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3" w:lineRule="exact"/>
        <w:rPr>
          <w:sz w:val="20"/>
          <w:szCs w:val="20"/>
          <w:color w:val="auto"/>
        </w:rPr>
      </w:pPr>
    </w:p>
    <w:p>
      <w:pPr>
        <w:ind w:right="80" w:firstLine="885"/>
        <w:spacing w:after="0" w:line="279" w:lineRule="auto"/>
        <w:tabs>
          <w:tab w:leader="none" w:pos="1769"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73" w:lineRule="exact"/>
        <w:rPr>
          <w:rFonts w:ascii="Arial" w:cs="Arial" w:eastAsia="Arial" w:hAnsi="Arial"/>
          <w:sz w:val="19"/>
          <w:szCs w:val="19"/>
          <w:color w:val="auto"/>
        </w:rPr>
      </w:pPr>
    </w:p>
    <w:p>
      <w:pPr>
        <w:ind w:right="100" w:firstLine="885"/>
        <w:spacing w:after="0" w:line="259" w:lineRule="auto"/>
        <w:tabs>
          <w:tab w:leader="none" w:pos="1756"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94" w:lineRule="exact"/>
        <w:rPr>
          <w:rFonts w:ascii="Arial" w:cs="Arial" w:eastAsia="Arial" w:hAnsi="Arial"/>
          <w:sz w:val="20"/>
          <w:szCs w:val="20"/>
          <w:color w:val="auto"/>
        </w:rPr>
      </w:pPr>
    </w:p>
    <w:p>
      <w:pPr>
        <w:ind w:right="40" w:firstLine="885"/>
        <w:spacing w:after="0" w:line="246" w:lineRule="auto"/>
        <w:tabs>
          <w:tab w:leader="none" w:pos="1769"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6" w:lineRule="exact"/>
        <w:rPr>
          <w:sz w:val="20"/>
          <w:szCs w:val="20"/>
          <w:color w:val="auto"/>
        </w:rPr>
      </w:pPr>
    </w:p>
    <w:p>
      <w:pPr>
        <w:ind w:left="1780" w:hanging="895"/>
        <w:spacing w:after="0"/>
        <w:tabs>
          <w:tab w:leader="none" w:pos="178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INVENTIONS AND DISCOVERIES</w:t>
      </w:r>
    </w:p>
    <w:p>
      <w:pPr>
        <w:spacing w:after="0" w:line="240" w:lineRule="exact"/>
        <w:rPr>
          <w:sz w:val="20"/>
          <w:szCs w:val="20"/>
          <w:color w:val="auto"/>
        </w:rPr>
      </w:pPr>
    </w:p>
    <w:p>
      <w:pPr>
        <w:ind w:right="40" w:firstLine="885"/>
        <w:spacing w:after="0" w:line="246" w:lineRule="auto"/>
        <w:tabs>
          <w:tab w:leader="none" w:pos="1756" w:val="left"/>
        </w:tabs>
        <w:numPr>
          <w:ilvl w:val="0"/>
          <w:numId w:val="39"/>
        </w:numPr>
        <w:rPr>
          <w:rFonts w:ascii="Arial" w:cs="Arial" w:eastAsia="Arial" w:hAnsi="Arial"/>
          <w:sz w:val="21"/>
          <w:szCs w:val="21"/>
          <w:color w:val="auto"/>
        </w:rPr>
      </w:pPr>
      <w:r>
        <w:rPr>
          <w:rFonts w:ascii="Arial" w:cs="Arial" w:eastAsia="Arial" w:hAnsi="Arial"/>
          <w:sz w:val="21"/>
          <w:szCs w:val="21"/>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8" w:name="page39"/>
    <w:bookmarkEnd w:id="38"/>
    <w:p>
      <w:pPr>
        <w:ind w:right="140"/>
        <w:spacing w:after="0" w:line="249" w:lineRule="auto"/>
        <w:rPr>
          <w:sz w:val="20"/>
          <w:szCs w:val="20"/>
          <w:color w:val="auto"/>
        </w:rPr>
      </w:pPr>
      <w:r>
        <w:rPr>
          <w:rFonts w:ascii="Arial" w:cs="Arial" w:eastAsia="Arial" w:hAnsi="Arial"/>
          <w:sz w:val="21"/>
          <w:szCs w:val="21"/>
          <w:color w:val="auto"/>
        </w:rPr>
        <w:t>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01" w:lineRule="exact"/>
        <w:rPr>
          <w:sz w:val="20"/>
          <w:szCs w:val="20"/>
          <w:color w:val="auto"/>
        </w:rPr>
      </w:pPr>
    </w:p>
    <w:p>
      <w:pPr>
        <w:ind w:right="20" w:firstLine="885"/>
        <w:spacing w:after="0" w:line="242" w:lineRule="auto"/>
        <w:tabs>
          <w:tab w:leader="none" w:pos="1769" w:val="left"/>
        </w:tabs>
        <w:numPr>
          <w:ilvl w:val="0"/>
          <w:numId w:val="40"/>
        </w:numPr>
        <w:rPr>
          <w:rFonts w:ascii="Arial" w:cs="Arial" w:eastAsia="Arial" w:hAnsi="Arial"/>
          <w:sz w:val="21"/>
          <w:szCs w:val="21"/>
          <w:color w:val="auto"/>
        </w:rPr>
      </w:pPr>
      <w:r>
        <w:rPr>
          <w:rFonts w:ascii="Arial" w:cs="Arial" w:eastAsia="Arial" w:hAnsi="Arial"/>
          <w:sz w:val="21"/>
          <w:szCs w:val="21"/>
          <w:color w:val="auto"/>
        </w:rPr>
        <w:t>Executive hereby assigns and transfers, and agrees to assign and transfer, to the Company, allhis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11" w:lineRule="exact"/>
        <w:rPr>
          <w:sz w:val="20"/>
          <w:szCs w:val="20"/>
          <w:color w:val="auto"/>
        </w:rPr>
      </w:pPr>
    </w:p>
    <w:p>
      <w:pPr>
        <w:ind w:left="1800" w:hanging="915"/>
        <w:spacing w:after="0"/>
        <w:tabs>
          <w:tab w:leader="none" w:pos="180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INFORMATION</w:t>
      </w:r>
    </w:p>
    <w:p>
      <w:pPr>
        <w:spacing w:after="0" w:line="240" w:lineRule="exact"/>
        <w:rPr>
          <w:sz w:val="20"/>
          <w:szCs w:val="20"/>
          <w:color w:val="auto"/>
        </w:rPr>
      </w:pPr>
    </w:p>
    <w:p>
      <w:pPr>
        <w:ind w:firstLine="885"/>
        <w:spacing w:after="0" w:line="253" w:lineRule="auto"/>
        <w:tabs>
          <w:tab w:leader="none" w:pos="1756"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2" w:right="299" w:bottom="1440" w:gutter="0" w:footer="0" w:header="0"/>
        </w:sectPr>
      </w:pPr>
    </w:p>
    <w:bookmarkStart w:id="39" w:name="page40"/>
    <w:bookmarkEnd w:id="39"/>
    <w:p>
      <w:pPr>
        <w:ind w:right="520" w:firstLine="885"/>
        <w:spacing w:after="0" w:line="279" w:lineRule="auto"/>
        <w:tabs>
          <w:tab w:leader="none" w:pos="1769" w:val="left"/>
        </w:tabs>
        <w:numPr>
          <w:ilvl w:val="0"/>
          <w:numId w:val="43"/>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4" w:lineRule="exact"/>
        <w:rPr>
          <w:sz w:val="20"/>
          <w:szCs w:val="20"/>
          <w:color w:val="auto"/>
        </w:rPr>
      </w:pPr>
    </w:p>
    <w:p>
      <w:pPr>
        <w:ind w:left="1800" w:hanging="915"/>
        <w:spacing w:after="0"/>
        <w:tabs>
          <w:tab w:leader="none" w:pos="180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p>
    <w:p>
      <w:pPr>
        <w:spacing w:after="0" w:line="240"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8" w:lineRule="exact"/>
        <w:rPr>
          <w:sz w:val="20"/>
          <w:szCs w:val="20"/>
          <w:color w:val="auto"/>
        </w:rPr>
      </w:pPr>
    </w:p>
    <w:p>
      <w:pPr>
        <w:ind w:left="1800" w:hanging="915"/>
        <w:spacing w:after="0"/>
        <w:tabs>
          <w:tab w:leader="none" w:pos="180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AMENDMENT OR ALTERATION</w:t>
      </w:r>
    </w:p>
    <w:p>
      <w:pPr>
        <w:spacing w:after="0" w:line="240" w:lineRule="exact"/>
        <w:rPr>
          <w:sz w:val="20"/>
          <w:szCs w:val="20"/>
          <w:color w:val="auto"/>
        </w:rPr>
      </w:pPr>
    </w:p>
    <w:p>
      <w:pPr>
        <w:ind w:firstLine="878"/>
        <w:spacing w:after="0" w:line="269" w:lineRule="auto"/>
        <w:rPr>
          <w:sz w:val="20"/>
          <w:szCs w:val="20"/>
          <w:color w:val="auto"/>
        </w:rPr>
      </w:pPr>
      <w:r>
        <w:rPr>
          <w:rFonts w:ascii="Arial" w:cs="Arial" w:eastAsia="Arial" w:hAnsi="Arial"/>
          <w:sz w:val="21"/>
          <w:szCs w:val="21"/>
          <w:color w:val="auto"/>
        </w:rPr>
        <w:t>No amendment or alteration of the terms of this Agreement shall be valid unless made in writing and signed by both of the parties hereto.</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40" w:name="page41"/>
    <w:bookmarkEnd w:id="40"/>
    <w:p>
      <w:pPr>
        <w:ind w:left="920" w:hanging="913"/>
        <w:spacing w:after="0"/>
        <w:tabs>
          <w:tab w:leader="none" w:pos="92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GOVERNING LAW</w:t>
      </w:r>
    </w:p>
    <w:p>
      <w:pPr>
        <w:spacing w:after="0" w:line="240" w:lineRule="exact"/>
        <w:rPr>
          <w:sz w:val="20"/>
          <w:szCs w:val="20"/>
          <w:color w:val="auto"/>
        </w:rPr>
      </w:pPr>
    </w:p>
    <w:p>
      <w:pPr>
        <w:ind w:right="880" w:firstLine="878"/>
        <w:spacing w:after="0" w:line="269" w:lineRule="auto"/>
        <w:rPr>
          <w:sz w:val="20"/>
          <w:szCs w:val="20"/>
          <w:color w:val="auto"/>
        </w:rPr>
      </w:pPr>
      <w:r>
        <w:rPr>
          <w:rFonts w:ascii="Arial" w:cs="Arial" w:eastAsia="Arial" w:hAnsi="Arial"/>
          <w:sz w:val="21"/>
          <w:szCs w:val="21"/>
          <w:color w:val="auto"/>
        </w:rPr>
        <w:t>This Agreement shall be governed by, and construed and enforced in accordance with the substantive laws of the Commonwealth of Massachusetts, without regard to its principles of conflicts of laws.</w:t>
      </w:r>
    </w:p>
    <w:p>
      <w:pPr>
        <w:spacing w:after="0" w:line="180" w:lineRule="exact"/>
        <w:rPr>
          <w:sz w:val="20"/>
          <w:szCs w:val="20"/>
          <w:color w:val="auto"/>
        </w:rPr>
      </w:pPr>
    </w:p>
    <w:p>
      <w:pPr>
        <w:ind w:left="1800" w:hanging="915"/>
        <w:spacing w:after="0"/>
        <w:tabs>
          <w:tab w:leader="none" w:pos="180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SEVERABILITY</w:t>
      </w:r>
    </w:p>
    <w:p>
      <w:pPr>
        <w:spacing w:after="0" w:line="240" w:lineRule="exact"/>
        <w:rPr>
          <w:sz w:val="20"/>
          <w:szCs w:val="20"/>
          <w:color w:val="auto"/>
        </w:rPr>
      </w:pPr>
    </w:p>
    <w:p>
      <w:pPr>
        <w:ind w:right="260" w:firstLine="878"/>
        <w:spacing w:after="0" w:line="269" w:lineRule="auto"/>
        <w:rPr>
          <w:sz w:val="20"/>
          <w:szCs w:val="20"/>
          <w:color w:val="auto"/>
        </w:rPr>
      </w:pPr>
      <w:r>
        <w:rPr>
          <w:rFonts w:ascii="Arial" w:cs="Arial" w:eastAsia="Arial" w:hAnsi="Arial"/>
          <w:sz w:val="21"/>
          <w:szCs w:val="21"/>
          <w:color w:val="auto"/>
        </w:rPr>
        <w:t>The holding of any provision of this Agreement to be invalid or unenforceable by a court of competent jurisdiction shall not affect any other provision of this Agreement, which shall remain in full force and effect.</w:t>
      </w:r>
    </w:p>
    <w:p>
      <w:pPr>
        <w:spacing w:after="0" w:line="180" w:lineRule="exact"/>
        <w:rPr>
          <w:sz w:val="20"/>
          <w:szCs w:val="20"/>
          <w:color w:val="auto"/>
        </w:rPr>
      </w:pPr>
    </w:p>
    <w:p>
      <w:pPr>
        <w:ind w:left="1800" w:hanging="915"/>
        <w:spacing w:after="0"/>
        <w:tabs>
          <w:tab w:leader="none" w:pos="180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NOTICES</w:t>
      </w:r>
    </w:p>
    <w:p>
      <w:pPr>
        <w:spacing w:after="0" w:line="24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Any notices required or permitted to be given hereunder shall be sufficient if in</w:t>
      </w:r>
    </w:p>
    <w:p>
      <w:pPr>
        <w:spacing w:after="0" w:line="17"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05" w:lineRule="exact"/>
        <w:rPr>
          <w:sz w:val="20"/>
          <w:szCs w:val="20"/>
          <w:color w:val="auto"/>
        </w:rPr>
      </w:pPr>
    </w:p>
    <w:p>
      <w:pPr>
        <w:ind w:left="1800" w:hanging="915"/>
        <w:spacing w:after="0"/>
        <w:tabs>
          <w:tab w:leader="none" w:pos="180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WAIVER OR BREACH</w:t>
      </w:r>
    </w:p>
    <w:p>
      <w:pPr>
        <w:spacing w:after="0" w:line="240" w:lineRule="exact"/>
        <w:rPr>
          <w:sz w:val="20"/>
          <w:szCs w:val="20"/>
          <w:color w:val="auto"/>
        </w:rPr>
      </w:pPr>
    </w:p>
    <w:p>
      <w:pPr>
        <w:ind w:right="180" w:firstLine="878"/>
        <w:spacing w:after="0" w:line="269" w:lineRule="auto"/>
        <w:rPr>
          <w:sz w:val="20"/>
          <w:szCs w:val="20"/>
          <w:color w:val="auto"/>
        </w:rPr>
      </w:pPr>
      <w:r>
        <w:rPr>
          <w:rFonts w:ascii="Arial" w:cs="Arial" w:eastAsia="Arial" w:hAnsi="Arial"/>
          <w:sz w:val="21"/>
          <w:szCs w:val="21"/>
          <w:color w:val="auto"/>
        </w:rPr>
        <w:t>It is agreed that a waiver by either party of a breach of any provision of this Agreement shall not operate, or be construed as a waiver of any subsequent breach by that same party.</w:t>
      </w:r>
    </w:p>
    <w:p>
      <w:pPr>
        <w:spacing w:after="0" w:line="180" w:lineRule="exact"/>
        <w:rPr>
          <w:sz w:val="20"/>
          <w:szCs w:val="20"/>
          <w:color w:val="auto"/>
        </w:rPr>
      </w:pPr>
    </w:p>
    <w:p>
      <w:pPr>
        <w:ind w:left="1800" w:hanging="915"/>
        <w:spacing w:after="0"/>
        <w:tabs>
          <w:tab w:leader="none" w:pos="180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ENTIRE AGREEMENT AND BINDING EFFECT</w:t>
      </w:r>
    </w:p>
    <w:p>
      <w:pPr>
        <w:spacing w:after="0" w:line="240" w:lineRule="exact"/>
        <w:rPr>
          <w:sz w:val="20"/>
          <w:szCs w:val="20"/>
          <w:color w:val="auto"/>
        </w:rPr>
      </w:pPr>
    </w:p>
    <w:p>
      <w:pPr>
        <w:ind w:firstLine="878"/>
        <w:spacing w:after="0" w:line="271" w:lineRule="auto"/>
        <w:rPr>
          <w:sz w:val="20"/>
          <w:szCs w:val="20"/>
          <w:color w:val="auto"/>
        </w:rPr>
      </w:pPr>
      <w:r>
        <w:rPr>
          <w:rFonts w:ascii="Arial" w:cs="Arial" w:eastAsia="Arial" w:hAnsi="Arial"/>
          <w:sz w:val="19"/>
          <w:szCs w:val="19"/>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85" w:lineRule="exact"/>
        <w:rPr>
          <w:sz w:val="20"/>
          <w:szCs w:val="20"/>
          <w:color w:val="auto"/>
        </w:rPr>
      </w:pPr>
    </w:p>
    <w:p>
      <w:pPr>
        <w:ind w:left="1800" w:hanging="915"/>
        <w:spacing w:after="0"/>
        <w:tabs>
          <w:tab w:leader="none" w:pos="180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SURVIVAL</w:t>
      </w:r>
    </w:p>
    <w:p>
      <w:pPr>
        <w:spacing w:after="0" w:line="240" w:lineRule="exact"/>
        <w:rPr>
          <w:sz w:val="20"/>
          <w:szCs w:val="20"/>
          <w:color w:val="auto"/>
        </w:rPr>
      </w:pPr>
    </w:p>
    <w:p>
      <w:pPr>
        <w:ind w:right="160" w:firstLine="878"/>
        <w:spacing w:after="0" w:line="245" w:lineRule="auto"/>
        <w:rPr>
          <w:sz w:val="20"/>
          <w:szCs w:val="20"/>
          <w:color w:val="auto"/>
        </w:rPr>
      </w:pPr>
      <w:r>
        <w:rPr>
          <w:rFonts w:ascii="Arial" w:cs="Arial" w:eastAsia="Arial" w:hAnsi="Arial"/>
          <w:sz w:val="21"/>
          <w:szCs w:val="21"/>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ind w:left="1800" w:hanging="915"/>
        <w:spacing w:after="0"/>
        <w:tabs>
          <w:tab w:leader="none" w:pos="180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RESOLUTION OF DISPUTES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1" w:name="page42"/>
    <w:bookmarkEnd w:id="41"/>
    <w:p>
      <w:pPr>
        <w:ind w:right="780" w:firstLine="878"/>
        <w:spacing w:after="0" w:line="269" w:lineRule="auto"/>
        <w:rPr>
          <w:sz w:val="20"/>
          <w:szCs w:val="20"/>
          <w:color w:val="auto"/>
        </w:rPr>
      </w:pPr>
      <w:r>
        <w:rPr>
          <w:rFonts w:ascii="Arial" w:cs="Arial" w:eastAsia="Arial" w:hAnsi="Arial"/>
          <w:sz w:val="21"/>
          <w:szCs w:val="21"/>
          <w:color w:val="auto"/>
        </w:rPr>
        <w:t>Any and all disputes arising under or in connection with this Agreement shall be resolved in accordance with this paragraph 21 and paragraph 15.</w:t>
      </w:r>
    </w:p>
    <w:p>
      <w:pPr>
        <w:spacing w:after="0" w:line="180" w:lineRule="exact"/>
        <w:rPr>
          <w:sz w:val="20"/>
          <w:szCs w:val="20"/>
          <w:color w:val="auto"/>
        </w:rPr>
      </w:pPr>
    </w:p>
    <w:p>
      <w:pPr>
        <w:ind w:right="40" w:firstLine="878"/>
        <w:spacing w:after="0" w:line="246" w:lineRule="auto"/>
        <w:rPr>
          <w:sz w:val="20"/>
          <w:szCs w:val="20"/>
          <w:color w:val="auto"/>
        </w:rPr>
      </w:pPr>
      <w:r>
        <w:rPr>
          <w:rFonts w:ascii="Arial" w:cs="Arial" w:eastAsia="Arial" w:hAnsi="Arial"/>
          <w:sz w:val="21"/>
          <w:szCs w:val="21"/>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6" w:lineRule="exact"/>
        <w:rPr>
          <w:sz w:val="20"/>
          <w:szCs w:val="20"/>
          <w:color w:val="auto"/>
        </w:rPr>
      </w:pPr>
    </w:p>
    <w:p>
      <w:pPr>
        <w:ind w:left="1800" w:hanging="915"/>
        <w:spacing w:after="0"/>
        <w:tabs>
          <w:tab w:leader="none" w:pos="180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NON-DISPARAGEMENT</w:t>
      </w:r>
    </w:p>
    <w:p>
      <w:pPr>
        <w:spacing w:after="0" w:line="240" w:lineRule="exact"/>
        <w:rPr>
          <w:sz w:val="20"/>
          <w:szCs w:val="20"/>
          <w:color w:val="auto"/>
        </w:rPr>
      </w:pPr>
    </w:p>
    <w:p>
      <w:pPr>
        <w:ind w:firstLine="878"/>
        <w:spacing w:after="0" w:line="249" w:lineRule="auto"/>
        <w:rPr>
          <w:sz w:val="20"/>
          <w:szCs w:val="20"/>
          <w:color w:val="auto"/>
        </w:rPr>
      </w:pPr>
      <w:r>
        <w:rPr>
          <w:rFonts w:ascii="Arial" w:cs="Arial" w:eastAsia="Arial" w:hAnsi="Arial"/>
          <w:sz w:val="21"/>
          <w:szCs w:val="21"/>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01" w:lineRule="exact"/>
        <w:rPr>
          <w:sz w:val="20"/>
          <w:szCs w:val="20"/>
          <w:color w:val="auto"/>
        </w:rPr>
      </w:pPr>
    </w:p>
    <w:p>
      <w:pPr>
        <w:ind w:left="1800" w:hanging="915"/>
        <w:spacing w:after="0"/>
        <w:tabs>
          <w:tab w:leader="none" w:pos="180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p>
    <w:p>
      <w:pPr>
        <w:spacing w:after="0" w:line="240" w:lineRule="exact"/>
        <w:rPr>
          <w:sz w:val="20"/>
          <w:szCs w:val="20"/>
          <w:color w:val="auto"/>
        </w:rPr>
      </w:pPr>
    </w:p>
    <w:p>
      <w:pPr>
        <w:ind w:right="180" w:firstLine="878"/>
        <w:spacing w:after="0" w:line="295" w:lineRule="auto"/>
        <w:rPr>
          <w:sz w:val="20"/>
          <w:szCs w:val="20"/>
          <w:color w:val="auto"/>
        </w:rPr>
      </w:pPr>
      <w:r>
        <w:rPr>
          <w:rFonts w:ascii="Arial" w:cs="Arial" w:eastAsia="Arial" w:hAnsi="Arial"/>
          <w:sz w:val="20"/>
          <w:szCs w:val="20"/>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56" w:lineRule="exact"/>
        <w:rPr>
          <w:sz w:val="20"/>
          <w:szCs w:val="20"/>
          <w:color w:val="auto"/>
        </w:rPr>
      </w:pPr>
    </w:p>
    <w:p>
      <w:pPr>
        <w:ind w:right="6380" w:firstLine="885"/>
        <w:spacing w:after="0" w:line="478" w:lineRule="auto"/>
        <w:tabs>
          <w:tab w:leader="none" w:pos="1787"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Agreement:</w:t>
      </w:r>
    </w:p>
    <w:p>
      <w:pPr>
        <w:ind w:right="20" w:firstLine="1526"/>
        <w:spacing w:after="0" w:line="254" w:lineRule="auto"/>
        <w:tabs>
          <w:tab w:leader="none" w:pos="1863" w:val="left"/>
        </w:tabs>
        <w:numPr>
          <w:ilvl w:val="1"/>
          <w:numId w:val="55"/>
        </w:numPr>
        <w:rPr>
          <w:rFonts w:ascii="Arial" w:cs="Arial" w:eastAsia="Arial" w:hAnsi="Arial"/>
          <w:sz w:val="21"/>
          <w:szCs w:val="21"/>
          <w:color w:val="auto"/>
        </w:rPr>
      </w:pPr>
      <w:r>
        <w:rPr>
          <w:rFonts w:ascii="Arial" w:cs="Arial" w:eastAsia="Arial" w:hAnsi="Arial"/>
          <w:sz w:val="21"/>
          <w:szCs w:val="21"/>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96" w:lineRule="exact"/>
        <w:rPr>
          <w:sz w:val="20"/>
          <w:szCs w:val="20"/>
          <w:color w:val="auto"/>
        </w:rPr>
      </w:pPr>
    </w:p>
    <w:p>
      <w:pPr>
        <w:ind w:right="20" w:firstLine="885"/>
        <w:spacing w:after="0" w:line="284" w:lineRule="auto"/>
        <w:tabs>
          <w:tab w:leader="none" w:pos="11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73" w:right="299" w:bottom="1440" w:gutter="0" w:footer="0" w:header="0"/>
        </w:sectPr>
      </w:pPr>
    </w:p>
    <w:bookmarkStart w:id="42" w:name="page43"/>
    <w:bookmarkEnd w:id="42"/>
    <w:p>
      <w:pPr>
        <w:ind w:left="960" w:hanging="953"/>
        <w:spacing w:after="0"/>
        <w:tabs>
          <w:tab w:leader="none" w:pos="96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HEADINGS</w:t>
      </w:r>
    </w:p>
    <w:p>
      <w:pPr>
        <w:spacing w:after="0" w:line="240" w:lineRule="exact"/>
        <w:rPr>
          <w:sz w:val="20"/>
          <w:szCs w:val="20"/>
          <w:color w:val="auto"/>
        </w:rPr>
      </w:pPr>
    </w:p>
    <w:p>
      <w:pPr>
        <w:ind w:right="100" w:firstLine="878"/>
        <w:spacing w:after="0" w:line="269" w:lineRule="auto"/>
        <w:rPr>
          <w:sz w:val="20"/>
          <w:szCs w:val="20"/>
          <w:color w:val="auto"/>
        </w:rPr>
      </w:pPr>
      <w:r>
        <w:rPr>
          <w:rFonts w:ascii="Arial" w:cs="Arial" w:eastAsia="Arial" w:hAnsi="Arial"/>
          <w:sz w:val="21"/>
          <w:szCs w:val="21"/>
          <w:color w:val="auto"/>
        </w:rPr>
        <w:t>The paragraph headings appearing in this Agreement are for the purposes of easy reference and shall not be considered a part of this Agreement or in any way modify, amend or affect its provisions.</w:t>
      </w:r>
    </w:p>
    <w:p>
      <w:pPr>
        <w:spacing w:after="0" w:line="180" w:lineRule="exact"/>
        <w:rPr>
          <w:sz w:val="20"/>
          <w:szCs w:val="20"/>
          <w:color w:val="auto"/>
        </w:rPr>
      </w:pPr>
    </w:p>
    <w:p>
      <w:pPr>
        <w:ind w:left="1800" w:hanging="915"/>
        <w:spacing w:after="0"/>
        <w:tabs>
          <w:tab w:leader="none" w:pos="180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COUNTERPARTS</w:t>
      </w:r>
    </w:p>
    <w:p>
      <w:pPr>
        <w:spacing w:after="0" w:line="240" w:lineRule="exact"/>
        <w:rPr>
          <w:sz w:val="20"/>
          <w:szCs w:val="20"/>
          <w:color w:val="auto"/>
        </w:rPr>
      </w:pPr>
    </w:p>
    <w:p>
      <w:pPr>
        <w:ind w:firstLine="878"/>
        <w:spacing w:after="0" w:line="269" w:lineRule="auto"/>
        <w:rPr>
          <w:sz w:val="20"/>
          <w:szCs w:val="20"/>
          <w:color w:val="auto"/>
        </w:rPr>
      </w:pPr>
      <w:r>
        <w:rPr>
          <w:rFonts w:ascii="Arial" w:cs="Arial" w:eastAsia="Arial" w:hAnsi="Arial"/>
          <w:sz w:val="21"/>
          <w:szCs w:val="21"/>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600" w:type="dxa"/>
            <w:vAlign w:val="bottom"/>
            <w:gridSpan w:val="4"/>
          </w:tcPr>
          <w:p>
            <w:pPr>
              <w:spacing w:after="0"/>
              <w:rPr>
                <w:sz w:val="20"/>
                <w:szCs w:val="20"/>
                <w:color w:val="auto"/>
              </w:rPr>
            </w:pPr>
            <w:r>
              <w:rPr>
                <w:rFonts w:ascii="Arial" w:cs="Arial" w:eastAsia="Arial" w:hAnsi="Arial"/>
                <w:sz w:val="21"/>
                <w:szCs w:val="21"/>
                <w:color w:val="auto"/>
              </w:rPr>
              <w:t>CMRG APPAREL, LLC</w:t>
            </w:r>
          </w:p>
        </w:tc>
        <w:tc>
          <w:tcPr>
            <w:tcW w:w="29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671"/>
        </w:trPr>
        <w:tc>
          <w:tcPr>
            <w:tcW w:w="5600" w:type="dxa"/>
            <w:vAlign w:val="bottom"/>
            <w:gridSpan w:val="4"/>
          </w:tcPr>
          <w:p>
            <w:pPr>
              <w:spacing w:after="0"/>
              <w:rPr>
                <w:sz w:val="20"/>
                <w:szCs w:val="20"/>
                <w:color w:val="auto"/>
              </w:rPr>
            </w:pPr>
            <w:r>
              <w:rPr>
                <w:rFonts w:ascii="Arial" w:cs="Arial" w:eastAsia="Arial" w:hAnsi="Arial"/>
                <w:sz w:val="21"/>
                <w:szCs w:val="21"/>
                <w:color w:val="auto"/>
              </w:rPr>
              <w:t>By: /s/ David A. Levin</w:t>
            </w:r>
          </w:p>
        </w:tc>
        <w:tc>
          <w:tcPr>
            <w:tcW w:w="4520" w:type="dxa"/>
            <w:vAlign w:val="bottom"/>
            <w:gridSpan w:val="2"/>
          </w:tcPr>
          <w:p>
            <w:pPr>
              <w:ind w:left="2380"/>
              <w:spacing w:after="0"/>
              <w:rPr>
                <w:sz w:val="20"/>
                <w:szCs w:val="20"/>
                <w:color w:val="auto"/>
              </w:rPr>
            </w:pPr>
            <w:r>
              <w:rPr>
                <w:rFonts w:ascii="Arial" w:cs="Arial" w:eastAsia="Arial" w:hAnsi="Arial"/>
                <w:sz w:val="21"/>
                <w:szCs w:val="21"/>
                <w:color w:val="auto"/>
                <w:w w:val="90"/>
              </w:rPr>
              <w:t>Date: September 1, 2015</w:t>
            </w:r>
          </w:p>
        </w:tc>
      </w:tr>
      <w:tr>
        <w:trPr>
          <w:trHeight w:val="20"/>
        </w:trPr>
        <w:tc>
          <w:tcPr>
            <w:tcW w:w="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39"/>
        </w:trPr>
        <w:tc>
          <w:tcPr>
            <w:tcW w:w="5600" w:type="dxa"/>
            <w:vAlign w:val="bottom"/>
            <w:gridSpan w:val="4"/>
          </w:tcPr>
          <w:p>
            <w:pPr>
              <w:spacing w:after="0" w:line="239" w:lineRule="exact"/>
              <w:rPr>
                <w:sz w:val="20"/>
                <w:szCs w:val="20"/>
                <w:color w:val="auto"/>
              </w:rPr>
            </w:pPr>
            <w:r>
              <w:rPr>
                <w:rFonts w:ascii="Arial" w:cs="Arial" w:eastAsia="Arial" w:hAnsi="Arial"/>
                <w:sz w:val="21"/>
                <w:szCs w:val="21"/>
                <w:color w:val="auto"/>
              </w:rPr>
              <w:t>Name:David A. Levin</w:t>
            </w:r>
          </w:p>
        </w:tc>
        <w:tc>
          <w:tcPr>
            <w:tcW w:w="29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3"/>
        </w:trPr>
        <w:tc>
          <w:tcPr>
            <w:tcW w:w="5600" w:type="dxa"/>
            <w:vAlign w:val="bottom"/>
            <w:gridSpan w:val="4"/>
          </w:tcPr>
          <w:p>
            <w:pPr>
              <w:spacing w:after="0"/>
              <w:rPr>
                <w:sz w:val="20"/>
                <w:szCs w:val="20"/>
                <w:color w:val="auto"/>
              </w:rPr>
            </w:pPr>
            <w:r>
              <w:rPr>
                <w:rFonts w:ascii="Arial" w:cs="Arial" w:eastAsia="Arial" w:hAnsi="Arial"/>
                <w:sz w:val="21"/>
                <w:szCs w:val="21"/>
                <w:color w:val="auto"/>
              </w:rPr>
              <w:t>Its:President, Chief Executive Officer</w:t>
            </w:r>
          </w:p>
        </w:tc>
        <w:tc>
          <w:tcPr>
            <w:tcW w:w="29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1"/>
        </w:trPr>
        <w:tc>
          <w:tcPr>
            <w:tcW w:w="5600" w:type="dxa"/>
            <w:vAlign w:val="bottom"/>
            <w:gridSpan w:val="4"/>
          </w:tcPr>
          <w:p>
            <w:pPr>
              <w:spacing w:after="0"/>
              <w:rPr>
                <w:sz w:val="20"/>
                <w:szCs w:val="20"/>
                <w:color w:val="auto"/>
              </w:rPr>
            </w:pPr>
            <w:r>
              <w:rPr>
                <w:rFonts w:ascii="Arial" w:cs="Arial" w:eastAsia="Arial" w:hAnsi="Arial"/>
                <w:sz w:val="21"/>
                <w:szCs w:val="21"/>
                <w:color w:val="auto"/>
              </w:rPr>
              <w:t>By: /s/ Kenneth M. Ederle</w:t>
            </w:r>
          </w:p>
        </w:tc>
        <w:tc>
          <w:tcPr>
            <w:tcW w:w="4520" w:type="dxa"/>
            <w:vAlign w:val="bottom"/>
            <w:gridSpan w:val="2"/>
          </w:tcPr>
          <w:p>
            <w:pPr>
              <w:ind w:left="2380"/>
              <w:spacing w:after="0"/>
              <w:rPr>
                <w:sz w:val="20"/>
                <w:szCs w:val="20"/>
                <w:color w:val="auto"/>
              </w:rPr>
            </w:pPr>
            <w:r>
              <w:rPr>
                <w:rFonts w:ascii="Arial" w:cs="Arial" w:eastAsia="Arial" w:hAnsi="Arial"/>
                <w:sz w:val="21"/>
                <w:szCs w:val="21"/>
                <w:color w:val="auto"/>
                <w:w w:val="90"/>
              </w:rPr>
              <w:t>Date: September 2, 2015</w:t>
            </w:r>
          </w:p>
        </w:tc>
      </w:tr>
      <w:tr>
        <w:trPr>
          <w:trHeight w:val="20"/>
        </w:trPr>
        <w:tc>
          <w:tcPr>
            <w:tcW w:w="360" w:type="dxa"/>
            <w:vAlign w:val="bottom"/>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71"/>
        </w:trPr>
        <w:tc>
          <w:tcPr>
            <w:tcW w:w="5600" w:type="dxa"/>
            <w:vAlign w:val="bottom"/>
            <w:gridSpan w:val="4"/>
          </w:tcPr>
          <w:p>
            <w:pPr>
              <w:spacing w:after="0"/>
              <w:rPr>
                <w:sz w:val="20"/>
                <w:szCs w:val="20"/>
                <w:color w:val="auto"/>
              </w:rPr>
            </w:pPr>
            <w:r>
              <w:rPr>
                <w:rFonts w:ascii="Arial" w:cs="Arial" w:eastAsia="Arial" w:hAnsi="Arial"/>
                <w:sz w:val="21"/>
                <w:szCs w:val="21"/>
                <w:color w:val="auto"/>
              </w:rPr>
              <w:t>Name:Kenneth M. Ederle</w:t>
            </w:r>
          </w:p>
        </w:tc>
        <w:tc>
          <w:tcPr>
            <w:tcW w:w="290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33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1"/>
          <w:szCs w:val="21"/>
          <w:b w:val="1"/>
          <w:bCs w:val="1"/>
          <w:i w:val="1"/>
          <w:iCs w:val="1"/>
          <w:color w:val="auto"/>
        </w:rPr>
        <w:t>EXHIBIT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FORM OF RELEASE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GENERAL RELEASE OF CLAIMS</w:t>
      </w:r>
    </w:p>
    <w:p>
      <w:pPr>
        <w:spacing w:after="0" w:line="213" w:lineRule="exact"/>
        <w:rPr>
          <w:sz w:val="20"/>
          <w:szCs w:val="20"/>
          <w:color w:val="auto"/>
        </w:rPr>
      </w:pPr>
    </w:p>
    <w:p>
      <w:pPr>
        <w:jc w:val="both"/>
        <w:ind w:firstLine="885"/>
        <w:spacing w:after="0" w:line="266" w:lineRule="auto"/>
        <w:tabs>
          <w:tab w:leader="none" w:pos="2321" w:val="left"/>
        </w:tabs>
        <w:numPr>
          <w:ilvl w:val="0"/>
          <w:numId w:val="59"/>
        </w:numPr>
        <w:rPr>
          <w:rFonts w:ascii="Arial" w:cs="Arial" w:eastAsia="Arial" w:hAnsi="Arial"/>
          <w:sz w:val="19"/>
          <w:szCs w:val="19"/>
          <w:color w:val="auto"/>
        </w:rPr>
      </w:pPr>
      <w:r>
        <w:rPr>
          <w:rFonts w:ascii="Arial" w:cs="Arial" w:eastAsia="Arial" w:hAnsi="Arial"/>
          <w:sz w:val="19"/>
          <w:szCs w:val="19"/>
          <w:color w:val="auto"/>
        </w:rPr>
        <w:t>Kenneth M. Ederle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right="20" w:firstLine="885"/>
        <w:spacing w:after="0" w:line="269" w:lineRule="auto"/>
        <w:tabs>
          <w:tab w:leader="none" w:pos="2321" w:val="left"/>
        </w:tabs>
        <w:numPr>
          <w:ilvl w:val="0"/>
          <w:numId w:val="59"/>
        </w:numPr>
        <w:rPr>
          <w:rFonts w:ascii="Arial" w:cs="Arial" w:eastAsia="Arial" w:hAnsi="Arial"/>
          <w:sz w:val="21"/>
          <w:szCs w:val="21"/>
          <w:color w:val="auto"/>
        </w:rPr>
      </w:pPr>
      <w:r>
        <w:rPr>
          <w:rFonts w:ascii="Arial" w:cs="Arial" w:eastAsia="Arial" w:hAnsi="Arial"/>
          <w:sz w:val="21"/>
          <w:szCs w:val="21"/>
          <w:color w:val="auto"/>
        </w:rPr>
        <w:t>Executive represents that he has not filed against the Released Parties any complaints, charges, or lawsuits arising out of his employment, or any other matter arising on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4" w:name="page45"/>
    <w:bookmarkEnd w:id="44"/>
    <w:p>
      <w:pPr>
        <w:jc w:val="both"/>
        <w:spacing w:after="0" w:line="246" w:lineRule="auto"/>
        <w:rPr>
          <w:sz w:val="20"/>
          <w:szCs w:val="20"/>
          <w:color w:val="auto"/>
        </w:rPr>
      </w:pPr>
      <w:r>
        <w:rPr>
          <w:rFonts w:ascii="Arial" w:cs="Arial" w:eastAsia="Arial" w:hAnsi="Arial"/>
          <w:sz w:val="21"/>
          <w:szCs w:val="21"/>
          <w:color w:val="auto"/>
        </w:rPr>
        <w:t>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21"/>
          <w:szCs w:val="21"/>
          <w:u w:val="single" w:color="auto"/>
          <w:color w:val="auto"/>
        </w:rPr>
        <w:t>Proceeding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Executive shall not have relinquished his right to commence a Proceeding to challenge whether Executive knowingly and voluntarily waived his rights under ADEA.</w:t>
      </w:r>
    </w:p>
    <w:p>
      <w:pPr>
        <w:spacing w:after="0" w:line="179" w:lineRule="exact"/>
        <w:rPr>
          <w:sz w:val="20"/>
          <w:szCs w:val="20"/>
          <w:color w:val="auto"/>
        </w:rPr>
      </w:pPr>
    </w:p>
    <w:p>
      <w:pPr>
        <w:jc w:val="both"/>
        <w:ind w:firstLine="885"/>
        <w:spacing w:after="0" w:line="284" w:lineRule="auto"/>
        <w:tabs>
          <w:tab w:leader="none" w:pos="2321"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1" w:lineRule="exact"/>
        <w:rPr>
          <w:rFonts w:ascii="Arial" w:cs="Arial" w:eastAsia="Arial" w:hAnsi="Arial"/>
          <w:sz w:val="19"/>
          <w:szCs w:val="19"/>
          <w:color w:val="auto"/>
        </w:rPr>
      </w:pPr>
    </w:p>
    <w:p>
      <w:pPr>
        <w:jc w:val="both"/>
        <w:ind w:firstLine="885"/>
        <w:spacing w:after="0" w:line="254" w:lineRule="auto"/>
        <w:tabs>
          <w:tab w:leader="none" w:pos="2321" w:val="left"/>
        </w:tabs>
        <w:numPr>
          <w:ilvl w:val="0"/>
          <w:numId w:val="60"/>
        </w:numPr>
        <w:rPr>
          <w:rFonts w:ascii="Arial" w:cs="Arial" w:eastAsia="Arial" w:hAnsi="Arial"/>
          <w:sz w:val="21"/>
          <w:szCs w:val="21"/>
          <w:color w:val="auto"/>
        </w:rPr>
      </w:pPr>
      <w:r>
        <w:rPr>
          <w:rFonts w:ascii="Arial" w:cs="Arial" w:eastAsia="Arial" w:hAnsi="Arial"/>
          <w:sz w:val="21"/>
          <w:szCs w:val="21"/>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68" w:lineRule="exact"/>
        <w:rPr>
          <w:rFonts w:ascii="Arial" w:cs="Arial" w:eastAsia="Arial" w:hAnsi="Arial"/>
          <w:sz w:val="21"/>
          <w:szCs w:val="21"/>
          <w:color w:val="auto"/>
        </w:rPr>
      </w:pPr>
    </w:p>
    <w:p>
      <w:pPr>
        <w:jc w:val="both"/>
        <w:ind w:firstLine="885"/>
        <w:spacing w:after="0" w:line="254" w:lineRule="auto"/>
        <w:tabs>
          <w:tab w:leader="none" w:pos="2321" w:val="left"/>
        </w:tabs>
        <w:numPr>
          <w:ilvl w:val="0"/>
          <w:numId w:val="60"/>
        </w:numPr>
        <w:rPr>
          <w:rFonts w:ascii="Arial" w:cs="Arial" w:eastAsia="Arial" w:hAnsi="Arial"/>
          <w:sz w:val="21"/>
          <w:szCs w:val="21"/>
          <w:color w:val="auto"/>
        </w:rPr>
      </w:pPr>
      <w:r>
        <w:rPr>
          <w:rFonts w:ascii="Arial" w:cs="Arial" w:eastAsia="Arial" w:hAnsi="Arial"/>
          <w:sz w:val="21"/>
          <w:szCs w:val="21"/>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68" w:lineRule="exact"/>
        <w:rPr>
          <w:rFonts w:ascii="Arial" w:cs="Arial" w:eastAsia="Arial" w:hAnsi="Arial"/>
          <w:sz w:val="21"/>
          <w:szCs w:val="21"/>
          <w:color w:val="auto"/>
        </w:rPr>
      </w:pPr>
    </w:p>
    <w:p>
      <w:pPr>
        <w:jc w:val="both"/>
        <w:ind w:firstLine="885"/>
        <w:spacing w:after="0" w:line="254" w:lineRule="auto"/>
        <w:tabs>
          <w:tab w:leader="none" w:pos="232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Kenneth M. Ederle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4" w:lineRule="exact"/>
        <w:rPr>
          <w:sz w:val="20"/>
          <w:szCs w:val="20"/>
          <w:color w:val="auto"/>
        </w:rPr>
      </w:pPr>
    </w:p>
    <w:p>
      <w:pPr>
        <w:ind w:left="520" w:hanging="513"/>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3" w:lineRule="exact"/>
        <w:rPr>
          <w:rFonts w:ascii="Arial" w:cs="Arial" w:eastAsia="Arial" w:hAnsi="Arial"/>
          <w:sz w:val="18"/>
          <w:szCs w:val="18"/>
          <w:color w:val="auto"/>
        </w:rPr>
      </w:pPr>
    </w:p>
    <w:p>
      <w:pPr>
        <w:ind w:left="520" w:right="40" w:hanging="513"/>
        <w:spacing w:after="0" w:line="334" w:lineRule="auto"/>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6"/>
          <w:szCs w:val="16"/>
          <w:color w:val="auto"/>
        </w:rPr>
      </w:pPr>
    </w:p>
    <w:p>
      <w:pPr>
        <w:ind w:left="520" w:right="500" w:hanging="513"/>
        <w:spacing w:after="0" w:line="300"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ind w:left="520" w:right="120" w:hanging="513"/>
        <w:spacing w:after="0" w:line="259"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1020" w:right="300" w:hanging="505"/>
        <w:spacing w:after="0" w:line="259"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020" w:right="600" w:hanging="505"/>
        <w:spacing w:after="0" w:line="259"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020" w:right="760" w:hanging="505"/>
        <w:spacing w:after="0" w:line="398" w:lineRule="auto"/>
        <w:tabs>
          <w:tab w:leader="none" w:pos="1020" w:val="left"/>
        </w:tabs>
        <w:numPr>
          <w:ilvl w:val="1"/>
          <w:numId w:val="6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hanging="505"/>
        <w:spacing w:after="0" w:line="259"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right="240" w:hanging="513"/>
        <w:spacing w:after="0" w:line="300"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7"/>
          <w:szCs w:val="17"/>
          <w:color w:val="auto"/>
        </w:rPr>
      </w:pPr>
    </w:p>
    <w:p>
      <w:pPr>
        <w:ind w:left="1020" w:right="200" w:hanging="505"/>
        <w:spacing w:after="0" w:line="300" w:lineRule="auto"/>
        <w:tabs>
          <w:tab w:leader="none" w:pos="10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7"/>
          <w:szCs w:val="17"/>
          <w:color w:val="auto"/>
        </w:rPr>
      </w:pPr>
    </w:p>
    <w:p>
      <w:pPr>
        <w:ind w:left="1020" w:right="160" w:hanging="505"/>
        <w:spacing w:after="0" w:line="270"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A. Levin</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-97155</wp:posOffset>
            </wp:positionV>
            <wp:extent cx="2741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129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4" w:lineRule="exact"/>
        <w:rPr>
          <w:sz w:val="20"/>
          <w:szCs w:val="20"/>
          <w:color w:val="auto"/>
        </w:rPr>
      </w:pPr>
    </w:p>
    <w:p>
      <w:pPr>
        <w:ind w:left="520" w:hanging="51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3" w:lineRule="exact"/>
        <w:rPr>
          <w:rFonts w:ascii="Arial" w:cs="Arial" w:eastAsia="Arial" w:hAnsi="Arial"/>
          <w:sz w:val="18"/>
          <w:szCs w:val="18"/>
          <w:color w:val="auto"/>
        </w:rPr>
      </w:pPr>
    </w:p>
    <w:p>
      <w:pPr>
        <w:ind w:left="520" w:right="40" w:hanging="513"/>
        <w:spacing w:after="0" w:line="334"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6"/>
          <w:szCs w:val="16"/>
          <w:color w:val="auto"/>
        </w:rPr>
      </w:pPr>
    </w:p>
    <w:p>
      <w:pPr>
        <w:ind w:left="520" w:right="500" w:hanging="513"/>
        <w:spacing w:after="0" w:line="300"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ind w:left="520" w:right="120" w:hanging="513"/>
        <w:spacing w:after="0" w:line="259"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1020" w:right="300" w:hanging="505"/>
        <w:spacing w:after="0" w:line="259"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020" w:right="600" w:hanging="505"/>
        <w:spacing w:after="0" w:line="259"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020" w:right="760" w:hanging="505"/>
        <w:spacing w:after="0" w:line="398" w:lineRule="auto"/>
        <w:tabs>
          <w:tab w:leader="none" w:pos="10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hanging="505"/>
        <w:spacing w:after="0" w:line="259"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right="240" w:hanging="513"/>
        <w:spacing w:after="0" w:line="300"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7"/>
          <w:szCs w:val="17"/>
          <w:color w:val="auto"/>
        </w:rPr>
      </w:pPr>
    </w:p>
    <w:p>
      <w:pPr>
        <w:ind w:left="1020" w:right="200" w:hanging="505"/>
        <w:spacing w:after="0" w:line="300" w:lineRule="auto"/>
        <w:tabs>
          <w:tab w:leader="none" w:pos="10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7"/>
          <w:szCs w:val="17"/>
          <w:color w:val="auto"/>
        </w:rPr>
      </w:pPr>
    </w:p>
    <w:p>
      <w:pPr>
        <w:ind w:left="1020" w:right="160" w:hanging="505"/>
        <w:spacing w:after="0" w:line="270"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820" w:val="left"/>
          <w:tab w:leader="none" w:pos="8420" w:val="left"/>
        </w:tabs>
        <w:rPr>
          <w:sz w:val="20"/>
          <w:szCs w:val="20"/>
          <w:color w:val="auto"/>
        </w:rPr>
      </w:pPr>
      <w:r>
        <w:rPr>
          <w:rFonts w:ascii="Arial" w:cs="Arial" w:eastAsia="Arial" w:hAnsi="Arial"/>
          <w:sz w:val="18"/>
          <w:szCs w:val="18"/>
          <w:color w:val="auto"/>
        </w:rPr>
        <w:t>Date:November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Peter H. Stratton, Jr.</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-97155</wp:posOffset>
            </wp:positionV>
            <wp:extent cx="27412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129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31, 2015, as filed with the Securities and Exchange Commission on the date hereof (the “Report”), I, David A. Levin, Chief Executive Officer of the Company, certify pursuant to 18 U.S.C. § 1350, as adopted pursuant to § 906 of the Sarbanes-Oxley Act of 2002, that:</w:t>
      </w:r>
    </w:p>
    <w:p>
      <w:pPr>
        <w:spacing w:after="0" w:line="78" w:lineRule="exact"/>
        <w:rPr>
          <w:sz w:val="20"/>
          <w:szCs w:val="20"/>
          <w:color w:val="auto"/>
        </w:rPr>
      </w:pPr>
    </w:p>
    <w:p>
      <w:pPr>
        <w:ind w:left="1420" w:right="720" w:hanging="331"/>
        <w:spacing w:after="0" w:line="270" w:lineRule="auto"/>
        <w:tabs>
          <w:tab w:leader="none" w:pos="13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8" w:lineRule="exact"/>
        <w:rPr>
          <w:rFonts w:ascii="Arial" w:cs="Arial" w:eastAsia="Arial" w:hAnsi="Arial"/>
          <w:sz w:val="18"/>
          <w:szCs w:val="18"/>
          <w:color w:val="auto"/>
        </w:rPr>
      </w:pPr>
    </w:p>
    <w:p>
      <w:pPr>
        <w:ind w:left="1420" w:right="520" w:hanging="331"/>
        <w:spacing w:after="0" w:line="270" w:lineRule="auto"/>
        <w:tabs>
          <w:tab w:leader="none" w:pos="13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A. Levin</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-97155</wp:posOffset>
            </wp:positionV>
            <wp:extent cx="27412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129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pacing w:after="0" w:line="192" w:lineRule="exact"/>
        <w:rPr>
          <w:sz w:val="20"/>
          <w:szCs w:val="20"/>
          <w:color w:val="auto"/>
        </w:rPr>
      </w:pPr>
    </w:p>
    <w:p>
      <w:pPr>
        <w:ind w:right="60" w:firstLine="518"/>
        <w:spacing w:after="0" w:line="281"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31, 2015,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8" w:lineRule="exact"/>
        <w:rPr>
          <w:sz w:val="20"/>
          <w:szCs w:val="20"/>
          <w:color w:val="auto"/>
        </w:rPr>
      </w:pPr>
    </w:p>
    <w:p>
      <w:pPr>
        <w:ind w:left="1420" w:right="720" w:hanging="331"/>
        <w:spacing w:after="0" w:line="270" w:lineRule="auto"/>
        <w:tabs>
          <w:tab w:leader="none" w:pos="13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8" w:lineRule="exact"/>
        <w:rPr>
          <w:rFonts w:ascii="Arial" w:cs="Arial" w:eastAsia="Arial" w:hAnsi="Arial"/>
          <w:sz w:val="18"/>
          <w:szCs w:val="18"/>
          <w:color w:val="auto"/>
        </w:rPr>
      </w:pPr>
    </w:p>
    <w:p>
      <w:pPr>
        <w:ind w:left="1420" w:right="520" w:hanging="331"/>
        <w:spacing w:after="0" w:line="270" w:lineRule="auto"/>
        <w:tabs>
          <w:tab w:leader="none" w:pos="13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5" w:lineRule="exact"/>
        <w:rPr>
          <w:sz w:val="20"/>
          <w:szCs w:val="20"/>
          <w:color w:val="auto"/>
        </w:rPr>
      </w:pPr>
    </w:p>
    <w:p>
      <w:pPr>
        <w:spacing w:after="0"/>
        <w:tabs>
          <w:tab w:leader="none" w:pos="6820" w:val="left"/>
          <w:tab w:leader="none" w:pos="8420" w:val="left"/>
        </w:tabs>
        <w:rPr>
          <w:sz w:val="20"/>
          <w:szCs w:val="20"/>
          <w:color w:val="auto"/>
        </w:rPr>
      </w:pPr>
      <w:r>
        <w:rPr>
          <w:rFonts w:ascii="Arial" w:cs="Arial" w:eastAsia="Arial" w:hAnsi="Arial"/>
          <w:sz w:val="18"/>
          <w:szCs w:val="18"/>
          <w:color w:val="auto"/>
        </w:rPr>
        <w:t>Date:November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Peter H. Stratton, Jr.</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-97155</wp:posOffset>
            </wp:positionV>
            <wp:extent cx="27412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4129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pacing w:after="0" w:line="192" w:lineRule="exact"/>
        <w:rPr>
          <w:sz w:val="20"/>
          <w:szCs w:val="20"/>
          <w:color w:val="auto"/>
        </w:rPr>
      </w:pPr>
    </w:p>
    <w:p>
      <w:pPr>
        <w:ind w:right="60" w:firstLine="518"/>
        <w:spacing w:after="0" w:line="281"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0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2"/>
    </w:lvl>
  </w:abstractNum>
  <w:abstractNum w:abstractNumId="14">
    <w:nsid w:val="51EAD36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5">
    <w:nsid w:val="2D517796"/>
    <w:multiLevelType w:val="hybridMultilevel"/>
    <w:lvl w:ilvl="0">
      <w:lvlJc w:val="left"/>
      <w:lvlText w:val="%1"/>
      <w:numFmt w:val="decimal"/>
      <w:start w:val="1"/>
    </w:lvl>
    <w:lvl w:ilvl="1">
      <w:lvlJc w:val="left"/>
      <w:lvlText w:val="(%2)"/>
      <w:numFmt w:val="lowerLetter"/>
      <w:start w:val="3"/>
    </w:lvl>
  </w:abstractNum>
  <w:abstractNum w:abstractNumId="16">
    <w:nsid w:val="580BD78F"/>
    <w:multiLevelType w:val="hybridMultilevel"/>
    <w:lvl w:ilvl="0">
      <w:lvlJc w:val="left"/>
      <w:lvlText w:val="%1."/>
      <w:numFmt w:val="decimal"/>
      <w:start w:val="4"/>
    </w:lvl>
    <w:lvl w:ilvl="1">
      <w:lvlJc w:val="left"/>
      <w:lvlText w:val="%2"/>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Roman"/>
      <w:start w:val="1"/>
    </w:lvl>
  </w:abstractNum>
  <w:abstractNum w:abstractNumId="19">
    <w:nsid w:val="70A64E2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20">
    <w:nsid w:val="6A2342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21">
    <w:nsid w:val="2A487CB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22">
    <w:nsid w:val="1D4ED43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23">
    <w:nsid w:val="725A06FB"/>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4">
    <w:nsid w:val="2CD89A32"/>
    <w:multiLevelType w:val="hybridMultilevel"/>
    <w:lvl w:ilvl="0">
      <w:lvlJc w:val="left"/>
      <w:lvlText w:val="(%1)"/>
      <w:numFmt w:val="lowerLetter"/>
      <w:start w:val="6"/>
    </w:lvl>
  </w:abstractNum>
  <w:abstractNum w:abstractNumId="25">
    <w:nsid w:val="57E4CCAF"/>
    <w:multiLevelType w:val="hybridMultilevel"/>
    <w:lvl w:ilvl="0">
      <w:lvlJc w:val="left"/>
      <w:lvlText w:val="(%1)"/>
      <w:numFmt w:val="lowerLetter"/>
      <w:start w:val="8"/>
    </w:lvl>
  </w:abstractNum>
  <w:abstractNum w:abstractNumId="26">
    <w:nsid w:val="7A6D8D3C"/>
    <w:multiLevelType w:val="hybridMultilevel"/>
    <w:lvl w:ilvl="0">
      <w:lvlJc w:val="left"/>
      <w:lvlText w:val="(%1)"/>
      <w:numFmt w:val="lowerLetter"/>
      <w:start w:val="10"/>
    </w:lvl>
  </w:abstractNum>
  <w:abstractNum w:abstractNumId="27">
    <w:nsid w:val="4B588F54"/>
    <w:multiLevelType w:val="hybridMultilevel"/>
    <w:lvl w:ilvl="0">
      <w:lvlJc w:val="left"/>
      <w:lvlText w:val="(%1)"/>
      <w:numFmt w:val="lowerRoman"/>
      <w:start w:val="1"/>
    </w:lvl>
  </w:abstractNum>
  <w:abstractNum w:abstractNumId="28">
    <w:nsid w:val="542289EC"/>
    <w:multiLevelType w:val="hybridMultilevel"/>
    <w:lvl w:ilvl="0">
      <w:lvlJc w:val="left"/>
      <w:lvlText w:val="(%1)"/>
      <w:numFmt w:val="lowerRoman"/>
      <w:start w:val="2"/>
    </w:lvl>
  </w:abstractNum>
  <w:abstractNum w:abstractNumId="29">
    <w:nsid w:val="6DE91B18"/>
    <w:multiLevelType w:val="hybridMultilevel"/>
    <w:lvl w:ilvl="0">
      <w:lvlJc w:val="left"/>
      <w:lvlText w:val="%1"/>
      <w:numFmt w:val="decimal"/>
      <w:start w:val="1"/>
    </w:lvl>
    <w:lvl w:ilvl="1">
      <w:lvlJc w:val="left"/>
      <w:lvlText w:val="(%2)"/>
      <w:numFmt w:val="lowerLetter"/>
      <w:start w:val="11"/>
    </w:lvl>
  </w:abstractNum>
  <w:abstractNum w:abstractNumId="30">
    <w:nsid w:val="38437FDB"/>
    <w:multiLevelType w:val="hybridMultilevel"/>
    <w:lvl w:ilvl="0">
      <w:lvlJc w:val="left"/>
      <w:lvlText w:val="%1."/>
      <w:numFmt w:val="decimal"/>
      <w:start w:val="8"/>
    </w:lvl>
    <w:lvl w:ilvl="1">
      <w:lvlJc w:val="left"/>
      <w:lvlText w:val="%2"/>
      <w:numFmt w:val="lowerLetter"/>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2"/>
    </w:lvl>
    <w:lvl w:ilvl="1">
      <w:lvlJc w:val="left"/>
      <w:lvlText w:val="(%2)"/>
      <w:numFmt w:val="lowerRoman"/>
      <w:start w:val="1"/>
    </w:lvl>
  </w:abstractNum>
  <w:abstractNum w:abstractNumId="33">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34">
    <w:nsid w:val="579478F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2"/>
    </w:lvl>
  </w:abstractNum>
  <w:abstractNum w:abstractNumId="37">
    <w:nsid w:val="1BA026FA"/>
    <w:multiLevelType w:val="hybridMultilevel"/>
    <w:lvl w:ilvl="0">
      <w:lvlJc w:val="left"/>
      <w:lvlText w:val="%1."/>
      <w:numFmt w:val="decimal"/>
      <w:start w:val="11"/>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2"/>
    </w:lvl>
  </w:abstractNum>
  <w:abstractNum w:abstractNumId="40">
    <w:nsid w:val="12E685FB"/>
    <w:multiLevelType w:val="hybridMultilevel"/>
    <w:lvl w:ilvl="0">
      <w:lvlJc w:val="left"/>
      <w:lvlText w:val="%1."/>
      <w:numFmt w:val="decimal"/>
      <w:start w:val="12"/>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2"/>
    </w:lvl>
  </w:abstractNum>
  <w:abstractNum w:abstractNumId="43">
    <w:nsid w:val="374A3FE6"/>
    <w:multiLevelType w:val="hybridMultilevel"/>
    <w:lvl w:ilvl="0">
      <w:lvlJc w:val="left"/>
      <w:lvlText w:val="%1."/>
      <w:numFmt w:val="decimal"/>
      <w:start w:val="13"/>
    </w:lvl>
  </w:abstractNum>
  <w:abstractNum w:abstractNumId="44">
    <w:nsid w:val="4F4EF005"/>
    <w:multiLevelType w:val="hybridMultilevel"/>
    <w:lvl w:ilvl="0">
      <w:lvlJc w:val="left"/>
      <w:lvlText w:val="%1."/>
      <w:numFmt w:val="decimal"/>
      <w:start w:val="14"/>
    </w:lvl>
  </w:abstractNum>
  <w:abstractNum w:abstractNumId="45">
    <w:nsid w:val="23F9C13C"/>
    <w:multiLevelType w:val="hybridMultilevel"/>
    <w:lvl w:ilvl="0">
      <w:lvlJc w:val="left"/>
      <w:lvlText w:val="%1."/>
      <w:numFmt w:val="decimal"/>
      <w:start w:val="15"/>
    </w:lvl>
  </w:abstractNum>
  <w:abstractNum w:abstractNumId="46">
    <w:nsid w:val="649BB77C"/>
    <w:multiLevelType w:val="hybridMultilevel"/>
    <w:lvl w:ilvl="0">
      <w:lvlJc w:val="left"/>
      <w:lvlText w:val="%1."/>
      <w:numFmt w:val="decimal"/>
      <w:start w:val="16"/>
    </w:lvl>
  </w:abstractNum>
  <w:abstractNum w:abstractNumId="47">
    <w:nsid w:val="275AC794"/>
    <w:multiLevelType w:val="hybridMultilevel"/>
    <w:lvl w:ilvl="0">
      <w:lvlJc w:val="left"/>
      <w:lvlText w:val="%1."/>
      <w:numFmt w:val="decimal"/>
      <w:start w:val="17"/>
    </w:lvl>
  </w:abstractNum>
  <w:abstractNum w:abstractNumId="48">
    <w:nsid w:val="39386575"/>
    <w:multiLevelType w:val="hybridMultilevel"/>
    <w:lvl w:ilvl="0">
      <w:lvlJc w:val="left"/>
      <w:lvlText w:val="%1."/>
      <w:numFmt w:val="decimal"/>
      <w:start w:val="18"/>
    </w:lvl>
  </w:abstractNum>
  <w:abstractNum w:abstractNumId="49">
    <w:nsid w:val="1CF10FD8"/>
    <w:multiLevelType w:val="hybridMultilevel"/>
    <w:lvl w:ilvl="0">
      <w:lvlJc w:val="left"/>
      <w:lvlText w:val="%1."/>
      <w:numFmt w:val="decimal"/>
      <w:start w:val="19"/>
    </w:lvl>
  </w:abstractNum>
  <w:abstractNum w:abstractNumId="50">
    <w:nsid w:val="180115BE"/>
    <w:multiLevelType w:val="hybridMultilevel"/>
    <w:lvl w:ilvl="0">
      <w:lvlJc w:val="left"/>
      <w:lvlText w:val="%1."/>
      <w:numFmt w:val="decimal"/>
      <w:start w:val="20"/>
    </w:lvl>
  </w:abstractNum>
  <w:abstractNum w:abstractNumId="51">
    <w:nsid w:val="235BA861"/>
    <w:multiLevelType w:val="hybridMultilevel"/>
    <w:lvl w:ilvl="0">
      <w:lvlJc w:val="left"/>
      <w:lvlText w:val="%1."/>
      <w:numFmt w:val="decimal"/>
      <w:start w:val="21"/>
    </w:lvl>
  </w:abstractNum>
  <w:abstractNum w:abstractNumId="52">
    <w:nsid w:val="47398C89"/>
    <w:multiLevelType w:val="hybridMultilevel"/>
    <w:lvl w:ilvl="0">
      <w:lvlJc w:val="left"/>
      <w:lvlText w:val="%1."/>
      <w:numFmt w:val="decimal"/>
      <w:start w:val="22"/>
    </w:lvl>
  </w:abstractNum>
  <w:abstractNum w:abstractNumId="53">
    <w:nsid w:val="354FE9F9"/>
    <w:multiLevelType w:val="hybridMultilevel"/>
    <w:lvl w:ilvl="0">
      <w:lvlJc w:val="left"/>
      <w:lvlText w:val="%1."/>
      <w:numFmt w:val="decimal"/>
      <w:start w:val="23"/>
    </w:lvl>
  </w:abstractNum>
  <w:abstractNum w:abstractNumId="54">
    <w:nsid w:val="15B5AF5C"/>
    <w:multiLevelType w:val="hybridMultilevel"/>
    <w:lvl w:ilvl="0">
      <w:lvlJc w:val="left"/>
      <w:lvlText w:val="%1."/>
      <w:numFmt w:val="decimal"/>
      <w:start w:val="24"/>
    </w:lvl>
    <w:lvl w:ilvl="1">
      <w:lvlJc w:val="left"/>
      <w:lvlText w:val="(%2)"/>
      <w:numFmt w:val="lowerLetter"/>
      <w:start w:val="1"/>
    </w:lvl>
  </w:abstractNum>
  <w:abstractNum w:abstractNumId="55">
    <w:nsid w:val="741226BB"/>
    <w:multiLevelType w:val="hybridMultilevel"/>
    <w:lvl w:ilvl="0">
      <w:lvlJc w:val="left"/>
      <w:lvlText w:val="(%1)"/>
      <w:numFmt w:val="lowerLetter"/>
      <w:start w:val="2"/>
    </w:lvl>
  </w:abstractNum>
  <w:abstractNum w:abstractNumId="56">
    <w:nsid w:val="D34B6A8"/>
    <w:multiLevelType w:val="hybridMultilevel"/>
    <w:lvl w:ilvl="0">
      <w:lvlJc w:val="left"/>
      <w:lvlText w:val="%1."/>
      <w:numFmt w:val="decimal"/>
      <w:start w:val="25"/>
    </w:lvl>
  </w:abstractNum>
  <w:abstractNum w:abstractNumId="57">
    <w:nsid w:val="10233C99"/>
    <w:multiLevelType w:val="hybridMultilevel"/>
    <w:lvl w:ilvl="0">
      <w:lvlJc w:val="left"/>
      <w:lvlText w:val="%1."/>
      <w:numFmt w:val="decimal"/>
      <w:start w:val="26"/>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3"/>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2019-12-06T01:06:46Z</dcterms:created>
  <dcterms:modified xsi:type="dcterms:W3CDTF">2019-12-06T01:06:46Z</dcterms:modified>
</cp:coreProperties>
</file>