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33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August 7, 2025, the Company held its Annual Meeting. Set forth below are the matters submitted at the Annual Meeting by the Board of Directors of the Company to a vote of stockholders and the final results of the voting for each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Election of Directors.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seven directors to hold office until the 2026 Annual Meeting of Stockholders and until their respective successors are duly elected and qualified. The results of the voting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Lionel F. Conacher</w:t>
            </w:r>
          </w:p>
        </w:tc>
        <w:tc>
          <w:tcPr>
            <w:tcW w:w="19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FOR</w:t>
            </w:r>
          </w:p>
        </w:tc>
        <w:tc>
          <w:tcPr>
            <w:tcW w:w="19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AGAINST</w:t>
            </w:r>
          </w:p>
        </w:tc>
        <w:tc>
          <w:tcPr>
            <w:tcW w:w="19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ABSTAIN</w:t>
            </w:r>
          </w:p>
        </w:tc>
        <w:tc>
          <w:tcPr>
            <w:tcW w:w="1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Broker Non-Votes</w:t>
            </w:r>
          </w:p>
        </w:tc>
        <w:tc>
          <w:tcPr>
            <w:tcW w:w="0" w:type="dxa"/>
            <w:vAlign w:val="bottom"/>
          </w:tcPr>
          <w:p>
            <w:pPr>
              <w:spacing w:after="0"/>
              <w:rPr>
                <w:sz w:val="1"/>
                <w:szCs w:val="1"/>
                <w:color w:val="auto"/>
              </w:rPr>
            </w:pPr>
          </w:p>
        </w:tc>
      </w:tr>
      <w:tr>
        <w:trPr>
          <w:trHeight w:val="191"/>
        </w:trPr>
        <w:tc>
          <w:tcPr>
            <w:tcW w:w="3360" w:type="dxa"/>
            <w:vAlign w:val="bottom"/>
            <w:vMerge w:val="continue"/>
          </w:tcPr>
          <w:p>
            <w:pPr>
              <w:spacing w:after="0"/>
              <w:rPr>
                <w:sz w:val="16"/>
                <w:szCs w:val="16"/>
                <w:color w:val="auto"/>
              </w:rPr>
            </w:pPr>
          </w:p>
        </w:tc>
        <w:tc>
          <w:tcPr>
            <w:tcW w:w="1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20,784,497</w:t>
            </w:r>
          </w:p>
        </w:tc>
        <w:tc>
          <w:tcPr>
            <w:tcW w:w="120" w:type="dxa"/>
            <w:vAlign w:val="bottom"/>
          </w:tcPr>
          <w:p>
            <w:pPr>
              <w:spacing w:after="0"/>
              <w:rPr>
                <w:sz w:val="16"/>
                <w:szCs w:val="16"/>
                <w:color w:val="auto"/>
              </w:rPr>
            </w:pPr>
          </w:p>
        </w:tc>
        <w:tc>
          <w:tcPr>
            <w:tcW w:w="1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117,832</w:t>
            </w:r>
          </w:p>
        </w:tc>
        <w:tc>
          <w:tcPr>
            <w:tcW w:w="120" w:type="dxa"/>
            <w:vAlign w:val="bottom"/>
          </w:tcPr>
          <w:p>
            <w:pPr>
              <w:spacing w:after="0"/>
              <w:rPr>
                <w:sz w:val="16"/>
                <w:szCs w:val="16"/>
                <w:color w:val="auto"/>
              </w:rPr>
            </w:pPr>
          </w:p>
        </w:tc>
        <w:tc>
          <w:tcPr>
            <w:tcW w:w="1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8,491</w:t>
            </w:r>
          </w:p>
        </w:tc>
        <w:tc>
          <w:tcPr>
            <w:tcW w:w="120" w:type="dxa"/>
            <w:vAlign w:val="bottom"/>
          </w:tcPr>
          <w:p>
            <w:pPr>
              <w:spacing w:after="0"/>
              <w:rPr>
                <w:sz w:val="16"/>
                <w:szCs w:val="16"/>
                <w:color w:val="auto"/>
              </w:rPr>
            </w:pPr>
          </w:p>
        </w:tc>
        <w:tc>
          <w:tcPr>
            <w:tcW w:w="1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12,834,360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20,774,216</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129,466</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7,138</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12,834,360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Carmen R. Bauza</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20,699,935</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198,746</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12,141</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12,834,358</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Jack Boyle</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20,692,038</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211,642</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7,141</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12,834,359</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Willem Mesdag</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20,808,155</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95,525</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7,141</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12,834,359</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Ivy Ross</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20,755,536</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143,145</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12,141</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12,834,358</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Elaine K. Rubin</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20,749,807</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153,874</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7,141</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12,834,358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2: Advisory Vote on Compensation of Named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of the Company's named executive officers was approved by a non-binding advisory vote based upon the following votes: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FOR</w:t>
            </w:r>
          </w:p>
        </w:tc>
        <w:tc>
          <w:tcPr>
            <w:tcW w:w="100" w:type="dxa"/>
            <w:vAlign w:val="bottom"/>
          </w:tcPr>
          <w:p>
            <w:pPr>
              <w:spacing w:after="0"/>
              <w:rPr>
                <w:sz w:val="20"/>
                <w:szCs w:val="20"/>
                <w:color w:val="auto"/>
              </w:rPr>
            </w:pPr>
          </w:p>
        </w:tc>
        <w:tc>
          <w:tcPr>
            <w:tcW w:w="27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AGAINST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ABSTAIN</w:t>
            </w:r>
          </w:p>
        </w:tc>
        <w:tc>
          <w:tcPr>
            <w:tcW w:w="120" w:type="dxa"/>
            <w:vAlign w:val="bottom"/>
          </w:tcPr>
          <w:p>
            <w:pPr>
              <w:spacing w:after="0"/>
              <w:rPr>
                <w:sz w:val="20"/>
                <w:szCs w:val="20"/>
                <w:color w:val="auto"/>
              </w:rPr>
            </w:pPr>
          </w:p>
        </w:tc>
        <w:tc>
          <w:tcPr>
            <w:tcW w:w="27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28"/>
        </w:trPr>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17,735,518</w:t>
            </w:r>
          </w:p>
        </w:tc>
        <w:tc>
          <w:tcPr>
            <w:tcW w:w="10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2,480,131</w:t>
            </w:r>
          </w:p>
        </w:tc>
        <w:tc>
          <w:tcPr>
            <w:tcW w:w="10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695,170</w:t>
            </w:r>
          </w:p>
        </w:tc>
        <w:tc>
          <w:tcPr>
            <w:tcW w:w="12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12,834,361</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3: Ratification of Appointment of Independent Registered Public Accountants.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appointment of KPMG LLP as the Company’s independent registered public accounting firm for fiscal year ending January 31, 2026 was ratified based upon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FOR</w:t>
            </w:r>
          </w:p>
        </w:tc>
        <w:tc>
          <w:tcPr>
            <w:tcW w:w="100" w:type="dxa"/>
            <w:vAlign w:val="bottom"/>
          </w:tcPr>
          <w:p>
            <w:pPr>
              <w:spacing w:after="0"/>
              <w:rPr>
                <w:sz w:val="20"/>
                <w:szCs w:val="20"/>
                <w:color w:val="auto"/>
              </w:rPr>
            </w:pP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AGAINST</w:t>
            </w:r>
          </w:p>
        </w:tc>
        <w:tc>
          <w:tcPr>
            <w:tcW w:w="100" w:type="dxa"/>
            <w:vAlign w:val="bottom"/>
          </w:tcPr>
          <w:p>
            <w:pPr>
              <w:spacing w:after="0"/>
              <w:rPr>
                <w:sz w:val="20"/>
                <w:szCs w:val="20"/>
                <w:color w:val="auto"/>
              </w:rPr>
            </w:pPr>
          </w:p>
        </w:tc>
        <w:tc>
          <w:tcPr>
            <w:tcW w:w="26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ABSTAIN</w:t>
            </w:r>
          </w:p>
        </w:tc>
        <w:tc>
          <w:tcPr>
            <w:tcW w:w="120" w:type="dxa"/>
            <w:vAlign w:val="bottom"/>
          </w:tcPr>
          <w:p>
            <w:pPr>
              <w:spacing w:after="0"/>
              <w:rPr>
                <w:sz w:val="20"/>
                <w:szCs w:val="20"/>
                <w:color w:val="auto"/>
              </w:rPr>
            </w:pPr>
          </w:p>
        </w:tc>
        <w:tc>
          <w:tcPr>
            <w:tcW w:w="2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28"/>
        </w:trPr>
        <w:tc>
          <w:tcPr>
            <w:tcW w:w="2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33,059,366</w:t>
            </w:r>
          </w:p>
        </w:tc>
        <w:tc>
          <w:tcPr>
            <w:tcW w:w="100" w:type="dxa"/>
            <w:vAlign w:val="bottom"/>
          </w:tcPr>
          <w:p>
            <w:pPr>
              <w:spacing w:after="0"/>
              <w:rPr>
                <w:sz w:val="19"/>
                <w:szCs w:val="19"/>
                <w:color w:val="auto"/>
              </w:rPr>
            </w:pPr>
          </w:p>
        </w:tc>
        <w:tc>
          <w:tcPr>
            <w:tcW w:w="2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638,877</w:t>
            </w:r>
          </w:p>
        </w:tc>
        <w:tc>
          <w:tcPr>
            <w:tcW w:w="100" w:type="dxa"/>
            <w:vAlign w:val="bottom"/>
          </w:tcPr>
          <w:p>
            <w:pPr>
              <w:spacing w:after="0"/>
              <w:rPr>
                <w:sz w:val="19"/>
                <w:szCs w:val="19"/>
                <w:color w:val="auto"/>
              </w:rPr>
            </w:pPr>
          </w:p>
        </w:tc>
        <w:tc>
          <w:tcPr>
            <w:tcW w:w="2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46,937</w:t>
            </w:r>
          </w:p>
        </w:tc>
        <w:tc>
          <w:tcPr>
            <w:tcW w:w="120" w:type="dxa"/>
            <w:vAlign w:val="bottom"/>
          </w:tcPr>
          <w:p>
            <w:pPr>
              <w:spacing w:after="0"/>
              <w:rPr>
                <w:sz w:val="19"/>
                <w:szCs w:val="19"/>
                <w:color w:val="auto"/>
              </w:rPr>
            </w:pPr>
          </w:p>
        </w:tc>
        <w:tc>
          <w:tcPr>
            <w:tcW w:w="2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1177"/>
        </w:trPr>
        <w:tc>
          <w:tcPr>
            <w:tcW w:w="2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2025</w:t>
      </w:r>
      <w:r>
        <w:rPr>
          <w:sz w:val="20"/>
          <w:szCs w:val="20"/>
          <w:color w:val="auto"/>
        </w:rPr>
        <w:tab/>
      </w:r>
      <w:r>
        <w:rPr>
          <w:rFonts w:ascii="Times New Roman" w:cs="Times New Roman" w:eastAsia="Times New Roman" w:hAnsi="Times New Roman"/>
          <w:sz w:val="18"/>
          <w:szCs w:val="18"/>
          <w:color w:val="auto"/>
        </w:rPr>
        <w:t>By:</w:t>
        <w:tab/>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Robert S. Molloy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2025-08-08T06:16:41Z</dcterms:created>
  <dcterms:modified xsi:type="dcterms:W3CDTF">2025-08-08T06:16:41Z</dcterms:modified>
</cp:coreProperties>
</file>