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HOLTZMAN SEYMOUR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402" w:lineRule="auto"/>
        <w:rPr>
          <w:sz w:val="20"/>
          <w:szCs w:val="20"/>
          <w:color w:val="auto"/>
        </w:rPr>
      </w:pPr>
      <w:r>
        <w:rPr>
          <w:rFonts w:ascii="Arial" w:cs="Arial" w:eastAsia="Arial" w:hAnsi="Arial"/>
          <w:sz w:val="16"/>
          <w:szCs w:val="16"/>
          <w:color w:val="0000FF"/>
        </w:rPr>
        <w:t>C/O JEWELCOR - 4TH FLOOR 100 N WILKES BARRE BLVD</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40"/>
              <w:spacing w:after="0"/>
              <w:rPr>
                <w:sz w:val="20"/>
                <w:szCs w:val="20"/>
                <w:color w:val="auto"/>
              </w:rPr>
            </w:pPr>
            <w:r>
              <w:rPr>
                <w:rFonts w:ascii="Arial" w:cs="Arial" w:eastAsia="Arial" w:hAnsi="Arial"/>
                <w:sz w:val="18"/>
                <w:szCs w:val="18"/>
                <w:color w:val="0000FF"/>
              </w:rPr>
              <w:t>WILKES</w:t>
            </w:r>
          </w:p>
        </w:tc>
        <w:tc>
          <w:tcPr>
            <w:tcW w:w="1040" w:type="dxa"/>
            <w:vAlign w:val="bottom"/>
            <w:vMerge w:val="restart"/>
          </w:tcPr>
          <w:p>
            <w:pPr>
              <w:ind w:left="300"/>
              <w:spacing w:after="0"/>
              <w:rPr>
                <w:sz w:val="20"/>
                <w:szCs w:val="20"/>
                <w:color w:val="auto"/>
              </w:rPr>
            </w:pPr>
            <w:r>
              <w:rPr>
                <w:rFonts w:ascii="Arial" w:cs="Arial" w:eastAsia="Arial" w:hAnsi="Arial"/>
                <w:sz w:val="18"/>
                <w:szCs w:val="18"/>
                <w:color w:val="0000FF"/>
              </w:rPr>
              <w:t>PA</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0000FF"/>
              </w:rPr>
              <w:t>18702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Arial" w:cs="Arial" w:eastAsia="Arial" w:hAnsi="Arial"/>
                <w:sz w:val="18"/>
                <w:szCs w:val="18"/>
                <w:color w:val="0000FF"/>
              </w:rPr>
              <w:t>BARRE</w:t>
            </w: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11/27/2019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8"/>
                <w:szCs w:val="18"/>
                <w:color w:val="0000FF"/>
              </w:rPr>
              <w:t>11/27/2019</w:t>
            </w:r>
          </w:p>
        </w:tc>
        <w:tc>
          <w:tcPr>
            <w:tcW w:w="11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11/27/2019</w:t>
            </w: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20,000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1.22</w:t>
            </w:r>
            <w:r>
              <w:rPr>
                <w:rFonts w:ascii="Arial" w:cs="Arial" w:eastAsia="Arial" w:hAnsi="Arial"/>
                <w:sz w:val="22"/>
                <w:szCs w:val="22"/>
                <w:color w:val="008000"/>
                <w:w w:val="88"/>
                <w:vertAlign w:val="superscript"/>
              </w:rPr>
              <w:t>(1)</w:t>
            </w: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right"/>
              <w:ind w:right="239"/>
              <w:spacing w:after="0"/>
              <w:rPr>
                <w:sz w:val="20"/>
                <w:szCs w:val="20"/>
                <w:color w:val="auto"/>
              </w:rPr>
            </w:pPr>
            <w:r>
              <w:rPr>
                <w:rFonts w:ascii="Arial" w:cs="Arial" w:eastAsia="Arial" w:hAnsi="Arial"/>
                <w:sz w:val="18"/>
                <w:szCs w:val="18"/>
                <w:color w:val="0000FF"/>
              </w:rPr>
              <w:t>4,437,424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right"/>
              <w:ind w:right="299"/>
              <w:spacing w:after="0"/>
              <w:rPr>
                <w:sz w:val="20"/>
                <w:szCs w:val="20"/>
                <w:color w:val="auto"/>
              </w:rPr>
            </w:pPr>
            <w:r>
              <w:rPr>
                <w:rFonts w:ascii="Arial" w:cs="Arial" w:eastAsia="Arial" w:hAnsi="Arial"/>
                <w:sz w:val="18"/>
                <w:szCs w:val="18"/>
                <w:color w:val="0000FF"/>
              </w:rPr>
              <w:t>339,594</w:t>
            </w:r>
          </w:p>
        </w:tc>
        <w:tc>
          <w:tcPr>
            <w:tcW w:w="300" w:type="dxa"/>
            <w:vAlign w:val="bottom"/>
          </w:tcPr>
          <w:p>
            <w:pPr>
              <w:spacing w:after="0"/>
              <w:rPr>
                <w:sz w:val="18"/>
                <w:szCs w:val="18"/>
                <w:color w:val="auto"/>
              </w:rPr>
            </w:pPr>
          </w:p>
        </w:tc>
        <w:tc>
          <w:tcPr>
            <w:tcW w:w="6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$1.20 to $1.24,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chairman, chief executive officer and president and, together with his wife, indirectly, the majority shareholder of Jewelcor Management,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11/29/2019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Seymour Holtzman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47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2019-11-29T10:53:29Z</dcterms:created>
  <dcterms:modified xsi:type="dcterms:W3CDTF">2019-11-29T10:53:29Z</dcterms:modified>
</cp:coreProperties>
</file>