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47)*</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Jewelcor Companies</w:t>
      </w:r>
    </w:p>
    <w:p>
      <w:pPr>
        <w:jc w:val="center"/>
        <w:ind w:right="189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77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August 6, 2004</w:t>
      </w:r>
    </w:p>
    <w:p>
      <w:pPr>
        <w:spacing w:after="0" w:line="3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319"/>
        <w:spacing w:after="0" w:line="344"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31" w:lineRule="exact"/>
        <w:rPr>
          <w:sz w:val="24"/>
          <w:szCs w:val="24"/>
          <w:color w:val="auto"/>
        </w:rPr>
      </w:pPr>
    </w:p>
    <w:p>
      <w:pPr>
        <w:jc w:val="both"/>
        <w:ind w:right="2839" w:firstLine="8"/>
        <w:spacing w:after="0" w:line="31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52" w:lineRule="exact"/>
        <w:rPr>
          <w:sz w:val="24"/>
          <w:szCs w:val="24"/>
          <w:color w:val="auto"/>
        </w:rPr>
      </w:pPr>
    </w:p>
    <w:p>
      <w:pPr>
        <w:ind w:right="2519"/>
        <w:spacing w:after="0" w:line="250"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3" w:lineRule="exact"/>
        <w:rPr>
          <w:sz w:val="24"/>
          <w:szCs w:val="24"/>
          <w:color w:val="auto"/>
        </w:rPr>
      </w:pPr>
    </w:p>
    <w:p>
      <w:pPr>
        <w:ind w:right="2739"/>
        <w:spacing w:after="0" w:line="309"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5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4"/>
          <w:szCs w:val="24"/>
          <w:color w:val="auto"/>
        </w:rPr>
      </w:pPr>
    </w:p>
    <w:p>
      <w:pPr>
        <w:ind w:left="540" w:right="3779" w:hanging="532"/>
        <w:spacing w:after="0" w:line="34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U.S.</w:t>
      </w:r>
    </w:p>
    <w:p>
      <w:pPr>
        <w:spacing w:after="0" w:line="201" w:lineRule="exact"/>
        <w:rPr>
          <w:sz w:val="24"/>
          <w:szCs w:val="24"/>
          <w:color w:val="auto"/>
        </w:rPr>
      </w:pPr>
    </w:p>
    <w:p>
      <w:pPr>
        <w:ind w:left="2740" w:right="6199" w:hanging="1152"/>
        <w:spacing w:after="0" w:line="408" w:lineRule="auto"/>
        <w:tabs>
          <w:tab w:leader="none" w:pos="221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5,000,072</w:t>
      </w:r>
    </w:p>
    <w:p>
      <w:pPr>
        <w:sectPr>
          <w:pgSz w:w="11900" w:h="17038"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5,000,072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5"/>
              </w:rPr>
              <w:t>SHARED</w:t>
            </w:r>
          </w:p>
        </w:tc>
        <w:tc>
          <w:tcPr>
            <w:tcW w:w="18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jc w:val="right"/>
              <w:ind w:right="1372"/>
              <w:spacing w:after="0"/>
              <w:rPr>
                <w:sz w:val="20"/>
                <w:szCs w:val="20"/>
                <w:color w:val="auto"/>
              </w:rPr>
            </w:pPr>
            <w:r>
              <w:rPr>
                <w:rFonts w:ascii="Courier New" w:cs="Courier New" w:eastAsia="Courier New" w:hAnsi="Courier New"/>
                <w:sz w:val="18"/>
                <w:szCs w:val="18"/>
                <w:color w:val="auto"/>
                <w:w w:val="92"/>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359" w:hanging="852"/>
        <w:spacing w:after="0" w:line="476" w:lineRule="auto"/>
        <w:tabs>
          <w:tab w:leader="none" w:pos="5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5,000,072 SEE ITEM 5</w:t>
      </w:r>
    </w:p>
    <w:p>
      <w:pPr>
        <w:spacing w:after="0" w:line="1" w:lineRule="exact"/>
        <w:rPr>
          <w:rFonts w:ascii="Courier New" w:cs="Courier New" w:eastAsia="Courier New" w:hAnsi="Courier New"/>
          <w:sz w:val="18"/>
          <w:szCs w:val="18"/>
          <w:color w:val="auto"/>
        </w:rPr>
      </w:pPr>
    </w:p>
    <w:p>
      <w:pPr>
        <w:ind w:left="640" w:right="2319" w:hanging="632"/>
        <w:spacing w:after="0" w:line="476"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540" w:right="3779" w:hanging="532"/>
        <w:spacing w:after="0" w:line="34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1" w:lineRule="exact"/>
        <w:rPr>
          <w:sz w:val="20"/>
          <w:szCs w:val="20"/>
          <w:color w:val="auto"/>
        </w:rPr>
      </w:pPr>
    </w:p>
    <w:p>
      <w:pPr>
        <w:ind w:left="2220" w:hanging="632"/>
        <w:spacing w:after="0"/>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1"/>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jc w:val="right"/>
              <w:ind w:right="112"/>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1" w:lineRule="exact"/>
        <w:rPr>
          <w:rFonts w:ascii="Courier New" w:cs="Courier New" w:eastAsia="Courier New" w:hAnsi="Courier New"/>
          <w:sz w:val="18"/>
          <w:szCs w:val="18"/>
          <w:color w:val="auto"/>
        </w:rPr>
      </w:pPr>
    </w:p>
    <w:p>
      <w:pPr>
        <w:ind w:left="540" w:right="2319" w:hanging="532"/>
        <w:spacing w:after="0" w:line="47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right="7059" w:hanging="532"/>
        <w:spacing w:after="0" w:line="47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08" w:right="1440" w:bottom="159" w:gutter="0" w:footer="0" w:header="0"/>
        </w:sectPr>
      </w:pPr>
    </w:p>
    <w:bookmarkStart w:id="2" w:name="page3"/>
    <w:bookmarkEnd w:id="2"/>
    <w:p>
      <w:pPr>
        <w:spacing w:after="0" w:line="6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spacing w:after="0" w:line="31"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476"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 w:lineRule="exact"/>
        <w:rPr>
          <w:sz w:val="20"/>
          <w:szCs w:val="20"/>
          <w:color w:val="auto"/>
        </w:rPr>
      </w:pPr>
    </w:p>
    <w:p>
      <w:pPr>
        <w:ind w:left="540" w:right="3779" w:hanging="532"/>
        <w:spacing w:after="0" w:line="34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4,123,973</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4,123,973</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4,123,973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12.1%</w:t>
      </w:r>
    </w:p>
    <w:p>
      <w:pPr>
        <w:spacing w:after="0" w:line="201" w:lineRule="exact"/>
        <w:rPr>
          <w:rFonts w:ascii="Courier New" w:cs="Courier New" w:eastAsia="Courier New" w:hAnsi="Courier New"/>
          <w:sz w:val="18"/>
          <w:szCs w:val="18"/>
          <w:color w:val="auto"/>
        </w:rPr>
      </w:pPr>
    </w:p>
    <w:p>
      <w:pPr>
        <w:ind w:left="540" w:right="7059" w:hanging="532"/>
        <w:spacing w:after="0" w:line="58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47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 w:lineRule="exact"/>
        <w:rPr>
          <w:sz w:val="20"/>
          <w:szCs w:val="20"/>
          <w:color w:val="auto"/>
        </w:rPr>
      </w:pPr>
    </w:p>
    <w:p>
      <w:pPr>
        <w:ind w:left="540" w:right="3779" w:hanging="532"/>
        <w:spacing w:after="0" w:line="34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904" w:orient="portrait"/>
          <w:cols w:equalWidth="0" w:num="1">
            <w:col w:w="10219"/>
          </w:cols>
          <w:pgMar w:left="240" w:top="920" w:right="1440" w:bottom="0" w:gutter="0" w:footer="0" w:header="0"/>
        </w:sectPr>
      </w:pPr>
    </w:p>
    <w:bookmarkStart w:id="3" w:name="page4"/>
    <w:bookmarkEnd w:id="3"/>
    <w:p>
      <w:pPr>
        <w:spacing w:after="0" w:line="65"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540" w:right="2319" w:hanging="532"/>
        <w:spacing w:after="0" w:line="47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Incorporated</w:t>
            </w:r>
          </w:p>
        </w:tc>
        <w:tc>
          <w:tcPr>
            <w:tcW w:w="96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476"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 w:lineRule="exact"/>
        <w:rPr>
          <w:sz w:val="20"/>
          <w:szCs w:val="20"/>
          <w:color w:val="auto"/>
        </w:rPr>
      </w:pPr>
    </w:p>
    <w:p>
      <w:pPr>
        <w:ind w:left="540" w:right="3779" w:hanging="532"/>
        <w:spacing w:after="0" w:line="34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540" w:right="2319" w:hanging="532"/>
        <w:spacing w:after="0" w:line="58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ectPr>
          <w:pgSz w:w="11900" w:h="16903" w:orient="portrait"/>
          <w:cols w:equalWidth="0" w:num="1">
            <w:col w:w="10219"/>
          </w:cols>
          <w:pgMar w:left="240" w:top="312" w:right="1440" w:bottom="0" w:gutter="0" w:footer="0" w:header="0"/>
        </w:sectPr>
      </w:pPr>
    </w:p>
    <w:bookmarkStart w:id="4" w:name="page5"/>
    <w:bookmarkEnd w:id="4"/>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 ("Schedule 13D"), relates to the common stock (the "Common Stock")</w:t>
      </w:r>
    </w:p>
    <w:p>
      <w:pPr>
        <w:spacing w:after="0" w:line="21" w:lineRule="exact"/>
        <w:rPr>
          <w:sz w:val="20"/>
          <w:szCs w:val="20"/>
          <w:color w:val="auto"/>
        </w:rPr>
      </w:pPr>
    </w:p>
    <w:p>
      <w:pPr>
        <w:ind w:right="3159"/>
        <w:spacing w:after="0" w:line="323"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located at 555 Turnpike Street, Canton, Massachusetts 02021.</w:t>
      </w:r>
    </w:p>
    <w:p>
      <w:pPr>
        <w:spacing w:after="0" w:line="4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2 (a) - (c) and (f) of the Schedule 13D, "Identity and</w:t>
      </w:r>
    </w:p>
    <w:p>
      <w:pPr>
        <w:spacing w:after="0"/>
        <w:rPr>
          <w:sz w:val="20"/>
          <w:szCs w:val="20"/>
          <w:color w:val="auto"/>
        </w:rPr>
      </w:pPr>
      <w:r>
        <w:rPr>
          <w:rFonts w:ascii="Courier New" w:cs="Courier New" w:eastAsia="Courier New" w:hAnsi="Courier New"/>
          <w:sz w:val="18"/>
          <w:szCs w:val="18"/>
          <w:color w:val="auto"/>
        </w:rPr>
        <w:t>Background," are deleted in their entirety and replaced with the following:</w:t>
      </w:r>
    </w:p>
    <w:p>
      <w:pPr>
        <w:spacing w:after="0" w:line="169" w:lineRule="exact"/>
        <w:rPr>
          <w:sz w:val="20"/>
          <w:szCs w:val="20"/>
          <w:color w:val="auto"/>
        </w:rPr>
      </w:pPr>
    </w:p>
    <w:p>
      <w:pPr>
        <w:jc w:val="both"/>
        <w:ind w:right="2839" w:firstLine="1272"/>
        <w:spacing w:after="0" w:line="344" w:lineRule="auto"/>
        <w:tabs>
          <w:tab w:leader="none" w:pos="168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 (f) This Schedule 13D is being filed jointly by Jewelcor Management, Inc., Jewelcor Incorporated, S.H. Holdings, Inc., Seymour Holtzman and Evelyn Holtzman (the "Reporting Persons").</w:t>
      </w:r>
    </w:p>
    <w:p>
      <w:pPr>
        <w:spacing w:after="0" w:line="31" w:lineRule="exact"/>
        <w:rPr>
          <w:sz w:val="20"/>
          <w:szCs w:val="20"/>
          <w:color w:val="auto"/>
        </w:rPr>
      </w:pPr>
    </w:p>
    <w:p>
      <w:pPr>
        <w:ind w:right="2199" w:firstLine="1264"/>
        <w:spacing w:after="0" w:line="289" w:lineRule="auto"/>
        <w:rPr>
          <w:sz w:val="20"/>
          <w:szCs w:val="20"/>
          <w:color w:val="auto"/>
        </w:rPr>
      </w:pPr>
      <w:r>
        <w:rPr>
          <w:rFonts w:ascii="Courier New" w:cs="Courier New" w:eastAsia="Courier New" w:hAnsi="Courier New"/>
          <w:sz w:val="16"/>
          <w:szCs w:val="16"/>
          <w:color w:val="auto"/>
        </w:rPr>
        <w:t>Jewelcor Management, Inc. ("JMI") is a Nevada corporation which is primarily involved in investment and management services. The address of the principal business and principal offices of JMI is 100 N. Wilkes Barre Blvd., Wilkes Barre, Pennsylvania 18702. The officers and directors of JMI and their principal occupations and business addresses are set forth on Schedule I attached to this Schedule 13D. Seymour Holtzman, the Chairman, Chief Executive and President of JMI, has sole voting and dispositive power with respect to the shares of Common Stock held by JMI.</w:t>
      </w:r>
    </w:p>
    <w:p>
      <w:pPr>
        <w:spacing w:after="0" w:line="77" w:lineRule="exact"/>
        <w:rPr>
          <w:sz w:val="20"/>
          <w:szCs w:val="20"/>
          <w:color w:val="auto"/>
        </w:rPr>
      </w:pPr>
    </w:p>
    <w:p>
      <w:pPr>
        <w:ind w:right="1999" w:firstLine="1264"/>
        <w:spacing w:after="0" w:line="298" w:lineRule="auto"/>
        <w:rPr>
          <w:sz w:val="20"/>
          <w:szCs w:val="20"/>
          <w:color w:val="auto"/>
        </w:rPr>
      </w:pPr>
      <w:r>
        <w:rPr>
          <w:rFonts w:ascii="Courier New" w:cs="Courier New" w:eastAsia="Courier New" w:hAnsi="Courier New"/>
          <w:sz w:val="16"/>
          <w:szCs w:val="16"/>
          <w:color w:val="auto"/>
        </w:rPr>
        <w:t>JMI is a wholly owned subsidiary of Jewelcor Incorporated, a Pennsylvania corporation ("Jewelcor") which owns and manages commercial real estate. The address of the principal business and principal offices of Jewelcor is 100 N. Wilkes Barre Blvd., Wilkes Barre, Pennsylvania 18702. The officers and directors of Jewelcor and their principal occupations and business addresses are set forth on Schedule II attached to this Schedule 13D.</w:t>
      </w:r>
    </w:p>
    <w:p>
      <w:pPr>
        <w:spacing w:after="0" w:line="68" w:lineRule="exact"/>
        <w:rPr>
          <w:sz w:val="20"/>
          <w:szCs w:val="20"/>
          <w:color w:val="auto"/>
        </w:rPr>
      </w:pPr>
    </w:p>
    <w:p>
      <w:pPr>
        <w:ind w:right="2099" w:firstLine="1264"/>
        <w:spacing w:after="0" w:line="253" w:lineRule="auto"/>
        <w:rPr>
          <w:sz w:val="20"/>
          <w:szCs w:val="20"/>
          <w:color w:val="auto"/>
        </w:rPr>
      </w:pPr>
      <w:r>
        <w:rPr>
          <w:rFonts w:ascii="Courier New" w:cs="Courier New" w:eastAsia="Courier New" w:hAnsi="Courier New"/>
          <w:sz w:val="18"/>
          <w:szCs w:val="18"/>
          <w:color w:val="auto"/>
        </w:rPr>
        <w:t>Jewelcor is a wholly owned subsidiary of S.H. Holdings, Inc., a Delaware corporation ("SHI") which acts as a holding company. The address of the principal business and principal offices of SHI is 100 N. Wilkes Barre Blvd., Wilkes Barre, Pennsylvania 18702. The officers and directors of SHI and their principal occupations and business addresses are set forth on Schedule III attached to this Schedule 13D. Seymour Holtzman and Evelyn Holtzman, his wife, own, as tenants by the entirety, a controlling interest in SHI.</w:t>
      </w:r>
    </w:p>
    <w:p>
      <w:pPr>
        <w:spacing w:after="0" w:line="104" w:lineRule="exact"/>
        <w:rPr>
          <w:sz w:val="20"/>
          <w:szCs w:val="20"/>
          <w:color w:val="auto"/>
        </w:rPr>
      </w:pPr>
    </w:p>
    <w:p>
      <w:pPr>
        <w:ind w:right="2199" w:firstLine="1264"/>
        <w:spacing w:after="0" w:line="256" w:lineRule="auto"/>
        <w:rPr>
          <w:sz w:val="20"/>
          <w:szCs w:val="20"/>
          <w:color w:val="auto"/>
        </w:rPr>
      </w:pPr>
      <w:r>
        <w:rPr>
          <w:rFonts w:ascii="Courier New" w:cs="Courier New" w:eastAsia="Courier New" w:hAnsi="Courier New"/>
          <w:sz w:val="18"/>
          <w:szCs w:val="18"/>
          <w:color w:val="auto"/>
        </w:rPr>
        <w:t>Seymour Holtzman is a United States citizen whose business address is 100 N. Wilkes Barre Blvd., Wilkes Barre, Pennsylvania 18702. Mr. Holtzman's principal occupation is serving as Chairman of the Board of two public companies, Casual Male Retail Group, Inc. and MM Companies, Inc. He also serves as Chairman and Chief Executive Officer of each of JMI, C.D. Peacock, Inc., a Chicago retail jewelry establishment, and S.A. Peck &amp; Company, a Chicago based retail and mail order jewelry company.</w:t>
      </w:r>
    </w:p>
    <w:p>
      <w:pPr>
        <w:spacing w:after="0" w:line="98" w:lineRule="exact"/>
        <w:rPr>
          <w:sz w:val="20"/>
          <w:szCs w:val="20"/>
          <w:color w:val="auto"/>
        </w:rPr>
      </w:pPr>
    </w:p>
    <w:p>
      <w:pPr>
        <w:ind w:right="2099" w:firstLine="1264"/>
        <w:spacing w:after="0" w:line="347" w:lineRule="auto"/>
        <w:rPr>
          <w:sz w:val="20"/>
          <w:szCs w:val="20"/>
          <w:color w:val="auto"/>
        </w:rPr>
      </w:pPr>
      <w:r>
        <w:rPr>
          <w:rFonts w:ascii="Courier New" w:cs="Courier New" w:eastAsia="Courier New" w:hAnsi="Courier New"/>
          <w:sz w:val="18"/>
          <w:szCs w:val="18"/>
          <w:color w:val="auto"/>
        </w:rPr>
        <w:t>Evelyn Holtzman is a United States citizen whose business address is 100 N. Wilkes Barre Blvd., Wilkes Barre, Pennsylvania 18702.</w:t>
      </w:r>
    </w:p>
    <w:p>
      <w:pPr>
        <w:spacing w:after="0" w:line="18" w:lineRule="exact"/>
        <w:rPr>
          <w:sz w:val="20"/>
          <w:szCs w:val="20"/>
          <w:color w:val="auto"/>
        </w:rPr>
      </w:pPr>
    </w:p>
    <w:p>
      <w:pPr>
        <w:ind w:right="2319" w:firstLine="1272"/>
        <w:spacing w:after="0" w:line="276" w:lineRule="auto"/>
        <w:tabs>
          <w:tab w:leader="none" w:pos="168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(e) During the last five years, no Reporting Person or other person identified in response to this Item 2 has been convicted in a criminal proceeding (excluding traffic violations or similar misdemeanors), or was a party to a civil proceeding of a judicial or administrative body of competent jurisdiction and as a result of such proceeding</w:t>
      </w:r>
    </w:p>
    <w:p>
      <w:pPr>
        <w:spacing w:after="0" w:line="2" w:lineRule="exact"/>
        <w:rPr>
          <w:rFonts w:ascii="Courier New" w:cs="Courier New" w:eastAsia="Courier New" w:hAnsi="Courier New"/>
          <w:sz w:val="16"/>
          <w:szCs w:val="16"/>
          <w:color w:val="auto"/>
        </w:rPr>
      </w:pPr>
    </w:p>
    <w:p>
      <w:pPr>
        <w:ind w:right="2199"/>
        <w:spacing w:after="0" w:line="32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was or is subject to a judgment, decree or final order enjoining future violations of, or prohibiting or mandating activities subject to, federal or state securities laws or finding any violation with respect to such laws.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4 is hereby amended and supplemented as follows:</w:t>
      </w:r>
    </w:p>
    <w:p>
      <w:pPr>
        <w:sectPr>
          <w:pgSz w:w="11900" w:h="16838" w:orient="portrait"/>
          <w:cols w:equalWidth="0" w:num="1">
            <w:col w:w="10219"/>
          </w:cols>
          <w:pgMar w:left="240" w:top="110"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On August 6, 2004, JMI advised Deutsche Bank Alex. Brown ("DB")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JMI was terminating immediately, the pre-arranged stock</w:t>
      </w:r>
    </w:p>
    <w:p>
      <w:pPr>
        <w:ind w:right="3039"/>
        <w:spacing w:after="0" w:line="304" w:lineRule="auto"/>
        <w:rPr>
          <w:sz w:val="20"/>
          <w:szCs w:val="20"/>
          <w:color w:val="auto"/>
        </w:rPr>
      </w:pPr>
      <w:r>
        <w:rPr>
          <w:rFonts w:ascii="Courier New" w:cs="Courier New" w:eastAsia="Courier New" w:hAnsi="Courier New"/>
          <w:sz w:val="16"/>
          <w:szCs w:val="16"/>
          <w:color w:val="auto"/>
        </w:rPr>
        <w:t>trading plan entered into by JMI and DB on June 9, 2004 (as amended) pursuant to Rule 10b5-1 under the Securities Exchange Act of 1934 ("Exchange Act"), as previously reported in Schedule 13D Amendment Number 46 filed by the Reporting Persons on June 26, 2004.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amended and supplemented as follows:</w:t>
      </w:r>
    </w:p>
    <w:p>
      <w:pPr>
        <w:spacing w:after="0" w:line="201" w:lineRule="exact"/>
        <w:rPr>
          <w:sz w:val="20"/>
          <w:szCs w:val="20"/>
          <w:color w:val="auto"/>
        </w:rPr>
      </w:pPr>
    </w:p>
    <w:p>
      <w:pPr>
        <w:ind w:right="2619" w:firstLine="843"/>
        <w:spacing w:after="0" w:line="278" w:lineRule="auto"/>
        <w:rPr>
          <w:sz w:val="20"/>
          <w:szCs w:val="20"/>
          <w:color w:val="auto"/>
        </w:rPr>
      </w:pPr>
      <w:r>
        <w:rPr>
          <w:rFonts w:ascii="Courier New" w:cs="Courier New" w:eastAsia="Courier New" w:hAnsi="Courier New"/>
          <w:sz w:val="16"/>
          <w:szCs w:val="16"/>
          <w:color w:val="auto"/>
        </w:rPr>
        <w:t>On July 15, 2004, the Company granted to Seymour Holtzman stock options to acquire 200,000 shares of the Company's common stock at $6.27 per share, the closing price of such stock on the date of the grant. Options on 66,667 shares are currently exercisable and options on</w:t>
      </w:r>
    </w:p>
    <w:p>
      <w:pPr>
        <w:spacing w:after="0" w:line="3" w:lineRule="exact"/>
        <w:rPr>
          <w:sz w:val="20"/>
          <w:szCs w:val="20"/>
          <w:color w:val="auto"/>
        </w:rPr>
      </w:pPr>
    </w:p>
    <w:p>
      <w:pPr>
        <w:ind w:right="3259"/>
        <w:spacing w:after="0" w:line="309" w:lineRule="auto"/>
        <w:rPr>
          <w:sz w:val="20"/>
          <w:szCs w:val="20"/>
          <w:color w:val="auto"/>
        </w:rPr>
      </w:pPr>
      <w:r>
        <w:rPr>
          <w:rFonts w:ascii="Courier New" w:cs="Courier New" w:eastAsia="Courier New" w:hAnsi="Courier New"/>
          <w:sz w:val="18"/>
          <w:szCs w:val="18"/>
          <w:color w:val="auto"/>
        </w:rPr>
        <w:t>66,666 shares will become exercisable on each of July 15, 2005 and July 15, 2006.</w:t>
      </w:r>
    </w:p>
    <w:p>
      <w:pPr>
        <w:spacing w:after="0" w:line="51" w:lineRule="exact"/>
        <w:rPr>
          <w:sz w:val="20"/>
          <w:szCs w:val="20"/>
          <w:color w:val="auto"/>
        </w:rPr>
      </w:pPr>
    </w:p>
    <w:p>
      <w:pPr>
        <w:ind w:right="2739" w:firstLine="843"/>
        <w:spacing w:after="0" w:line="265" w:lineRule="auto"/>
        <w:rPr>
          <w:sz w:val="20"/>
          <w:szCs w:val="20"/>
          <w:color w:val="auto"/>
        </w:rPr>
      </w:pPr>
      <w:r>
        <w:rPr>
          <w:rFonts w:ascii="Courier New" w:cs="Courier New" w:eastAsia="Courier New" w:hAnsi="Courier New"/>
          <w:sz w:val="18"/>
          <w:szCs w:val="18"/>
          <w:color w:val="auto"/>
        </w:rPr>
        <w:t>As of August 9, 2004, JMI beneficially owns an aggregate of 4,123,973 shares of Common Stock. Based upon the Company's Form 10-Q filed on June 10, 2004, which indicates that there are 34,196,813 shares of Common Stock outstanding, JMI beneficially owns approximately 12.1% of said outstanding shares.</w:t>
      </w:r>
    </w:p>
    <w:p>
      <w:pPr>
        <w:spacing w:after="0" w:line="90" w:lineRule="exact"/>
        <w:rPr>
          <w:sz w:val="20"/>
          <w:szCs w:val="20"/>
          <w:color w:val="auto"/>
        </w:rPr>
      </w:pPr>
    </w:p>
    <w:p>
      <w:pPr>
        <w:ind w:right="2739" w:firstLine="843"/>
        <w:spacing w:after="0" w:line="274" w:lineRule="auto"/>
        <w:rPr>
          <w:sz w:val="20"/>
          <w:szCs w:val="20"/>
          <w:color w:val="auto"/>
        </w:rPr>
      </w:pPr>
      <w:r>
        <w:rPr>
          <w:rFonts w:ascii="Courier New" w:cs="Courier New" w:eastAsia="Courier New" w:hAnsi="Courier New"/>
          <w:sz w:val="18"/>
          <w:szCs w:val="18"/>
          <w:color w:val="auto"/>
        </w:rPr>
        <w:t>As of August 9, 2004, the Reporting Persons beneficially own an aggregate of 5,000,072 shares of Common Stock which, based on 34,196,813 shares of Common Stock outstanding, represents approximately 14.6% of said outstanding shares.</w:t>
      </w:r>
    </w:p>
    <w:p>
      <w:pPr>
        <w:spacing w:after="0" w:line="284" w:lineRule="exact"/>
        <w:rPr>
          <w:sz w:val="20"/>
          <w:szCs w:val="20"/>
          <w:color w:val="auto"/>
        </w:rPr>
      </w:pPr>
    </w:p>
    <w:p>
      <w:pPr>
        <w:ind w:right="1999" w:firstLine="1054"/>
        <w:spacing w:after="0" w:line="344" w:lineRule="auto"/>
        <w:rPr>
          <w:sz w:val="20"/>
          <w:szCs w:val="20"/>
          <w:color w:val="auto"/>
        </w:rPr>
      </w:pPr>
      <w:r>
        <w:rPr>
          <w:rFonts w:ascii="Courier New" w:cs="Courier New" w:eastAsia="Courier New" w:hAnsi="Courier New"/>
          <w:sz w:val="16"/>
          <w:szCs w:val="16"/>
          <w:color w:val="auto"/>
        </w:rPr>
        <w:t>The responses of the Reporting Persons to Items (7) through (11) of the cover pages to this Schedule 13D relating to the beneficial ownership of shares of Common Stock of the Company are incorporated herein by reference.</w:t>
      </w:r>
    </w:p>
    <w:p>
      <w:pPr>
        <w:spacing w:after="0" w:line="31" w:lineRule="exact"/>
        <w:rPr>
          <w:sz w:val="20"/>
          <w:szCs w:val="20"/>
          <w:color w:val="auto"/>
        </w:rPr>
      </w:pPr>
    </w:p>
    <w:p>
      <w:pPr>
        <w:ind w:right="3039" w:firstLine="843"/>
        <w:spacing w:after="0" w:line="274"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82" w:lineRule="exact"/>
        <w:rPr>
          <w:sz w:val="20"/>
          <w:szCs w:val="20"/>
          <w:color w:val="auto"/>
        </w:rPr>
      </w:pPr>
    </w:p>
    <w:p>
      <w:pPr>
        <w:ind w:right="2619" w:firstLine="843"/>
        <w:spacing w:after="0" w:line="298" w:lineRule="auto"/>
        <w:rPr>
          <w:sz w:val="20"/>
          <w:szCs w:val="20"/>
          <w:color w:val="auto"/>
        </w:rPr>
      </w:pPr>
      <w:r>
        <w:rPr>
          <w:rFonts w:ascii="Courier New" w:cs="Courier New" w:eastAsia="Courier New" w:hAnsi="Courier New"/>
          <w:sz w:val="16"/>
          <w:szCs w:val="16"/>
          <w:color w:val="auto"/>
        </w:rPr>
        <w:t>The Reporting Persons are filing this Schedule 13D because such Reporting Persons may be deemed to be members of a group for purposes of Section 13(d) of the Exchange Act, as amended. Each Reporting Person disclaims beneficial ownership of any Common Stock beneficially owned by any other Reporting Person, except that Mr. Holtzman acknowledges beneficial ownership of the Common Stock owned by JMI.</w:t>
      </w:r>
    </w:p>
    <w:p>
      <w:pPr>
        <w:spacing w:after="0" w:line="68" w:lineRule="exact"/>
        <w:rPr>
          <w:sz w:val="20"/>
          <w:szCs w:val="20"/>
          <w:color w:val="auto"/>
        </w:rPr>
      </w:pPr>
    </w:p>
    <w:p>
      <w:pPr>
        <w:ind w:right="2939"/>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6 is hereby amended and supplemented as follows: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documents are filed as exhibits 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 August 6, 2004 letter from JMI to DB.</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31" w:lineRule="exact"/>
        <w:rPr>
          <w:sz w:val="20"/>
          <w:szCs w:val="20"/>
          <w:color w:val="auto"/>
        </w:rPr>
      </w:pPr>
    </w:p>
    <w:p>
      <w:pPr>
        <w:ind w:right="2619"/>
        <w:spacing w:after="0" w:line="309"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10, 2004</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Evelyn Holtzman</w:t>
      </w:r>
    </w:p>
    <w:p>
      <w:pPr>
        <w:spacing w:after="0" w:line="37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ectPr>
          <w:pgSz w:w="11900" w:h="16838" w:orient="portrait"/>
          <w:cols w:equalWidth="0" w:num="1">
            <w:col w:w="10219"/>
          </w:cols>
          <w:pgMar w:left="240" w:top="110" w:right="1440" w:bottom="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9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40" w:type="dxa"/>
            <w:vAlign w:val="bottom"/>
          </w:tcPr>
          <w:p>
            <w:pPr>
              <w:ind w:left="1840"/>
              <w:spacing w:after="0"/>
              <w:rPr>
                <w:sz w:val="20"/>
                <w:szCs w:val="20"/>
                <w:color w:val="auto"/>
              </w:rPr>
            </w:pPr>
            <w:r>
              <w:rPr>
                <w:rFonts w:ascii="Courier New" w:cs="Courier New" w:eastAsia="Courier New" w:hAnsi="Courier New"/>
                <w:sz w:val="18"/>
                <w:szCs w:val="18"/>
                <w:color w:val="auto"/>
              </w:rPr>
              <w:t>Schedule I</w:t>
            </w:r>
          </w:p>
        </w:tc>
      </w:tr>
      <w:tr>
        <w:trPr>
          <w:trHeight w:val="608"/>
        </w:trPr>
        <w:tc>
          <w:tcPr>
            <w:tcW w:w="75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Directors and Officers of Jewelcor Management, Inc.</w:t>
            </w:r>
          </w:p>
        </w:tc>
        <w:tc>
          <w:tcPr>
            <w:tcW w:w="3640" w:type="dxa"/>
            <w:vAlign w:val="bottom"/>
          </w:tcPr>
          <w:p>
            <w:pPr>
              <w:spacing w:after="0"/>
              <w:rPr>
                <w:sz w:val="24"/>
                <w:szCs w:val="24"/>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Principal Occupation</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Principal Business Address</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58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364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r>
      <w:tr>
        <w:trPr>
          <w:trHeight w:val="514"/>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Chairman, Chief Executive</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100 North 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Chief Executive Officer,</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President</w:t>
            </w: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Jewelcor Management, Inc.</w:t>
            </w:r>
          </w:p>
        </w:tc>
        <w:tc>
          <w:tcPr>
            <w:tcW w:w="3640" w:type="dxa"/>
            <w:vAlign w:val="bottom"/>
          </w:tcPr>
          <w:p>
            <w:pPr>
              <w:spacing w:after="0"/>
              <w:rPr>
                <w:sz w:val="24"/>
                <w:szCs w:val="24"/>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Richard Huffsmith,</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Vice President/General Counsel,</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100 North 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Wilkes Barre, Pennsylvania  18702</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General Counsel</w:t>
            </w:r>
          </w:p>
        </w:tc>
        <w:tc>
          <w:tcPr>
            <w:tcW w:w="35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Joseph F. Litchman, Director</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Consultant to</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100 North Wilkes Barre Blvd.</w:t>
            </w:r>
          </w:p>
        </w:tc>
      </w:tr>
      <w:tr>
        <w:trPr>
          <w:trHeight w:val="296"/>
        </w:trPr>
        <w:tc>
          <w:tcPr>
            <w:tcW w:w="396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Jewelcor Management, Inc.</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Wilkes Barre, Pennsylvania 18702</w:t>
            </w: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Maria Sciandra, Corporate Secretary,</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Corporate Secretary</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100 North Wilkes Barre Blvd.</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Jewelcor Management, Inc.</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Wilkes Barre, Pennsylvania 18702</w:t>
            </w:r>
          </w:p>
        </w:tc>
      </w:tr>
    </w:tbl>
    <w:p>
      <w:pPr>
        <w:sectPr>
          <w:pgSz w:w="11900" w:h="16838" w:orient="portrait"/>
          <w:cols w:equalWidth="0" w:num="1">
            <w:col w:w="11180"/>
          </w:cols>
          <w:pgMar w:left="240" w:top="312" w:right="479" w:bottom="1440" w:gutter="0" w:footer="0" w:header="0"/>
        </w:sectPr>
      </w:pPr>
    </w:p>
    <w:bookmarkStart w:id="7" w:name="page8"/>
    <w:bookmarkEnd w:id="7"/>
    <w:p>
      <w:pPr>
        <w:ind w:left="9180"/>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Directors and Officers of Jewelcor Incorporated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Principal Occupation</w:t>
            </w:r>
          </w:p>
        </w:tc>
        <w:tc>
          <w:tcPr>
            <w:tcW w:w="1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Principal</w:t>
            </w:r>
          </w:p>
        </w:tc>
        <w:tc>
          <w:tcPr>
            <w:tcW w:w="24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9"/>
              </w:rPr>
              <w:t>Business Address</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58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36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w:t>
            </w:r>
          </w:p>
        </w:tc>
      </w:tr>
      <w:tr>
        <w:trPr>
          <w:trHeight w:val="514"/>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Chairman, Chief Executive</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North</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8"/>
              </w:rPr>
              <w:t>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Chief Executive Officer,</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President</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Jewelcor Management, Inc.</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Richard Huffsmith,</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Vice President/General Counsel,</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North</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8"/>
              </w:rPr>
              <w:t>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Wilkes Barre, Pennsylvania  18702</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General Counsel</w:t>
            </w:r>
          </w:p>
        </w:tc>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Joseph F. Litchman, Director and</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Consultant to</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North</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8"/>
              </w:rPr>
              <w:t>Wilkes Barre Blvd.</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Treasurer</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Jewelcor Management, Inc.</w:t>
            </w:r>
          </w:p>
        </w:tc>
        <w:tc>
          <w:tcPr>
            <w:tcW w:w="3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Wilkes Barre, Pennsylvania 18702</w:t>
            </w: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Maria Sciandra, Corporate Secretary,</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Corporate Secretary</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North</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8"/>
              </w:rPr>
              <w:t>Wilkes Barre Blvd.</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Jewelcor Management, Inc.</w:t>
            </w:r>
          </w:p>
        </w:tc>
        <w:tc>
          <w:tcPr>
            <w:tcW w:w="3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Wilkes Barre, Pennsylvania 18702</w:t>
            </w:r>
          </w:p>
        </w:tc>
      </w:tr>
    </w:tbl>
    <w:p>
      <w:pPr>
        <w:sectPr>
          <w:pgSz w:w="11900" w:h="16838" w:orient="portrait"/>
          <w:cols w:equalWidth="0" w:num="1">
            <w:col w:w="11180"/>
          </w:cols>
          <w:pgMar w:left="240" w:top="1096" w:right="47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20" w:type="dxa"/>
            <w:vAlign w:val="bottom"/>
          </w:tcPr>
          <w:p>
            <w:pPr>
              <w:ind w:left="1640"/>
              <w:spacing w:after="0"/>
              <w:rPr>
                <w:sz w:val="20"/>
                <w:szCs w:val="20"/>
                <w:color w:val="auto"/>
              </w:rPr>
            </w:pPr>
            <w:r>
              <w:rPr>
                <w:rFonts w:ascii="Courier New" w:cs="Courier New" w:eastAsia="Courier New" w:hAnsi="Courier New"/>
                <w:sz w:val="18"/>
                <w:szCs w:val="18"/>
                <w:color w:val="auto"/>
                <w:w w:val="99"/>
              </w:rPr>
              <w:t>Schedule</w:t>
            </w:r>
          </w:p>
        </w:tc>
        <w:tc>
          <w:tcPr>
            <w:tcW w:w="1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III</w:t>
            </w:r>
          </w:p>
        </w:tc>
      </w:tr>
      <w:tr>
        <w:trPr>
          <w:trHeight w:val="608"/>
        </w:trPr>
        <w:tc>
          <w:tcPr>
            <w:tcW w:w="5020" w:type="dxa"/>
            <w:vAlign w:val="bottom"/>
            <w:gridSpan w:val="2"/>
          </w:tcPr>
          <w:p>
            <w:pPr>
              <w:ind w:left="2000"/>
              <w:spacing w:after="0"/>
              <w:rPr>
                <w:sz w:val="20"/>
                <w:szCs w:val="20"/>
                <w:color w:val="auto"/>
              </w:rPr>
            </w:pPr>
            <w:r>
              <w:rPr>
                <w:rFonts w:ascii="Courier New" w:cs="Courier New" w:eastAsia="Courier New" w:hAnsi="Courier New"/>
                <w:sz w:val="18"/>
                <w:szCs w:val="18"/>
                <w:color w:val="auto"/>
                <w:w w:val="99"/>
              </w:rPr>
              <w:t>Directors and Officers of SH</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Holdings, Inc.</w:t>
            </w: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Principal Occupation</w:t>
            </w: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Principal Business Address</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5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w:t>
            </w:r>
          </w:p>
        </w:tc>
        <w:tc>
          <w:tcPr>
            <w:tcW w:w="364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r>
      <w:tr>
        <w:trPr>
          <w:trHeight w:val="514"/>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Chairman, Chief Executive</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100 North Wilkes Barre</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Chief Executive Officer,</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w:t>
            </w: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Jewelcor</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Richard Huffsmith,</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President/General Counsel,</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100 North Wilkes Barre</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Wilkes Barre, Pennsylvania  18702</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General Counsel</w:t>
            </w:r>
          </w:p>
        </w:tc>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Joseph F. Litchman, Director and</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Consultant to</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100 North Wilkes Barre</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Blvd.</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Treasurer</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Jewelcor</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Wilkes Barre, Pennsylvania 18702</w:t>
            </w: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Maria Sciandra, Corporate Secretary,</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Corporate Secretary</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100 North Wilkes Barre</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Blvd.</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Jewelcor</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Wilkes Barre, Pennsylvania 18702</w:t>
            </w:r>
          </w:p>
        </w:tc>
      </w:tr>
    </w:tbl>
    <w:p>
      <w:pPr>
        <w:sectPr>
          <w:pgSz w:w="11900" w:h="16838" w:orient="portrait"/>
          <w:cols w:equalWidth="0" w:num="1">
            <w:col w:w="11180"/>
          </w:cols>
          <w:pgMar w:left="240" w:top="1096" w:right="479"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FACSIMILE AND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6,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Deutsche Bank Alex.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 Park Avenue, 3rd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Christopher Lee</w:t>
      </w:r>
    </w:p>
    <w:p>
      <w:pPr>
        <w:spacing w:after="0" w:line="169"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8"/>
          <w:szCs w:val="18"/>
          <w:color w:val="auto"/>
        </w:rPr>
        <w:t>Re: Advanced Instructions to Sell Common Stock between Jewelcor Management, Inc. and Deutsche Bank Alex.Brown, a division of Deutsche Bank Securities, Inc., dated June 9, 2004 ("Advanced Instructions"), as amended by that Amendment Agreement dated June 9, 2004, (the "Amendment", and together with the Advanced Instructions, the "Agreement").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Lee:</w:t>
      </w:r>
    </w:p>
    <w:p>
      <w:pPr>
        <w:spacing w:after="0" w:line="201" w:lineRule="exact"/>
        <w:rPr>
          <w:sz w:val="20"/>
          <w:szCs w:val="20"/>
          <w:color w:val="auto"/>
        </w:rPr>
      </w:pPr>
    </w:p>
    <w:p>
      <w:pPr>
        <w:ind w:right="3159" w:firstLine="843"/>
        <w:spacing w:after="0" w:line="265" w:lineRule="auto"/>
        <w:rPr>
          <w:sz w:val="20"/>
          <w:szCs w:val="20"/>
          <w:color w:val="auto"/>
        </w:rPr>
      </w:pPr>
      <w:r>
        <w:rPr>
          <w:rFonts w:ascii="Courier New" w:cs="Courier New" w:eastAsia="Courier New" w:hAnsi="Courier New"/>
          <w:sz w:val="18"/>
          <w:szCs w:val="18"/>
          <w:color w:val="auto"/>
        </w:rPr>
        <w:t>Pursuant to the last paragraph of the Advanced Instructions and paragraph 2(j) of Schedule 1 to the above referenced Agreement, Jewelcor Management, Inc. hereby terminates the Agreement effective immediately and requests that Deutsche Bank Alex.Brown revoke and cease all sales under the Agreement.</w:t>
      </w:r>
    </w:p>
    <w:p>
      <w:pPr>
        <w:spacing w:after="0" w:line="90" w:lineRule="exact"/>
        <w:rPr>
          <w:sz w:val="20"/>
          <w:szCs w:val="20"/>
          <w:color w:val="auto"/>
        </w:rPr>
      </w:pPr>
    </w:p>
    <w:p>
      <w:pPr>
        <w:jc w:val="both"/>
        <w:ind w:right="3679" w:firstLine="737"/>
        <w:spacing w:after="0" w:line="402" w:lineRule="auto"/>
        <w:rPr>
          <w:sz w:val="20"/>
          <w:szCs w:val="20"/>
          <w:color w:val="auto"/>
        </w:rPr>
      </w:pPr>
      <w:r>
        <w:rPr>
          <w:rFonts w:ascii="Courier New" w:cs="Courier New" w:eastAsia="Courier New" w:hAnsi="Courier New"/>
          <w:sz w:val="16"/>
          <w:szCs w:val="16"/>
          <w:color w:val="auto"/>
        </w:rPr>
        <w:t>Please sign a copy of this letter in the space provided below and return it to me. Call me if you have any questions.</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_/s/_____________________</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Seymour Holtzman</w:t>
      </w:r>
    </w:p>
    <w:p>
      <w:pPr>
        <w:ind w:left="2960"/>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rPr>
          <w:sz w:val="20"/>
          <w:szCs w:val="20"/>
          <w:color w:val="auto"/>
        </w:rPr>
      </w:pPr>
      <w:r>
        <w:rPr>
          <w:rFonts w:ascii="Courier New" w:cs="Courier New" w:eastAsia="Courier New" w:hAnsi="Courier New"/>
          <w:sz w:val="18"/>
          <w:szCs w:val="18"/>
          <w:color w:val="auto"/>
        </w:rPr>
        <w:t>Accepted:</w:t>
      </w:r>
    </w:p>
    <w:p>
      <w:pPr>
        <w:spacing w:after="0" w:line="238" w:lineRule="auto"/>
        <w:rPr>
          <w:sz w:val="20"/>
          <w:szCs w:val="20"/>
          <w:color w:val="auto"/>
        </w:rPr>
      </w:pPr>
      <w:r>
        <w:rPr>
          <w:rFonts w:ascii="Courier New" w:cs="Courier New" w:eastAsia="Courier New" w:hAnsi="Courier New"/>
          <w:sz w:val="18"/>
          <w:szCs w:val="18"/>
          <w:color w:val="auto"/>
        </w:rPr>
        <w:t>Deutsche Bank Alex Brown</w:t>
      </w:r>
    </w:p>
    <w:p>
      <w:pPr>
        <w:spacing w:after="0"/>
        <w:tabs>
          <w:tab w:leader="none" w:pos="520" w:val="left"/>
        </w:tabs>
        <w:rPr>
          <w:sz w:val="20"/>
          <w:szCs w:val="20"/>
          <w:color w:val="auto"/>
        </w:rPr>
      </w:pPr>
      <w:r>
        <w:rPr>
          <w:rFonts w:ascii="Courier New" w:cs="Courier New" w:eastAsia="Courier New" w:hAnsi="Courier New"/>
          <w:sz w:val="18"/>
          <w:szCs w:val="18"/>
          <w:color w:val="auto"/>
        </w:rPr>
        <w:t>By:</w:t>
        <w:tab/>
        <w:t>______________________</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_____________________</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\\w2k3server\users$\jquigley\Deutsche Bank Alex Brown letter 8-6-04.doc</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bullet"/>
      <w:start w:val="1"/>
    </w:lvl>
  </w:abstractNum>
  <w:abstractNum w:abstractNumId="2">
    <w:nsid w:val="257130A3"/>
    <w:multiLevelType w:val="hybridMultilevel"/>
    <w:lvl w:ilvl="0">
      <w:lvlJc w:val="left"/>
      <w:lvlText w:val="3"/>
      <w:numFmt w:val="bullet"/>
      <w:start w:val="1"/>
    </w:lvl>
  </w:abstractNum>
  <w:abstractNum w:abstractNumId="3">
    <w:nsid w:val="62BBD95A"/>
    <w:multiLevelType w:val="hybridMultilevel"/>
    <w:lvl w:ilvl="0">
      <w:lvlJc w:val="left"/>
      <w:lvlText w:val="4"/>
      <w:numFmt w:val="bullet"/>
      <w:start w:val="1"/>
    </w:lvl>
  </w:abstractNum>
  <w:abstractNum w:abstractNumId="4">
    <w:nsid w:val="436C6125"/>
    <w:multiLevelType w:val="hybridMultilevel"/>
    <w:lvl w:ilvl="0">
      <w:lvlJc w:val="left"/>
      <w:lvlText w:val="5"/>
      <w:numFmt w:val="bullet"/>
      <w:start w:val="1"/>
    </w:lvl>
  </w:abstractNum>
  <w:abstractNum w:abstractNumId="5">
    <w:nsid w:val="628C895D"/>
    <w:multiLevelType w:val="hybridMultilevel"/>
    <w:lvl w:ilvl="0">
      <w:lvlJc w:val="left"/>
      <w:lvlText w:val="6"/>
      <w:numFmt w:val="bullet"/>
      <w:start w:val="1"/>
    </w:lvl>
  </w:abstractNum>
  <w:abstractNum w:abstractNumId="6">
    <w:nsid w:val="333AB105"/>
    <w:multiLevelType w:val="hybridMultilevel"/>
    <w:lvl w:ilvl="0">
      <w:lvlJc w:val="left"/>
      <w:lvlText w:val="7"/>
      <w:numFmt w:val="bullet"/>
      <w:start w:val="1"/>
    </w:lvl>
  </w:abstractNum>
  <w:abstractNum w:abstractNumId="7">
    <w:nsid w:val="721DA317"/>
    <w:multiLevelType w:val="hybridMultilevel"/>
    <w:lvl w:ilvl="0">
      <w:lvlJc w:val="left"/>
      <w:lvlText w:val="%1"/>
      <w:numFmt w:val="decimal"/>
      <w:start w:val="11"/>
    </w:lvl>
  </w:abstractNum>
  <w:abstractNum w:abstractNumId="8">
    <w:nsid w:val="2443A858"/>
    <w:multiLevelType w:val="hybridMultilevel"/>
    <w:lvl w:ilvl="0">
      <w:lvlJc w:val="left"/>
      <w:lvlText w:val="1"/>
      <w:numFmt w:val="bullet"/>
      <w:start w:val="1"/>
    </w:lvl>
  </w:abstractNum>
  <w:abstractNum w:abstractNumId="9">
    <w:nsid w:val="2D1D5AE9"/>
    <w:multiLevelType w:val="hybridMultilevel"/>
    <w:lvl w:ilvl="0">
      <w:lvlJc w:val="left"/>
      <w:lvlText w:val="3"/>
      <w:numFmt w:val="bullet"/>
      <w:start w:val="1"/>
    </w:lvl>
  </w:abstractNum>
  <w:abstractNum w:abstractNumId="10">
    <w:nsid w:val="6763845E"/>
    <w:multiLevelType w:val="hybridMultilevel"/>
    <w:lvl w:ilvl="0">
      <w:lvlJc w:val="left"/>
      <w:lvlText w:val="4"/>
      <w:numFmt w:val="bullet"/>
      <w:start w:val="1"/>
    </w:lvl>
  </w:abstractNum>
  <w:abstractNum w:abstractNumId="11">
    <w:nsid w:val="75A2A8D4"/>
    <w:multiLevelType w:val="hybridMultilevel"/>
    <w:lvl w:ilvl="0">
      <w:lvlJc w:val="left"/>
      <w:lvlText w:val="5"/>
      <w:numFmt w:val="bullet"/>
      <w:start w:val="1"/>
    </w:lvl>
  </w:abstractNum>
  <w:abstractNum w:abstractNumId="12">
    <w:nsid w:val="8EDBDAB"/>
    <w:multiLevelType w:val="hybridMultilevel"/>
    <w:lvl w:ilvl="0">
      <w:lvlJc w:val="left"/>
      <w:lvlText w:val="6"/>
      <w:numFmt w:val="bullet"/>
      <w:start w:val="1"/>
    </w:lvl>
  </w:abstractNum>
  <w:abstractNum w:abstractNumId="13">
    <w:nsid w:val="79838CB2"/>
    <w:multiLevelType w:val="hybridMultilevel"/>
    <w:lvl w:ilvl="0">
      <w:lvlJc w:val="left"/>
      <w:lvlText w:val="7"/>
      <w:numFmt w:val="bullet"/>
      <w:start w:val="1"/>
    </w:lvl>
  </w:abstractNum>
  <w:abstractNum w:abstractNumId="14">
    <w:nsid w:val="4353D0CD"/>
    <w:multiLevelType w:val="hybridMultilevel"/>
    <w:lvl w:ilvl="0">
      <w:lvlJc w:val="left"/>
      <w:lvlText w:val="%1"/>
      <w:numFmt w:val="decimal"/>
      <w:start w:val="11"/>
    </w:lvl>
    <w:lvl w:ilvl="1">
      <w:lvlJc w:val="left"/>
      <w:lvlText w:val="-"/>
      <w:numFmt w:val="bullet"/>
      <w:start w:val="1"/>
    </w:lvl>
  </w:abstractNum>
  <w:abstractNum w:abstractNumId="15">
    <w:nsid w:val="B03E0C6"/>
    <w:multiLevelType w:val="hybridMultilevel"/>
    <w:lvl w:ilvl="0">
      <w:lvlJc w:val="left"/>
      <w:lvlText w:val="1"/>
      <w:numFmt w:val="bullet"/>
      <w:start w:val="1"/>
    </w:lvl>
  </w:abstractNum>
  <w:abstractNum w:abstractNumId="16">
    <w:nsid w:val="189A769B"/>
    <w:multiLevelType w:val="hybridMultilevel"/>
    <w:lvl w:ilvl="0">
      <w:lvlJc w:val="left"/>
      <w:lvlText w:val="3"/>
      <w:numFmt w:val="bullet"/>
      <w:start w:val="1"/>
    </w:lvl>
  </w:abstractNum>
  <w:abstractNum w:abstractNumId="17">
    <w:nsid w:val="54E49EB4"/>
    <w:multiLevelType w:val="hybridMultilevel"/>
    <w:lvl w:ilvl="0">
      <w:lvlJc w:val="left"/>
      <w:lvlText w:val="4"/>
      <w:numFmt w:val="bullet"/>
      <w:start w:val="1"/>
    </w:lvl>
  </w:abstractNum>
  <w:abstractNum w:abstractNumId="18">
    <w:nsid w:val="71F32454"/>
    <w:multiLevelType w:val="hybridMultilevel"/>
    <w:lvl w:ilvl="0">
      <w:lvlJc w:val="left"/>
      <w:lvlText w:val="5"/>
      <w:numFmt w:val="bullet"/>
      <w:start w:val="1"/>
    </w:lvl>
  </w:abstractNum>
  <w:abstractNum w:abstractNumId="19">
    <w:nsid w:val="2CA88611"/>
    <w:multiLevelType w:val="hybridMultilevel"/>
    <w:lvl w:ilvl="0">
      <w:lvlJc w:val="left"/>
      <w:lvlText w:val="6"/>
      <w:numFmt w:val="bullet"/>
      <w:start w:val="1"/>
    </w:lvl>
  </w:abstractNum>
  <w:abstractNum w:abstractNumId="20">
    <w:nsid w:val="836C40E"/>
    <w:multiLevelType w:val="hybridMultilevel"/>
    <w:lvl w:ilvl="0">
      <w:lvlJc w:val="left"/>
      <w:lvlText w:val="%1"/>
      <w:numFmt w:val="decimal"/>
      <w:start w:val="11"/>
    </w:lvl>
  </w:abstractNum>
  <w:abstractNum w:abstractNumId="21">
    <w:nsid w:val="2901D82"/>
    <w:multiLevelType w:val="hybridMultilevel"/>
    <w:lvl w:ilvl="0">
      <w:lvlJc w:val="left"/>
      <w:lvlText w:val="1"/>
      <w:numFmt w:val="bullet"/>
      <w:start w:val="1"/>
    </w:lvl>
  </w:abstractNum>
  <w:abstractNum w:abstractNumId="22">
    <w:nsid w:val="3A95F874"/>
    <w:multiLevelType w:val="hybridMultilevel"/>
    <w:lvl w:ilvl="0">
      <w:lvlJc w:val="left"/>
      <w:lvlText w:val="3"/>
      <w:numFmt w:val="bullet"/>
      <w:start w:val="1"/>
    </w:lvl>
  </w:abstractNum>
  <w:abstractNum w:abstractNumId="23">
    <w:nsid w:val="8138641"/>
    <w:multiLevelType w:val="hybridMultilevel"/>
    <w:lvl w:ilvl="0">
      <w:lvlJc w:val="left"/>
      <w:lvlText w:val="4"/>
      <w:numFmt w:val="bullet"/>
      <w:start w:val="1"/>
    </w:lvl>
  </w:abstractNum>
  <w:abstractNum w:abstractNumId="24">
    <w:nsid w:val="1E7FF521"/>
    <w:multiLevelType w:val="hybridMultilevel"/>
    <w:lvl w:ilvl="0">
      <w:lvlJc w:val="left"/>
      <w:lvlText w:val="5"/>
      <w:numFmt w:val="bullet"/>
      <w:start w:val="1"/>
    </w:lvl>
  </w:abstractNum>
  <w:abstractNum w:abstractNumId="25">
    <w:nsid w:val="7C3DBD3D"/>
    <w:multiLevelType w:val="hybridMultilevel"/>
    <w:lvl w:ilvl="0">
      <w:lvlJc w:val="left"/>
      <w:lvlText w:val="6"/>
      <w:numFmt w:val="bullet"/>
      <w:start w:val="1"/>
    </w:lvl>
  </w:abstractNum>
  <w:abstractNum w:abstractNumId="26">
    <w:nsid w:val="737B8DDC"/>
    <w:multiLevelType w:val="hybridMultilevel"/>
    <w:lvl w:ilvl="0">
      <w:lvlJc w:val="left"/>
      <w:lvlText w:val="%1"/>
      <w:numFmt w:val="decimal"/>
      <w:start w:val="11"/>
    </w:lvl>
  </w:abstractNum>
  <w:abstractNum w:abstractNumId="27">
    <w:nsid w:val="6CEAF087"/>
    <w:multiLevelType w:val="hybridMultilevel"/>
    <w:lvl w:ilvl="0">
      <w:lvlJc w:val="left"/>
      <w:lvlText w:val="1"/>
      <w:numFmt w:val="bullet"/>
      <w:start w:val="1"/>
    </w:lvl>
  </w:abstractNum>
  <w:abstractNum w:abstractNumId="28">
    <w:nsid w:val="22221A70"/>
    <w:multiLevelType w:val="hybridMultilevel"/>
    <w:lvl w:ilvl="0">
      <w:lvlJc w:val="left"/>
      <w:lvlText w:val="3"/>
      <w:numFmt w:val="bullet"/>
      <w:start w:val="1"/>
    </w:lvl>
  </w:abstractNum>
  <w:abstractNum w:abstractNumId="29">
    <w:nsid w:val="4516DDE9"/>
    <w:multiLevelType w:val="hybridMultilevel"/>
    <w:lvl w:ilvl="0">
      <w:lvlJc w:val="left"/>
      <w:lvlText w:val="4"/>
      <w:numFmt w:val="bullet"/>
      <w:start w:val="1"/>
    </w:lvl>
  </w:abstractNum>
  <w:abstractNum w:abstractNumId="30">
    <w:nsid w:val="3006C83E"/>
    <w:multiLevelType w:val="hybridMultilevel"/>
    <w:lvl w:ilvl="0">
      <w:lvlJc w:val="left"/>
      <w:lvlText w:val="5"/>
      <w:numFmt w:val="bullet"/>
      <w:start w:val="1"/>
    </w:lvl>
  </w:abstractNum>
  <w:abstractNum w:abstractNumId="31">
    <w:nsid w:val="614FD4A1"/>
    <w:multiLevelType w:val="hybridMultilevel"/>
    <w:lvl w:ilvl="0">
      <w:lvlJc w:val="left"/>
      <w:lvlText w:val="6"/>
      <w:numFmt w:val="bullet"/>
      <w:start w:val="1"/>
    </w:lvl>
  </w:abstractNum>
  <w:abstractNum w:abstractNumId="32">
    <w:nsid w:val="419AC241"/>
    <w:multiLevelType w:val="hybridMultilevel"/>
    <w:lvl w:ilvl="0">
      <w:lvlJc w:val="left"/>
      <w:lvlText w:val="%1"/>
      <w:numFmt w:val="decimal"/>
      <w:start w:val="11"/>
    </w:lvl>
  </w:abstractNum>
  <w:abstractNum w:abstractNumId="33">
    <w:nsid w:val="5577F8E1"/>
    <w:multiLevelType w:val="hybridMultilevel"/>
    <w:lvl w:ilvl="0">
      <w:lvlJc w:val="left"/>
      <w:lvlText w:val="%1"/>
      <w:numFmt w:val="decimal"/>
      <w:start w:val="13"/>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2019-12-20T13:36:03Z</dcterms:created>
  <dcterms:modified xsi:type="dcterms:W3CDTF">2019-12-20T13:36:03Z</dcterms:modified>
</cp:coreProperties>
</file>