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SCHEDULE 13D/A</w:t>
      </w:r>
    </w:p>
    <w:p>
      <w:pPr>
        <w:spacing w:after="0" w:line="31"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(Amendment No. 61)</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TO BE INCLUDED IN STATEMENTS FILED PURSUANT TO RULE 13D-1(a) AND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AMENDMENTS THERETO FILED PURSUANT TO RULE 13D-2(a)</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Destination XL Group, Inc.</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25057L102</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Seymour Holtzman</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 Jewelcor Companies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 N. Wilkes Barre Blvd.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Wilkes-Barre, Pennsylvania 18702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(570) 822-6277</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Address and Telephone Number of Person Authorized to Receive Notices and Communications)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November 9, 2020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7"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CUSIP No. 25057L102</w:t>
            </w:r>
          </w:p>
        </w:tc>
        <w:tc>
          <w:tcPr>
            <w:tcW w:w="2200" w:type="dxa"/>
            <w:vAlign w:val="bottom"/>
          </w:tcPr>
          <w:p>
            <w:pPr>
              <w:ind w:left="1900"/>
              <w:spacing w:after="0"/>
              <w:rPr>
                <w:sz w:val="20"/>
                <w:szCs w:val="20"/>
                <w:color w:val="auto"/>
              </w:rPr>
            </w:pPr>
            <w:r>
              <w:rPr>
                <w:rFonts w:ascii="Times New Roman" w:cs="Times New Roman" w:eastAsia="Times New Roman" w:hAnsi="Times New Roman"/>
                <w:sz w:val="18"/>
                <w:szCs w:val="18"/>
                <w:color w:val="auto"/>
                <w:w w:val="90"/>
              </w:rPr>
              <w:t>13D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61550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6155055"/>
                    </a:xfrm>
                    <a:prstGeom prst="rect">
                      <a:avLst/>
                    </a:prstGeom>
                    <a:noFill/>
                  </pic:spPr>
                </pic:pic>
              </a:graphicData>
            </a:graphic>
          </wp:anchor>
        </w:drawing>
      </w:r>
    </w:p>
    <w:p>
      <w:pPr>
        <w:spacing w:after="0" w:line="232" w:lineRule="exact"/>
        <w:rPr>
          <w:sz w:val="20"/>
          <w:szCs w:val="20"/>
          <w:color w:val="auto"/>
        </w:rPr>
      </w:pPr>
    </w:p>
    <w:p>
      <w:pPr>
        <w:ind w:left="1320" w:right="7860" w:hanging="759"/>
        <w:spacing w:after="0" w:line="391" w:lineRule="auto"/>
        <w:tabs>
          <w:tab w:leader="none" w:pos="1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Seymour Holtzman</w:t>
      </w:r>
    </w:p>
    <w:p>
      <w:pPr>
        <w:ind w:left="1320" w:hanging="759"/>
        <w:spacing w:after="0"/>
        <w:tabs>
          <w:tab w:leader="none" w:pos="1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560" w:hanging="238"/>
        <w:spacing w:after="0" w:line="207" w:lineRule="exact"/>
        <w:tabs>
          <w:tab w:leader="none" w:pos="1560" w:val="left"/>
        </w:tabs>
        <w:numPr>
          <w:ilvl w:val="1"/>
          <w:numId w:val="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580" w:hanging="258"/>
        <w:spacing w:after="0" w:line="207" w:lineRule="exact"/>
        <w:tabs>
          <w:tab w:leader="none" w:pos="1580" w:val="left"/>
        </w:tabs>
        <w:numPr>
          <w:ilvl w:val="1"/>
          <w:numId w:val="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7" w:lineRule="exact"/>
        <w:rPr>
          <w:rFonts w:ascii="Times New Roman" w:cs="Times New Roman" w:eastAsia="Times New Roman" w:hAnsi="Times New Roman"/>
          <w:sz w:val="18"/>
          <w:szCs w:val="18"/>
          <w:color w:val="auto"/>
        </w:rPr>
      </w:pPr>
    </w:p>
    <w:p>
      <w:pPr>
        <w:ind w:left="1320" w:hanging="759"/>
        <w:spacing w:after="0"/>
        <w:tabs>
          <w:tab w:leader="none" w:pos="1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56" w:lineRule="exact"/>
        <w:rPr>
          <w:rFonts w:ascii="Times New Roman" w:cs="Times New Roman" w:eastAsia="Times New Roman" w:hAnsi="Times New Roman"/>
          <w:sz w:val="18"/>
          <w:szCs w:val="18"/>
          <w:color w:val="auto"/>
        </w:rPr>
      </w:pPr>
    </w:p>
    <w:p>
      <w:pPr>
        <w:ind w:left="1320" w:hanging="759"/>
        <w:spacing w:after="0"/>
        <w:tabs>
          <w:tab w:leader="none" w:pos="1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25" w:lineRule="exact"/>
        <w:rPr>
          <w:rFonts w:ascii="Times New Roman" w:cs="Times New Roman" w:eastAsia="Times New Roman" w:hAnsi="Times New Roman"/>
          <w:sz w:val="18"/>
          <w:szCs w:val="18"/>
          <w:color w:val="auto"/>
        </w:rPr>
      </w:pPr>
    </w:p>
    <w:p>
      <w:pPr>
        <w:ind w:left="1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PF</w:t>
      </w:r>
    </w:p>
    <w:p>
      <w:pPr>
        <w:spacing w:after="0" w:line="36" w:lineRule="exact"/>
        <w:rPr>
          <w:rFonts w:ascii="Times New Roman" w:cs="Times New Roman" w:eastAsia="Times New Roman" w:hAnsi="Times New Roman"/>
          <w:sz w:val="18"/>
          <w:szCs w:val="18"/>
          <w:color w:val="auto"/>
        </w:rPr>
      </w:pPr>
    </w:p>
    <w:p>
      <w:pPr>
        <w:ind w:left="1320" w:hanging="759"/>
        <w:spacing w:after="0"/>
        <w:tabs>
          <w:tab w:leader="none" w:pos="1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196" w:lineRule="exact"/>
        <w:rPr>
          <w:rFonts w:ascii="Times New Roman" w:cs="Times New Roman" w:eastAsia="Times New Roman" w:hAnsi="Times New Roman"/>
          <w:sz w:val="18"/>
          <w:szCs w:val="18"/>
          <w:color w:val="auto"/>
        </w:rPr>
      </w:pPr>
    </w:p>
    <w:p>
      <w:pPr>
        <w:ind w:left="13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1320" w:hanging="759"/>
        <w:spacing w:after="0"/>
        <w:tabs>
          <w:tab w:leader="none" w:pos="1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36" w:lineRule="exact"/>
        <w:rPr>
          <w:sz w:val="20"/>
          <w:szCs w:val="20"/>
          <w:color w:val="auto"/>
        </w:rPr>
      </w:pPr>
    </w:p>
    <w:tbl>
      <w:tblPr>
        <w:tblLayout w:type="fixed"/>
        <w:tblInd w:w="60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w:t>
            </w:r>
          </w:p>
        </w:tc>
        <w:tc>
          <w:tcPr>
            <w:tcW w:w="8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9"/>
        </w:trPr>
        <w:tc>
          <w:tcPr>
            <w:tcW w:w="14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Number of</w:t>
            </w:r>
          </w:p>
        </w:tc>
        <w:tc>
          <w:tcPr>
            <w:tcW w:w="100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4,092,018 (1)</w:t>
            </w:r>
          </w:p>
        </w:tc>
        <w:tc>
          <w:tcPr>
            <w:tcW w:w="0" w:type="dxa"/>
            <w:vAlign w:val="bottom"/>
          </w:tcPr>
          <w:p>
            <w:pPr>
              <w:spacing w:after="0"/>
              <w:rPr>
                <w:sz w:val="1"/>
                <w:szCs w:val="1"/>
                <w:color w:val="auto"/>
              </w:rPr>
            </w:pPr>
          </w:p>
        </w:tc>
      </w:tr>
      <w:tr>
        <w:trPr>
          <w:trHeight w:val="171"/>
        </w:trPr>
        <w:tc>
          <w:tcPr>
            <w:tcW w:w="1440" w:type="dxa"/>
            <w:vAlign w:val="bottom"/>
          </w:tcPr>
          <w:p>
            <w:pPr>
              <w:jc w:val="center"/>
              <w:ind w:right="470"/>
              <w:spacing w:after="0" w:line="170" w:lineRule="exact"/>
              <w:rPr>
                <w:sz w:val="20"/>
                <w:szCs w:val="20"/>
                <w:color w:val="auto"/>
              </w:rPr>
            </w:pPr>
            <w:r>
              <w:rPr>
                <w:rFonts w:ascii="Times New Roman" w:cs="Times New Roman" w:eastAsia="Times New Roman" w:hAnsi="Times New Roman"/>
                <w:sz w:val="18"/>
                <w:szCs w:val="18"/>
                <w:color w:val="auto"/>
                <w:w w:val="99"/>
              </w:rPr>
              <w:t>Shares</w:t>
            </w:r>
          </w:p>
        </w:tc>
        <w:tc>
          <w:tcPr>
            <w:tcW w:w="1000" w:type="dxa"/>
            <w:vAlign w:val="bottom"/>
          </w:tcPr>
          <w:p>
            <w:pPr>
              <w:jc w:val="right"/>
              <w:ind w:right="230"/>
              <w:spacing w:after="0" w:line="170" w:lineRule="exact"/>
              <w:rPr>
                <w:sz w:val="20"/>
                <w:szCs w:val="20"/>
                <w:color w:val="auto"/>
              </w:rPr>
            </w:pPr>
            <w:r>
              <w:rPr>
                <w:rFonts w:ascii="Times New Roman" w:cs="Times New Roman" w:eastAsia="Times New Roman" w:hAnsi="Times New Roman"/>
                <w:sz w:val="18"/>
                <w:szCs w:val="18"/>
                <w:color w:val="auto"/>
              </w:rPr>
              <w:t>8.</w:t>
            </w:r>
          </w:p>
        </w:tc>
        <w:tc>
          <w:tcPr>
            <w:tcW w:w="8200" w:type="dxa"/>
            <w:vAlign w:val="bottom"/>
          </w:tcPr>
          <w:p>
            <w:pPr>
              <w:ind w:left="300"/>
              <w:spacing w:after="0" w:line="170"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44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Beneficially</w:t>
            </w:r>
          </w:p>
        </w:tc>
        <w:tc>
          <w:tcPr>
            <w:tcW w:w="100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Owned by</w:t>
            </w:r>
          </w:p>
        </w:tc>
        <w:tc>
          <w:tcPr>
            <w:tcW w:w="1000" w:type="dxa"/>
            <w:vAlign w:val="bottom"/>
          </w:tcPr>
          <w:p>
            <w:pPr>
              <w:spacing w:after="0"/>
              <w:rPr>
                <w:sz w:val="18"/>
                <w:szCs w:val="18"/>
                <w:color w:val="auto"/>
              </w:rPr>
            </w:pPr>
          </w:p>
        </w:tc>
        <w:tc>
          <w:tcPr>
            <w:tcW w:w="8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2"/>
        </w:trPr>
        <w:tc>
          <w:tcPr>
            <w:tcW w:w="1440" w:type="dxa"/>
            <w:vAlign w:val="bottom"/>
            <w:vMerge w:val="restart"/>
          </w:tcPr>
          <w:p>
            <w:pPr>
              <w:jc w:val="center"/>
              <w:ind w:right="470"/>
              <w:spacing w:after="0"/>
              <w:rPr>
                <w:sz w:val="20"/>
                <w:szCs w:val="20"/>
                <w:color w:val="auto"/>
              </w:rPr>
            </w:pPr>
            <w:r>
              <w:rPr>
                <w:rFonts w:ascii="Times New Roman" w:cs="Times New Roman" w:eastAsia="Times New Roman" w:hAnsi="Times New Roman"/>
                <w:sz w:val="18"/>
                <w:szCs w:val="18"/>
                <w:color w:val="auto"/>
                <w:w w:val="99"/>
              </w:rPr>
              <w:t>Each</w:t>
            </w:r>
          </w:p>
        </w:tc>
        <w:tc>
          <w:tcPr>
            <w:tcW w:w="1000" w:type="dxa"/>
            <w:vAlign w:val="bottom"/>
            <w:tcBorders>
              <w:bottom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440" w:type="dxa"/>
            <w:vAlign w:val="bottom"/>
            <w:vMerge w:val="continue"/>
          </w:tcPr>
          <w:p>
            <w:pPr>
              <w:spacing w:after="0"/>
              <w:rPr>
                <w:sz w:val="14"/>
                <w:szCs w:val="14"/>
                <w:color w:val="auto"/>
              </w:rPr>
            </w:pPr>
          </w:p>
        </w:tc>
        <w:tc>
          <w:tcPr>
            <w:tcW w:w="1000" w:type="dxa"/>
            <w:vAlign w:val="bottom"/>
          </w:tcPr>
          <w:p>
            <w:pPr>
              <w:jc w:val="right"/>
              <w:ind w:right="230"/>
              <w:spacing w:after="0" w:line="162" w:lineRule="exact"/>
              <w:rPr>
                <w:sz w:val="20"/>
                <w:szCs w:val="20"/>
                <w:color w:val="auto"/>
              </w:rPr>
            </w:pPr>
            <w:r>
              <w:rPr>
                <w:rFonts w:ascii="Times New Roman" w:cs="Times New Roman" w:eastAsia="Times New Roman" w:hAnsi="Times New Roman"/>
                <w:sz w:val="18"/>
                <w:szCs w:val="18"/>
                <w:color w:val="auto"/>
              </w:rPr>
              <w:t>9.</w:t>
            </w:r>
          </w:p>
        </w:tc>
        <w:tc>
          <w:tcPr>
            <w:tcW w:w="8200" w:type="dxa"/>
            <w:vAlign w:val="bottom"/>
          </w:tcPr>
          <w:p>
            <w:pPr>
              <w:ind w:left="300"/>
              <w:spacing w:after="0" w:line="162"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98"/>
        </w:trPr>
        <w:tc>
          <w:tcPr>
            <w:tcW w:w="1440" w:type="dxa"/>
            <w:vAlign w:val="bottom"/>
          </w:tcPr>
          <w:p>
            <w:pPr>
              <w:jc w:val="center"/>
              <w:ind w:right="470"/>
              <w:spacing w:after="0" w:line="198" w:lineRule="exact"/>
              <w:rPr>
                <w:sz w:val="20"/>
                <w:szCs w:val="20"/>
                <w:color w:val="auto"/>
              </w:rPr>
            </w:pPr>
            <w:r>
              <w:rPr>
                <w:rFonts w:ascii="Times New Roman" w:cs="Times New Roman" w:eastAsia="Times New Roman" w:hAnsi="Times New Roman"/>
                <w:sz w:val="18"/>
                <w:szCs w:val="18"/>
                <w:color w:val="auto"/>
                <w:w w:val="99"/>
              </w:rPr>
              <w:t>Reporting</w:t>
            </w:r>
          </w:p>
        </w:tc>
        <w:tc>
          <w:tcPr>
            <w:tcW w:w="1000" w:type="dxa"/>
            <w:vAlign w:val="bottom"/>
          </w:tcPr>
          <w:p>
            <w:pPr>
              <w:spacing w:after="0"/>
              <w:rPr>
                <w:sz w:val="17"/>
                <w:szCs w:val="17"/>
                <w:color w:val="auto"/>
              </w:rPr>
            </w:pPr>
          </w:p>
        </w:tc>
        <w:tc>
          <w:tcPr>
            <w:tcW w:w="8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8"/>
        </w:trPr>
        <w:tc>
          <w:tcPr>
            <w:tcW w:w="144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8"/>
              </w:rPr>
              <w:t>Person With</w:t>
            </w:r>
          </w:p>
        </w:tc>
        <w:tc>
          <w:tcPr>
            <w:tcW w:w="1000" w:type="dxa"/>
            <w:vAlign w:val="bottom"/>
          </w:tcPr>
          <w:p>
            <w:pPr>
              <w:spacing w:after="0"/>
              <w:rPr>
                <w:sz w:val="24"/>
                <w:szCs w:val="24"/>
                <w:color w:val="auto"/>
              </w:rPr>
            </w:pPr>
          </w:p>
        </w:tc>
        <w:tc>
          <w:tcPr>
            <w:tcW w:w="8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4,092,018 (1)</w:t>
            </w:r>
          </w:p>
        </w:tc>
        <w:tc>
          <w:tcPr>
            <w:tcW w:w="0" w:type="dxa"/>
            <w:vAlign w:val="bottom"/>
          </w:tcPr>
          <w:p>
            <w:pPr>
              <w:spacing w:after="0"/>
              <w:rPr>
                <w:sz w:val="1"/>
                <w:szCs w:val="1"/>
                <w:color w:val="auto"/>
              </w:rPr>
            </w:pPr>
          </w:p>
        </w:tc>
      </w:tr>
    </w:tbl>
    <w:p>
      <w:pPr>
        <w:spacing w:after="0" w:line="9" w:lineRule="exact"/>
        <w:rPr>
          <w:sz w:val="20"/>
          <w:szCs w:val="20"/>
          <w:color w:val="auto"/>
        </w:rPr>
      </w:pPr>
    </w:p>
    <w:p>
      <w:pPr>
        <w:ind w:left="3340" w:right="6020" w:hanging="798"/>
        <w:spacing w:after="0" w:line="391" w:lineRule="auto"/>
        <w:tabs>
          <w:tab w:leader="none" w:pos="334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ind w:left="1320" w:right="5120" w:hanging="800"/>
        <w:spacing w:after="0" w:line="516" w:lineRule="auto"/>
        <w:tabs>
          <w:tab w:leader="none" w:pos="13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4,092,018 (1) – See Item 5.</w:t>
      </w:r>
    </w:p>
    <w:p>
      <w:pPr>
        <w:ind w:left="1320" w:hanging="803"/>
        <w:spacing w:after="0"/>
        <w:tabs>
          <w:tab w:leader="none" w:pos="13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196" w:lineRule="exact"/>
        <w:rPr>
          <w:rFonts w:ascii="Times New Roman" w:cs="Times New Roman" w:eastAsia="Times New Roman" w:hAnsi="Times New Roman"/>
          <w:sz w:val="18"/>
          <w:szCs w:val="18"/>
          <w:color w:val="auto"/>
        </w:rPr>
      </w:pPr>
    </w:p>
    <w:p>
      <w:pPr>
        <w:ind w:left="13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1320" w:right="6160" w:hanging="803"/>
        <w:spacing w:after="0" w:line="384" w:lineRule="auto"/>
        <w:tabs>
          <w:tab w:leader="none" w:pos="13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7.9%</w:t>
      </w:r>
    </w:p>
    <w:p>
      <w:pPr>
        <w:spacing w:after="0" w:line="1" w:lineRule="exact"/>
        <w:rPr>
          <w:rFonts w:ascii="Times New Roman" w:cs="Times New Roman" w:eastAsia="Times New Roman" w:hAnsi="Times New Roman"/>
          <w:sz w:val="18"/>
          <w:szCs w:val="18"/>
          <w:color w:val="auto"/>
        </w:rPr>
      </w:pPr>
    </w:p>
    <w:p>
      <w:pPr>
        <w:ind w:left="1320" w:hanging="803"/>
        <w:spacing w:after="0"/>
        <w:tabs>
          <w:tab w:leader="none" w:pos="13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1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5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339,594 shares of Common Stock owned by Jewelcor Management, Inc. Mr. Holtzman is an indirect controlling shareholder of Jewelcor Management, Inc.</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CUSIP No. 25057L102</w:t>
            </w:r>
          </w:p>
        </w:tc>
        <w:tc>
          <w:tcPr>
            <w:tcW w:w="2200" w:type="dxa"/>
            <w:vAlign w:val="bottom"/>
          </w:tcPr>
          <w:p>
            <w:pPr>
              <w:ind w:left="1900"/>
              <w:spacing w:after="0"/>
              <w:rPr>
                <w:sz w:val="20"/>
                <w:szCs w:val="20"/>
                <w:color w:val="auto"/>
              </w:rPr>
            </w:pPr>
            <w:r>
              <w:rPr>
                <w:rFonts w:ascii="Times New Roman" w:cs="Times New Roman" w:eastAsia="Times New Roman" w:hAnsi="Times New Roman"/>
                <w:sz w:val="18"/>
                <w:szCs w:val="18"/>
                <w:color w:val="auto"/>
                <w:w w:val="90"/>
              </w:rPr>
              <w:t>13D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61550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6155055"/>
                    </a:xfrm>
                    <a:prstGeom prst="rect">
                      <a:avLst/>
                    </a:prstGeom>
                    <a:noFill/>
                  </pic:spPr>
                </pic:pic>
              </a:graphicData>
            </a:graphic>
          </wp:anchor>
        </w:drawing>
      </w:r>
    </w:p>
    <w:p>
      <w:pPr>
        <w:spacing w:after="0" w:line="205" w:lineRule="exact"/>
        <w:rPr>
          <w:sz w:val="20"/>
          <w:szCs w:val="20"/>
          <w:color w:val="auto"/>
        </w:rPr>
      </w:pPr>
    </w:p>
    <w:p>
      <w:pPr>
        <w:ind w:left="1320" w:right="7860" w:hanging="759"/>
        <w:spacing w:after="0" w:line="391" w:lineRule="auto"/>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Evelyn Holtzman</w:t>
      </w:r>
    </w:p>
    <w:p>
      <w:pPr>
        <w:ind w:left="1320" w:hanging="759"/>
        <w:spacing w:after="0"/>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560" w:hanging="238"/>
        <w:spacing w:after="0" w:line="207" w:lineRule="exact"/>
        <w:tabs>
          <w:tab w:leader="none" w:pos="1560" w:val="left"/>
        </w:tabs>
        <w:numPr>
          <w:ilvl w:val="1"/>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580" w:hanging="258"/>
        <w:spacing w:after="0" w:line="207" w:lineRule="exact"/>
        <w:tabs>
          <w:tab w:leader="none" w:pos="1580" w:val="left"/>
        </w:tabs>
        <w:numPr>
          <w:ilvl w:val="1"/>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7" w:lineRule="exact"/>
        <w:rPr>
          <w:rFonts w:ascii="Times New Roman" w:cs="Times New Roman" w:eastAsia="Times New Roman" w:hAnsi="Times New Roman"/>
          <w:sz w:val="18"/>
          <w:szCs w:val="18"/>
          <w:color w:val="auto"/>
        </w:rPr>
      </w:pPr>
    </w:p>
    <w:p>
      <w:pPr>
        <w:ind w:left="1320" w:hanging="759"/>
        <w:spacing w:after="0"/>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56" w:lineRule="exact"/>
        <w:rPr>
          <w:rFonts w:ascii="Times New Roman" w:cs="Times New Roman" w:eastAsia="Times New Roman" w:hAnsi="Times New Roman"/>
          <w:sz w:val="18"/>
          <w:szCs w:val="18"/>
          <w:color w:val="auto"/>
        </w:rPr>
      </w:pPr>
    </w:p>
    <w:p>
      <w:pPr>
        <w:ind w:left="1320" w:hanging="759"/>
        <w:spacing w:after="0"/>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25" w:lineRule="exact"/>
        <w:rPr>
          <w:rFonts w:ascii="Times New Roman" w:cs="Times New Roman" w:eastAsia="Times New Roman" w:hAnsi="Times New Roman"/>
          <w:sz w:val="18"/>
          <w:szCs w:val="18"/>
          <w:color w:val="auto"/>
        </w:rPr>
      </w:pPr>
    </w:p>
    <w:p>
      <w:pPr>
        <w:ind w:left="1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w:t>
      </w:r>
    </w:p>
    <w:p>
      <w:pPr>
        <w:spacing w:after="0" w:line="36" w:lineRule="exact"/>
        <w:rPr>
          <w:rFonts w:ascii="Times New Roman" w:cs="Times New Roman" w:eastAsia="Times New Roman" w:hAnsi="Times New Roman"/>
          <w:sz w:val="18"/>
          <w:szCs w:val="18"/>
          <w:color w:val="auto"/>
        </w:rPr>
      </w:pPr>
    </w:p>
    <w:p>
      <w:pPr>
        <w:ind w:left="1320" w:hanging="759"/>
        <w:spacing w:after="0"/>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196" w:lineRule="exact"/>
        <w:rPr>
          <w:rFonts w:ascii="Times New Roman" w:cs="Times New Roman" w:eastAsia="Times New Roman" w:hAnsi="Times New Roman"/>
          <w:sz w:val="18"/>
          <w:szCs w:val="18"/>
          <w:color w:val="auto"/>
        </w:rPr>
      </w:pPr>
    </w:p>
    <w:p>
      <w:pPr>
        <w:ind w:left="13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1320" w:hanging="759"/>
        <w:spacing w:after="0"/>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36" w:lineRule="exact"/>
        <w:rPr>
          <w:sz w:val="20"/>
          <w:szCs w:val="20"/>
          <w:color w:val="auto"/>
        </w:rPr>
      </w:pPr>
    </w:p>
    <w:tbl>
      <w:tblPr>
        <w:tblLayout w:type="fixed"/>
        <w:tblInd w:w="60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w:t>
            </w:r>
          </w:p>
        </w:tc>
        <w:tc>
          <w:tcPr>
            <w:tcW w:w="8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9"/>
        </w:trPr>
        <w:tc>
          <w:tcPr>
            <w:tcW w:w="14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Number of</w:t>
            </w:r>
          </w:p>
        </w:tc>
        <w:tc>
          <w:tcPr>
            <w:tcW w:w="100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1"/>
        </w:trPr>
        <w:tc>
          <w:tcPr>
            <w:tcW w:w="1440" w:type="dxa"/>
            <w:vAlign w:val="bottom"/>
          </w:tcPr>
          <w:p>
            <w:pPr>
              <w:jc w:val="center"/>
              <w:ind w:right="470"/>
              <w:spacing w:after="0" w:line="170" w:lineRule="exact"/>
              <w:rPr>
                <w:sz w:val="20"/>
                <w:szCs w:val="20"/>
                <w:color w:val="auto"/>
              </w:rPr>
            </w:pPr>
            <w:r>
              <w:rPr>
                <w:rFonts w:ascii="Times New Roman" w:cs="Times New Roman" w:eastAsia="Times New Roman" w:hAnsi="Times New Roman"/>
                <w:sz w:val="18"/>
                <w:szCs w:val="18"/>
                <w:color w:val="auto"/>
                <w:w w:val="99"/>
              </w:rPr>
              <w:t>Shares</w:t>
            </w:r>
          </w:p>
        </w:tc>
        <w:tc>
          <w:tcPr>
            <w:tcW w:w="1000" w:type="dxa"/>
            <w:vAlign w:val="bottom"/>
          </w:tcPr>
          <w:p>
            <w:pPr>
              <w:jc w:val="right"/>
              <w:ind w:right="230"/>
              <w:spacing w:after="0" w:line="170" w:lineRule="exact"/>
              <w:rPr>
                <w:sz w:val="20"/>
                <w:szCs w:val="20"/>
                <w:color w:val="auto"/>
              </w:rPr>
            </w:pPr>
            <w:r>
              <w:rPr>
                <w:rFonts w:ascii="Times New Roman" w:cs="Times New Roman" w:eastAsia="Times New Roman" w:hAnsi="Times New Roman"/>
                <w:sz w:val="18"/>
                <w:szCs w:val="18"/>
                <w:color w:val="auto"/>
              </w:rPr>
              <w:t>8.</w:t>
            </w:r>
          </w:p>
        </w:tc>
        <w:tc>
          <w:tcPr>
            <w:tcW w:w="8200" w:type="dxa"/>
            <w:vAlign w:val="bottom"/>
          </w:tcPr>
          <w:p>
            <w:pPr>
              <w:ind w:left="300"/>
              <w:spacing w:after="0" w:line="170"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44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Beneficially</w:t>
            </w:r>
          </w:p>
        </w:tc>
        <w:tc>
          <w:tcPr>
            <w:tcW w:w="100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Owned by</w:t>
            </w:r>
          </w:p>
        </w:tc>
        <w:tc>
          <w:tcPr>
            <w:tcW w:w="1000" w:type="dxa"/>
            <w:vAlign w:val="bottom"/>
          </w:tcPr>
          <w:p>
            <w:pPr>
              <w:spacing w:after="0"/>
              <w:rPr>
                <w:sz w:val="18"/>
                <w:szCs w:val="18"/>
                <w:color w:val="auto"/>
              </w:rPr>
            </w:pPr>
          </w:p>
        </w:tc>
        <w:tc>
          <w:tcPr>
            <w:tcW w:w="8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2"/>
        </w:trPr>
        <w:tc>
          <w:tcPr>
            <w:tcW w:w="1440" w:type="dxa"/>
            <w:vAlign w:val="bottom"/>
            <w:vMerge w:val="restart"/>
          </w:tcPr>
          <w:p>
            <w:pPr>
              <w:jc w:val="center"/>
              <w:ind w:right="470"/>
              <w:spacing w:after="0"/>
              <w:rPr>
                <w:sz w:val="20"/>
                <w:szCs w:val="20"/>
                <w:color w:val="auto"/>
              </w:rPr>
            </w:pPr>
            <w:r>
              <w:rPr>
                <w:rFonts w:ascii="Times New Roman" w:cs="Times New Roman" w:eastAsia="Times New Roman" w:hAnsi="Times New Roman"/>
                <w:sz w:val="18"/>
                <w:szCs w:val="18"/>
                <w:color w:val="auto"/>
                <w:w w:val="99"/>
              </w:rPr>
              <w:t>Each</w:t>
            </w:r>
          </w:p>
        </w:tc>
        <w:tc>
          <w:tcPr>
            <w:tcW w:w="1000" w:type="dxa"/>
            <w:vAlign w:val="bottom"/>
            <w:tcBorders>
              <w:bottom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440" w:type="dxa"/>
            <w:vAlign w:val="bottom"/>
            <w:vMerge w:val="continue"/>
          </w:tcPr>
          <w:p>
            <w:pPr>
              <w:spacing w:after="0"/>
              <w:rPr>
                <w:sz w:val="14"/>
                <w:szCs w:val="14"/>
                <w:color w:val="auto"/>
              </w:rPr>
            </w:pPr>
          </w:p>
        </w:tc>
        <w:tc>
          <w:tcPr>
            <w:tcW w:w="1000" w:type="dxa"/>
            <w:vAlign w:val="bottom"/>
          </w:tcPr>
          <w:p>
            <w:pPr>
              <w:jc w:val="right"/>
              <w:ind w:right="230"/>
              <w:spacing w:after="0" w:line="162" w:lineRule="exact"/>
              <w:rPr>
                <w:sz w:val="20"/>
                <w:szCs w:val="20"/>
                <w:color w:val="auto"/>
              </w:rPr>
            </w:pPr>
            <w:r>
              <w:rPr>
                <w:rFonts w:ascii="Times New Roman" w:cs="Times New Roman" w:eastAsia="Times New Roman" w:hAnsi="Times New Roman"/>
                <w:sz w:val="18"/>
                <w:szCs w:val="18"/>
                <w:color w:val="auto"/>
              </w:rPr>
              <w:t>9.</w:t>
            </w:r>
          </w:p>
        </w:tc>
        <w:tc>
          <w:tcPr>
            <w:tcW w:w="8200" w:type="dxa"/>
            <w:vAlign w:val="bottom"/>
          </w:tcPr>
          <w:p>
            <w:pPr>
              <w:ind w:left="300"/>
              <w:spacing w:after="0" w:line="162"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98"/>
        </w:trPr>
        <w:tc>
          <w:tcPr>
            <w:tcW w:w="1440" w:type="dxa"/>
            <w:vAlign w:val="bottom"/>
          </w:tcPr>
          <w:p>
            <w:pPr>
              <w:jc w:val="center"/>
              <w:ind w:right="470"/>
              <w:spacing w:after="0" w:line="198" w:lineRule="exact"/>
              <w:rPr>
                <w:sz w:val="20"/>
                <w:szCs w:val="20"/>
                <w:color w:val="auto"/>
              </w:rPr>
            </w:pPr>
            <w:r>
              <w:rPr>
                <w:rFonts w:ascii="Times New Roman" w:cs="Times New Roman" w:eastAsia="Times New Roman" w:hAnsi="Times New Roman"/>
                <w:sz w:val="18"/>
                <w:szCs w:val="18"/>
                <w:color w:val="auto"/>
                <w:w w:val="99"/>
              </w:rPr>
              <w:t>Reporting</w:t>
            </w:r>
          </w:p>
        </w:tc>
        <w:tc>
          <w:tcPr>
            <w:tcW w:w="1000" w:type="dxa"/>
            <w:vAlign w:val="bottom"/>
          </w:tcPr>
          <w:p>
            <w:pPr>
              <w:spacing w:after="0"/>
              <w:rPr>
                <w:sz w:val="17"/>
                <w:szCs w:val="17"/>
                <w:color w:val="auto"/>
              </w:rPr>
            </w:pPr>
          </w:p>
        </w:tc>
        <w:tc>
          <w:tcPr>
            <w:tcW w:w="8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8"/>
        </w:trPr>
        <w:tc>
          <w:tcPr>
            <w:tcW w:w="144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8"/>
              </w:rPr>
              <w:t>Person With</w:t>
            </w:r>
          </w:p>
        </w:tc>
        <w:tc>
          <w:tcPr>
            <w:tcW w:w="1000" w:type="dxa"/>
            <w:vAlign w:val="bottom"/>
          </w:tcPr>
          <w:p>
            <w:pPr>
              <w:spacing w:after="0"/>
              <w:rPr>
                <w:sz w:val="24"/>
                <w:szCs w:val="24"/>
                <w:color w:val="auto"/>
              </w:rPr>
            </w:pPr>
          </w:p>
        </w:tc>
        <w:tc>
          <w:tcPr>
            <w:tcW w:w="8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9" w:lineRule="exact"/>
        <w:rPr>
          <w:sz w:val="20"/>
          <w:szCs w:val="20"/>
          <w:color w:val="auto"/>
        </w:rPr>
      </w:pPr>
    </w:p>
    <w:p>
      <w:pPr>
        <w:ind w:left="3340" w:right="6020" w:hanging="798"/>
        <w:spacing w:after="0" w:line="391" w:lineRule="auto"/>
        <w:tabs>
          <w:tab w:leader="none" w:pos="33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ind w:left="1320" w:right="5120" w:hanging="800"/>
        <w:spacing w:after="0" w:line="516" w:lineRule="auto"/>
        <w:tabs>
          <w:tab w:leader="none" w:pos="1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See Item 5.</w:t>
      </w:r>
    </w:p>
    <w:p>
      <w:pPr>
        <w:ind w:left="1320" w:hanging="803"/>
        <w:spacing w:after="0"/>
        <w:tabs>
          <w:tab w:leader="none" w:pos="1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196" w:lineRule="exact"/>
        <w:rPr>
          <w:rFonts w:ascii="Times New Roman" w:cs="Times New Roman" w:eastAsia="Times New Roman" w:hAnsi="Times New Roman"/>
          <w:sz w:val="18"/>
          <w:szCs w:val="18"/>
          <w:color w:val="auto"/>
        </w:rPr>
      </w:pPr>
    </w:p>
    <w:p>
      <w:pPr>
        <w:ind w:left="13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1320" w:right="6160" w:hanging="803"/>
        <w:spacing w:after="0" w:line="384" w:lineRule="auto"/>
        <w:tabs>
          <w:tab w:leader="none" w:pos="1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See Item 5.</w:t>
      </w:r>
    </w:p>
    <w:p>
      <w:pPr>
        <w:spacing w:after="0" w:line="1" w:lineRule="exact"/>
        <w:rPr>
          <w:rFonts w:ascii="Times New Roman" w:cs="Times New Roman" w:eastAsia="Times New Roman" w:hAnsi="Times New Roman"/>
          <w:sz w:val="18"/>
          <w:szCs w:val="18"/>
          <w:color w:val="auto"/>
        </w:rPr>
      </w:pPr>
    </w:p>
    <w:p>
      <w:pPr>
        <w:ind w:left="1320" w:hanging="803"/>
        <w:spacing w:after="0"/>
        <w:tabs>
          <w:tab w:leader="none" w:pos="1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1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CUSIP No. 25057L102</w:t>
            </w:r>
          </w:p>
        </w:tc>
        <w:tc>
          <w:tcPr>
            <w:tcW w:w="2200" w:type="dxa"/>
            <w:vAlign w:val="bottom"/>
          </w:tcPr>
          <w:p>
            <w:pPr>
              <w:ind w:left="1900"/>
              <w:spacing w:after="0"/>
              <w:rPr>
                <w:sz w:val="20"/>
                <w:szCs w:val="20"/>
                <w:color w:val="auto"/>
              </w:rPr>
            </w:pPr>
            <w:r>
              <w:rPr>
                <w:rFonts w:ascii="Times New Roman" w:cs="Times New Roman" w:eastAsia="Times New Roman" w:hAnsi="Times New Roman"/>
                <w:sz w:val="18"/>
                <w:szCs w:val="18"/>
                <w:color w:val="auto"/>
                <w:w w:val="90"/>
              </w:rPr>
              <w:t>13D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61550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61550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p>
      <w:pPr>
        <w:spacing w:after="0" w:line="2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Jewelcor Management, Inc. 23-2331228</w:t>
      </w:r>
    </w:p>
    <w:p>
      <w:pPr>
        <w:spacing w:after="0" w:line="48" w:lineRule="exact"/>
        <w:rPr>
          <w:sz w:val="20"/>
          <w:szCs w:val="20"/>
          <w:color w:val="auto"/>
        </w:rPr>
      </w:pPr>
    </w:p>
    <w:p>
      <w:pPr>
        <w:sectPr>
          <w:pgSz w:w="11900" w:h="16838" w:orient="portrait"/>
          <w:cols w:equalWidth="0" w:num="2">
            <w:col w:w="700" w:space="620"/>
            <w:col w:w="9920"/>
          </w:cols>
          <w:pgMar w:left="320" w:top="904" w:right="339" w:bottom="1440" w:gutter="0" w:footer="0" w:header="0"/>
          <w:type w:val="continuous"/>
        </w:sectPr>
      </w:pPr>
    </w:p>
    <w:p>
      <w:pPr>
        <w:ind w:left="1320" w:hanging="759"/>
        <w:spacing w:after="0"/>
        <w:tabs>
          <w:tab w:leader="none" w:pos="1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560" w:hanging="238"/>
        <w:spacing w:after="0" w:line="207" w:lineRule="exact"/>
        <w:tabs>
          <w:tab w:leader="none" w:pos="1560" w:val="left"/>
        </w:tabs>
        <w:numPr>
          <w:ilvl w:val="1"/>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580" w:hanging="258"/>
        <w:spacing w:after="0" w:line="207" w:lineRule="exact"/>
        <w:tabs>
          <w:tab w:leader="none" w:pos="1580" w:val="left"/>
        </w:tabs>
        <w:numPr>
          <w:ilvl w:val="1"/>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7" w:lineRule="exact"/>
        <w:rPr>
          <w:rFonts w:ascii="Times New Roman" w:cs="Times New Roman" w:eastAsia="Times New Roman" w:hAnsi="Times New Roman"/>
          <w:sz w:val="18"/>
          <w:szCs w:val="18"/>
          <w:color w:val="auto"/>
        </w:rPr>
      </w:pPr>
    </w:p>
    <w:p>
      <w:pPr>
        <w:ind w:left="1320" w:hanging="759"/>
        <w:spacing w:after="0"/>
        <w:tabs>
          <w:tab w:leader="none" w:pos="1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56" w:lineRule="exact"/>
        <w:rPr>
          <w:rFonts w:ascii="Times New Roman" w:cs="Times New Roman" w:eastAsia="Times New Roman" w:hAnsi="Times New Roman"/>
          <w:sz w:val="18"/>
          <w:szCs w:val="18"/>
          <w:color w:val="auto"/>
        </w:rPr>
      </w:pPr>
    </w:p>
    <w:p>
      <w:pPr>
        <w:ind w:left="1320" w:hanging="759"/>
        <w:spacing w:after="0"/>
        <w:tabs>
          <w:tab w:leader="none" w:pos="1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25" w:lineRule="exact"/>
        <w:rPr>
          <w:rFonts w:ascii="Times New Roman" w:cs="Times New Roman" w:eastAsia="Times New Roman" w:hAnsi="Times New Roman"/>
          <w:sz w:val="18"/>
          <w:szCs w:val="18"/>
          <w:color w:val="auto"/>
        </w:rPr>
      </w:pPr>
    </w:p>
    <w:p>
      <w:pPr>
        <w:ind w:left="1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w:t>
      </w:r>
    </w:p>
    <w:p>
      <w:pPr>
        <w:spacing w:after="0" w:line="36" w:lineRule="exact"/>
        <w:rPr>
          <w:rFonts w:ascii="Times New Roman" w:cs="Times New Roman" w:eastAsia="Times New Roman" w:hAnsi="Times New Roman"/>
          <w:sz w:val="18"/>
          <w:szCs w:val="18"/>
          <w:color w:val="auto"/>
        </w:rPr>
      </w:pPr>
    </w:p>
    <w:p>
      <w:pPr>
        <w:ind w:left="1320" w:hanging="759"/>
        <w:spacing w:after="0"/>
        <w:tabs>
          <w:tab w:leader="none" w:pos="1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196" w:lineRule="exact"/>
        <w:rPr>
          <w:rFonts w:ascii="Times New Roman" w:cs="Times New Roman" w:eastAsia="Times New Roman" w:hAnsi="Times New Roman"/>
          <w:sz w:val="18"/>
          <w:szCs w:val="18"/>
          <w:color w:val="auto"/>
        </w:rPr>
      </w:pPr>
    </w:p>
    <w:p>
      <w:pPr>
        <w:ind w:left="13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1320" w:hanging="759"/>
        <w:spacing w:after="0"/>
        <w:tabs>
          <w:tab w:leader="none" w:pos="1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Nevada</w:t>
      </w:r>
    </w:p>
    <w:p>
      <w:pPr>
        <w:spacing w:after="0" w:line="36" w:lineRule="exact"/>
        <w:rPr>
          <w:sz w:val="20"/>
          <w:szCs w:val="20"/>
          <w:color w:val="auto"/>
        </w:rPr>
      </w:pPr>
    </w:p>
    <w:tbl>
      <w:tblPr>
        <w:tblLayout w:type="fixed"/>
        <w:tblInd w:w="60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w:t>
            </w:r>
          </w:p>
        </w:tc>
        <w:tc>
          <w:tcPr>
            <w:tcW w:w="8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9"/>
        </w:trPr>
        <w:tc>
          <w:tcPr>
            <w:tcW w:w="14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Number of</w:t>
            </w:r>
          </w:p>
        </w:tc>
        <w:tc>
          <w:tcPr>
            <w:tcW w:w="100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339,594</w:t>
            </w:r>
          </w:p>
        </w:tc>
        <w:tc>
          <w:tcPr>
            <w:tcW w:w="0" w:type="dxa"/>
            <w:vAlign w:val="bottom"/>
          </w:tcPr>
          <w:p>
            <w:pPr>
              <w:spacing w:after="0"/>
              <w:rPr>
                <w:sz w:val="1"/>
                <w:szCs w:val="1"/>
                <w:color w:val="auto"/>
              </w:rPr>
            </w:pPr>
          </w:p>
        </w:tc>
      </w:tr>
      <w:tr>
        <w:trPr>
          <w:trHeight w:val="171"/>
        </w:trPr>
        <w:tc>
          <w:tcPr>
            <w:tcW w:w="1440" w:type="dxa"/>
            <w:vAlign w:val="bottom"/>
          </w:tcPr>
          <w:p>
            <w:pPr>
              <w:jc w:val="center"/>
              <w:ind w:right="470"/>
              <w:spacing w:after="0" w:line="170" w:lineRule="exact"/>
              <w:rPr>
                <w:sz w:val="20"/>
                <w:szCs w:val="20"/>
                <w:color w:val="auto"/>
              </w:rPr>
            </w:pPr>
            <w:r>
              <w:rPr>
                <w:rFonts w:ascii="Times New Roman" w:cs="Times New Roman" w:eastAsia="Times New Roman" w:hAnsi="Times New Roman"/>
                <w:sz w:val="18"/>
                <w:szCs w:val="18"/>
                <w:color w:val="auto"/>
                <w:w w:val="99"/>
              </w:rPr>
              <w:t>Shares</w:t>
            </w:r>
          </w:p>
        </w:tc>
        <w:tc>
          <w:tcPr>
            <w:tcW w:w="1000" w:type="dxa"/>
            <w:vAlign w:val="bottom"/>
          </w:tcPr>
          <w:p>
            <w:pPr>
              <w:jc w:val="right"/>
              <w:ind w:right="230"/>
              <w:spacing w:after="0" w:line="170" w:lineRule="exact"/>
              <w:rPr>
                <w:sz w:val="20"/>
                <w:szCs w:val="20"/>
                <w:color w:val="auto"/>
              </w:rPr>
            </w:pPr>
            <w:r>
              <w:rPr>
                <w:rFonts w:ascii="Times New Roman" w:cs="Times New Roman" w:eastAsia="Times New Roman" w:hAnsi="Times New Roman"/>
                <w:sz w:val="18"/>
                <w:szCs w:val="18"/>
                <w:color w:val="auto"/>
              </w:rPr>
              <w:t>8.</w:t>
            </w:r>
          </w:p>
        </w:tc>
        <w:tc>
          <w:tcPr>
            <w:tcW w:w="8200" w:type="dxa"/>
            <w:vAlign w:val="bottom"/>
          </w:tcPr>
          <w:p>
            <w:pPr>
              <w:ind w:left="300"/>
              <w:spacing w:after="0" w:line="170"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44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Beneficially</w:t>
            </w:r>
          </w:p>
        </w:tc>
        <w:tc>
          <w:tcPr>
            <w:tcW w:w="100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Owned by</w:t>
            </w:r>
          </w:p>
        </w:tc>
        <w:tc>
          <w:tcPr>
            <w:tcW w:w="1000" w:type="dxa"/>
            <w:vAlign w:val="bottom"/>
          </w:tcPr>
          <w:p>
            <w:pPr>
              <w:spacing w:after="0"/>
              <w:rPr>
                <w:sz w:val="18"/>
                <w:szCs w:val="18"/>
                <w:color w:val="auto"/>
              </w:rPr>
            </w:pPr>
          </w:p>
        </w:tc>
        <w:tc>
          <w:tcPr>
            <w:tcW w:w="8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2"/>
        </w:trPr>
        <w:tc>
          <w:tcPr>
            <w:tcW w:w="1440" w:type="dxa"/>
            <w:vAlign w:val="bottom"/>
            <w:vMerge w:val="restart"/>
          </w:tcPr>
          <w:p>
            <w:pPr>
              <w:jc w:val="center"/>
              <w:ind w:right="470"/>
              <w:spacing w:after="0"/>
              <w:rPr>
                <w:sz w:val="20"/>
                <w:szCs w:val="20"/>
                <w:color w:val="auto"/>
              </w:rPr>
            </w:pPr>
            <w:r>
              <w:rPr>
                <w:rFonts w:ascii="Times New Roman" w:cs="Times New Roman" w:eastAsia="Times New Roman" w:hAnsi="Times New Roman"/>
                <w:sz w:val="18"/>
                <w:szCs w:val="18"/>
                <w:color w:val="auto"/>
                <w:w w:val="99"/>
              </w:rPr>
              <w:t>Each</w:t>
            </w:r>
          </w:p>
        </w:tc>
        <w:tc>
          <w:tcPr>
            <w:tcW w:w="1000" w:type="dxa"/>
            <w:vAlign w:val="bottom"/>
            <w:tcBorders>
              <w:bottom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440" w:type="dxa"/>
            <w:vAlign w:val="bottom"/>
            <w:vMerge w:val="continue"/>
          </w:tcPr>
          <w:p>
            <w:pPr>
              <w:spacing w:after="0"/>
              <w:rPr>
                <w:sz w:val="14"/>
                <w:szCs w:val="14"/>
                <w:color w:val="auto"/>
              </w:rPr>
            </w:pPr>
          </w:p>
        </w:tc>
        <w:tc>
          <w:tcPr>
            <w:tcW w:w="1000" w:type="dxa"/>
            <w:vAlign w:val="bottom"/>
          </w:tcPr>
          <w:p>
            <w:pPr>
              <w:jc w:val="right"/>
              <w:ind w:right="230"/>
              <w:spacing w:after="0" w:line="162" w:lineRule="exact"/>
              <w:rPr>
                <w:sz w:val="20"/>
                <w:szCs w:val="20"/>
                <w:color w:val="auto"/>
              </w:rPr>
            </w:pPr>
            <w:r>
              <w:rPr>
                <w:rFonts w:ascii="Times New Roman" w:cs="Times New Roman" w:eastAsia="Times New Roman" w:hAnsi="Times New Roman"/>
                <w:sz w:val="18"/>
                <w:szCs w:val="18"/>
                <w:color w:val="auto"/>
              </w:rPr>
              <w:t>9.</w:t>
            </w:r>
          </w:p>
        </w:tc>
        <w:tc>
          <w:tcPr>
            <w:tcW w:w="8200" w:type="dxa"/>
            <w:vAlign w:val="bottom"/>
          </w:tcPr>
          <w:p>
            <w:pPr>
              <w:ind w:left="300"/>
              <w:spacing w:after="0" w:line="162"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98"/>
        </w:trPr>
        <w:tc>
          <w:tcPr>
            <w:tcW w:w="1440" w:type="dxa"/>
            <w:vAlign w:val="bottom"/>
          </w:tcPr>
          <w:p>
            <w:pPr>
              <w:jc w:val="center"/>
              <w:ind w:right="470"/>
              <w:spacing w:after="0" w:line="198" w:lineRule="exact"/>
              <w:rPr>
                <w:sz w:val="20"/>
                <w:szCs w:val="20"/>
                <w:color w:val="auto"/>
              </w:rPr>
            </w:pPr>
            <w:r>
              <w:rPr>
                <w:rFonts w:ascii="Times New Roman" w:cs="Times New Roman" w:eastAsia="Times New Roman" w:hAnsi="Times New Roman"/>
                <w:sz w:val="18"/>
                <w:szCs w:val="18"/>
                <w:color w:val="auto"/>
                <w:w w:val="99"/>
              </w:rPr>
              <w:t>Reporting</w:t>
            </w:r>
          </w:p>
        </w:tc>
        <w:tc>
          <w:tcPr>
            <w:tcW w:w="1000" w:type="dxa"/>
            <w:vAlign w:val="bottom"/>
          </w:tcPr>
          <w:p>
            <w:pPr>
              <w:spacing w:after="0"/>
              <w:rPr>
                <w:sz w:val="17"/>
                <w:szCs w:val="17"/>
                <w:color w:val="auto"/>
              </w:rPr>
            </w:pPr>
          </w:p>
        </w:tc>
        <w:tc>
          <w:tcPr>
            <w:tcW w:w="8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8"/>
        </w:trPr>
        <w:tc>
          <w:tcPr>
            <w:tcW w:w="144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8"/>
              </w:rPr>
              <w:t>Person With</w:t>
            </w:r>
          </w:p>
        </w:tc>
        <w:tc>
          <w:tcPr>
            <w:tcW w:w="1000" w:type="dxa"/>
            <w:vAlign w:val="bottom"/>
          </w:tcPr>
          <w:p>
            <w:pPr>
              <w:spacing w:after="0"/>
              <w:rPr>
                <w:sz w:val="24"/>
                <w:szCs w:val="24"/>
                <w:color w:val="auto"/>
              </w:rPr>
            </w:pPr>
          </w:p>
        </w:tc>
        <w:tc>
          <w:tcPr>
            <w:tcW w:w="8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339,594</w:t>
            </w:r>
          </w:p>
        </w:tc>
        <w:tc>
          <w:tcPr>
            <w:tcW w:w="0" w:type="dxa"/>
            <w:vAlign w:val="bottom"/>
          </w:tcPr>
          <w:p>
            <w:pPr>
              <w:spacing w:after="0"/>
              <w:rPr>
                <w:sz w:val="1"/>
                <w:szCs w:val="1"/>
                <w:color w:val="auto"/>
              </w:rPr>
            </w:pPr>
          </w:p>
        </w:tc>
      </w:tr>
    </w:tbl>
    <w:p>
      <w:pPr>
        <w:spacing w:after="0" w:line="9" w:lineRule="exact"/>
        <w:rPr>
          <w:sz w:val="20"/>
          <w:szCs w:val="20"/>
          <w:color w:val="auto"/>
        </w:rPr>
      </w:pPr>
    </w:p>
    <w:p>
      <w:pPr>
        <w:ind w:left="3340" w:right="6020" w:hanging="798"/>
        <w:spacing w:after="0" w:line="391" w:lineRule="auto"/>
        <w:tabs>
          <w:tab w:leader="none" w:pos="33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ind w:left="1320" w:right="5120" w:hanging="800"/>
        <w:spacing w:after="0" w:line="516" w:lineRule="auto"/>
        <w:tabs>
          <w:tab w:leader="none" w:pos="1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339,594 - See Item 5.</w:t>
      </w:r>
    </w:p>
    <w:p>
      <w:pPr>
        <w:ind w:left="1320" w:hanging="803"/>
        <w:spacing w:after="0"/>
        <w:tabs>
          <w:tab w:leader="none" w:pos="1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196" w:lineRule="exact"/>
        <w:rPr>
          <w:rFonts w:ascii="Times New Roman" w:cs="Times New Roman" w:eastAsia="Times New Roman" w:hAnsi="Times New Roman"/>
          <w:sz w:val="18"/>
          <w:szCs w:val="18"/>
          <w:color w:val="auto"/>
        </w:rPr>
      </w:pPr>
    </w:p>
    <w:p>
      <w:pPr>
        <w:ind w:left="13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1320" w:right="6160" w:hanging="803"/>
        <w:spacing w:after="0" w:line="384" w:lineRule="auto"/>
        <w:tabs>
          <w:tab w:leader="none" w:pos="1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0.66%</w:t>
      </w:r>
    </w:p>
    <w:p>
      <w:pPr>
        <w:spacing w:after="0" w:line="1" w:lineRule="exact"/>
        <w:rPr>
          <w:rFonts w:ascii="Times New Roman" w:cs="Times New Roman" w:eastAsia="Times New Roman" w:hAnsi="Times New Roman"/>
          <w:sz w:val="18"/>
          <w:szCs w:val="18"/>
          <w:color w:val="auto"/>
        </w:rPr>
      </w:pPr>
    </w:p>
    <w:p>
      <w:pPr>
        <w:ind w:left="1320" w:hanging="803"/>
        <w:spacing w:after="0"/>
        <w:tabs>
          <w:tab w:leader="none" w:pos="1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1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Amendment No. 61 amends and supplements the Schedule 13D, dated November 27, 1998, as amended to date (the “Schedule 13D”), originally filed with the Securities and Exchange Commission by Jewelcor Management, Inc. (“JMI”) and others with respect to the common stock, $.01 par value (the “Common Stock”), of Destination XL Group, Inc. (FKA Casual Male Retail Group, Inc.), a Delaware corporation (the “Issuer”). The address of the principal business and principal offices of the Issuer is 555 Turnpike Street, Canton, Massachusetts, 02021.</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25057L102</w:t>
            </w:r>
          </w:p>
        </w:tc>
        <w:tc>
          <w:tcPr>
            <w:tcW w:w="2180" w:type="dxa"/>
            <w:vAlign w:val="bottom"/>
          </w:tcPr>
          <w:p>
            <w:pPr>
              <w:ind w:left="1880"/>
              <w:spacing w:after="0"/>
              <w:rPr>
                <w:sz w:val="20"/>
                <w:szCs w:val="20"/>
                <w:color w:val="auto"/>
              </w:rPr>
            </w:pPr>
            <w:r>
              <w:rPr>
                <w:rFonts w:ascii="Times New Roman" w:cs="Times New Roman" w:eastAsia="Times New Roman" w:hAnsi="Times New Roman"/>
                <w:sz w:val="18"/>
                <w:szCs w:val="18"/>
                <w:color w:val="auto"/>
                <w:w w:val="90"/>
              </w:rPr>
              <w:t>13D</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is hereby amended and supplemented as follows: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transaction has been effected primarily for investment purposes.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24, 2019, the Issuer’s Board voted to adopt an independent Board chairperson structure and elected John Kyees as the Issuer’s new independent, non-executive Chairman, replacing Mr. Holtzman. Mr. Holtzman continued to serve as a director of the Issuer and continued to receive his annual compensation of $176,000 as a director and an annual base salary of $24,000 for his services as an employee of the Issuer through August 7, 2020.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5(a) of the Schedule 13D is hereby amended and supplemented as follows: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November 10, 2020, the Reporting Persons, except for JMI, included in this filing may be deemed to be the beneficial owners of 4,092,018 shares of the Issuer’s Common Stock, representing an aggregate of approximately 7.9% of the outstanding shares of the Issuer’s Common Stock based upon the 51,554,917 shares of Common Stock outstanding as of August 15, 2020 as reported by the Issuer in its Form 10-Q filed on August 27, 2020. Such amount includes 339,954 shares of Common Stock owned by JMI. Mr. Holtzman is an indirect controlling shareholder of JMI.</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November 10, 2020, JMI beneficially owns 339,954 shares of the Issuer’s Common Stock, representing an aggregate of approximately 0.66% of the outstanding shares of the Issuer’s Common Stock. Mr. Holtzman is an indirect controlling shareholder of JMI.</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November 10, 2020, the Reporting Persons beneficially own an aggregate of 4,092,018 shares of the Issuer’s Common Stock, representing an aggregate of approximately 7.9% of the outstanding shares of the Issuer’s Common Stock based upon the 51,554,917 shares of Common Stock outstanding.</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6 is hereby amended and supplemented as follows: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24, 2019, the Issuer’s Board voted to adopt an independent Board chairperson structure and elected John Kyees as the Issuer’s new independent, non-executive Chairman, replacing Mr. Holtzman. Mr. Holtzman continued to serve as a director of the Issuer and continued to receive his annual compensation of $176,000 as a director and an annual base salary of $24,000 for his services as an employee of the Issuer through August 7, 2020.</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the Issuer engages Mr. Holtzman’s services to assist it in a specific and significant corporate transaction or event, the Issuer’s Compensation Committee, at its discretion, has the right to grant Mr. Holtzman a bonus for his additional services.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25057L102</w:t>
            </w:r>
          </w:p>
        </w:tc>
        <w:tc>
          <w:tcPr>
            <w:tcW w:w="2180" w:type="dxa"/>
            <w:vAlign w:val="bottom"/>
          </w:tcPr>
          <w:p>
            <w:pPr>
              <w:ind w:left="1880"/>
              <w:spacing w:after="0"/>
              <w:rPr>
                <w:sz w:val="20"/>
                <w:szCs w:val="20"/>
                <w:color w:val="auto"/>
              </w:rPr>
            </w:pPr>
            <w:r>
              <w:rPr>
                <w:rFonts w:ascii="Times New Roman" w:cs="Times New Roman" w:eastAsia="Times New Roman" w:hAnsi="Times New Roman"/>
                <w:sz w:val="18"/>
                <w:szCs w:val="18"/>
                <w:color w:val="auto"/>
                <w:w w:val="90"/>
              </w:rPr>
              <w:t>13D</w:t>
            </w:r>
          </w:p>
        </w:tc>
      </w:tr>
    </w:tbl>
    <w:p>
      <w:pPr>
        <w:spacing w:after="0" w:line="200" w:lineRule="exact"/>
        <w:rPr>
          <w:sz w:val="20"/>
          <w:szCs w:val="20"/>
          <w:color w:val="auto"/>
        </w:rPr>
      </w:pPr>
    </w:p>
    <w:p>
      <w:pPr>
        <w:spacing w:after="0" w:line="21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10, 2020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Seymour Holtzman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Seymour Holtzman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Evelyn Holtzman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Evelyn Holtzman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JEWELCOR MANAGEMENT, INC.</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Seymour Holtzman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Seymour Holtzman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32061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200" w:lineRule="exact"/>
        <w:rPr>
          <w:sz w:val="20"/>
          <w:szCs w:val="20"/>
          <w:color w:val="auto"/>
        </w:rPr>
      </w:pPr>
    </w:p>
    <w:p>
      <w:pPr>
        <w:spacing w:after="0" w:line="21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060"/>
      </w:cols>
      <w:pgMar w:left="320" w:top="90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lvl w:ilvl="1">
      <w:lvlJc w:val="left"/>
      <w:lvlText w:val="(%2)"/>
      <w:numFmt w:val="lowerLetter"/>
      <w:start w:val="1"/>
    </w:lvl>
  </w:abstractNum>
  <w:abstractNum w:abstractNumId="1">
    <w:nsid w:val="507ED7AB"/>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2">
    <w:nsid w:val="2EB141F2"/>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3">
    <w:nsid w:val="41B71EFB"/>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4">
    <w:nsid w:val="79E2A9E3"/>
    <w:multiLevelType w:val="hybridMultilevel"/>
    <w:lvl w:ilvl="0">
      <w:lvlJc w:val="left"/>
      <w:lvlText w:val="%1."/>
      <w:numFmt w:val="decimal"/>
      <w:start w:val="1"/>
    </w:lvl>
    <w:lvl w:ilvl="1">
      <w:lvlJc w:val="left"/>
      <w:lvlText w:val="(%2)"/>
      <w:numFmt w:val="lowerLetter"/>
      <w:start w:val="1"/>
    </w:lvl>
  </w:abstractNum>
  <w:abstractNum w:abstractNumId="5">
    <w:nsid w:val="7545E146"/>
    <w:multiLevelType w:val="hybridMultilevel"/>
    <w:lvl w:ilvl="0">
      <w:lvlJc w:val="left"/>
      <w:lvlText w:val="%1"/>
      <w:numFmt w:val="decimal"/>
      <w:start w:val="1"/>
    </w:lvl>
    <w:lvl w:ilvl="1">
      <w:lvlJc w:val="left"/>
      <w:lvlText w:val="%2."/>
      <w:numFmt w:val="decimal"/>
      <w:start w:val="10"/>
    </w:lvl>
  </w:abstractNum>
  <w:abstractNum w:abstractNumId="6">
    <w:nsid w:val="515F007C"/>
    <w:multiLevelType w:val="hybridMultilevel"/>
    <w:lvl w:ilvl="0">
      <w:lvlJc w:val="left"/>
      <w:lvlText w:val="%1."/>
      <w:numFmt w:val="decimal"/>
      <w:start w:val="11"/>
    </w:lvl>
    <w:lvl w:ilvl="1">
      <w:lvlJc w:val="left"/>
      <w:lvlText w:val="%2"/>
      <w:numFmt w:val="decimal"/>
      <w:start w:val="1"/>
    </w:lvl>
  </w:abstractNum>
  <w:abstractNum w:abstractNumId="7">
    <w:nsid w:val="5BD062C2"/>
    <w:multiLevelType w:val="hybridMultilevel"/>
    <w:lvl w:ilvl="0">
      <w:lvlJc w:val="left"/>
      <w:lvlText w:val="%1."/>
      <w:numFmt w:val="decimal"/>
      <w:start w:val="2"/>
    </w:lvl>
    <w:lvl w:ilvl="1">
      <w:lvlJc w:val="left"/>
      <w:lvlText w:val="(%2)"/>
      <w:numFmt w:val="lowerLetter"/>
      <w:start w:val="1"/>
    </w:lvl>
  </w:abstractNum>
  <w:abstractNum w:abstractNumId="8">
    <w:nsid w:val="12200854"/>
    <w:multiLevelType w:val="hybridMultilevel"/>
    <w:lvl w:ilvl="0">
      <w:lvlJc w:val="left"/>
      <w:lvlText w:val="%1"/>
      <w:numFmt w:val="decimal"/>
      <w:start w:val="1"/>
    </w:lvl>
    <w:lvl w:ilvl="1">
      <w:lvlJc w:val="left"/>
      <w:lvlText w:val="%2."/>
      <w:numFmt w:val="decimal"/>
      <w:start w:val="10"/>
    </w:lvl>
  </w:abstractNum>
  <w:abstractNum w:abstractNumId="9">
    <w:nsid w:val="4DB127F8"/>
    <w:multiLevelType w:val="hybridMultilevel"/>
    <w:lvl w:ilvl="0">
      <w:lvlJc w:val="left"/>
      <w:lvlText w:val="%1."/>
      <w:numFmt w:val="decimal"/>
      <w:start w:val="1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2020-11-12T09:43:19Z</dcterms:created>
  <dcterms:modified xsi:type="dcterms:W3CDTF">2020-11-12T09:43:19Z</dcterms:modified>
</cp:coreProperties>
</file>