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7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4775835</wp:posOffset>
            </wp:positionH>
            <wp:positionV relativeFrom="page">
              <wp:posOffset>144780</wp:posOffset>
            </wp:positionV>
            <wp:extent cx="1397635" cy="866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635" cy="866140"/>
                    </a:xfrm>
                    <a:prstGeom prst="rect">
                      <a:avLst/>
                    </a:prstGeom>
                    <a:noFill/>
                  </pic:spPr>
                </pic:pic>
              </a:graphicData>
            </a:graphic>
          </wp:anchor>
        </w:drawing>
        <w:t>OMB APPROVAL</w:t>
      </w:r>
    </w:p>
    <w:p>
      <w:pPr>
        <w:ind w:left="7300"/>
        <w:spacing w:after="0"/>
        <w:rPr>
          <w:sz w:val="20"/>
          <w:szCs w:val="20"/>
          <w:color w:val="auto"/>
        </w:rPr>
      </w:pPr>
      <w:r>
        <w:rPr>
          <w:sz w:val="1"/>
          <w:szCs w:val="1"/>
          <w:color w:val="auto"/>
        </w:rPr>
        <w:drawing>
          <wp:inline distT="0" distB="0" distL="0" distR="0">
            <wp:extent cx="34290" cy="1809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180975"/>
                    </a:xfrm>
                    <a:prstGeom prst="rect">
                      <a:avLst/>
                    </a:prstGeom>
                    <a:noFill/>
                    <a:ln>
                      <a:noFill/>
                    </a:ln>
                  </pic:spPr>
                </pic:pic>
              </a:graphicData>
            </a:graphic>
          </wp:inline>
        </w:drawing>
      </w:r>
      <w:r>
        <w:rPr>
          <w:rFonts w:ascii="Arial" w:cs="Arial" w:eastAsia="Arial" w:hAnsi="Arial"/>
          <w:sz w:val="16"/>
          <w:szCs w:val="16"/>
          <w:color w:val="auto"/>
        </w:rPr>
        <w:t>OMB Number: 3235-0145</w:t>
      </w:r>
    </w:p>
    <w:p>
      <w:pPr>
        <w:spacing w:after="0" w:line="16" w:lineRule="exact"/>
        <w:rPr>
          <w:sz w:val="24"/>
          <w:szCs w:val="24"/>
          <w:color w:val="auto"/>
        </w:rPr>
      </w:pPr>
    </w:p>
    <w:p>
      <w:pPr>
        <w:ind w:left="7340"/>
        <w:spacing w:after="0"/>
        <w:rPr>
          <w:sz w:val="20"/>
          <w:szCs w:val="20"/>
          <w:color w:val="auto"/>
        </w:rPr>
      </w:pPr>
      <w:r>
        <w:rPr>
          <w:rFonts w:ascii="Arial" w:cs="Arial" w:eastAsia="Arial" w:hAnsi="Arial"/>
          <w:sz w:val="15"/>
          <w:szCs w:val="15"/>
          <w:color w:val="auto"/>
        </w:rPr>
        <w:t>Expires: February 28, 2009</w:t>
      </w:r>
    </w:p>
    <w:p>
      <w:pPr>
        <w:spacing w:after="0" w:line="96" w:lineRule="exact"/>
        <w:rPr>
          <w:sz w:val="24"/>
          <w:szCs w:val="24"/>
          <w:color w:val="auto"/>
        </w:rPr>
      </w:pPr>
    </w:p>
    <w:p>
      <w:pPr>
        <w:ind w:left="7340"/>
        <w:spacing w:after="0"/>
        <w:rPr>
          <w:sz w:val="20"/>
          <w:szCs w:val="20"/>
          <w:color w:val="auto"/>
        </w:rPr>
      </w:pPr>
      <w:r>
        <w:rPr>
          <w:rFonts w:ascii="Arial" w:cs="Arial" w:eastAsia="Arial" w:hAnsi="Arial"/>
          <w:sz w:val="16"/>
          <w:szCs w:val="16"/>
          <w:color w:val="auto"/>
        </w:rPr>
        <w:t>Estimated average burden</w:t>
      </w:r>
    </w:p>
    <w:p>
      <w:pPr>
        <w:spacing w:after="0" w:line="38" w:lineRule="exact"/>
        <w:rPr>
          <w:sz w:val="24"/>
          <w:szCs w:val="24"/>
          <w:color w:val="auto"/>
        </w:rPr>
      </w:pPr>
    </w:p>
    <w:p>
      <w:pPr>
        <w:ind w:left="7340"/>
        <w:spacing w:after="0"/>
        <w:rPr>
          <w:sz w:val="20"/>
          <w:szCs w:val="20"/>
          <w:color w:val="auto"/>
        </w:rPr>
      </w:pPr>
      <w:r>
        <w:rPr>
          <w:rFonts w:ascii="Arial" w:cs="Arial" w:eastAsia="Arial" w:hAnsi="Arial"/>
          <w:sz w:val="16"/>
          <w:szCs w:val="16"/>
          <w:color w:val="auto"/>
        </w:rPr>
        <w:t>hours per response. . . 11</w:t>
      </w:r>
    </w:p>
    <w:p>
      <w:pPr>
        <w:spacing w:after="0" w:line="200" w:lineRule="exact"/>
        <w:rPr>
          <w:sz w:val="24"/>
          <w:szCs w:val="24"/>
          <w:color w:val="auto"/>
        </w:rPr>
      </w:pPr>
    </w:p>
    <w:p>
      <w:pPr>
        <w:spacing w:after="0" w:line="266" w:lineRule="exact"/>
        <w:rPr>
          <w:sz w:val="24"/>
          <w:szCs w:val="24"/>
          <w:color w:val="auto"/>
        </w:rPr>
      </w:pPr>
    </w:p>
    <w:p>
      <w:pPr>
        <w:jc w:val="center"/>
        <w:ind w:right="7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59"/>
        <w:spacing w:after="0"/>
        <w:rPr>
          <w:sz w:val="20"/>
          <w:szCs w:val="20"/>
          <w:color w:val="auto"/>
        </w:rPr>
      </w:pPr>
      <w:r>
        <w:rPr>
          <w:rFonts w:ascii="Arial" w:cs="Arial" w:eastAsia="Arial" w:hAnsi="Arial"/>
          <w:sz w:val="22"/>
          <w:szCs w:val="22"/>
          <w:b w:val="1"/>
          <w:bCs w:val="1"/>
          <w:color w:val="auto"/>
        </w:rPr>
        <w:t>Washington, D.C. 20549</w:t>
      </w:r>
    </w:p>
    <w:p>
      <w:pPr>
        <w:spacing w:after="0" w:line="267" w:lineRule="exact"/>
        <w:rPr>
          <w:sz w:val="24"/>
          <w:szCs w:val="24"/>
          <w:color w:val="auto"/>
        </w:rPr>
      </w:pPr>
    </w:p>
    <w:p>
      <w:pPr>
        <w:jc w:val="center"/>
        <w:ind w:right="759"/>
        <w:spacing w:after="0"/>
        <w:rPr>
          <w:sz w:val="20"/>
          <w:szCs w:val="20"/>
          <w:color w:val="auto"/>
        </w:rPr>
      </w:pPr>
      <w:r>
        <w:rPr>
          <w:rFonts w:ascii="Arial" w:cs="Arial" w:eastAsia="Arial" w:hAnsi="Arial"/>
          <w:sz w:val="25"/>
          <w:szCs w:val="25"/>
          <w:b w:val="1"/>
          <w:bCs w:val="1"/>
          <w:color w:val="auto"/>
        </w:rPr>
        <w:t>SCHEDULE 13G</w:t>
      </w:r>
    </w:p>
    <w:p>
      <w:pPr>
        <w:spacing w:after="0" w:line="289" w:lineRule="exact"/>
        <w:rPr>
          <w:sz w:val="24"/>
          <w:szCs w:val="24"/>
          <w:color w:val="auto"/>
        </w:rPr>
      </w:pPr>
    </w:p>
    <w:p>
      <w:pPr>
        <w:jc w:val="center"/>
        <w:ind w:right="7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59"/>
        <w:spacing w:after="0"/>
        <w:rPr>
          <w:sz w:val="20"/>
          <w:szCs w:val="20"/>
          <w:color w:val="auto"/>
        </w:rPr>
      </w:pPr>
      <w:r>
        <w:rPr>
          <w:rFonts w:ascii="Arial" w:cs="Arial" w:eastAsia="Arial" w:hAnsi="Arial"/>
          <w:sz w:val="22"/>
          <w:szCs w:val="22"/>
          <w:b w:val="1"/>
          <w:bCs w:val="1"/>
          <w:color w:val="auto"/>
        </w:rPr>
        <w:t>(Amendment No. )</w:t>
      </w:r>
    </w:p>
    <w:p>
      <w:pPr>
        <w:spacing w:after="0" w:line="256"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Casual Male Retail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4000"/>
        <w:spacing w:after="0"/>
        <w:rPr>
          <w:sz w:val="20"/>
          <w:szCs w:val="20"/>
          <w:color w:val="auto"/>
        </w:rPr>
      </w:pPr>
      <w:r>
        <w:rPr>
          <w:rFonts w:ascii="Arial" w:cs="Arial" w:eastAsia="Arial" w:hAnsi="Arial"/>
          <w:sz w:val="22"/>
          <w:szCs w:val="22"/>
          <w:color w:val="auto"/>
        </w:rPr>
        <w:t>(Name of Issuer)</w:t>
      </w:r>
    </w:p>
    <w:p>
      <w:pPr>
        <w:spacing w:after="0" w:line="233"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(Title of Class of Securities)</w:t>
      </w:r>
    </w:p>
    <w:p>
      <w:pPr>
        <w:spacing w:after="0" w:line="233"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148711104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852170</wp:posOffset>
            </wp:positionH>
            <wp:positionV relativeFrom="paragraph">
              <wp:posOffset>73660</wp:posOffset>
            </wp:positionV>
            <wp:extent cx="430911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09110" cy="21590"/>
                    </a:xfrm>
                    <a:prstGeom prst="rect">
                      <a:avLst/>
                    </a:prstGeom>
                    <a:noFill/>
                  </pic:spPr>
                </pic:pic>
              </a:graphicData>
            </a:graphic>
          </wp:anchor>
        </w:drawing>
      </w:r>
    </w:p>
    <w:p>
      <w:pPr>
        <w:spacing w:after="0" w:line="213"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(CUSIP Number)</w:t>
      </w:r>
    </w:p>
    <w:p>
      <w:pPr>
        <w:spacing w:after="0" w:line="233"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December 31,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2300"/>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60" w:lineRule="exact"/>
        <w:rPr>
          <w:sz w:val="24"/>
          <w:szCs w:val="24"/>
          <w:color w:val="auto"/>
        </w:rPr>
      </w:pPr>
    </w:p>
    <w:p>
      <w:pPr>
        <w:ind w:left="620" w:hanging="558"/>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Rule 13d-1(b)</w:t>
      </w:r>
    </w:p>
    <w:p>
      <w:pPr>
        <w:sectPr>
          <w:pgSz w:w="11900" w:h="16838" w:orient="portrait"/>
          <w:cols w:equalWidth="0" w:num="1">
            <w:col w:w="10219"/>
          </w:cols>
          <w:pgMar w:left="240" w:top="280" w:right="1440" w:bottom="169" w:gutter="0" w:footer="0" w:header="0"/>
        </w:sectPr>
      </w:pPr>
    </w:p>
    <w:p>
      <w:pPr>
        <w:spacing w:after="0" w:line="98" w:lineRule="exact"/>
        <w:rPr>
          <w:sz w:val="24"/>
          <w:szCs w:val="24"/>
          <w:color w:val="auto"/>
        </w:r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9"/>
          <w:szCs w:val="19"/>
          <w:color w:val="auto"/>
        </w:rPr>
        <w:t>Rule 13d-1(c)</w:t>
      </w:r>
    </w:p>
    <w:p>
      <w:pPr>
        <w:spacing w:after="0" w:line="132" w:lineRule="exact"/>
        <w:rPr>
          <w:sz w:val="24"/>
          <w:szCs w:val="24"/>
          <w:color w:val="auto"/>
        </w:rPr>
      </w:pPr>
    </w:p>
    <w:p>
      <w:pPr>
        <w:sectPr>
          <w:pgSz w:w="11900" w:h="16838" w:orient="portrait"/>
          <w:cols w:equalWidth="0" w:num="2">
            <w:col w:w="200" w:space="420"/>
            <w:col w:w="9599"/>
          </w:cols>
          <w:pgMar w:left="240" w:top="280" w:right="1440" w:bottom="169" w:gutter="0" w:footer="0" w:header="0"/>
          <w:type w:val="continuous"/>
        </w:sect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Rule 13d-1(d)</w:t>
      </w:r>
    </w:p>
    <w:p>
      <w:pPr>
        <w:spacing w:after="0" w:line="234" w:lineRule="exact"/>
        <w:rPr>
          <w:sz w:val="24"/>
          <w:szCs w:val="24"/>
          <w:color w:val="auto"/>
        </w:rPr>
      </w:pPr>
    </w:p>
    <w:p>
      <w:pPr>
        <w:sectPr>
          <w:pgSz w:w="11900" w:h="16838" w:orient="portrait"/>
          <w:cols w:equalWidth="0" w:num="2">
            <w:col w:w="200" w:space="420"/>
            <w:col w:w="9599"/>
          </w:cols>
          <w:pgMar w:left="240" w:top="280" w:right="1440" w:bottom="169" w:gutter="0" w:footer="0" w:header="0"/>
          <w:type w:val="continuous"/>
        </w:sectPr>
      </w:pPr>
    </w:p>
    <w:p>
      <w:pPr>
        <w:spacing w:after="0" w:line="74" w:lineRule="exact"/>
        <w:rPr>
          <w:sz w:val="24"/>
          <w:szCs w:val="24"/>
          <w:color w:val="auto"/>
        </w:rPr>
      </w:pPr>
    </w:p>
    <w:p>
      <w:pPr>
        <w:jc w:val="both"/>
        <w:ind w:left="20" w:right="1259"/>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ind w:left="20" w:right="1259"/>
        <w:spacing w:after="0" w:line="238"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8" w:lineRule="exact"/>
        <w:rPr>
          <w:sz w:val="24"/>
          <w:szCs w:val="24"/>
          <w:color w:val="auto"/>
        </w:rPr>
      </w:pPr>
    </w:p>
    <w:p>
      <w:pPr>
        <w:ind w:left="60"/>
        <w:spacing w:after="0"/>
        <w:rPr>
          <w:sz w:val="20"/>
          <w:szCs w:val="20"/>
          <w:color w:val="auto"/>
        </w:rPr>
      </w:pPr>
      <w:r>
        <w:rPr>
          <w:rFonts w:ascii="Arial" w:cs="Arial" w:eastAsia="Arial" w:hAnsi="Arial"/>
          <w:sz w:val="22"/>
          <w:szCs w:val="22"/>
          <w:color w:val="auto"/>
        </w:rPr>
        <w:t>CUSIP No. 148711104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Person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6940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94045" cy="17145"/>
                    </a:xfrm>
                    <a:prstGeom prst="rect">
                      <a:avLst/>
                    </a:prstGeom>
                    <a:noFill/>
                  </pic:spPr>
                </pic:pic>
              </a:graphicData>
            </a:graphic>
          </wp:anchor>
        </w:drawing>
      </w:r>
    </w:p>
    <w:p>
      <w:pPr>
        <w:spacing w:after="0" w:line="111" w:lineRule="exact"/>
        <w:rPr>
          <w:sz w:val="24"/>
          <w:szCs w:val="24"/>
          <w:color w:val="auto"/>
        </w:rPr>
      </w:pPr>
    </w:p>
    <w:p>
      <w:pPr>
        <w:ind w:left="700" w:right="6219" w:hanging="435"/>
        <w:spacing w:after="0" w:line="326" w:lineRule="auto"/>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(a) Names of Reporting Persons. Robeco Investment Management, Inc.</w:t>
      </w:r>
    </w:p>
    <w:p>
      <w:pPr>
        <w:spacing w:after="0" w:line="1" w:lineRule="exact"/>
        <w:rPr>
          <w:sz w:val="24"/>
          <w:szCs w:val="24"/>
          <w:color w:val="auto"/>
        </w:rPr>
      </w:pPr>
    </w:p>
    <w:p>
      <w:pPr>
        <w:ind w:left="700" w:right="8479" w:hanging="3"/>
        <w:spacing w:after="0" w:line="328" w:lineRule="auto"/>
        <w:tabs>
          <w:tab w:leader="none" w:pos="1006" w:val="left"/>
        </w:tabs>
        <w:numPr>
          <w:ilvl w:val="1"/>
          <w:numId w:val="3"/>
        </w:numPr>
        <w:rPr>
          <w:rFonts w:ascii="Arial" w:cs="Arial" w:eastAsia="Arial" w:hAnsi="Arial"/>
          <w:sz w:val="19"/>
          <w:szCs w:val="19"/>
          <w:color w:val="auto"/>
        </w:rPr>
      </w:pPr>
      <w:r>
        <w:rPr>
          <w:rFonts w:ascii="Arial" w:cs="Arial" w:eastAsia="Arial" w:hAnsi="Arial"/>
          <w:sz w:val="19"/>
          <w:szCs w:val="19"/>
          <w:color w:val="auto"/>
        </w:rPr>
        <w:t>Tax ID 98-0202744</w:t>
      </w:r>
    </w:p>
    <w:p>
      <w:pPr>
        <w:spacing w:after="0" w:line="348" w:lineRule="exact"/>
        <w:rPr>
          <w:rFonts w:ascii="Arial" w:cs="Arial" w:eastAsia="Arial" w:hAnsi="Arial"/>
          <w:sz w:val="19"/>
          <w:szCs w:val="19"/>
          <w:color w:val="auto"/>
        </w:rPr>
      </w:pPr>
    </w:p>
    <w:p>
      <w:pPr>
        <w:ind w:left="700" w:hanging="435"/>
        <w:spacing w:after="0"/>
        <w:tabs>
          <w:tab w:leader="none" w:pos="70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1040" w:hanging="343"/>
        <w:spacing w:after="0"/>
        <w:tabs>
          <w:tab w:leader="none" w:pos="104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060" w:hanging="363"/>
        <w:spacing w:after="0"/>
        <w:tabs>
          <w:tab w:leader="none" w:pos="106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-748665</wp:posOffset>
            </wp:positionV>
            <wp:extent cx="562991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219"/>
          </w:cols>
          <w:pgMar w:left="240" w:top="280" w:right="1440" w:bottom="169" w:gutter="0" w:footer="0" w:header="0"/>
          <w:type w:val="continuous"/>
        </w:sectPr>
      </w:pPr>
    </w:p>
    <w:bookmarkStart w:id="1" w:name="page2"/>
    <w:bookmarkEnd w:id="1"/>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SEC Use Only . . . . . . . . . . . . . . . . . . . . . . . . . . . . . . . . . . . . . . . . . . .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20" w:type="dxa"/>
            <w:vAlign w:val="bottom"/>
          </w:tcPr>
          <w:p>
            <w:pPr>
              <w:spacing w:after="0"/>
              <w:rPr>
                <w:sz w:val="23"/>
                <w:szCs w:val="23"/>
                <w:color w:val="auto"/>
              </w:rPr>
            </w:pPr>
          </w:p>
        </w:tc>
        <w:tc>
          <w:tcPr>
            <w:tcW w:w="7440" w:type="dxa"/>
            <w:vAlign w:val="bottom"/>
          </w:tcPr>
          <w:p>
            <w:pPr>
              <w:spacing w:after="0"/>
              <w:rPr>
                <w:sz w:val="20"/>
                <w:szCs w:val="20"/>
                <w:color w:val="auto"/>
              </w:rPr>
            </w:pPr>
            <w:r>
              <w:rPr>
                <w:rFonts w:ascii="Arial" w:cs="Arial" w:eastAsia="Arial" w:hAnsi="Arial"/>
                <w:sz w:val="22"/>
                <w:szCs w:val="22"/>
                <w:color w:val="auto"/>
              </w:rPr>
              <w:t>5. Sole Voting Power 2,511,210</w:t>
            </w:r>
          </w:p>
        </w:tc>
        <w:tc>
          <w:tcPr>
            <w:tcW w:w="0" w:type="dxa"/>
            <w:vAlign w:val="bottom"/>
          </w:tcPr>
          <w:p>
            <w:pPr>
              <w:spacing w:after="0"/>
              <w:rPr>
                <w:sz w:val="1"/>
                <w:szCs w:val="1"/>
                <w:color w:val="auto"/>
              </w:rPr>
            </w:pPr>
          </w:p>
        </w:tc>
      </w:tr>
      <w:tr>
        <w:trPr>
          <w:trHeight w:val="216"/>
        </w:trPr>
        <w:tc>
          <w:tcPr>
            <w:tcW w:w="14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420" w:type="dxa"/>
            <w:vAlign w:val="bottom"/>
            <w:vMerge w:val="continue"/>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6. Shared Voting Power 0</w:t>
            </w:r>
          </w:p>
        </w:tc>
        <w:tc>
          <w:tcPr>
            <w:tcW w:w="0" w:type="dxa"/>
            <w:vAlign w:val="bottom"/>
          </w:tcPr>
          <w:p>
            <w:pPr>
              <w:spacing w:after="0"/>
              <w:rPr>
                <w:sz w:val="1"/>
                <w:szCs w:val="1"/>
                <w:color w:val="auto"/>
              </w:rPr>
            </w:pPr>
          </w:p>
        </w:tc>
      </w:tr>
      <w:tr>
        <w:trPr>
          <w:trHeight w:val="166"/>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7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Owned by</w:t>
            </w: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420" w:type="dxa"/>
            <w:vAlign w:val="bottom"/>
            <w:vMerge w:val="continue"/>
          </w:tcPr>
          <w:p>
            <w:pPr>
              <w:spacing w:after="0"/>
              <w:rPr>
                <w:sz w:val="7"/>
                <w:szCs w:val="7"/>
                <w:color w:val="auto"/>
              </w:rPr>
            </w:pPr>
          </w:p>
        </w:tc>
        <w:tc>
          <w:tcPr>
            <w:tcW w:w="7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7. Sole Dispositive Power 2,511,210</w:t>
            </w:r>
          </w:p>
        </w:tc>
        <w:tc>
          <w:tcPr>
            <w:tcW w:w="0" w:type="dxa"/>
            <w:vAlign w:val="bottom"/>
          </w:tcPr>
          <w:p>
            <w:pPr>
              <w:spacing w:after="0"/>
              <w:rPr>
                <w:sz w:val="1"/>
                <w:szCs w:val="1"/>
                <w:color w:val="auto"/>
              </w:rPr>
            </w:pPr>
          </w:p>
        </w:tc>
      </w:tr>
      <w:tr>
        <w:trPr>
          <w:trHeight w:val="139"/>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7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420" w:type="dxa"/>
            <w:vAlign w:val="bottom"/>
            <w:vMerge w:val="continue"/>
          </w:tcPr>
          <w:p>
            <w:pPr>
              <w:spacing w:after="0"/>
              <w:rPr>
                <w:sz w:val="9"/>
                <w:szCs w:val="9"/>
                <w:color w:val="auto"/>
              </w:rPr>
            </w:pPr>
          </w:p>
        </w:tc>
        <w:tc>
          <w:tcPr>
            <w:tcW w:w="7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20" w:type="dxa"/>
            <w:vAlign w:val="bottom"/>
            <w:vMerge w:val="restart"/>
          </w:tcPr>
          <w:p>
            <w:pPr>
              <w:spacing w:after="0"/>
              <w:rPr>
                <w:sz w:val="20"/>
                <w:szCs w:val="20"/>
                <w:color w:val="auto"/>
              </w:rPr>
            </w:pPr>
            <w:r>
              <w:rPr>
                <w:rFonts w:ascii="Arial" w:cs="Arial" w:eastAsia="Arial" w:hAnsi="Arial"/>
                <w:sz w:val="22"/>
                <w:szCs w:val="22"/>
                <w:color w:val="auto"/>
              </w:rPr>
              <w:t>Person With</w:t>
            </w:r>
          </w:p>
        </w:tc>
        <w:tc>
          <w:tcPr>
            <w:tcW w:w="7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7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-996315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-996315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-550545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-550545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-104140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-104140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 w:lineRule="exact"/>
        <w:rPr>
          <w:sz w:val="20"/>
          <w:szCs w:val="20"/>
          <w:color w:val="auto"/>
        </w:rPr>
      </w:pPr>
    </w:p>
    <w:p>
      <w:pPr>
        <w:ind w:left="1640" w:hanging="220"/>
        <w:spacing w:after="0"/>
        <w:tabs>
          <w:tab w:leader="none" w:pos="164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Dispositive Power 0</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2,511,210</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21"/>
          <w:szCs w:val="21"/>
          <w:color w:val="auto"/>
        </w:rPr>
        <w:t>Check if the Aggregate Amount in Row (9) Excludes Certain Shares (See Instructions)</w:t>
      </w:r>
    </w:p>
    <w:p>
      <w:pPr>
        <w:spacing w:after="0" w:line="200" w:lineRule="exact"/>
        <w:rPr>
          <w:rFonts w:ascii="Arial" w:cs="Arial" w:eastAsia="Arial" w:hAnsi="Arial"/>
          <w:sz w:val="21"/>
          <w:szCs w:val="21"/>
          <w:color w:val="auto"/>
        </w:rPr>
      </w:pPr>
    </w:p>
    <w:p>
      <w:pPr>
        <w:spacing w:after="0" w:line="260" w:lineRule="exact"/>
        <w:rPr>
          <w:rFonts w:ascii="Arial" w:cs="Arial" w:eastAsia="Arial" w:hAnsi="Arial"/>
          <w:sz w:val="21"/>
          <w:szCs w:val="21"/>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Percent of Class Represented by Amount in Row (9) 6.06%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-1640840</wp:posOffset>
            </wp:positionV>
            <wp:extent cx="562991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-1194435</wp:posOffset>
            </wp:positionV>
            <wp:extent cx="562991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-748665</wp:posOffset>
            </wp:positionV>
            <wp:extent cx="562991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700" w:hanging="374"/>
        <w:spacing w:after="0"/>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Casual Male Retail Group, Inc.</w:t>
      </w:r>
    </w:p>
    <w:p>
      <w:pPr>
        <w:spacing w:after="0" w:line="80" w:lineRule="exact"/>
        <w:rPr>
          <w:rFonts w:ascii="Arial" w:cs="Arial" w:eastAsia="Arial" w:hAnsi="Arial"/>
          <w:sz w:val="22"/>
          <w:szCs w:val="22"/>
          <w:color w:val="auto"/>
        </w:rPr>
      </w:pPr>
    </w:p>
    <w:p>
      <w:pPr>
        <w:ind w:left="700" w:right="5399" w:hanging="374"/>
        <w:spacing w:after="0" w:line="382" w:lineRule="auto"/>
        <w:tabs>
          <w:tab w:leader="none" w:pos="700" w:val="left"/>
        </w:tabs>
        <w:numPr>
          <w:ilvl w:val="0"/>
          <w:numId w:val="8"/>
        </w:numPr>
        <w:rPr>
          <w:rFonts w:ascii="Arial" w:cs="Arial" w:eastAsia="Arial" w:hAnsi="Arial"/>
          <w:sz w:val="19"/>
          <w:szCs w:val="19"/>
          <w:color w:val="auto"/>
        </w:rPr>
      </w:pPr>
      <w:r>
        <w:rPr>
          <w:rFonts w:ascii="Arial" w:cs="Arial" w:eastAsia="Arial" w:hAnsi="Arial"/>
          <w:sz w:val="19"/>
          <w:szCs w:val="19"/>
          <w:color w:val="auto"/>
        </w:rPr>
        <w:t>Address of Issuer's Principal Executive Offices 555 Turnpike Street Canton, MA 02021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04" w:lineRule="exact"/>
        <w:rPr>
          <w:sz w:val="20"/>
          <w:szCs w:val="20"/>
          <w:color w:val="auto"/>
        </w:rPr>
      </w:pPr>
    </w:p>
    <w:p>
      <w:pPr>
        <w:ind w:left="700" w:hanging="374"/>
        <w:spacing w:after="0"/>
        <w:tabs>
          <w:tab w:leader="none" w:pos="700" w:val="left"/>
        </w:tabs>
        <w:numPr>
          <w:ilvl w:val="0"/>
          <w:numId w:val="9"/>
        </w:numPr>
        <w:rPr>
          <w:rFonts w:ascii="Arial" w:cs="Arial" w:eastAsia="Arial" w:hAnsi="Arial"/>
          <w:sz w:val="22"/>
          <w:szCs w:val="22"/>
          <w:color w:val="auto"/>
        </w:rPr>
      </w:pPr>
      <w:r>
        <w:rPr>
          <w:rFonts w:ascii="Arial" w:cs="Arial" w:eastAsia="Arial" w:hAnsi="Arial"/>
          <w:sz w:val="22"/>
          <w:szCs w:val="22"/>
          <w:color w:val="auto"/>
        </w:rPr>
        <w:t>Name of Person Filing</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Robeco Investment Management, Inc.</w:t>
      </w:r>
    </w:p>
    <w:p>
      <w:pPr>
        <w:spacing w:after="0" w:line="80" w:lineRule="exact"/>
        <w:rPr>
          <w:rFonts w:ascii="Arial" w:cs="Arial" w:eastAsia="Arial" w:hAnsi="Arial"/>
          <w:sz w:val="22"/>
          <w:szCs w:val="22"/>
          <w:color w:val="auto"/>
        </w:rPr>
      </w:pPr>
    </w:p>
    <w:p>
      <w:pPr>
        <w:ind w:left="700" w:right="4339" w:hanging="374"/>
        <w:spacing w:after="0" w:line="251" w:lineRule="auto"/>
        <w:tabs>
          <w:tab w:leader="none" w:pos="700" w:val="left"/>
        </w:tabs>
        <w:numPr>
          <w:ilvl w:val="0"/>
          <w:numId w:val="9"/>
        </w:numPr>
        <w:rPr>
          <w:rFonts w:ascii="Arial" w:cs="Arial" w:eastAsia="Arial" w:hAnsi="Arial"/>
          <w:sz w:val="22"/>
          <w:szCs w:val="22"/>
          <w:color w:val="auto"/>
        </w:rPr>
      </w:pPr>
      <w:r>
        <w:rPr>
          <w:rFonts w:ascii="Arial" w:cs="Arial" w:eastAsia="Arial" w:hAnsi="Arial"/>
          <w:sz w:val="22"/>
          <w:szCs w:val="22"/>
          <w:color w:val="auto"/>
        </w:rPr>
        <w:t>Address of Principal Business Office or, if none, Residence 909 Third Ave New York, NY 10022</w:t>
      </w:r>
    </w:p>
    <w:p>
      <w:pPr>
        <w:spacing w:after="0" w:line="65" w:lineRule="exact"/>
        <w:rPr>
          <w:rFonts w:ascii="Arial" w:cs="Arial" w:eastAsia="Arial" w:hAnsi="Arial"/>
          <w:sz w:val="22"/>
          <w:szCs w:val="22"/>
          <w:color w:val="auto"/>
        </w:rPr>
      </w:pPr>
    </w:p>
    <w:p>
      <w:pPr>
        <w:ind w:left="700" w:right="847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Citizenship Delaware</w:t>
      </w:r>
    </w:p>
    <w:p>
      <w:pPr>
        <w:ind w:left="700" w:right="717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Title of Class of Securities Common Stock</w:t>
      </w:r>
    </w:p>
    <w:p>
      <w:pPr>
        <w:ind w:left="700" w:right="8099" w:hanging="374"/>
        <w:spacing w:after="0" w:line="328"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CUSIP Number 148711104</w:t>
      </w:r>
    </w:p>
    <w:p>
      <w:pPr>
        <w:spacing w:after="0" w:line="342" w:lineRule="exact"/>
        <w:rPr>
          <w:sz w:val="20"/>
          <w:szCs w:val="20"/>
          <w:color w:val="auto"/>
        </w:rPr>
      </w:pPr>
    </w:p>
    <w:p>
      <w:pPr>
        <w:ind w:left="780" w:right="1399" w:hanging="782"/>
        <w:spacing w:after="0" w:line="256" w:lineRule="auto"/>
        <w:rPr>
          <w:sz w:val="20"/>
          <w:szCs w:val="20"/>
          <w:color w:val="auto"/>
        </w:rPr>
      </w:pPr>
      <w:r>
        <w:rPr>
          <w:rFonts w:ascii="Arial" w:cs="Arial" w:eastAsia="Arial" w:hAnsi="Arial"/>
          <w:sz w:val="22"/>
          <w:szCs w:val="22"/>
          <w:b w:val="1"/>
          <w:bCs w:val="1"/>
          <w:color w:val="auto"/>
        </w:rPr>
        <w:t>Item 3. If this statement is filed pursuant to 240.13d-1(b) or 240.13d-2(b) or (c), check whether the person filing is a:</w:t>
      </w:r>
    </w:p>
    <w:p>
      <w:pPr>
        <w:spacing w:after="0" w:line="61" w:lineRule="exact"/>
        <w:rPr>
          <w:sz w:val="20"/>
          <w:szCs w:val="20"/>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78c)</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60" w:lineRule="exact"/>
        <w:rPr>
          <w:rFonts w:ascii="Arial" w:cs="Arial" w:eastAsia="Arial" w:hAnsi="Arial"/>
          <w:sz w:val="22"/>
          <w:szCs w:val="22"/>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60" w:lineRule="exact"/>
        <w:rPr>
          <w:rFonts w:ascii="Arial" w:cs="Arial" w:eastAsia="Arial" w:hAnsi="Arial"/>
          <w:sz w:val="22"/>
          <w:szCs w:val="22"/>
          <w:color w:val="auto"/>
        </w:rPr>
      </w:pPr>
    </w:p>
    <w:p>
      <w:pPr>
        <w:ind w:left="1240" w:right="1299" w:hanging="936"/>
        <w:spacing w:after="0" w:line="251" w:lineRule="auto"/>
        <w:tabs>
          <w:tab w:leader="none" w:pos="794"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65" w:lineRule="exact"/>
        <w:rPr>
          <w:sz w:val="20"/>
          <w:szCs w:val="20"/>
          <w:color w:val="auto"/>
        </w:rPr>
      </w:pPr>
    </w:p>
    <w:p>
      <w:pPr>
        <w:ind w:left="320"/>
        <w:spacing w:after="0"/>
        <w:tabs>
          <w:tab w:leader="none" w:pos="760" w:val="left"/>
          <w:tab w:leader="none" w:pos="1220" w:val="left"/>
        </w:tabs>
        <w:rPr>
          <w:sz w:val="20"/>
          <w:szCs w:val="20"/>
          <w:color w:val="auto"/>
        </w:rPr>
      </w:pPr>
      <w:r>
        <w:rPr>
          <w:rFonts w:ascii="Arial" w:cs="Arial" w:eastAsia="Arial" w:hAnsi="Arial"/>
          <w:sz w:val="22"/>
          <w:szCs w:val="22"/>
          <w:color w:val="auto"/>
        </w:rPr>
        <w:t>(e)</w:t>
        <w:tab/>
        <w:t>[X</w:t>
      </w:r>
      <w:r>
        <w:rPr>
          <w:sz w:val="20"/>
          <w:szCs w:val="20"/>
          <w:color w:val="auto"/>
        </w:rPr>
        <w:tab/>
      </w:r>
      <w:r>
        <w:rPr>
          <w:rFonts w:ascii="Arial" w:cs="Arial" w:eastAsia="Arial" w:hAnsi="Arial"/>
          <w:sz w:val="19"/>
          <w:szCs w:val="19"/>
          <w:color w:val="auto"/>
        </w:rPr>
        <w:t>An investment adviser in accordance with 240.13d-1(b)(1)(ii)(E);</w:t>
      </w:r>
    </w:p>
    <w:p>
      <w:pPr>
        <w:spacing w:after="0" w:line="8"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159"/>
          </w:cols>
          <w:pgMar w:left="300" w:top="118" w:right="1440" w:bottom="0" w:gutter="0" w:footer="0" w:header="0"/>
        </w:sectPr>
      </w:pPr>
    </w:p>
    <w:bookmarkStart w:id="2" w:name="page3"/>
    <w:bookmarkEnd w:id="2"/>
    <w:p>
      <w:pPr>
        <w:spacing w:after="0" w:line="32" w:lineRule="exact"/>
        <w:rPr>
          <w:sz w:val="20"/>
          <w:szCs w:val="20"/>
          <w:color w:val="auto"/>
        </w:rPr>
      </w:pPr>
    </w:p>
    <w:p>
      <w:pPr>
        <w:ind w:left="1240" w:right="1559" w:hanging="900"/>
        <w:spacing w:after="0" w:line="251" w:lineRule="auto"/>
        <w:tabs>
          <w:tab w:leader="none" w:pos="794"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240.13d-1(b)(1)(ii) (F);</w:t>
      </w:r>
    </w:p>
    <w:p>
      <w:pPr>
        <w:spacing w:after="0" w:line="65" w:lineRule="exact"/>
        <w:rPr>
          <w:rFonts w:ascii="Arial" w:cs="Arial" w:eastAsia="Arial" w:hAnsi="Arial"/>
          <w:sz w:val="22"/>
          <w:szCs w:val="22"/>
          <w:color w:val="auto"/>
        </w:rPr>
      </w:pPr>
    </w:p>
    <w:p>
      <w:pPr>
        <w:ind w:left="780" w:hanging="476"/>
        <w:spacing w:after="0"/>
        <w:tabs>
          <w:tab w:leader="none" w:pos="780" w:val="left"/>
        </w:tabs>
        <w:numPr>
          <w:ilvl w:val="0"/>
          <w:numId w:val="11"/>
        </w:numPr>
        <w:rPr>
          <w:rFonts w:ascii="Arial" w:cs="Arial" w:eastAsia="Arial" w:hAnsi="Arial"/>
          <w:sz w:val="19"/>
          <w:szCs w:val="19"/>
          <w:color w:val="auto"/>
        </w:rPr>
      </w:pPr>
      <w:r>
        <w:rPr>
          <w:rFonts w:ascii="Arial" w:cs="Arial" w:eastAsia="Arial" w:hAnsi="Arial"/>
          <w:sz w:val="19"/>
          <w:szCs w:val="19"/>
          <w:color w:val="auto"/>
        </w:rPr>
        <w:t>[ ]   A parent holding company or control person in accordance with 240.13d-1(b)(1)(ii)(G);</w:t>
      </w:r>
    </w:p>
    <w:p>
      <w:pPr>
        <w:spacing w:after="0" w:line="294" w:lineRule="exact"/>
        <w:rPr>
          <w:rFonts w:ascii="Arial" w:cs="Arial" w:eastAsia="Arial" w:hAnsi="Arial"/>
          <w:sz w:val="19"/>
          <w:szCs w:val="19"/>
          <w:color w:val="auto"/>
        </w:rPr>
      </w:pPr>
    </w:p>
    <w:p>
      <w:pPr>
        <w:ind w:left="1240" w:right="1459" w:hanging="936"/>
        <w:spacing w:after="0" w:line="251" w:lineRule="auto"/>
        <w:tabs>
          <w:tab w:leader="none" w:pos="794"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savings associations as defined in Section 3(b) of the Federal Deposit Insurance Act (12 U.S.C. 1813);</w:t>
      </w:r>
    </w:p>
    <w:p>
      <w:pPr>
        <w:spacing w:after="0" w:line="65" w:lineRule="exact"/>
        <w:rPr>
          <w:rFonts w:ascii="Arial" w:cs="Arial" w:eastAsia="Arial" w:hAnsi="Arial"/>
          <w:sz w:val="22"/>
          <w:szCs w:val="22"/>
          <w:color w:val="auto"/>
        </w:rPr>
      </w:pPr>
    </w:p>
    <w:p>
      <w:pPr>
        <w:ind w:left="1240" w:right="1719" w:hanging="888"/>
        <w:spacing w:after="0" w:line="239" w:lineRule="auto"/>
        <w:tabs>
          <w:tab w:leader="none" w:pos="794"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w:t>
      </w:r>
    </w:p>
    <w:p>
      <w:pPr>
        <w:ind w:left="1240"/>
        <w:spacing w:after="0"/>
        <w:rPr>
          <w:rFonts w:ascii="Arial" w:cs="Arial" w:eastAsia="Arial" w:hAnsi="Arial"/>
          <w:sz w:val="22"/>
          <w:szCs w:val="22"/>
          <w:color w:val="auto"/>
        </w:rPr>
      </w:pPr>
      <w:r>
        <w:rPr>
          <w:rFonts w:ascii="Arial" w:cs="Arial" w:eastAsia="Arial" w:hAnsi="Arial"/>
          <w:sz w:val="22"/>
          <w:szCs w:val="22"/>
          <w:color w:val="auto"/>
        </w:rPr>
        <w:t>3(c)(14) of the Investment Company Act of 1940 (15 U.S.C. 80a-3);</w:t>
      </w:r>
    </w:p>
    <w:p>
      <w:pPr>
        <w:spacing w:after="0" w:line="80" w:lineRule="exact"/>
        <w:rPr>
          <w:rFonts w:ascii="Arial" w:cs="Arial" w:eastAsia="Arial" w:hAnsi="Arial"/>
          <w:sz w:val="22"/>
          <w:szCs w:val="22"/>
          <w:color w:val="auto"/>
        </w:rPr>
      </w:pPr>
    </w:p>
    <w:p>
      <w:pPr>
        <w:ind w:left="780" w:hanging="428"/>
        <w:spacing w:after="0"/>
        <w:tabs>
          <w:tab w:leader="none" w:pos="7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Group, in accordance with 240.13d-1(b)(1)(ii)(J).</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172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04" w:lineRule="exact"/>
        <w:rPr>
          <w:sz w:val="20"/>
          <w:szCs w:val="20"/>
          <w:color w:val="auto"/>
        </w:rPr>
      </w:pPr>
    </w:p>
    <w:p>
      <w:pPr>
        <w:ind w:right="1779"/>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5" w:lineRule="exact"/>
        <w:rPr>
          <w:sz w:val="20"/>
          <w:szCs w:val="20"/>
          <w:color w:val="auto"/>
        </w:rPr>
      </w:pPr>
    </w:p>
    <w:p>
      <w:pPr>
        <w:ind w:left="1740" w:hanging="360"/>
        <w:spacing w:after="0"/>
        <w:tabs>
          <w:tab w:leader="none" w:pos="17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Amount beneficially owned: 2,511,210</w:t>
      </w:r>
    </w:p>
    <w:p>
      <w:pPr>
        <w:spacing w:after="0" w:line="98" w:lineRule="exact"/>
        <w:rPr>
          <w:rFonts w:ascii="Arial" w:cs="Arial" w:eastAsia="Arial" w:hAnsi="Arial"/>
          <w:sz w:val="22"/>
          <w:szCs w:val="22"/>
          <w:color w:val="auto"/>
        </w:rPr>
      </w:pPr>
    </w:p>
    <w:p>
      <w:pPr>
        <w:ind w:left="1740" w:hanging="360"/>
        <w:spacing w:after="0"/>
        <w:tabs>
          <w:tab w:leader="none" w:pos="17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Percent of class: 6.06%%</w:t>
      </w:r>
    </w:p>
    <w:p>
      <w:pPr>
        <w:spacing w:after="0" w:line="98" w:lineRule="exact"/>
        <w:rPr>
          <w:rFonts w:ascii="Arial" w:cs="Arial" w:eastAsia="Arial" w:hAnsi="Arial"/>
          <w:sz w:val="22"/>
          <w:szCs w:val="22"/>
          <w:color w:val="auto"/>
        </w:rPr>
      </w:pPr>
    </w:p>
    <w:p>
      <w:pPr>
        <w:ind w:left="1740" w:hanging="360"/>
        <w:spacing w:after="0"/>
        <w:tabs>
          <w:tab w:leader="none" w:pos="17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98" w:lineRule="exact"/>
        <w:rPr>
          <w:rFonts w:ascii="Arial" w:cs="Arial" w:eastAsia="Arial" w:hAnsi="Arial"/>
          <w:sz w:val="22"/>
          <w:szCs w:val="22"/>
          <w:color w:val="auto"/>
        </w:rPr>
      </w:pPr>
    </w:p>
    <w:p>
      <w:pPr>
        <w:ind w:left="2180" w:hanging="436"/>
        <w:spacing w:after="0"/>
        <w:tabs>
          <w:tab w:leader="none" w:pos="218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vote or to direct the vote 2,511,210</w:t>
      </w:r>
    </w:p>
    <w:p>
      <w:pPr>
        <w:spacing w:after="0" w:line="98" w:lineRule="exact"/>
        <w:rPr>
          <w:rFonts w:ascii="Arial" w:cs="Arial" w:eastAsia="Arial" w:hAnsi="Arial"/>
          <w:sz w:val="22"/>
          <w:szCs w:val="22"/>
          <w:color w:val="auto"/>
        </w:rPr>
      </w:pPr>
    </w:p>
    <w:p>
      <w:pPr>
        <w:ind w:left="2180" w:hanging="436"/>
        <w:spacing w:after="0"/>
        <w:tabs>
          <w:tab w:leader="none" w:pos="218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vote or to direct the vote 0</w:t>
      </w:r>
    </w:p>
    <w:p>
      <w:pPr>
        <w:spacing w:after="0" w:line="98" w:lineRule="exact"/>
        <w:rPr>
          <w:rFonts w:ascii="Arial" w:cs="Arial" w:eastAsia="Arial" w:hAnsi="Arial"/>
          <w:sz w:val="22"/>
          <w:szCs w:val="22"/>
          <w:color w:val="auto"/>
        </w:rPr>
      </w:pPr>
    </w:p>
    <w:p>
      <w:pPr>
        <w:ind w:left="2180" w:hanging="436"/>
        <w:spacing w:after="0"/>
        <w:tabs>
          <w:tab w:leader="none" w:pos="218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2,511,210</w:t>
      </w:r>
    </w:p>
    <w:p>
      <w:pPr>
        <w:spacing w:after="0" w:line="98" w:lineRule="exact"/>
        <w:rPr>
          <w:rFonts w:ascii="Arial" w:cs="Arial" w:eastAsia="Arial" w:hAnsi="Arial"/>
          <w:sz w:val="22"/>
          <w:szCs w:val="22"/>
          <w:color w:val="auto"/>
        </w:rPr>
      </w:pPr>
    </w:p>
    <w:p>
      <w:pPr>
        <w:ind w:left="2180" w:hanging="436"/>
        <w:spacing w:after="0"/>
        <w:tabs>
          <w:tab w:leader="none" w:pos="218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0</w:t>
      </w:r>
    </w:p>
    <w:p>
      <w:pPr>
        <w:spacing w:after="0" w:line="200" w:lineRule="exact"/>
        <w:rPr>
          <w:sz w:val="20"/>
          <w:szCs w:val="20"/>
          <w:color w:val="auto"/>
        </w:rPr>
      </w:pPr>
    </w:p>
    <w:p>
      <w:pPr>
        <w:spacing w:after="0" w:line="243" w:lineRule="exact"/>
        <w:rPr>
          <w:sz w:val="20"/>
          <w:szCs w:val="20"/>
          <w:color w:val="auto"/>
        </w:rPr>
      </w:pPr>
    </w:p>
    <w:p>
      <w:pPr>
        <w:spacing w:after="0"/>
        <w:tabs>
          <w:tab w:leader="none" w:pos="172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104" w:lineRule="exact"/>
        <w:rPr>
          <w:sz w:val="20"/>
          <w:szCs w:val="20"/>
          <w:color w:val="auto"/>
        </w:rPr>
      </w:pPr>
    </w:p>
    <w:p>
      <w:pPr>
        <w:ind w:right="1779"/>
        <w:spacing w:after="0"/>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w:t>
      </w:r>
    </w:p>
    <w:p>
      <w:pPr>
        <w:sectPr>
          <w:pgSz w:w="11900" w:h="16870" w:orient="portrait"/>
          <w:cols w:equalWidth="0" w:num="1">
            <w:col w:w="10159"/>
          </w:cols>
          <w:pgMar w:left="300" w:top="132" w:right="1440" w:bottom="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color w:val="auto"/>
        </w:rPr>
        <w:t>This Schedule</w:t>
      </w:r>
    </w:p>
    <w:p>
      <w:pPr>
        <w:spacing w:after="0" w:line="180" w:lineRule="auto"/>
        <w:rPr>
          <w:sz w:val="20"/>
          <w:szCs w:val="20"/>
          <w:color w:val="auto"/>
        </w:rPr>
      </w:pPr>
      <w:r>
        <w:rPr>
          <w:rFonts w:ascii="Arial" w:cs="Arial" w:eastAsia="Arial" w:hAnsi="Arial"/>
          <w:sz w:val="19"/>
          <w:szCs w:val="19"/>
          <w:color w:val="auto"/>
        </w:rPr>
        <w:t>is being filed</w:t>
      </w:r>
    </w:p>
    <w:p>
      <w:pPr>
        <w:ind w:right="200"/>
        <w:spacing w:after="0" w:line="200" w:lineRule="auto"/>
        <w:rPr>
          <w:sz w:val="20"/>
          <w:szCs w:val="20"/>
          <w:color w:val="auto"/>
        </w:rPr>
      </w:pPr>
      <w:r>
        <w:rPr>
          <w:rFonts w:ascii="Arial" w:cs="Arial" w:eastAsia="Arial" w:hAnsi="Arial"/>
          <w:sz w:val="19"/>
          <w:szCs w:val="19"/>
          <w:b w:val="1"/>
          <w:bCs w:val="1"/>
          <w:color w:val="auto"/>
        </w:rPr>
        <w:t xml:space="preserve">Item 7. </w:t>
      </w:r>
      <w:r>
        <w:rPr>
          <w:rFonts w:ascii="Arial" w:cs="Arial" w:eastAsia="Arial" w:hAnsi="Arial"/>
          <w:sz w:val="19"/>
          <w:szCs w:val="19"/>
          <w:color w:val="auto"/>
        </w:rPr>
        <w:t>with respect</w:t>
      </w:r>
    </w:p>
    <w:p>
      <w:pPr>
        <w:jc w:val="both"/>
        <w:spacing w:after="0" w:line="461" w:lineRule="auto"/>
        <w:rPr>
          <w:sz w:val="20"/>
          <w:szCs w:val="20"/>
          <w:color w:val="auto"/>
        </w:rPr>
      </w:pPr>
      <w:r>
        <w:rPr>
          <w:rFonts w:ascii="Arial" w:cs="Arial" w:eastAsia="Arial" w:hAnsi="Arial"/>
          <w:sz w:val="11"/>
          <w:szCs w:val="11"/>
          <w:color w:val="auto"/>
        </w:rPr>
        <w:t>to 2,511,210 shares Casual NotMaleapplicableRetail</w:t>
      </w:r>
    </w:p>
    <w:p>
      <w:pPr>
        <w:spacing w:after="0" w:line="180" w:lineRule="auto"/>
        <w:rPr>
          <w:sz w:val="20"/>
          <w:szCs w:val="20"/>
          <w:color w:val="auto"/>
        </w:rPr>
      </w:pPr>
      <w:r>
        <w:rPr>
          <w:rFonts w:ascii="Arial" w:cs="Arial" w:eastAsia="Arial" w:hAnsi="Arial"/>
          <w:sz w:val="11"/>
          <w:szCs w:val="11"/>
          <w:color w:val="auto"/>
        </w:rPr>
        <w:t>Group, Inc.</w:t>
      </w:r>
    </w:p>
    <w:p>
      <w:pPr>
        <w:spacing w:after="0" w:line="182" w:lineRule="auto"/>
        <w:rPr>
          <w:sz w:val="20"/>
          <w:szCs w:val="20"/>
          <w:color w:val="auto"/>
        </w:rPr>
      </w:pPr>
      <w:r>
        <w:rPr>
          <w:rFonts w:ascii="Arial" w:cs="Arial" w:eastAsia="Arial" w:hAnsi="Arial"/>
          <w:sz w:val="17"/>
          <w:szCs w:val="17"/>
          <w:b w:val="1"/>
          <w:bCs w:val="1"/>
          <w:color w:val="auto"/>
        </w:rPr>
        <w:t>Item 8.</w:t>
      </w:r>
    </w:p>
    <w:p>
      <w:pPr>
        <w:jc w:val="both"/>
        <w:spacing w:after="0" w:line="405" w:lineRule="auto"/>
        <w:rPr>
          <w:sz w:val="20"/>
          <w:szCs w:val="20"/>
          <w:color w:val="auto"/>
        </w:rPr>
      </w:pPr>
      <w:r>
        <w:rPr>
          <w:rFonts w:ascii="Arial" w:cs="Arial" w:eastAsia="Arial" w:hAnsi="Arial"/>
          <w:sz w:val="11"/>
          <w:szCs w:val="11"/>
          <w:color w:val="auto"/>
        </w:rPr>
        <w:t>(the Common Not</w:t>
      </w:r>
      <w:r>
        <w:rPr>
          <w:rFonts w:ascii="Arial" w:cs="Arial" w:eastAsia="Arial" w:hAnsi="Arial"/>
          <w:sz w:val="14"/>
          <w:szCs w:val="14"/>
          <w:color w:val="auto"/>
          <w:vertAlign w:val="subscript"/>
        </w:rPr>
        <w:t>Stock)</w:t>
      </w:r>
      <w:r>
        <w:rPr>
          <w:rFonts w:ascii="Arial" w:cs="Arial" w:eastAsia="Arial" w:hAnsi="Arial"/>
          <w:sz w:val="11"/>
          <w:szCs w:val="11"/>
          <w:color w:val="auto"/>
        </w:rPr>
        <w:t>applicable</w:t>
      </w:r>
      <w:r>
        <w:rPr>
          <w:rFonts w:ascii="Arial" w:cs="Arial" w:eastAsia="Arial" w:hAnsi="Arial"/>
          <w:sz w:val="14"/>
          <w:szCs w:val="14"/>
          <w:color w:val="auto"/>
          <w:vertAlign w:val="subscript"/>
        </w:rPr>
        <w:t>heldby</w:t>
      </w:r>
    </w:p>
    <w:p>
      <w:pPr>
        <w:spacing w:after="0"/>
        <w:rPr>
          <w:sz w:val="20"/>
          <w:szCs w:val="20"/>
          <w:color w:val="auto"/>
        </w:rPr>
      </w:pPr>
      <w:r>
        <w:rPr>
          <w:rFonts w:ascii="Arial" w:cs="Arial" w:eastAsia="Arial" w:hAnsi="Arial"/>
          <w:sz w:val="6"/>
          <w:szCs w:val="6"/>
          <w:color w:val="auto"/>
        </w:rPr>
        <w:t>Robeco</w:t>
      </w:r>
    </w:p>
    <w:p>
      <w:pPr>
        <w:spacing w:after="0" w:line="181" w:lineRule="auto"/>
        <w:rPr>
          <w:sz w:val="20"/>
          <w:szCs w:val="20"/>
          <w:color w:val="auto"/>
        </w:rPr>
      </w:pPr>
      <w:r>
        <w:rPr>
          <w:rFonts w:ascii="Arial" w:cs="Arial" w:eastAsia="Arial" w:hAnsi="Arial"/>
          <w:sz w:val="19"/>
          <w:szCs w:val="19"/>
          <w:b w:val="1"/>
          <w:bCs w:val="1"/>
          <w:color w:val="auto"/>
        </w:rPr>
        <w:t xml:space="preserve">Item 9. </w:t>
      </w:r>
      <w:r>
        <w:rPr>
          <w:rFonts w:ascii="Arial" w:cs="Arial" w:eastAsia="Arial" w:hAnsi="Arial"/>
          <w:sz w:val="19"/>
          <w:szCs w:val="19"/>
          <w:color w:val="auto"/>
        </w:rPr>
        <w:t>Investment Not applicable 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200" w:lineRule="exact"/>
        <w:rPr>
          <w:sz w:val="20"/>
          <w:szCs w:val="20"/>
          <w:color w:val="auto"/>
        </w:rPr>
      </w:pPr>
    </w:p>
    <w:p>
      <w:pPr>
        <w:spacing w:after="0" w:line="297" w:lineRule="exact"/>
        <w:rPr>
          <w:sz w:val="20"/>
          <w:szCs w:val="20"/>
          <w:color w:val="auto"/>
        </w:rPr>
      </w:pPr>
    </w:p>
    <w:p>
      <w:pPr>
        <w:ind w:right="1759"/>
        <w:spacing w:after="0" w:line="243"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Identification and Classification of Members of the Group</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of Dissolution of Group</w:t>
      </w:r>
    </w:p>
    <w:p>
      <w:pPr>
        <w:spacing w:after="0" w:line="431" w:lineRule="exact"/>
        <w:rPr>
          <w:sz w:val="20"/>
          <w:szCs w:val="20"/>
          <w:color w:val="auto"/>
        </w:rPr>
      </w:pPr>
    </w:p>
    <w:p>
      <w:pPr>
        <w:sectPr>
          <w:pgSz w:w="11900" w:h="16870" w:orient="portrait"/>
          <w:cols w:equalWidth="0" w:num="2">
            <w:col w:w="1260" w:space="480"/>
            <w:col w:w="8419"/>
          </w:cols>
          <w:pgMar w:left="300" w:top="132" w:right="1440" w:bottom="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1480" w:type="dxa"/>
            <w:vAlign w:val="bottom"/>
          </w:tcPr>
          <w:p>
            <w:pPr>
              <w:ind w:left="80"/>
              <w:spacing w:after="0" w:line="195" w:lineRule="exact"/>
              <w:rPr>
                <w:sz w:val="20"/>
                <w:szCs w:val="20"/>
                <w:color w:val="auto"/>
              </w:rPr>
            </w:pPr>
            <w:r>
              <w:rPr>
                <w:rFonts w:ascii="Arial" w:cs="Arial" w:eastAsia="Arial" w:hAnsi="Arial"/>
                <w:sz w:val="22"/>
                <w:szCs w:val="22"/>
                <w:color w:val="auto"/>
              </w:rPr>
              <w:t>nc. (RIM) on</w:t>
            </w:r>
          </w:p>
        </w:tc>
        <w:tc>
          <w:tcPr>
            <w:tcW w:w="1440" w:type="dxa"/>
            <w:vAlign w:val="bottom"/>
            <w:vMerge w:val="restart"/>
          </w:tcPr>
          <w:p>
            <w:pPr>
              <w:ind w:left="260"/>
              <w:spacing w:after="0" w:line="246" w:lineRule="exact"/>
              <w:rPr>
                <w:sz w:val="20"/>
                <w:szCs w:val="20"/>
                <w:color w:val="auto"/>
              </w:rPr>
            </w:pPr>
            <w:r>
              <w:rPr>
                <w:rFonts w:ascii="Arial" w:cs="Arial" w:eastAsia="Arial" w:hAnsi="Arial"/>
                <w:sz w:val="22"/>
                <w:szCs w:val="22"/>
                <w:b w:val="1"/>
                <w:bCs w:val="1"/>
                <w:color w:val="auto"/>
                <w:w w:val="90"/>
              </w:rPr>
              <w:t>Certification</w:t>
            </w:r>
          </w:p>
        </w:tc>
        <w:tc>
          <w:tcPr>
            <w:tcW w:w="0" w:type="dxa"/>
            <w:vAlign w:val="bottom"/>
          </w:tcPr>
          <w:p>
            <w:pPr>
              <w:spacing w:after="0"/>
              <w:rPr>
                <w:sz w:val="1"/>
                <w:szCs w:val="1"/>
                <w:color w:val="auto"/>
              </w:rPr>
            </w:pPr>
          </w:p>
        </w:tc>
      </w:tr>
      <w:tr>
        <w:trPr>
          <w:trHeight w:val="51"/>
        </w:trPr>
        <w:tc>
          <w:tcPr>
            <w:tcW w:w="1480" w:type="dxa"/>
            <w:vAlign w:val="bottom"/>
          </w:tcPr>
          <w:p>
            <w:pPr>
              <w:spacing w:after="0" w:line="51" w:lineRule="exact"/>
              <w:rPr>
                <w:sz w:val="20"/>
                <w:szCs w:val="20"/>
                <w:color w:val="auto"/>
              </w:rPr>
            </w:pPr>
            <w:r>
              <w:rPr>
                <w:rFonts w:ascii="Arial" w:cs="Arial" w:eastAsia="Arial" w:hAnsi="Arial"/>
                <w:sz w:val="5"/>
                <w:szCs w:val="5"/>
                <w:b w:val="1"/>
                <w:bCs w:val="1"/>
                <w:color w:val="auto"/>
              </w:rPr>
              <w:t>Item 10.</w:t>
            </w: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00" w:type="dxa"/>
            <w:vAlign w:val="bottom"/>
          </w:tcPr>
          <w:p>
            <w:pPr>
              <w:spacing w:after="0" w:line="192" w:lineRule="exact"/>
              <w:rPr>
                <w:sz w:val="20"/>
                <w:szCs w:val="20"/>
                <w:color w:val="auto"/>
              </w:rPr>
            </w:pPr>
            <w:r>
              <w:rPr>
                <w:rFonts w:ascii="Arial" w:cs="Arial" w:eastAsia="Arial" w:hAnsi="Arial"/>
                <w:sz w:val="22"/>
                <w:szCs w:val="22"/>
                <w:color w:val="auto"/>
              </w:rPr>
              <w:t>12/31/2008</w:t>
            </w:r>
          </w:p>
        </w:tc>
        <w:tc>
          <w:tcPr>
            <w:tcW w:w="5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8180" w:type="dxa"/>
            <w:vAlign w:val="bottom"/>
            <w:gridSpan w:val="2"/>
          </w:tcPr>
          <w:p>
            <w:pPr>
              <w:ind w:left="480"/>
              <w:spacing w:after="0" w:line="95" w:lineRule="exact"/>
              <w:rPr>
                <w:sz w:val="20"/>
                <w:szCs w:val="20"/>
                <w:color w:val="auto"/>
              </w:rPr>
            </w:pPr>
            <w:r>
              <w:rPr>
                <w:rFonts w:ascii="Arial" w:cs="Arial" w:eastAsia="Arial" w:hAnsi="Arial"/>
                <w:sz w:val="10"/>
                <w:szCs w:val="10"/>
                <w:color w:val="auto"/>
              </w:rPr>
              <w:t>By signing below I certify that, to the best of my knowledge and belief, the securities</w:t>
            </w:r>
          </w:p>
        </w:tc>
        <w:tc>
          <w:tcPr>
            <w:tcW w:w="0" w:type="dxa"/>
            <w:vAlign w:val="bottom"/>
          </w:tcPr>
          <w:p>
            <w:pPr>
              <w:spacing w:after="0"/>
              <w:rPr>
                <w:sz w:val="1"/>
                <w:szCs w:val="1"/>
                <w:color w:val="auto"/>
              </w:rPr>
            </w:pPr>
          </w:p>
        </w:tc>
      </w:tr>
      <w:tr>
        <w:trPr>
          <w:trHeight w:val="149"/>
        </w:trPr>
        <w:tc>
          <w:tcPr>
            <w:tcW w:w="2600" w:type="dxa"/>
            <w:vAlign w:val="bottom"/>
          </w:tcPr>
          <w:p>
            <w:pPr>
              <w:spacing w:after="0" w:line="149" w:lineRule="exact"/>
              <w:rPr>
                <w:sz w:val="20"/>
                <w:szCs w:val="20"/>
                <w:color w:val="auto"/>
              </w:rPr>
            </w:pPr>
            <w:r>
              <w:rPr>
                <w:rFonts w:ascii="Arial" w:cs="Arial" w:eastAsia="Arial" w:hAnsi="Arial"/>
                <w:sz w:val="17"/>
                <w:szCs w:val="17"/>
                <w:color w:val="auto"/>
              </w:rPr>
              <w:t>for the</w:t>
            </w:r>
          </w:p>
        </w:tc>
        <w:tc>
          <w:tcPr>
            <w:tcW w:w="5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8180" w:type="dxa"/>
            <w:vAlign w:val="bottom"/>
            <w:gridSpan w:val="2"/>
          </w:tcPr>
          <w:p>
            <w:pPr>
              <w:ind w:left="480"/>
              <w:spacing w:after="0" w:line="95" w:lineRule="exact"/>
              <w:rPr>
                <w:sz w:val="20"/>
                <w:szCs w:val="20"/>
                <w:color w:val="auto"/>
              </w:rPr>
            </w:pPr>
            <w:r>
              <w:rPr>
                <w:rFonts w:ascii="Arial" w:cs="Arial" w:eastAsia="Arial" w:hAnsi="Arial"/>
                <w:sz w:val="10"/>
                <w:szCs w:val="10"/>
                <w:color w:val="auto"/>
              </w:rPr>
              <w:t>referred to above were acquired and are held in the ordinary course of business and were</w:t>
            </w:r>
          </w:p>
        </w:tc>
        <w:tc>
          <w:tcPr>
            <w:tcW w:w="0" w:type="dxa"/>
            <w:vAlign w:val="bottom"/>
          </w:tcPr>
          <w:p>
            <w:pPr>
              <w:spacing w:after="0"/>
              <w:rPr>
                <w:sz w:val="1"/>
                <w:szCs w:val="1"/>
                <w:color w:val="auto"/>
              </w:rPr>
            </w:pPr>
          </w:p>
        </w:tc>
      </w:tr>
      <w:tr>
        <w:trPr>
          <w:trHeight w:val="149"/>
        </w:trPr>
        <w:tc>
          <w:tcPr>
            <w:tcW w:w="2600" w:type="dxa"/>
            <w:vAlign w:val="bottom"/>
          </w:tcPr>
          <w:p>
            <w:pPr>
              <w:spacing w:after="0" w:line="149" w:lineRule="exact"/>
              <w:rPr>
                <w:sz w:val="20"/>
                <w:szCs w:val="20"/>
                <w:color w:val="auto"/>
              </w:rPr>
            </w:pPr>
            <w:r>
              <w:rPr>
                <w:rFonts w:ascii="Arial" w:cs="Arial" w:eastAsia="Arial" w:hAnsi="Arial"/>
                <w:sz w:val="17"/>
                <w:szCs w:val="17"/>
                <w:color w:val="auto"/>
              </w:rPr>
              <w:t>discretionary</w:t>
            </w:r>
          </w:p>
        </w:tc>
        <w:tc>
          <w:tcPr>
            <w:tcW w:w="5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8180" w:type="dxa"/>
            <w:vAlign w:val="bottom"/>
            <w:gridSpan w:val="2"/>
          </w:tcPr>
          <w:p>
            <w:pPr>
              <w:ind w:left="480"/>
              <w:spacing w:after="0" w:line="95" w:lineRule="exact"/>
              <w:rPr>
                <w:sz w:val="20"/>
                <w:szCs w:val="20"/>
                <w:color w:val="auto"/>
              </w:rPr>
            </w:pPr>
            <w:r>
              <w:rPr>
                <w:rFonts w:ascii="Arial" w:cs="Arial" w:eastAsia="Arial" w:hAnsi="Arial"/>
                <w:sz w:val="10"/>
                <w:szCs w:val="10"/>
                <w:color w:val="auto"/>
              </w:rPr>
              <w:t>not acquired and are not held for the purpose of or with the effect of changing or</w:t>
            </w:r>
          </w:p>
        </w:tc>
        <w:tc>
          <w:tcPr>
            <w:tcW w:w="0" w:type="dxa"/>
            <w:vAlign w:val="bottom"/>
          </w:tcPr>
          <w:p>
            <w:pPr>
              <w:spacing w:after="0"/>
              <w:rPr>
                <w:sz w:val="1"/>
                <w:szCs w:val="1"/>
                <w:color w:val="auto"/>
              </w:rPr>
            </w:pPr>
          </w:p>
        </w:tc>
      </w:tr>
      <w:tr>
        <w:trPr>
          <w:trHeight w:val="149"/>
        </w:trPr>
        <w:tc>
          <w:tcPr>
            <w:tcW w:w="2600" w:type="dxa"/>
            <w:vAlign w:val="bottom"/>
          </w:tcPr>
          <w:p>
            <w:pPr>
              <w:spacing w:after="0" w:line="149" w:lineRule="exact"/>
              <w:rPr>
                <w:sz w:val="20"/>
                <w:szCs w:val="20"/>
                <w:color w:val="auto"/>
              </w:rPr>
            </w:pPr>
            <w:r>
              <w:rPr>
                <w:rFonts w:ascii="Arial" w:cs="Arial" w:eastAsia="Arial" w:hAnsi="Arial"/>
                <w:sz w:val="17"/>
                <w:szCs w:val="17"/>
                <w:color w:val="auto"/>
              </w:rPr>
              <w:t>account of</w:t>
            </w:r>
          </w:p>
        </w:tc>
        <w:tc>
          <w:tcPr>
            <w:tcW w:w="5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8180" w:type="dxa"/>
            <w:vAlign w:val="bottom"/>
            <w:gridSpan w:val="2"/>
          </w:tcPr>
          <w:p>
            <w:pPr>
              <w:ind w:left="480"/>
              <w:spacing w:after="0" w:line="95" w:lineRule="exact"/>
              <w:rPr>
                <w:sz w:val="20"/>
                <w:szCs w:val="20"/>
                <w:color w:val="auto"/>
              </w:rPr>
            </w:pPr>
            <w:r>
              <w:rPr>
                <w:rFonts w:ascii="Arial" w:cs="Arial" w:eastAsia="Arial" w:hAnsi="Arial"/>
                <w:sz w:val="10"/>
                <w:szCs w:val="10"/>
                <w:color w:val="auto"/>
              </w:rPr>
              <w:t>influencing the control of the issuer of the securities and were not acquired and are not</w:t>
            </w:r>
          </w:p>
        </w:tc>
        <w:tc>
          <w:tcPr>
            <w:tcW w:w="0" w:type="dxa"/>
            <w:vAlign w:val="bottom"/>
          </w:tcPr>
          <w:p>
            <w:pPr>
              <w:spacing w:after="0"/>
              <w:rPr>
                <w:sz w:val="1"/>
                <w:szCs w:val="1"/>
                <w:color w:val="auto"/>
              </w:rPr>
            </w:pPr>
          </w:p>
        </w:tc>
      </w:tr>
      <w:tr>
        <w:trPr>
          <w:trHeight w:val="149"/>
        </w:trPr>
        <w:tc>
          <w:tcPr>
            <w:tcW w:w="2600" w:type="dxa"/>
            <w:vAlign w:val="bottom"/>
          </w:tcPr>
          <w:p>
            <w:pPr>
              <w:spacing w:after="0" w:line="149" w:lineRule="exact"/>
              <w:rPr>
                <w:sz w:val="20"/>
                <w:szCs w:val="20"/>
                <w:color w:val="auto"/>
              </w:rPr>
            </w:pPr>
            <w:r>
              <w:rPr>
                <w:rFonts w:ascii="Arial" w:cs="Arial" w:eastAsia="Arial" w:hAnsi="Arial"/>
                <w:sz w:val="17"/>
                <w:szCs w:val="17"/>
                <w:color w:val="auto"/>
              </w:rPr>
              <w:t>certain clients.</w:t>
            </w:r>
          </w:p>
        </w:tc>
        <w:tc>
          <w:tcPr>
            <w:tcW w:w="5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8180" w:type="dxa"/>
            <w:vAlign w:val="bottom"/>
            <w:gridSpan w:val="2"/>
          </w:tcPr>
          <w:p>
            <w:pPr>
              <w:ind w:left="480"/>
              <w:spacing w:after="0" w:line="95" w:lineRule="exact"/>
              <w:rPr>
                <w:sz w:val="20"/>
                <w:szCs w:val="20"/>
                <w:color w:val="auto"/>
              </w:rPr>
            </w:pPr>
            <w:r>
              <w:rPr>
                <w:rFonts w:ascii="Arial" w:cs="Arial" w:eastAsia="Arial" w:hAnsi="Arial"/>
                <w:sz w:val="10"/>
                <w:szCs w:val="10"/>
                <w:color w:val="auto"/>
              </w:rPr>
              <w:t>held in connection with or as a participant in any transaction having that purpose or</w:t>
            </w:r>
          </w:p>
        </w:tc>
        <w:tc>
          <w:tcPr>
            <w:tcW w:w="0" w:type="dxa"/>
            <w:vAlign w:val="bottom"/>
          </w:tcPr>
          <w:p>
            <w:pPr>
              <w:spacing w:after="0"/>
              <w:rPr>
                <w:sz w:val="1"/>
                <w:szCs w:val="1"/>
                <w:color w:val="auto"/>
              </w:rPr>
            </w:pPr>
          </w:p>
        </w:tc>
      </w:tr>
      <w:tr>
        <w:trPr>
          <w:trHeight w:val="149"/>
        </w:trPr>
        <w:tc>
          <w:tcPr>
            <w:tcW w:w="2600" w:type="dxa"/>
            <w:vAlign w:val="bottom"/>
          </w:tcPr>
          <w:p>
            <w:pPr>
              <w:spacing w:after="0" w:line="149" w:lineRule="exact"/>
              <w:rPr>
                <w:sz w:val="20"/>
                <w:szCs w:val="20"/>
                <w:color w:val="auto"/>
              </w:rPr>
            </w:pPr>
            <w:r>
              <w:rPr>
                <w:rFonts w:ascii="Arial" w:cs="Arial" w:eastAsia="Arial" w:hAnsi="Arial"/>
                <w:sz w:val="17"/>
                <w:szCs w:val="17"/>
                <w:color w:val="auto"/>
              </w:rPr>
              <w:t>By reason of</w:t>
            </w:r>
          </w:p>
        </w:tc>
        <w:tc>
          <w:tcPr>
            <w:tcW w:w="5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600" w:type="dxa"/>
            <w:vAlign w:val="bottom"/>
          </w:tcPr>
          <w:p>
            <w:pPr>
              <w:ind w:left="480"/>
              <w:spacing w:after="0" w:line="95" w:lineRule="exact"/>
              <w:rPr>
                <w:sz w:val="20"/>
                <w:szCs w:val="20"/>
                <w:color w:val="auto"/>
              </w:rPr>
            </w:pPr>
            <w:r>
              <w:rPr>
                <w:rFonts w:ascii="Arial" w:cs="Arial" w:eastAsia="Arial" w:hAnsi="Arial"/>
                <w:sz w:val="10"/>
                <w:szCs w:val="10"/>
                <w:color w:val="auto"/>
              </w:rPr>
              <w:t>effect.</w:t>
            </w:r>
          </w:p>
        </w:tc>
        <w:tc>
          <w:tcPr>
            <w:tcW w:w="5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600" w:type="dxa"/>
            <w:vAlign w:val="bottom"/>
          </w:tcPr>
          <w:p>
            <w:pPr>
              <w:spacing w:after="0" w:line="182" w:lineRule="exact"/>
              <w:rPr>
                <w:sz w:val="20"/>
                <w:szCs w:val="20"/>
                <w:color w:val="auto"/>
              </w:rPr>
            </w:pPr>
            <w:r>
              <w:rPr>
                <w:rFonts w:ascii="Arial" w:cs="Arial" w:eastAsia="Arial" w:hAnsi="Arial"/>
                <w:sz w:val="21"/>
                <w:szCs w:val="21"/>
                <w:color w:val="auto"/>
              </w:rPr>
              <w:t>rule 13d-3</w:t>
            </w:r>
          </w:p>
        </w:tc>
        <w:tc>
          <w:tcPr>
            <w:tcW w:w="5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00" w:type="dxa"/>
            <w:vAlign w:val="bottom"/>
          </w:tcPr>
          <w:p>
            <w:pPr>
              <w:spacing w:after="0" w:line="243" w:lineRule="exact"/>
              <w:rPr>
                <w:sz w:val="20"/>
                <w:szCs w:val="20"/>
                <w:color w:val="auto"/>
              </w:rPr>
            </w:pPr>
            <w:r>
              <w:rPr>
                <w:rFonts w:ascii="Arial" w:cs="Arial" w:eastAsia="Arial" w:hAnsi="Arial"/>
                <w:sz w:val="22"/>
                <w:szCs w:val="22"/>
                <w:color w:val="auto"/>
              </w:rPr>
              <w:t>under the act</w:t>
            </w:r>
          </w:p>
        </w:tc>
        <w:tc>
          <w:tcPr>
            <w:tcW w:w="5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0" w:type="dxa"/>
            <w:vAlign w:val="bottom"/>
          </w:tcPr>
          <w:p>
            <w:pPr>
              <w:spacing w:after="0" w:line="243" w:lineRule="exact"/>
              <w:rPr>
                <w:sz w:val="20"/>
                <w:szCs w:val="20"/>
                <w:color w:val="auto"/>
              </w:rPr>
            </w:pPr>
            <w:r>
              <w:rPr>
                <w:rFonts w:ascii="Arial" w:cs="Arial" w:eastAsia="Arial" w:hAnsi="Arial"/>
                <w:sz w:val="22"/>
                <w:szCs w:val="22"/>
                <w:color w:val="auto"/>
              </w:rPr>
              <w:t>RIM may be</w:t>
            </w:r>
          </w:p>
        </w:tc>
        <w:tc>
          <w:tcPr>
            <w:tcW w:w="5580" w:type="dxa"/>
            <w:vAlign w:val="bottom"/>
            <w:vMerge w:val="restart"/>
          </w:tcPr>
          <w:p>
            <w:pPr>
              <w:ind w:left="1340"/>
              <w:spacing w:after="0"/>
              <w:rPr>
                <w:sz w:val="20"/>
                <w:szCs w:val="20"/>
                <w:color w:val="auto"/>
              </w:rPr>
            </w:pPr>
            <w:r>
              <w:rPr>
                <w:rFonts w:ascii="Arial" w:cs="Arial" w:eastAsia="Arial" w:hAnsi="Arial"/>
                <w:sz w:val="25"/>
                <w:szCs w:val="25"/>
                <w:b w:val="1"/>
                <w:bCs w:val="1"/>
                <w:color w:val="auto"/>
              </w:rPr>
              <w:t>SIGNATURE</w:t>
            </w:r>
          </w:p>
        </w:tc>
        <w:tc>
          <w:tcPr>
            <w:tcW w:w="0" w:type="dxa"/>
            <w:vAlign w:val="bottom"/>
          </w:tcPr>
          <w:p>
            <w:pPr>
              <w:spacing w:after="0"/>
              <w:rPr>
                <w:sz w:val="1"/>
                <w:szCs w:val="1"/>
                <w:color w:val="auto"/>
              </w:rPr>
            </w:pPr>
          </w:p>
        </w:tc>
      </w:tr>
      <w:tr>
        <w:trPr>
          <w:trHeight w:val="165"/>
        </w:trPr>
        <w:tc>
          <w:tcPr>
            <w:tcW w:w="2600" w:type="dxa"/>
            <w:vAlign w:val="bottom"/>
            <w:vMerge w:val="restart"/>
          </w:tcPr>
          <w:p>
            <w:pPr>
              <w:spacing w:after="0" w:line="243" w:lineRule="exact"/>
              <w:rPr>
                <w:sz w:val="20"/>
                <w:szCs w:val="20"/>
                <w:color w:val="auto"/>
              </w:rPr>
            </w:pPr>
            <w:r>
              <w:rPr>
                <w:rFonts w:ascii="Arial" w:cs="Arial" w:eastAsia="Arial" w:hAnsi="Arial"/>
                <w:sz w:val="22"/>
                <w:szCs w:val="22"/>
                <w:color w:val="auto"/>
              </w:rPr>
              <w:t>deemed to be</w:t>
            </w:r>
          </w:p>
        </w:tc>
        <w:tc>
          <w:tcPr>
            <w:tcW w:w="5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8"/>
        </w:trPr>
        <w:tc>
          <w:tcPr>
            <w:tcW w:w="2600" w:type="dxa"/>
            <w:vAlign w:val="bottom"/>
            <w:vMerge w:val="continue"/>
          </w:tcPr>
          <w:p>
            <w:pPr>
              <w:spacing w:after="0"/>
              <w:rPr>
                <w:sz w:val="6"/>
                <w:szCs w:val="6"/>
                <w:color w:val="auto"/>
              </w:rPr>
            </w:pPr>
          </w:p>
        </w:tc>
        <w:tc>
          <w:tcPr>
            <w:tcW w:w="5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600" w:type="dxa"/>
            <w:vAlign w:val="bottom"/>
          </w:tcPr>
          <w:p>
            <w:pPr>
              <w:spacing w:after="0" w:line="221" w:lineRule="exact"/>
              <w:rPr>
                <w:sz w:val="20"/>
                <w:szCs w:val="20"/>
                <w:color w:val="auto"/>
              </w:rPr>
            </w:pPr>
            <w:r>
              <w:rPr>
                <w:rFonts w:ascii="Arial" w:cs="Arial" w:eastAsia="Arial" w:hAnsi="Arial"/>
                <w:sz w:val="22"/>
                <w:szCs w:val="22"/>
                <w:color w:val="auto"/>
              </w:rPr>
              <w:t>a beneficial</w:t>
            </w:r>
          </w:p>
        </w:tc>
        <w:tc>
          <w:tcPr>
            <w:tcW w:w="5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right="1159"/>
        <w:spacing w:after="0" w:line="183" w:lineRule="auto"/>
        <w:rPr>
          <w:sz w:val="20"/>
          <w:szCs w:val="20"/>
          <w:color w:val="auto"/>
        </w:rPr>
      </w:pPr>
      <w:r>
        <w:rPr>
          <w:rFonts w:ascii="Arial" w:cs="Arial" w:eastAsia="Arial" w:hAnsi="Arial"/>
          <w:sz w:val="30"/>
          <w:szCs w:val="30"/>
          <w:color w:val="auto"/>
          <w:vertAlign w:val="subscript"/>
        </w:rPr>
        <w:t>owner</w:t>
      </w:r>
      <w:r>
        <w:rPr>
          <w:rFonts w:ascii="Arial" w:cs="Arial" w:eastAsia="Arial" w:hAnsi="Arial"/>
          <w:sz w:val="17"/>
          <w:szCs w:val="17"/>
          <w:color w:val="auto"/>
        </w:rPr>
        <w:t>After</w:t>
      </w:r>
      <w:r>
        <w:rPr>
          <w:rFonts w:ascii="Arial" w:cs="Arial" w:eastAsia="Arial" w:hAnsi="Arial"/>
          <w:sz w:val="30"/>
          <w:szCs w:val="30"/>
          <w:color w:val="auto"/>
          <w:vertAlign w:val="subscript"/>
        </w:rPr>
        <w:t>of</w:t>
      </w:r>
      <w:r>
        <w:rPr>
          <w:rFonts w:ascii="Arial" w:cs="Arial" w:eastAsia="Arial" w:hAnsi="Arial"/>
          <w:sz w:val="17"/>
          <w:szCs w:val="17"/>
          <w:color w:val="auto"/>
        </w:rPr>
        <w:t>reasonable</w:t>
      </w:r>
      <w:r>
        <w:rPr>
          <w:rFonts w:ascii="Arial" w:cs="Arial" w:eastAsia="Arial" w:hAnsi="Arial"/>
          <w:sz w:val="30"/>
          <w:szCs w:val="30"/>
          <w:color w:val="auto"/>
          <w:vertAlign w:val="subscript"/>
        </w:rPr>
        <w:t>such</w:t>
      </w:r>
      <w:r>
        <w:rPr>
          <w:rFonts w:ascii="Arial" w:cs="Arial" w:eastAsia="Arial" w:hAnsi="Arial"/>
          <w:sz w:val="17"/>
          <w:szCs w:val="17"/>
          <w:color w:val="auto"/>
        </w:rPr>
        <w:t xml:space="preserve"> inquiry and to the best of my knowledge and belief, I certify that the information set </w:t>
      </w:r>
      <w:r>
        <w:rPr>
          <w:rFonts w:ascii="Arial" w:cs="Arial" w:eastAsia="Arial" w:hAnsi="Arial"/>
          <w:sz w:val="30"/>
          <w:szCs w:val="30"/>
          <w:color w:val="auto"/>
          <w:vertAlign w:val="subscript"/>
        </w:rPr>
        <w:t>Common</w:t>
      </w:r>
      <w:r>
        <w:rPr>
          <w:rFonts w:ascii="Arial" w:cs="Arial" w:eastAsia="Arial" w:hAnsi="Arial"/>
          <w:sz w:val="17"/>
          <w:szCs w:val="17"/>
          <w:color w:val="auto"/>
        </w:rPr>
        <w:t>forthin this statement is true, complete and correct.</w:t>
      </w:r>
    </w:p>
    <w:tbl>
      <w:tblPr>
        <w:tblLayout w:type="fixed"/>
        <w:tblInd w:w="0" w:type="dxa"/>
        <w:tblCellMar>
          <w:top w:w="0" w:type="dxa"/>
          <w:left w:w="0" w:type="dxa"/>
          <w:bottom w:w="0" w:type="dxa"/>
          <w:right w:w="0" w:type="dxa"/>
        </w:tblCellMar>
      </w:tblPr>
      <w:tr>
        <w:trPr>
          <w:trHeight w:val="226"/>
        </w:trPr>
        <w:tc>
          <w:tcPr>
            <w:tcW w:w="2000" w:type="dxa"/>
            <w:vAlign w:val="bottom"/>
          </w:tcPr>
          <w:p>
            <w:pPr>
              <w:spacing w:after="0" w:line="226" w:lineRule="exact"/>
              <w:rPr>
                <w:sz w:val="20"/>
                <w:szCs w:val="20"/>
                <w:color w:val="auto"/>
              </w:rPr>
            </w:pPr>
            <w:r>
              <w:rPr>
                <w:rFonts w:ascii="Arial" w:cs="Arial" w:eastAsia="Arial" w:hAnsi="Arial"/>
                <w:sz w:val="22"/>
                <w:szCs w:val="22"/>
                <w:color w:val="auto"/>
              </w:rPr>
              <w:t>Stock. To the</w:t>
            </w:r>
          </w:p>
        </w:tc>
        <w:tc>
          <w:tcPr>
            <w:tcW w:w="5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00" w:type="dxa"/>
            <w:vAlign w:val="bottom"/>
          </w:tcPr>
          <w:p>
            <w:pPr>
              <w:spacing w:after="0" w:line="243" w:lineRule="exact"/>
              <w:rPr>
                <w:sz w:val="20"/>
                <w:szCs w:val="20"/>
                <w:color w:val="auto"/>
              </w:rPr>
            </w:pPr>
            <w:r>
              <w:rPr>
                <w:rFonts w:ascii="Arial" w:cs="Arial" w:eastAsia="Arial" w:hAnsi="Arial"/>
                <w:sz w:val="22"/>
                <w:szCs w:val="22"/>
                <w:color w:val="auto"/>
              </w:rPr>
              <w:t>knowledge of</w:t>
            </w:r>
          </w:p>
        </w:tc>
        <w:tc>
          <w:tcPr>
            <w:tcW w:w="5340" w:type="dxa"/>
            <w:vAlign w:val="bottom"/>
          </w:tcPr>
          <w:p>
            <w:pPr>
              <w:jc w:val="center"/>
              <w:spacing w:after="0" w:line="243" w:lineRule="exact"/>
              <w:rPr>
                <w:sz w:val="20"/>
                <w:szCs w:val="20"/>
                <w:color w:val="auto"/>
              </w:rPr>
            </w:pPr>
            <w:r>
              <w:rPr>
                <w:rFonts w:ascii="Arial" w:cs="Arial" w:eastAsia="Arial" w:hAnsi="Arial"/>
                <w:sz w:val="22"/>
                <w:szCs w:val="22"/>
                <w:color w:val="auto"/>
                <w:w w:val="88"/>
              </w:rPr>
              <w:t>February 03, 2009</w:t>
            </w:r>
          </w:p>
        </w:tc>
        <w:tc>
          <w:tcPr>
            <w:tcW w:w="0" w:type="dxa"/>
            <w:vAlign w:val="bottom"/>
          </w:tcPr>
          <w:p>
            <w:pPr>
              <w:spacing w:after="0"/>
              <w:rPr>
                <w:sz w:val="1"/>
                <w:szCs w:val="1"/>
                <w:color w:val="auto"/>
              </w:rPr>
            </w:pPr>
          </w:p>
        </w:tc>
      </w:tr>
      <w:tr>
        <w:trPr>
          <w:trHeight w:val="62"/>
        </w:trPr>
        <w:tc>
          <w:tcPr>
            <w:tcW w:w="2000" w:type="dxa"/>
            <w:vAlign w:val="bottom"/>
            <w:vMerge w:val="restart"/>
          </w:tcPr>
          <w:p>
            <w:pPr>
              <w:spacing w:after="0" w:line="243" w:lineRule="exact"/>
              <w:rPr>
                <w:sz w:val="20"/>
                <w:szCs w:val="20"/>
                <w:color w:val="auto"/>
              </w:rPr>
            </w:pPr>
            <w:r>
              <w:rPr>
                <w:rFonts w:ascii="Arial" w:cs="Arial" w:eastAsia="Arial" w:hAnsi="Arial"/>
                <w:sz w:val="22"/>
                <w:szCs w:val="22"/>
                <w:color w:val="auto"/>
              </w:rPr>
              <w:t>RIM no</w:t>
            </w:r>
          </w:p>
        </w:tc>
        <w:tc>
          <w:tcPr>
            <w:tcW w:w="5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00" w:type="dxa"/>
            <w:vAlign w:val="bottom"/>
            <w:vMerge w:val="continue"/>
          </w:tcPr>
          <w:p>
            <w:pPr>
              <w:spacing w:after="0"/>
              <w:rPr>
                <w:sz w:val="14"/>
                <w:szCs w:val="14"/>
                <w:color w:val="auto"/>
              </w:rPr>
            </w:pPr>
          </w:p>
        </w:tc>
        <w:tc>
          <w:tcPr>
            <w:tcW w:w="5340" w:type="dxa"/>
            <w:vAlign w:val="bottom"/>
            <w:vMerge w:val="restart"/>
          </w:tcPr>
          <w:p>
            <w:pPr>
              <w:jc w:val="center"/>
              <w:spacing w:after="0"/>
              <w:rPr>
                <w:sz w:val="20"/>
                <w:szCs w:val="20"/>
                <w:color w:val="auto"/>
              </w:rPr>
            </w:pPr>
            <w:r>
              <w:rPr>
                <w:rFonts w:ascii="Arial" w:cs="Arial" w:eastAsia="Arial" w:hAnsi="Arial"/>
                <w:sz w:val="22"/>
                <w:szCs w:val="22"/>
                <w:color w:val="auto"/>
                <w:w w:val="85"/>
              </w:rPr>
              <w:t>Date</w:t>
            </w:r>
          </w:p>
        </w:tc>
        <w:tc>
          <w:tcPr>
            <w:tcW w:w="0" w:type="dxa"/>
            <w:vAlign w:val="bottom"/>
          </w:tcPr>
          <w:p>
            <w:pPr>
              <w:spacing w:after="0"/>
              <w:rPr>
                <w:sz w:val="1"/>
                <w:szCs w:val="1"/>
                <w:color w:val="auto"/>
              </w:rPr>
            </w:pPr>
          </w:p>
        </w:tc>
      </w:tr>
      <w:tr>
        <w:trPr>
          <w:trHeight w:val="126"/>
        </w:trPr>
        <w:tc>
          <w:tcPr>
            <w:tcW w:w="2000" w:type="dxa"/>
            <w:vAlign w:val="bottom"/>
            <w:vMerge w:val="restart"/>
          </w:tcPr>
          <w:p>
            <w:pPr>
              <w:spacing w:after="0"/>
              <w:rPr>
                <w:sz w:val="20"/>
                <w:szCs w:val="20"/>
                <w:color w:val="auto"/>
              </w:rPr>
            </w:pPr>
            <w:r>
              <w:rPr>
                <w:rFonts w:ascii="Arial" w:cs="Arial" w:eastAsia="Arial" w:hAnsi="Arial"/>
                <w:sz w:val="22"/>
                <w:szCs w:val="22"/>
                <w:color w:val="auto"/>
              </w:rPr>
              <w:t>person has the</w:t>
            </w:r>
          </w:p>
        </w:tc>
        <w:tc>
          <w:tcPr>
            <w:tcW w:w="5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00" w:type="dxa"/>
            <w:vAlign w:val="bottom"/>
            <w:vMerge w:val="continue"/>
          </w:tcPr>
          <w:p>
            <w:pPr>
              <w:spacing w:after="0"/>
              <w:rPr>
                <w:sz w:val="12"/>
                <w:szCs w:val="12"/>
                <w:color w:val="auto"/>
              </w:rPr>
            </w:pPr>
          </w:p>
        </w:tc>
        <w:tc>
          <w:tcPr>
            <w:tcW w:w="5340" w:type="dxa"/>
            <w:vAlign w:val="bottom"/>
            <w:vMerge w:val="restart"/>
          </w:tcPr>
          <w:p>
            <w:pPr>
              <w:jc w:val="center"/>
              <w:spacing w:after="0"/>
              <w:rPr>
                <w:sz w:val="20"/>
                <w:szCs w:val="20"/>
                <w:color w:val="auto"/>
              </w:rPr>
            </w:pPr>
            <w:r>
              <w:rPr>
                <w:rFonts w:ascii="Arial" w:cs="Arial" w:eastAsia="Arial" w:hAnsi="Arial"/>
                <w:sz w:val="22"/>
                <w:szCs w:val="22"/>
                <w:color w:val="auto"/>
                <w:w w:val="85"/>
              </w:rPr>
              <w:t>James Noone</w:t>
            </w:r>
          </w:p>
        </w:tc>
        <w:tc>
          <w:tcPr>
            <w:tcW w:w="0" w:type="dxa"/>
            <w:vAlign w:val="bottom"/>
          </w:tcPr>
          <w:p>
            <w:pPr>
              <w:spacing w:after="0"/>
              <w:rPr>
                <w:sz w:val="1"/>
                <w:szCs w:val="1"/>
                <w:color w:val="auto"/>
              </w:rPr>
            </w:pPr>
          </w:p>
        </w:tc>
      </w:tr>
      <w:tr>
        <w:trPr>
          <w:trHeight w:val="155"/>
        </w:trPr>
        <w:tc>
          <w:tcPr>
            <w:tcW w:w="2000" w:type="dxa"/>
            <w:vAlign w:val="bottom"/>
          </w:tcPr>
          <w:p>
            <w:pPr>
              <w:spacing w:after="0"/>
              <w:rPr>
                <w:sz w:val="13"/>
                <w:szCs w:val="13"/>
                <w:color w:val="auto"/>
              </w:rPr>
            </w:pPr>
          </w:p>
        </w:tc>
        <w:tc>
          <w:tcPr>
            <w:tcW w:w="53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70" w:orient="portrait"/>
          <w:cols w:equalWidth="0" w:num="1">
            <w:col w:w="10159"/>
          </w:cols>
          <w:pgMar w:left="300" w:top="132" w:right="1440" w:bottom="0" w:gutter="0" w:footer="0" w:header="0"/>
          <w:type w:val="continuous"/>
        </w:sectPr>
      </w:pPr>
    </w:p>
    <w:bookmarkStart w:id="3" w:name="page4"/>
    <w:bookmarkEnd w:id="3"/>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00" w:type="dxa"/>
            <w:vAlign w:val="bottom"/>
          </w:tcPr>
          <w:p>
            <w:pPr>
              <w:spacing w:after="0"/>
              <w:rPr>
                <w:sz w:val="20"/>
                <w:szCs w:val="20"/>
                <w:color w:val="auto"/>
              </w:rPr>
            </w:pPr>
            <w:r>
              <w:rPr>
                <w:rFonts w:ascii="Arial" w:cs="Arial" w:eastAsia="Arial" w:hAnsi="Arial"/>
                <w:sz w:val="22"/>
                <w:szCs w:val="22"/>
                <w:color w:val="auto"/>
              </w:rPr>
              <w:t>right to</w:t>
            </w:r>
          </w:p>
        </w:tc>
        <w:tc>
          <w:tcPr>
            <w:tcW w:w="5340" w:type="dxa"/>
            <w:vAlign w:val="bottom"/>
          </w:tcPr>
          <w:p>
            <w:pPr>
              <w:jc w:val="center"/>
              <w:spacing w:after="0"/>
              <w:rPr>
                <w:sz w:val="20"/>
                <w:szCs w:val="20"/>
                <w:color w:val="auto"/>
              </w:rPr>
            </w:pPr>
            <w:r>
              <w:rPr>
                <w:rFonts w:ascii="Arial" w:cs="Arial" w:eastAsia="Arial" w:hAnsi="Arial"/>
                <w:sz w:val="22"/>
                <w:szCs w:val="22"/>
                <w:color w:val="auto"/>
                <w:w w:val="87"/>
              </w:rPr>
              <w:t>Signature</w:t>
            </w:r>
          </w:p>
        </w:tc>
        <w:tc>
          <w:tcPr>
            <w:tcW w:w="0" w:type="dxa"/>
            <w:vAlign w:val="bottom"/>
          </w:tcPr>
          <w:p>
            <w:pPr>
              <w:spacing w:after="0"/>
              <w:rPr>
                <w:sz w:val="1"/>
                <w:szCs w:val="1"/>
                <w:color w:val="auto"/>
              </w:rPr>
            </w:pPr>
          </w:p>
        </w:tc>
      </w:tr>
      <w:tr>
        <w:trPr>
          <w:trHeight w:val="278"/>
        </w:trPr>
        <w:tc>
          <w:tcPr>
            <w:tcW w:w="2000" w:type="dxa"/>
            <w:vAlign w:val="bottom"/>
          </w:tcPr>
          <w:p>
            <w:pPr>
              <w:spacing w:after="0"/>
              <w:rPr>
                <w:sz w:val="20"/>
                <w:szCs w:val="20"/>
                <w:color w:val="auto"/>
              </w:rPr>
            </w:pPr>
            <w:r>
              <w:rPr>
                <w:rFonts w:ascii="Arial" w:cs="Arial" w:eastAsia="Arial" w:hAnsi="Arial"/>
                <w:sz w:val="22"/>
                <w:szCs w:val="22"/>
                <w:color w:val="auto"/>
              </w:rPr>
              <w:t>receive or the</w:t>
            </w:r>
          </w:p>
        </w:tc>
        <w:tc>
          <w:tcPr>
            <w:tcW w:w="5340" w:type="dxa"/>
            <w:vAlign w:val="bottom"/>
          </w:tcPr>
          <w:p>
            <w:pPr>
              <w:jc w:val="center"/>
              <w:spacing w:after="0"/>
              <w:rPr>
                <w:sz w:val="20"/>
                <w:szCs w:val="20"/>
                <w:color w:val="auto"/>
              </w:rPr>
            </w:pPr>
            <w:r>
              <w:rPr>
                <w:rFonts w:ascii="Arial" w:cs="Arial" w:eastAsia="Arial" w:hAnsi="Arial"/>
                <w:sz w:val="22"/>
                <w:szCs w:val="22"/>
                <w:color w:val="auto"/>
                <w:w w:val="88"/>
              </w:rPr>
              <w:t>Senior Compliance Manager</w:t>
            </w:r>
          </w:p>
        </w:tc>
        <w:tc>
          <w:tcPr>
            <w:tcW w:w="0" w:type="dxa"/>
            <w:vAlign w:val="bottom"/>
          </w:tcPr>
          <w:p>
            <w:pPr>
              <w:spacing w:after="0"/>
              <w:rPr>
                <w:sz w:val="1"/>
                <w:szCs w:val="1"/>
                <w:color w:val="auto"/>
              </w:rPr>
            </w:pPr>
          </w:p>
        </w:tc>
      </w:tr>
      <w:tr>
        <w:trPr>
          <w:trHeight w:val="68"/>
        </w:trPr>
        <w:tc>
          <w:tcPr>
            <w:tcW w:w="2000" w:type="dxa"/>
            <w:vAlign w:val="bottom"/>
            <w:vMerge w:val="restart"/>
          </w:tcPr>
          <w:p>
            <w:pPr>
              <w:spacing w:after="0" w:line="208" w:lineRule="exact"/>
              <w:rPr>
                <w:sz w:val="20"/>
                <w:szCs w:val="20"/>
                <w:color w:val="auto"/>
              </w:rPr>
            </w:pPr>
            <w:r>
              <w:rPr>
                <w:rFonts w:ascii="Arial" w:cs="Arial" w:eastAsia="Arial" w:hAnsi="Arial"/>
                <w:sz w:val="22"/>
                <w:szCs w:val="22"/>
                <w:color w:val="auto"/>
              </w:rPr>
              <w:t>power to</w:t>
            </w:r>
          </w:p>
        </w:tc>
        <w:tc>
          <w:tcPr>
            <w:tcW w:w="5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000" w:type="dxa"/>
            <w:vAlign w:val="bottom"/>
            <w:vMerge w:val="continue"/>
          </w:tcPr>
          <w:p>
            <w:pPr>
              <w:spacing w:after="0"/>
              <w:rPr>
                <w:sz w:val="10"/>
                <w:szCs w:val="10"/>
                <w:color w:val="auto"/>
              </w:rPr>
            </w:pPr>
          </w:p>
        </w:tc>
        <w:tc>
          <w:tcPr>
            <w:tcW w:w="5340" w:type="dxa"/>
            <w:vAlign w:val="bottom"/>
            <w:vMerge w:val="restart"/>
          </w:tcPr>
          <w:p>
            <w:pPr>
              <w:jc w:val="center"/>
              <w:spacing w:after="0"/>
              <w:rPr>
                <w:sz w:val="20"/>
                <w:szCs w:val="20"/>
                <w:color w:val="auto"/>
              </w:rPr>
            </w:pPr>
            <w:r>
              <w:rPr>
                <w:rFonts w:ascii="Arial" w:cs="Arial" w:eastAsia="Arial" w:hAnsi="Arial"/>
                <w:sz w:val="22"/>
                <w:szCs w:val="22"/>
                <w:color w:val="auto"/>
                <w:w w:val="92"/>
              </w:rPr>
              <w:t>Name/Title</w:t>
            </w:r>
          </w:p>
        </w:tc>
        <w:tc>
          <w:tcPr>
            <w:tcW w:w="0" w:type="dxa"/>
            <w:vAlign w:val="bottom"/>
          </w:tcPr>
          <w:p>
            <w:pPr>
              <w:spacing w:after="0"/>
              <w:rPr>
                <w:sz w:val="1"/>
                <w:szCs w:val="1"/>
                <w:color w:val="auto"/>
              </w:rPr>
            </w:pPr>
          </w:p>
        </w:tc>
      </w:tr>
      <w:tr>
        <w:trPr>
          <w:trHeight w:val="166"/>
        </w:trPr>
        <w:tc>
          <w:tcPr>
            <w:tcW w:w="2000" w:type="dxa"/>
            <w:vAlign w:val="bottom"/>
            <w:vMerge w:val="restart"/>
          </w:tcPr>
          <w:p>
            <w:pPr>
              <w:spacing w:after="0" w:line="243" w:lineRule="exact"/>
              <w:rPr>
                <w:sz w:val="20"/>
                <w:szCs w:val="20"/>
                <w:color w:val="auto"/>
              </w:rPr>
            </w:pPr>
            <w:r>
              <w:rPr>
                <w:rFonts w:ascii="Arial" w:cs="Arial" w:eastAsia="Arial" w:hAnsi="Arial"/>
                <w:sz w:val="22"/>
                <w:szCs w:val="22"/>
                <w:color w:val="auto"/>
              </w:rPr>
              <w:t>direct the</w:t>
            </w:r>
          </w:p>
        </w:tc>
        <w:tc>
          <w:tcPr>
            <w:tcW w:w="5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2000" w:type="dxa"/>
            <w:vAlign w:val="bottom"/>
            <w:vMerge w:val="continue"/>
          </w:tcPr>
          <w:p>
            <w:pPr>
              <w:spacing w:after="0"/>
              <w:rPr>
                <w:sz w:val="6"/>
                <w:szCs w:val="6"/>
                <w:color w:val="auto"/>
              </w:rPr>
            </w:pPr>
          </w:p>
        </w:tc>
        <w:tc>
          <w:tcPr>
            <w:tcW w:w="5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00" w:type="dxa"/>
            <w:vAlign w:val="bottom"/>
          </w:tcPr>
          <w:p>
            <w:pPr>
              <w:spacing w:after="0" w:line="243" w:lineRule="exact"/>
              <w:rPr>
                <w:sz w:val="20"/>
                <w:szCs w:val="20"/>
                <w:color w:val="auto"/>
              </w:rPr>
            </w:pPr>
            <w:r>
              <w:rPr>
                <w:rFonts w:ascii="Arial" w:cs="Arial" w:eastAsia="Arial" w:hAnsi="Arial"/>
                <w:sz w:val="22"/>
                <w:szCs w:val="22"/>
                <w:color w:val="auto"/>
              </w:rPr>
              <w:t>receipt of</w:t>
            </w:r>
          </w:p>
        </w:tc>
        <w:tc>
          <w:tcPr>
            <w:tcW w:w="5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0" w:type="dxa"/>
            <w:vAlign w:val="bottom"/>
          </w:tcPr>
          <w:p>
            <w:pPr>
              <w:spacing w:after="0" w:line="243" w:lineRule="exact"/>
              <w:rPr>
                <w:sz w:val="20"/>
                <w:szCs w:val="20"/>
                <w:color w:val="auto"/>
              </w:rPr>
            </w:pPr>
            <w:r>
              <w:rPr>
                <w:rFonts w:ascii="Arial" w:cs="Arial" w:eastAsia="Arial" w:hAnsi="Arial"/>
                <w:sz w:val="22"/>
                <w:szCs w:val="22"/>
                <w:color w:val="auto"/>
              </w:rPr>
              <w:t>dividends</w:t>
            </w:r>
          </w:p>
        </w:tc>
        <w:tc>
          <w:tcPr>
            <w:tcW w:w="5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0" w:type="dxa"/>
            <w:vAlign w:val="bottom"/>
          </w:tcPr>
          <w:p>
            <w:pPr>
              <w:spacing w:after="0" w:line="243" w:lineRule="exact"/>
              <w:rPr>
                <w:sz w:val="20"/>
                <w:szCs w:val="20"/>
                <w:color w:val="auto"/>
              </w:rPr>
            </w:pPr>
            <w:r>
              <w:rPr>
                <w:rFonts w:ascii="Arial" w:cs="Arial" w:eastAsia="Arial" w:hAnsi="Arial"/>
                <w:sz w:val="22"/>
                <w:szCs w:val="22"/>
                <w:color w:val="auto"/>
              </w:rPr>
              <w:t>from or the</w:t>
            </w:r>
          </w:p>
        </w:tc>
        <w:tc>
          <w:tcPr>
            <w:tcW w:w="5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2000" w:type="dxa"/>
            <w:vAlign w:val="bottom"/>
          </w:tcPr>
          <w:p>
            <w:pPr>
              <w:spacing w:after="0"/>
              <w:rPr>
                <w:sz w:val="20"/>
                <w:szCs w:val="20"/>
                <w:color w:val="auto"/>
              </w:rPr>
            </w:pPr>
            <w:r>
              <w:rPr>
                <w:rFonts w:ascii="Arial" w:cs="Arial" w:eastAsia="Arial" w:hAnsi="Arial"/>
                <w:sz w:val="22"/>
                <w:szCs w:val="22"/>
                <w:color w:val="auto"/>
              </w:rPr>
              <w:t>proceeds from</w:t>
            </w:r>
          </w:p>
        </w:tc>
        <w:tc>
          <w:tcPr>
            <w:tcW w:w="53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87" w:lineRule="auto"/>
        <w:rPr>
          <w:sz w:val="20"/>
          <w:szCs w:val="20"/>
          <w:color w:val="auto"/>
        </w:rPr>
      </w:pPr>
      <w:r>
        <w:rPr>
          <w:rFonts w:ascii="Arial" w:cs="Arial" w:eastAsia="Arial" w:hAnsi="Arial"/>
          <w:sz w:val="15"/>
          <w:szCs w:val="15"/>
          <w:color w:val="auto"/>
        </w:rPr>
        <w:t>the sale of</w:t>
      </w:r>
    </w:p>
    <w:p>
      <w:pPr>
        <w:spacing w:after="0" w:line="1" w:lineRule="exact"/>
        <w:rPr>
          <w:sz w:val="20"/>
          <w:szCs w:val="20"/>
          <w:color w:val="auto"/>
        </w:rPr>
      </w:pPr>
    </w:p>
    <w:p>
      <w:pPr>
        <w:ind w:right="1379" w:hanging="12"/>
        <w:spacing w:after="0"/>
        <w:rPr>
          <w:sz w:val="20"/>
          <w:szCs w:val="20"/>
          <w:color w:val="auto"/>
        </w:rPr>
      </w:pPr>
      <w:r>
        <w:rPr>
          <w:rFonts w:ascii="Arial" w:cs="Arial" w:eastAsia="Arial" w:hAnsi="Arial"/>
          <w:sz w:val="16"/>
          <w:szCs w:val="16"/>
          <w:b w:val="1"/>
          <w:bCs w:val="1"/>
          <w:color w:val="auto"/>
        </w:rPr>
        <w:t xml:space="preserve">Attention: Intentional misstatements or omissions of fact constitute Federal criminal violations </w:t>
      </w:r>
      <w:r>
        <w:rPr>
          <w:rFonts w:ascii="Arial" w:cs="Arial" w:eastAsia="Arial" w:hAnsi="Arial"/>
          <w:sz w:val="16"/>
          <w:szCs w:val="16"/>
          <w:color w:val="auto"/>
        </w:rPr>
        <w:t>such Common</w:t>
      </w:r>
    </w:p>
    <w:p>
      <w:pPr>
        <w:spacing w:after="0" w:line="194" w:lineRule="auto"/>
        <w:rPr>
          <w:sz w:val="20"/>
          <w:szCs w:val="20"/>
          <w:color w:val="auto"/>
        </w:rPr>
      </w:pPr>
      <w:r>
        <w:rPr>
          <w:rFonts w:ascii="Arial" w:cs="Arial" w:eastAsia="Arial" w:hAnsi="Arial"/>
          <w:sz w:val="43"/>
          <w:szCs w:val="43"/>
          <w:color w:val="auto"/>
          <w:vertAlign w:val="subscript"/>
        </w:rPr>
        <w:t>Stock which</w:t>
      </w:r>
      <w:r>
        <w:rPr>
          <w:rFonts w:ascii="Arial" w:cs="Arial" w:eastAsia="Arial" w:hAnsi="Arial"/>
          <w:sz w:val="22"/>
          <w:szCs w:val="22"/>
          <w:b w:val="1"/>
          <w:bCs w:val="1"/>
          <w:color w:val="auto"/>
        </w:rPr>
        <w:t>(See 18 U.S.C. 1001)</w:t>
      </w:r>
    </w:p>
    <w:tbl>
      <w:tblPr>
        <w:tblLayout w:type="fixed"/>
        <w:tblInd w:w="0" w:type="dxa"/>
        <w:tblCellMar>
          <w:top w:w="0" w:type="dxa"/>
          <w:left w:w="0" w:type="dxa"/>
          <w:bottom w:w="0" w:type="dxa"/>
          <w:right w:w="0" w:type="dxa"/>
        </w:tblCellMar>
      </w:tblPr>
      <w:tr>
        <w:trPr>
          <w:trHeight w:val="174"/>
        </w:trPr>
        <w:tc>
          <w:tcPr>
            <w:tcW w:w="3480" w:type="dxa"/>
            <w:vAlign w:val="bottom"/>
            <w:vMerge w:val="restart"/>
          </w:tcPr>
          <w:p>
            <w:pPr>
              <w:spacing w:after="0" w:line="236" w:lineRule="exact"/>
              <w:rPr>
                <w:sz w:val="20"/>
                <w:szCs w:val="20"/>
                <w:color w:val="auto"/>
              </w:rPr>
            </w:pPr>
            <w:r>
              <w:rPr>
                <w:rFonts w:ascii="Arial" w:cs="Arial" w:eastAsia="Arial" w:hAnsi="Arial"/>
                <w:sz w:val="22"/>
                <w:szCs w:val="22"/>
                <w:color w:val="auto"/>
              </w:rPr>
              <w:t>represents</w:t>
            </w:r>
          </w:p>
        </w:tc>
        <w:tc>
          <w:tcPr>
            <w:tcW w:w="5400" w:type="dxa"/>
            <w:vAlign w:val="bottom"/>
          </w:tcPr>
          <w:p>
            <w:pPr>
              <w:ind w:left="2220"/>
              <w:spacing w:after="0"/>
              <w:rPr>
                <w:sz w:val="20"/>
                <w:szCs w:val="20"/>
                <w:color w:val="auto"/>
              </w:rPr>
            </w:pPr>
            <w:r>
              <w:rPr>
                <w:rFonts w:ascii="Arial" w:cs="Arial" w:eastAsia="Arial" w:hAnsi="Arial"/>
                <w:sz w:val="14"/>
                <w:szCs w:val="14"/>
                <w:color w:val="auto"/>
                <w:w w:val="89"/>
              </w:rPr>
              <w:t>Advisor Consultant Network, Inc. Copyright © 2007-2008</w:t>
            </w:r>
          </w:p>
        </w:tc>
        <w:tc>
          <w:tcPr>
            <w:tcW w:w="0" w:type="dxa"/>
            <w:vAlign w:val="bottom"/>
          </w:tcPr>
          <w:p>
            <w:pPr>
              <w:spacing w:after="0"/>
              <w:rPr>
                <w:sz w:val="1"/>
                <w:szCs w:val="1"/>
                <w:color w:val="auto"/>
              </w:rPr>
            </w:pPr>
          </w:p>
        </w:tc>
      </w:tr>
      <w:tr>
        <w:trPr>
          <w:trHeight w:val="62"/>
        </w:trPr>
        <w:tc>
          <w:tcPr>
            <w:tcW w:w="3480" w:type="dxa"/>
            <w:vAlign w:val="bottom"/>
            <w:vMerge w:val="continue"/>
          </w:tcPr>
          <w:p>
            <w:pPr>
              <w:spacing w:after="0"/>
              <w:rPr>
                <w:sz w:val="5"/>
                <w:szCs w:val="5"/>
                <w:color w:val="auto"/>
              </w:rPr>
            </w:pPr>
          </w:p>
        </w:tc>
        <w:tc>
          <w:tcPr>
            <w:tcW w:w="5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line="243" w:lineRule="exact"/>
              <w:rPr>
                <w:sz w:val="20"/>
                <w:szCs w:val="20"/>
                <w:color w:val="auto"/>
              </w:rPr>
            </w:pPr>
            <w:r>
              <w:rPr>
                <w:rFonts w:ascii="Arial" w:cs="Arial" w:eastAsia="Arial" w:hAnsi="Arial"/>
                <w:sz w:val="22"/>
                <w:szCs w:val="22"/>
                <w:color w:val="auto"/>
              </w:rPr>
              <w:t>more than 5%</w:t>
            </w:r>
          </w:p>
        </w:tc>
        <w:tc>
          <w:tcPr>
            <w:tcW w:w="5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line="243" w:lineRule="exact"/>
              <w:rPr>
                <w:sz w:val="20"/>
                <w:szCs w:val="20"/>
                <w:color w:val="auto"/>
              </w:rPr>
            </w:pPr>
            <w:r>
              <w:rPr>
                <w:rFonts w:ascii="Arial" w:cs="Arial" w:eastAsia="Arial" w:hAnsi="Arial"/>
                <w:sz w:val="22"/>
                <w:szCs w:val="22"/>
                <w:color w:val="auto"/>
              </w:rPr>
              <w:t>of the</w:t>
            </w:r>
          </w:p>
        </w:tc>
        <w:tc>
          <w:tcPr>
            <w:tcW w:w="5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line="243" w:lineRule="exact"/>
              <w:rPr>
                <w:sz w:val="20"/>
                <w:szCs w:val="20"/>
                <w:color w:val="auto"/>
              </w:rPr>
            </w:pPr>
            <w:r>
              <w:rPr>
                <w:rFonts w:ascii="Arial" w:cs="Arial" w:eastAsia="Arial" w:hAnsi="Arial"/>
                <w:sz w:val="22"/>
                <w:szCs w:val="22"/>
                <w:color w:val="auto"/>
              </w:rPr>
              <w:t>outstanding</w:t>
            </w:r>
          </w:p>
        </w:tc>
        <w:tc>
          <w:tcPr>
            <w:tcW w:w="5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line="243" w:lineRule="exact"/>
              <w:rPr>
                <w:sz w:val="20"/>
                <w:szCs w:val="20"/>
                <w:color w:val="auto"/>
              </w:rPr>
            </w:pPr>
            <w:r>
              <w:rPr>
                <w:rFonts w:ascii="Arial" w:cs="Arial" w:eastAsia="Arial" w:hAnsi="Arial"/>
                <w:sz w:val="22"/>
                <w:szCs w:val="22"/>
                <w:color w:val="auto"/>
              </w:rPr>
              <w:t>shares of the</w:t>
            </w:r>
          </w:p>
        </w:tc>
        <w:tc>
          <w:tcPr>
            <w:tcW w:w="5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5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line="243" w:lineRule="exact"/>
              <w:rPr>
                <w:sz w:val="20"/>
                <w:szCs w:val="20"/>
                <w:color w:val="auto"/>
              </w:rPr>
            </w:pPr>
            <w:r>
              <w:rPr>
                <w:rFonts w:ascii="Arial" w:cs="Arial" w:eastAsia="Arial" w:hAnsi="Arial"/>
                <w:sz w:val="22"/>
                <w:szCs w:val="22"/>
                <w:color w:val="auto"/>
              </w:rPr>
              <w:t>Stock referred</w:t>
            </w:r>
          </w:p>
        </w:tc>
        <w:tc>
          <w:tcPr>
            <w:tcW w:w="5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line="243" w:lineRule="exact"/>
              <w:rPr>
                <w:sz w:val="20"/>
                <w:szCs w:val="20"/>
                <w:color w:val="auto"/>
              </w:rPr>
            </w:pPr>
            <w:r>
              <w:rPr>
                <w:rFonts w:ascii="Arial" w:cs="Arial" w:eastAsia="Arial" w:hAnsi="Arial"/>
                <w:sz w:val="22"/>
                <w:szCs w:val="22"/>
                <w:color w:val="auto"/>
              </w:rPr>
              <w:t>to in item 4(b)</w:t>
            </w:r>
          </w:p>
        </w:tc>
        <w:tc>
          <w:tcPr>
            <w:tcW w:w="5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480" w:type="dxa"/>
            <w:vAlign w:val="bottom"/>
          </w:tcPr>
          <w:p>
            <w:pPr>
              <w:spacing w:after="0"/>
              <w:rPr>
                <w:sz w:val="20"/>
                <w:szCs w:val="20"/>
                <w:color w:val="auto"/>
              </w:rPr>
            </w:pPr>
            <w:r>
              <w:rPr>
                <w:rFonts w:ascii="Arial" w:cs="Arial" w:eastAsia="Arial" w:hAnsi="Arial"/>
                <w:sz w:val="22"/>
                <w:szCs w:val="22"/>
                <w:color w:val="auto"/>
              </w:rPr>
              <w:t>hereof.</w:t>
            </w:r>
          </w:p>
        </w:tc>
        <w:tc>
          <w:tcPr>
            <w:tcW w:w="54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Effective</w:t>
      </w:r>
    </w:p>
    <w:p>
      <w:pPr>
        <w:spacing w:after="0" w:line="238" w:lineRule="auto"/>
        <w:rPr>
          <w:sz w:val="20"/>
          <w:szCs w:val="20"/>
          <w:color w:val="auto"/>
        </w:rPr>
      </w:pPr>
      <w:r>
        <w:rPr>
          <w:rFonts w:ascii="Arial" w:cs="Arial" w:eastAsia="Arial" w:hAnsi="Arial"/>
          <w:sz w:val="22"/>
          <w:szCs w:val="22"/>
          <w:color w:val="auto"/>
        </w:rPr>
        <w:t>January 1,</w:t>
      </w:r>
    </w:p>
    <w:p>
      <w:pPr>
        <w:spacing w:after="0" w:line="230" w:lineRule="auto"/>
        <w:rPr>
          <w:sz w:val="20"/>
          <w:szCs w:val="20"/>
          <w:color w:val="auto"/>
        </w:rPr>
      </w:pPr>
      <w:r>
        <w:rPr>
          <w:rFonts w:ascii="Arial" w:cs="Arial" w:eastAsia="Arial" w:hAnsi="Arial"/>
          <w:sz w:val="22"/>
          <w:szCs w:val="22"/>
          <w:color w:val="auto"/>
        </w:rPr>
        <w:t>2007, Boston</w:t>
      </w:r>
    </w:p>
    <w:p>
      <w:pPr>
        <w:spacing w:after="0" w:line="231" w:lineRule="auto"/>
        <w:rPr>
          <w:sz w:val="20"/>
          <w:szCs w:val="20"/>
          <w:color w:val="auto"/>
        </w:rPr>
      </w:pPr>
      <w:r>
        <w:rPr>
          <w:rFonts w:ascii="Arial" w:cs="Arial" w:eastAsia="Arial" w:hAnsi="Arial"/>
          <w:sz w:val="22"/>
          <w:szCs w:val="22"/>
          <w:color w:val="auto"/>
        </w:rPr>
        <w:t>Partners Asset</w:t>
      </w:r>
    </w:p>
    <w:p>
      <w:pPr>
        <w:spacing w:after="0" w:line="231" w:lineRule="auto"/>
        <w:rPr>
          <w:sz w:val="20"/>
          <w:szCs w:val="20"/>
          <w:color w:val="auto"/>
        </w:rPr>
      </w:pPr>
      <w:r>
        <w:rPr>
          <w:rFonts w:ascii="Arial" w:cs="Arial" w:eastAsia="Arial" w:hAnsi="Arial"/>
          <w:sz w:val="22"/>
          <w:szCs w:val="22"/>
          <w:color w:val="auto"/>
        </w:rPr>
        <w:t>Management,</w:t>
      </w:r>
    </w:p>
    <w:p>
      <w:pPr>
        <w:spacing w:after="0" w:line="230" w:lineRule="auto"/>
        <w:rPr>
          <w:sz w:val="20"/>
          <w:szCs w:val="20"/>
          <w:color w:val="auto"/>
        </w:rPr>
      </w:pPr>
      <w:r>
        <w:rPr>
          <w:rFonts w:ascii="Arial" w:cs="Arial" w:eastAsia="Arial" w:hAnsi="Arial"/>
          <w:sz w:val="22"/>
          <w:szCs w:val="22"/>
          <w:color w:val="auto"/>
        </w:rPr>
        <w:t>LLC (BPAM)</w:t>
      </w:r>
    </w:p>
    <w:p>
      <w:pPr>
        <w:spacing w:after="0" w:line="231" w:lineRule="auto"/>
        <w:rPr>
          <w:sz w:val="20"/>
          <w:szCs w:val="20"/>
          <w:color w:val="auto"/>
        </w:rPr>
      </w:pPr>
      <w:r>
        <w:rPr>
          <w:rFonts w:ascii="Arial" w:cs="Arial" w:eastAsia="Arial" w:hAnsi="Arial"/>
          <w:sz w:val="22"/>
          <w:szCs w:val="22"/>
          <w:color w:val="auto"/>
        </w:rPr>
        <w:t>which was a</w:t>
      </w:r>
    </w:p>
    <w:p>
      <w:pPr>
        <w:spacing w:after="0" w:line="231" w:lineRule="auto"/>
        <w:rPr>
          <w:sz w:val="20"/>
          <w:szCs w:val="20"/>
          <w:color w:val="auto"/>
        </w:rPr>
      </w:pPr>
      <w:r>
        <w:rPr>
          <w:rFonts w:ascii="Arial" w:cs="Arial" w:eastAsia="Arial" w:hAnsi="Arial"/>
          <w:sz w:val="22"/>
          <w:szCs w:val="22"/>
          <w:color w:val="auto"/>
        </w:rPr>
        <w:t>Delaware</w:t>
      </w:r>
    </w:p>
    <w:p>
      <w:pPr>
        <w:spacing w:after="0" w:line="230" w:lineRule="auto"/>
        <w:rPr>
          <w:sz w:val="20"/>
          <w:szCs w:val="20"/>
          <w:color w:val="auto"/>
        </w:rPr>
      </w:pPr>
      <w:r>
        <w:rPr>
          <w:rFonts w:ascii="Arial" w:cs="Arial" w:eastAsia="Arial" w:hAnsi="Arial"/>
          <w:sz w:val="22"/>
          <w:szCs w:val="22"/>
          <w:color w:val="auto"/>
        </w:rPr>
        <w:t>limited</w:t>
      </w:r>
    </w:p>
    <w:p>
      <w:pPr>
        <w:spacing w:after="0" w:line="231" w:lineRule="auto"/>
        <w:rPr>
          <w:sz w:val="20"/>
          <w:szCs w:val="20"/>
          <w:color w:val="auto"/>
        </w:rPr>
      </w:pPr>
      <w:r>
        <w:rPr>
          <w:rFonts w:ascii="Arial" w:cs="Arial" w:eastAsia="Arial" w:hAnsi="Arial"/>
          <w:sz w:val="22"/>
          <w:szCs w:val="22"/>
          <w:color w:val="auto"/>
        </w:rPr>
        <w:t>liability</w:t>
      </w:r>
    </w:p>
    <w:p>
      <w:pPr>
        <w:spacing w:after="0" w:line="231" w:lineRule="auto"/>
        <w:rPr>
          <w:sz w:val="20"/>
          <w:szCs w:val="20"/>
          <w:color w:val="auto"/>
        </w:rPr>
      </w:pPr>
      <w:r>
        <w:rPr>
          <w:rFonts w:ascii="Arial" w:cs="Arial" w:eastAsia="Arial" w:hAnsi="Arial"/>
          <w:sz w:val="22"/>
          <w:szCs w:val="22"/>
          <w:color w:val="auto"/>
        </w:rPr>
        <w:t>company</w:t>
      </w:r>
    </w:p>
    <w:p>
      <w:pPr>
        <w:spacing w:after="0" w:line="230" w:lineRule="auto"/>
        <w:rPr>
          <w:sz w:val="20"/>
          <w:szCs w:val="20"/>
          <w:color w:val="auto"/>
        </w:rPr>
      </w:pPr>
      <w:r>
        <w:rPr>
          <w:rFonts w:ascii="Arial" w:cs="Arial" w:eastAsia="Arial" w:hAnsi="Arial"/>
          <w:sz w:val="22"/>
          <w:szCs w:val="22"/>
          <w:color w:val="auto"/>
        </w:rPr>
        <w:t>registered as</w:t>
      </w:r>
    </w:p>
    <w:p>
      <w:pPr>
        <w:spacing w:after="0" w:line="231" w:lineRule="auto"/>
        <w:rPr>
          <w:sz w:val="20"/>
          <w:szCs w:val="20"/>
          <w:color w:val="auto"/>
        </w:rPr>
      </w:pPr>
      <w:r>
        <w:rPr>
          <w:rFonts w:ascii="Arial" w:cs="Arial" w:eastAsia="Arial" w:hAnsi="Arial"/>
          <w:sz w:val="22"/>
          <w:szCs w:val="22"/>
          <w:color w:val="auto"/>
        </w:rPr>
        <w:t>an investment</w:t>
      </w:r>
    </w:p>
    <w:p>
      <w:pPr>
        <w:spacing w:after="0" w:line="230" w:lineRule="auto"/>
        <w:rPr>
          <w:sz w:val="20"/>
          <w:szCs w:val="20"/>
          <w:color w:val="auto"/>
        </w:rPr>
      </w:pPr>
      <w:r>
        <w:rPr>
          <w:rFonts w:ascii="Arial" w:cs="Arial" w:eastAsia="Arial" w:hAnsi="Arial"/>
          <w:sz w:val="22"/>
          <w:szCs w:val="22"/>
          <w:color w:val="auto"/>
        </w:rPr>
        <w:t>adviser under</w:t>
      </w:r>
    </w:p>
    <w:p>
      <w:pPr>
        <w:spacing w:after="0" w:line="231" w:lineRule="auto"/>
        <w:rPr>
          <w:sz w:val="20"/>
          <w:szCs w:val="20"/>
          <w:color w:val="auto"/>
        </w:rPr>
      </w:pPr>
      <w:r>
        <w:rPr>
          <w:rFonts w:ascii="Arial" w:cs="Arial" w:eastAsia="Arial" w:hAnsi="Arial"/>
          <w:sz w:val="22"/>
          <w:szCs w:val="22"/>
          <w:color w:val="auto"/>
        </w:rPr>
        <w:t>section 203 of</w:t>
      </w:r>
    </w:p>
    <w:p>
      <w:pPr>
        <w:spacing w:after="0" w:line="231" w:lineRule="auto"/>
        <w:rPr>
          <w:sz w:val="20"/>
          <w:szCs w:val="20"/>
          <w:color w:val="auto"/>
        </w:rPr>
      </w:pPr>
      <w:r>
        <w:rPr>
          <w:rFonts w:ascii="Arial" w:cs="Arial" w:eastAsia="Arial" w:hAnsi="Arial"/>
          <w:sz w:val="22"/>
          <w:szCs w:val="22"/>
          <w:color w:val="auto"/>
        </w:rPr>
        <w:t>the</w:t>
      </w:r>
    </w:p>
    <w:p>
      <w:pPr>
        <w:spacing w:after="0" w:line="230" w:lineRule="auto"/>
        <w:rPr>
          <w:sz w:val="20"/>
          <w:szCs w:val="20"/>
          <w:color w:val="auto"/>
        </w:rPr>
      </w:pPr>
      <w:r>
        <w:rPr>
          <w:rFonts w:ascii="Arial" w:cs="Arial" w:eastAsia="Arial" w:hAnsi="Arial"/>
          <w:sz w:val="22"/>
          <w:szCs w:val="22"/>
          <w:color w:val="auto"/>
        </w:rPr>
        <w:t>Investment</w:t>
      </w:r>
    </w:p>
    <w:p>
      <w:pPr>
        <w:spacing w:after="0" w:line="231" w:lineRule="auto"/>
        <w:rPr>
          <w:sz w:val="20"/>
          <w:szCs w:val="20"/>
          <w:color w:val="auto"/>
        </w:rPr>
      </w:pPr>
      <w:r>
        <w:rPr>
          <w:rFonts w:ascii="Arial" w:cs="Arial" w:eastAsia="Arial" w:hAnsi="Arial"/>
          <w:sz w:val="22"/>
          <w:szCs w:val="22"/>
          <w:color w:val="auto"/>
        </w:rPr>
        <w:t>Advisers Act</w:t>
      </w:r>
    </w:p>
    <w:p>
      <w:pPr>
        <w:spacing w:after="0" w:line="231" w:lineRule="auto"/>
        <w:rPr>
          <w:sz w:val="20"/>
          <w:szCs w:val="20"/>
          <w:color w:val="auto"/>
        </w:rPr>
      </w:pPr>
      <w:r>
        <w:rPr>
          <w:rFonts w:ascii="Arial" w:cs="Arial" w:eastAsia="Arial" w:hAnsi="Arial"/>
          <w:sz w:val="22"/>
          <w:szCs w:val="22"/>
          <w:color w:val="auto"/>
        </w:rPr>
        <w:t>of 1940, as</w:t>
      </w:r>
    </w:p>
    <w:p>
      <w:pPr>
        <w:spacing w:after="0" w:line="230" w:lineRule="auto"/>
        <w:rPr>
          <w:sz w:val="20"/>
          <w:szCs w:val="20"/>
          <w:color w:val="auto"/>
        </w:rPr>
      </w:pPr>
      <w:r>
        <w:rPr>
          <w:rFonts w:ascii="Arial" w:cs="Arial" w:eastAsia="Arial" w:hAnsi="Arial"/>
          <w:sz w:val="22"/>
          <w:szCs w:val="22"/>
          <w:color w:val="auto"/>
        </w:rPr>
        <w:t>amended,</w:t>
      </w:r>
    </w:p>
    <w:p>
      <w:pPr>
        <w:spacing w:after="0" w:line="231" w:lineRule="auto"/>
        <w:rPr>
          <w:sz w:val="20"/>
          <w:szCs w:val="20"/>
          <w:color w:val="auto"/>
        </w:rPr>
      </w:pPr>
      <w:r>
        <w:rPr>
          <w:rFonts w:ascii="Arial" w:cs="Arial" w:eastAsia="Arial" w:hAnsi="Arial"/>
          <w:sz w:val="22"/>
          <w:szCs w:val="22"/>
          <w:color w:val="auto"/>
        </w:rPr>
        <w:t>merged into</w:t>
      </w:r>
    </w:p>
    <w:p>
      <w:pPr>
        <w:spacing w:after="0" w:line="231" w:lineRule="auto"/>
        <w:rPr>
          <w:sz w:val="20"/>
          <w:szCs w:val="20"/>
          <w:color w:val="auto"/>
        </w:rPr>
      </w:pPr>
      <w:r>
        <w:rPr>
          <w:rFonts w:ascii="Arial" w:cs="Arial" w:eastAsia="Arial" w:hAnsi="Arial"/>
          <w:sz w:val="22"/>
          <w:szCs w:val="22"/>
          <w:color w:val="auto"/>
        </w:rPr>
        <w:t>its parent</w:t>
      </w:r>
    </w:p>
    <w:p>
      <w:pPr>
        <w:spacing w:after="0" w:line="230" w:lineRule="auto"/>
        <w:rPr>
          <w:sz w:val="20"/>
          <w:szCs w:val="20"/>
          <w:color w:val="auto"/>
        </w:rPr>
      </w:pPr>
      <w:r>
        <w:rPr>
          <w:rFonts w:ascii="Arial" w:cs="Arial" w:eastAsia="Arial" w:hAnsi="Arial"/>
          <w:sz w:val="22"/>
          <w:szCs w:val="22"/>
          <w:color w:val="auto"/>
        </w:rPr>
        <w:t>company,</w:t>
      </w:r>
    </w:p>
    <w:p>
      <w:pPr>
        <w:spacing w:after="0" w:line="231" w:lineRule="auto"/>
        <w:rPr>
          <w:sz w:val="20"/>
          <w:szCs w:val="20"/>
          <w:color w:val="auto"/>
        </w:rPr>
      </w:pPr>
      <w:r>
        <w:rPr>
          <w:rFonts w:ascii="Arial" w:cs="Arial" w:eastAsia="Arial" w:hAnsi="Arial"/>
          <w:sz w:val="22"/>
          <w:szCs w:val="22"/>
          <w:color w:val="auto"/>
        </w:rPr>
        <w:t>Robeco</w:t>
      </w:r>
    </w:p>
    <w:p>
      <w:pPr>
        <w:spacing w:after="0" w:line="230" w:lineRule="auto"/>
        <w:rPr>
          <w:sz w:val="20"/>
          <w:szCs w:val="20"/>
          <w:color w:val="auto"/>
        </w:rPr>
      </w:pPr>
      <w:r>
        <w:rPr>
          <w:rFonts w:ascii="Arial" w:cs="Arial" w:eastAsia="Arial" w:hAnsi="Arial"/>
          <w:sz w:val="22"/>
          <w:szCs w:val="22"/>
          <w:color w:val="auto"/>
        </w:rPr>
        <w:t>Investment</w:t>
      </w:r>
    </w:p>
    <w:p>
      <w:pPr>
        <w:spacing w:after="0" w:line="231" w:lineRule="auto"/>
        <w:rPr>
          <w:sz w:val="20"/>
          <w:szCs w:val="20"/>
          <w:color w:val="auto"/>
        </w:rPr>
      </w:pPr>
      <w:r>
        <w:rPr>
          <w:rFonts w:ascii="Arial" w:cs="Arial" w:eastAsia="Arial" w:hAnsi="Arial"/>
          <w:sz w:val="22"/>
          <w:szCs w:val="22"/>
          <w:color w:val="auto"/>
        </w:rPr>
        <w:t>Management,</w:t>
      </w:r>
    </w:p>
    <w:p>
      <w:pPr>
        <w:spacing w:after="0" w:line="231" w:lineRule="auto"/>
        <w:rPr>
          <w:sz w:val="20"/>
          <w:szCs w:val="20"/>
          <w:color w:val="auto"/>
        </w:rPr>
      </w:pPr>
      <w:r>
        <w:rPr>
          <w:rFonts w:ascii="Arial" w:cs="Arial" w:eastAsia="Arial" w:hAnsi="Arial"/>
          <w:sz w:val="22"/>
          <w:szCs w:val="22"/>
          <w:color w:val="auto"/>
        </w:rPr>
        <w:t>Inc. ("RIM"),</w:t>
      </w:r>
    </w:p>
    <w:p>
      <w:pPr>
        <w:ind w:right="8899" w:firstLine="2"/>
        <w:spacing w:after="0" w:line="267" w:lineRule="auto"/>
        <w:tabs>
          <w:tab w:leader="none" w:pos="150" w:val="left"/>
        </w:tabs>
        <w:numPr>
          <w:ilvl w:val="0"/>
          <w:numId w:val="13"/>
        </w:numPr>
        <w:rPr>
          <w:rFonts w:ascii="Arial" w:cs="Arial" w:eastAsia="Arial" w:hAnsi="Arial"/>
          <w:sz w:val="19"/>
          <w:szCs w:val="19"/>
          <w:color w:val="auto"/>
        </w:rPr>
      </w:pPr>
      <w:r>
        <w:rPr>
          <w:rFonts w:ascii="Arial" w:cs="Arial" w:eastAsia="Arial" w:hAnsi="Arial"/>
          <w:sz w:val="19"/>
          <w:szCs w:val="19"/>
          <w:color w:val="auto"/>
        </w:rPr>
        <w:t>Delaware corporation also registered as an investment adviser . RIM has been the parent of BPAM since 2002. Accordingly, reference should be made to</w:t>
      </w:r>
    </w:p>
    <w:p>
      <w:pPr>
        <w:ind w:right="8899"/>
        <w:spacing w:after="0" w:line="293" w:lineRule="auto"/>
        <w:rPr>
          <w:rFonts w:ascii="Arial" w:cs="Arial" w:eastAsia="Arial" w:hAnsi="Arial"/>
          <w:sz w:val="19"/>
          <w:szCs w:val="19"/>
          <w:color w:val="auto"/>
        </w:rPr>
      </w:pPr>
      <w:r>
        <w:rPr>
          <w:rFonts w:ascii="Arial" w:cs="Arial" w:eastAsia="Arial" w:hAnsi="Arial"/>
          <w:sz w:val="18"/>
          <w:szCs w:val="18"/>
          <w:color w:val="auto"/>
        </w:rPr>
        <w:t>BPAM (CIK #0000949682) for any prior filings relating to the holding of shares of</w:t>
      </w:r>
    </w:p>
    <w:p>
      <w:pPr>
        <w:sectPr>
          <w:pgSz w:w="11900" w:h="16925" w:orient="portrait"/>
          <w:cols w:equalWidth="0" w:num="1">
            <w:col w:w="10159"/>
          </w:cols>
          <w:pgMar w:left="300" w:top="108" w:right="1440" w:bottom="0" w:gutter="0" w:footer="0" w:header="0"/>
        </w:sectPr>
      </w:pPr>
    </w:p>
    <w:bookmarkStart w:id="4" w:name="page5"/>
    <w:bookmarkEnd w:id="4"/>
    <w:p>
      <w:pPr>
        <w:spacing w:after="0"/>
        <w:rPr>
          <w:sz w:val="20"/>
          <w:szCs w:val="20"/>
          <w:color w:val="auto"/>
        </w:rPr>
      </w:pPr>
      <w:r>
        <w:rPr>
          <w:rFonts w:ascii="Arial" w:cs="Arial" w:eastAsia="Arial" w:hAnsi="Arial"/>
          <w:sz w:val="19"/>
          <w:szCs w:val="19"/>
          <w:color w:val="auto"/>
        </w:rPr>
        <w:t>common stock</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described</w:t>
      </w:r>
    </w:p>
    <w:p>
      <w:pPr>
        <w:spacing w:after="0"/>
        <w:rPr>
          <w:sz w:val="20"/>
          <w:szCs w:val="20"/>
          <w:color w:val="auto"/>
        </w:rPr>
      </w:pPr>
      <w:r>
        <w:rPr>
          <w:rFonts w:ascii="Arial" w:cs="Arial" w:eastAsia="Arial" w:hAnsi="Arial"/>
          <w:sz w:val="22"/>
          <w:szCs w:val="22"/>
          <w:color w:val="auto"/>
        </w:rPr>
        <w:t>herein.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Effective</w:t>
      </w:r>
    </w:p>
    <w:p>
      <w:pPr>
        <w:spacing w:after="0" w:line="238" w:lineRule="auto"/>
        <w:rPr>
          <w:sz w:val="20"/>
          <w:szCs w:val="20"/>
          <w:color w:val="auto"/>
        </w:rPr>
      </w:pPr>
      <w:r>
        <w:rPr>
          <w:rFonts w:ascii="Arial" w:cs="Arial" w:eastAsia="Arial" w:hAnsi="Arial"/>
          <w:sz w:val="22"/>
          <w:szCs w:val="22"/>
          <w:color w:val="auto"/>
        </w:rPr>
        <w:t>January 1,</w:t>
      </w:r>
    </w:p>
    <w:p>
      <w:pPr>
        <w:spacing w:after="0"/>
        <w:rPr>
          <w:sz w:val="20"/>
          <w:szCs w:val="20"/>
          <w:color w:val="auto"/>
        </w:rPr>
      </w:pPr>
      <w:r>
        <w:rPr>
          <w:rFonts w:ascii="Arial" w:cs="Arial" w:eastAsia="Arial" w:hAnsi="Arial"/>
          <w:sz w:val="19"/>
          <w:szCs w:val="19"/>
          <w:color w:val="auto"/>
        </w:rPr>
        <w:t>2007, Robeco</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USA, L.L.C.</w:t>
      </w:r>
    </w:p>
    <w:p>
      <w:pPr>
        <w:spacing w:after="0" w:line="230" w:lineRule="auto"/>
        <w:rPr>
          <w:sz w:val="20"/>
          <w:szCs w:val="20"/>
          <w:color w:val="auto"/>
        </w:rPr>
      </w:pPr>
      <w:r>
        <w:rPr>
          <w:rFonts w:ascii="Arial" w:cs="Arial" w:eastAsia="Arial" w:hAnsi="Arial"/>
          <w:sz w:val="22"/>
          <w:szCs w:val="22"/>
          <w:color w:val="auto"/>
        </w:rPr>
        <w:t>("Robeco")</w:t>
      </w:r>
    </w:p>
    <w:p>
      <w:pPr>
        <w:spacing w:after="0" w:line="231" w:lineRule="auto"/>
        <w:rPr>
          <w:sz w:val="20"/>
          <w:szCs w:val="20"/>
          <w:color w:val="auto"/>
        </w:rPr>
      </w:pPr>
      <w:r>
        <w:rPr>
          <w:rFonts w:ascii="Arial" w:cs="Arial" w:eastAsia="Arial" w:hAnsi="Arial"/>
          <w:sz w:val="22"/>
          <w:szCs w:val="22"/>
          <w:color w:val="auto"/>
        </w:rPr>
        <w:t>which was a</w:t>
      </w:r>
    </w:p>
    <w:p>
      <w:pPr>
        <w:spacing w:after="0" w:line="230" w:lineRule="auto"/>
        <w:rPr>
          <w:sz w:val="20"/>
          <w:szCs w:val="20"/>
          <w:color w:val="auto"/>
        </w:rPr>
      </w:pPr>
      <w:r>
        <w:rPr>
          <w:rFonts w:ascii="Arial" w:cs="Arial" w:eastAsia="Arial" w:hAnsi="Arial"/>
          <w:sz w:val="22"/>
          <w:szCs w:val="22"/>
          <w:color w:val="auto"/>
        </w:rPr>
        <w:t>Delaware</w:t>
      </w:r>
    </w:p>
    <w:p>
      <w:pPr>
        <w:spacing w:after="0" w:line="231" w:lineRule="auto"/>
        <w:rPr>
          <w:sz w:val="20"/>
          <w:szCs w:val="20"/>
          <w:color w:val="auto"/>
        </w:rPr>
      </w:pPr>
      <w:r>
        <w:rPr>
          <w:rFonts w:ascii="Arial" w:cs="Arial" w:eastAsia="Arial" w:hAnsi="Arial"/>
          <w:sz w:val="22"/>
          <w:szCs w:val="22"/>
          <w:color w:val="auto"/>
        </w:rPr>
        <w:t>limited</w:t>
      </w:r>
    </w:p>
    <w:p>
      <w:pPr>
        <w:spacing w:after="0" w:line="231" w:lineRule="auto"/>
        <w:rPr>
          <w:sz w:val="20"/>
          <w:szCs w:val="20"/>
          <w:color w:val="auto"/>
        </w:rPr>
      </w:pPr>
      <w:r>
        <w:rPr>
          <w:rFonts w:ascii="Arial" w:cs="Arial" w:eastAsia="Arial" w:hAnsi="Arial"/>
          <w:sz w:val="22"/>
          <w:szCs w:val="22"/>
          <w:color w:val="auto"/>
        </w:rPr>
        <w:t>liability</w:t>
      </w:r>
    </w:p>
    <w:p>
      <w:pPr>
        <w:spacing w:after="0" w:line="230" w:lineRule="auto"/>
        <w:rPr>
          <w:sz w:val="20"/>
          <w:szCs w:val="20"/>
          <w:color w:val="auto"/>
        </w:rPr>
      </w:pPr>
      <w:r>
        <w:rPr>
          <w:rFonts w:ascii="Arial" w:cs="Arial" w:eastAsia="Arial" w:hAnsi="Arial"/>
          <w:sz w:val="22"/>
          <w:szCs w:val="22"/>
          <w:color w:val="auto"/>
        </w:rPr>
        <w:t>company</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registered as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an investment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adviser under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section 203 of</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the</w:t>
      </w:r>
    </w:p>
    <w:p>
      <w:pPr>
        <w:spacing w:after="0" w:line="230" w:lineRule="auto"/>
        <w:rPr>
          <w:sz w:val="20"/>
          <w:szCs w:val="20"/>
          <w:color w:val="auto"/>
        </w:rPr>
      </w:pPr>
      <w:r>
        <w:rPr>
          <w:rFonts w:ascii="Arial" w:cs="Arial" w:eastAsia="Arial" w:hAnsi="Arial"/>
          <w:sz w:val="22"/>
          <w:szCs w:val="22"/>
          <w:color w:val="auto"/>
        </w:rPr>
        <w:t>Investment</w:t>
      </w:r>
    </w:p>
    <w:p>
      <w:pPr>
        <w:spacing w:after="0" w:line="231" w:lineRule="auto"/>
        <w:rPr>
          <w:sz w:val="20"/>
          <w:szCs w:val="20"/>
          <w:color w:val="auto"/>
        </w:rPr>
      </w:pPr>
      <w:r>
        <w:rPr>
          <w:rFonts w:ascii="Arial" w:cs="Arial" w:eastAsia="Arial" w:hAnsi="Arial"/>
          <w:sz w:val="22"/>
          <w:szCs w:val="22"/>
          <w:color w:val="auto"/>
        </w:rPr>
        <w:t>Advisers Act</w:t>
      </w:r>
    </w:p>
    <w:p>
      <w:pPr>
        <w:spacing w:after="0" w:line="230" w:lineRule="auto"/>
        <w:rPr>
          <w:sz w:val="20"/>
          <w:szCs w:val="20"/>
          <w:color w:val="auto"/>
        </w:rPr>
      </w:pPr>
      <w:r>
        <w:rPr>
          <w:rFonts w:ascii="Arial" w:cs="Arial" w:eastAsia="Arial" w:hAnsi="Arial"/>
          <w:sz w:val="22"/>
          <w:szCs w:val="22"/>
          <w:color w:val="auto"/>
        </w:rPr>
        <w:t>of 1940, as</w:t>
      </w:r>
    </w:p>
    <w:p>
      <w:pPr>
        <w:spacing w:after="0" w:line="231" w:lineRule="auto"/>
        <w:rPr>
          <w:sz w:val="20"/>
          <w:szCs w:val="20"/>
          <w:color w:val="auto"/>
        </w:rPr>
      </w:pPr>
      <w:r>
        <w:rPr>
          <w:rFonts w:ascii="Arial" w:cs="Arial" w:eastAsia="Arial" w:hAnsi="Arial"/>
          <w:sz w:val="22"/>
          <w:szCs w:val="22"/>
          <w:color w:val="auto"/>
        </w:rPr>
        <w:t>amended,</w:t>
      </w:r>
    </w:p>
    <w:p>
      <w:pPr>
        <w:spacing w:after="0" w:line="231" w:lineRule="auto"/>
        <w:rPr>
          <w:sz w:val="20"/>
          <w:szCs w:val="20"/>
          <w:color w:val="auto"/>
        </w:rPr>
      </w:pPr>
      <w:r>
        <w:rPr>
          <w:rFonts w:ascii="Arial" w:cs="Arial" w:eastAsia="Arial" w:hAnsi="Arial"/>
          <w:sz w:val="22"/>
          <w:szCs w:val="22"/>
          <w:color w:val="auto"/>
        </w:rPr>
        <w:t>merged into</w:t>
      </w:r>
    </w:p>
    <w:p>
      <w:pPr>
        <w:spacing w:after="0" w:line="230" w:lineRule="auto"/>
        <w:rPr>
          <w:sz w:val="20"/>
          <w:szCs w:val="20"/>
          <w:color w:val="auto"/>
        </w:rPr>
      </w:pPr>
      <w:r>
        <w:rPr>
          <w:rFonts w:ascii="Arial" w:cs="Arial" w:eastAsia="Arial" w:hAnsi="Arial"/>
          <w:sz w:val="22"/>
          <w:szCs w:val="22"/>
          <w:color w:val="auto"/>
        </w:rPr>
        <w:t>its parent</w:t>
      </w:r>
    </w:p>
    <w:p>
      <w:pPr>
        <w:spacing w:after="0" w:line="231" w:lineRule="auto"/>
        <w:rPr>
          <w:sz w:val="20"/>
          <w:szCs w:val="20"/>
          <w:color w:val="auto"/>
        </w:rPr>
      </w:pPr>
      <w:r>
        <w:rPr>
          <w:rFonts w:ascii="Arial" w:cs="Arial" w:eastAsia="Arial" w:hAnsi="Arial"/>
          <w:sz w:val="22"/>
          <w:szCs w:val="22"/>
          <w:color w:val="auto"/>
        </w:rPr>
        <w:t>company,</w:t>
      </w:r>
    </w:p>
    <w:p>
      <w:pPr>
        <w:spacing w:after="0" w:line="231" w:lineRule="auto"/>
        <w:rPr>
          <w:sz w:val="20"/>
          <w:szCs w:val="20"/>
          <w:color w:val="auto"/>
        </w:rPr>
      </w:pPr>
      <w:r>
        <w:rPr>
          <w:rFonts w:ascii="Arial" w:cs="Arial" w:eastAsia="Arial" w:hAnsi="Arial"/>
          <w:sz w:val="22"/>
          <w:szCs w:val="22"/>
          <w:color w:val="auto"/>
        </w:rPr>
        <w:t>Robeco</w:t>
      </w:r>
    </w:p>
    <w:p>
      <w:pPr>
        <w:spacing w:after="0" w:line="230" w:lineRule="auto"/>
        <w:rPr>
          <w:sz w:val="20"/>
          <w:szCs w:val="20"/>
          <w:color w:val="auto"/>
        </w:rPr>
      </w:pPr>
      <w:r>
        <w:rPr>
          <w:rFonts w:ascii="Arial" w:cs="Arial" w:eastAsia="Arial" w:hAnsi="Arial"/>
          <w:sz w:val="22"/>
          <w:szCs w:val="22"/>
          <w:color w:val="auto"/>
        </w:rPr>
        <w:t>Investment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Management,</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Inc. ("RIM"),</w:t>
      </w:r>
    </w:p>
    <w:p>
      <w:pPr>
        <w:ind w:right="8899" w:firstLine="2"/>
        <w:spacing w:after="0" w:line="268" w:lineRule="auto"/>
        <w:tabs>
          <w:tab w:leader="none" w:pos="150" w:val="left"/>
        </w:tabs>
        <w:numPr>
          <w:ilvl w:val="0"/>
          <w:numId w:val="14"/>
        </w:numPr>
        <w:rPr>
          <w:rFonts w:ascii="Arial" w:cs="Arial" w:eastAsia="Arial" w:hAnsi="Arial"/>
          <w:sz w:val="19"/>
          <w:szCs w:val="19"/>
          <w:color w:val="auto"/>
        </w:rPr>
      </w:pPr>
      <w:r>
        <w:rPr>
          <w:rFonts w:ascii="Arial" w:cs="Arial" w:eastAsia="Arial" w:hAnsi="Arial"/>
          <w:sz w:val="19"/>
          <w:szCs w:val="19"/>
          <w:color w:val="auto"/>
        </w:rPr>
        <w:t>Delaware corporation also registered as an investment adviser. RIM has been the parent of BPAM since 2001. Accordingly, reference should be made to Robeco (CIK #0000732926) for any prior filings relating to the holding of shares of common stock described herein.</w:t>
      </w:r>
    </w:p>
    <w:sectPr>
      <w:pgSz w:w="11900" w:h="16838" w:orient="portrait"/>
      <w:cols w:equalWidth="0" w:num="1">
        <w:col w:w="10159"/>
      </w:cols>
      <w:pgMar w:left="30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1"/>
    </w:lvl>
    <w:lvl w:ilvl="1">
      <w:lvlJc w:val="left"/>
      <w:lvlText w:val="(%2)"/>
      <w:numFmt w:val="lowerLetter"/>
      <w:start w:val="2"/>
    </w:lvl>
  </w:abstractNum>
  <w:abstractNum w:abstractNumId="3">
    <w:nsid w:val="5BD062C2"/>
    <w:multiLevelType w:val="hybridMultilevel"/>
    <w:lvl w:ilvl="0">
      <w:lvlJc w:val="left"/>
      <w:lvlText w:val="%1."/>
      <w:numFmt w:val="decimal"/>
      <w:start w:val="2"/>
    </w:lvl>
    <w:lvl w:ilvl="1">
      <w:lvlJc w:val="left"/>
      <w:lvlText w:val="(%2)"/>
      <w:numFmt w:val="lowerLetter"/>
      <w:start w:val="1"/>
    </w:lvl>
  </w:abstractNum>
  <w:abstractNum w:abstractNumId="4">
    <w:nsid w:val="12200854"/>
    <w:multiLevelType w:val="hybridMultilevel"/>
    <w:lvl w:ilvl="0">
      <w:lvlJc w:val="left"/>
      <w:lvlText w:val="%1."/>
      <w:numFmt w:val="decimal"/>
      <w:start w:val="3"/>
    </w:lvl>
  </w:abstractNum>
  <w:abstractNum w:abstractNumId="5">
    <w:nsid w:val="4DB127F8"/>
    <w:multiLevelType w:val="hybridMultilevel"/>
    <w:lvl w:ilvl="0">
      <w:lvlJc w:val="left"/>
      <w:lvlText w:val="%1"/>
      <w:numFmt w:val="decimal"/>
      <w:start w:val="1"/>
    </w:lvl>
    <w:lvl w:ilvl="1">
      <w:lvlJc w:val="left"/>
      <w:lvlText w:val="%2."/>
      <w:numFmt w:val="decimal"/>
      <w:start w:val="8"/>
    </w:lvl>
  </w:abstractNum>
  <w:abstractNum w:abstractNumId="6">
    <w:nsid w:val="216231B"/>
    <w:multiLevelType w:val="hybridMultilevel"/>
    <w:lvl w:ilvl="0">
      <w:lvlJc w:val="left"/>
      <w:lvlText w:val="%1."/>
      <w:numFmt w:val="decimal"/>
      <w:start w:val="9"/>
    </w:lvl>
    <w:lvl w:ilvl="1">
      <w:lvlJc w:val="left"/>
      <w:lvlText w:val="%2"/>
      <w:numFmt w:val="decimal"/>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6"/>
    </w:lvl>
  </w:abstractNum>
  <w:abstractNum w:abstractNumId="11">
    <w:nsid w:val="3352255A"/>
    <w:multiLevelType w:val="hybridMultilevel"/>
    <w:lvl w:ilvl="0">
      <w:lvlJc w:val="left"/>
      <w:lvlText w:val="(%1)"/>
      <w:numFmt w:val="lowerLetter"/>
      <w:start w:val="1"/>
    </w:lvl>
    <w:lvl w:ilvl="1">
      <w:lvlJc w:val="left"/>
      <w:lvlText w:val="(%2)"/>
      <w:numFmt w:val="lowerRoman"/>
      <w:start w:val="1"/>
    </w:lvl>
  </w:abstractNum>
  <w:abstractNum w:abstractNumId="12">
    <w:nsid w:val="109CF92E"/>
    <w:multiLevelType w:val="hybridMultilevel"/>
    <w:lvl w:ilvl="0">
      <w:lvlJc w:val="left"/>
      <w:lvlText w:val="a"/>
      <w:numFmt w:val="bullet"/>
      <w:start w:val="1"/>
    </w:lvl>
  </w:abstractNum>
  <w:abstractNum w:abstractNumId="13">
    <w:nsid w:val="DED7263"/>
    <w:multiLevelType w:val="hybridMultilevel"/>
    <w:lvl w:ilvl="0">
      <w:lvlJc w:val="left"/>
      <w:lvlText w:val="a"/>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2019-12-10T06:46:30Z</dcterms:created>
  <dcterms:modified xsi:type="dcterms:W3CDTF">2019-12-10T06:46:30Z</dcterms:modified>
</cp:coreProperties>
</file>