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22, 1999</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863" w:gutter="0" w:footer="0" w:header="0"/>
        </w:sectPr>
      </w:pPr>
    </w:p>
    <w:p>
      <w:pPr>
        <w:spacing w:after="0" w:line="200" w:lineRule="exact"/>
        <w:rPr>
          <w:sz w:val="24"/>
          <w:szCs w:val="24"/>
          <w:color w:val="auto"/>
        </w:rPr>
      </w:pPr>
    </w:p>
    <w:p>
      <w:pPr>
        <w:spacing w:after="0" w:line="2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1920" w:space="720"/>
            <w:col w:w="3999"/>
          </w:cols>
          <w:pgMar w:left="240" w:top="649" w:right="1440" w:bottom="863" w:gutter="0" w:footer="0" w:header="0"/>
          <w:type w:val="continuous"/>
        </w:sectPr>
      </w:pPr>
    </w:p>
    <w:p>
      <w:pPr>
        <w:spacing w:after="0" w:line="209" w:lineRule="exact"/>
        <w:rPr>
          <w:sz w:val="24"/>
          <w:szCs w:val="24"/>
          <w:color w:val="auto"/>
        </w:rPr>
      </w:pPr>
    </w:p>
    <w:p>
      <w:pPr>
        <w:ind w:left="158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00" w:space="640"/>
            <w:col w:w="3779"/>
          </w:cols>
          <w:pgMar w:left="240" w:top="649" w:right="1440" w:bottom="863"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(781) 444-7222</w:t>
      </w:r>
    </w:p>
    <w:p>
      <w:pPr>
        <w:sectPr>
          <w:pgSz w:w="11900" w:h="16838" w:orient="portrait"/>
          <w:cols w:equalWidth="0" w:num="1">
            <w:col w:w="10219"/>
          </w:cols>
          <w:pgMar w:left="240" w:top="649" w:right="1440" w:bottom="863"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On December 21, 1999 Designs, Inc. (the "Company") dismissed its principal independent accountants Arthur Andersen LLP ("Arthur Andersen"). On December 21, 1999, the Company engaged Deloitte &amp; Touche LLP as its new principal independent accountants. The Company's Board of Directors and its Audit Committee unanimously approved the change of principal independent accountants.</w:t>
      </w:r>
    </w:p>
    <w:p>
      <w:pPr>
        <w:spacing w:after="0" w:line="21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June 26, 1998 the Company filed with the Commission a Current Report on Form 8-K reporting that the Company had dismissed Coopers &amp; Lybrand L.L.P as its principal independent accountants and had retained Arthur Andersen as its principal independent accountants.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Since Arthur Andersen was retained on June 26, 1998 and thereafter through December 21, 1999 there were no disagreements between the Company and Arthur Andersen on matters of accounting principles or practices, financial statement disclosure, or auditing scope or procedure which, if not resolved to the satisfaction of Arthur Andersen, would have caused Arthur Andersen to make reference to the subject matter thereof in its reports. Since Arthur Andersen was retained on June 26, 1998 and thereafter through December 21, 1999 there was no occurrence of the kinds of events described in Item 304(a)(1)(v) of Regulation S-K promulgated by the Commission. In addition, none of the reports issued by Arthur Andersen concerning the Company's financial statements since it was retained on June 26, 1998 and thereafter through December 21, 1999 contain any adverse opinion or disclaimer of opinion. Such reports were not qualified or modified as to uncertainty, audit scope, or accounting principles.</w:t>
      </w:r>
    </w:p>
    <w:p>
      <w:pPr>
        <w:sectPr>
          <w:pgSz w:w="11900" w:h="16838" w:orient="portrait"/>
          <w:cols w:equalWidth="0" w:num="1">
            <w:col w:w="10219"/>
          </w:cols>
          <w:pgMar w:left="240" w:top="649" w:right="1440" w:bottom="863" w:gutter="0" w:footer="0" w:header="0"/>
          <w:type w:val="continuous"/>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ProForma Financial Information and Exhibits</w:t>
      </w:r>
    </w:p>
    <w:p>
      <w:pPr>
        <w:spacing w:after="0" w:line="200" w:lineRule="exact"/>
        <w:rPr>
          <w:sz w:val="24"/>
          <w:szCs w:val="24"/>
          <w:color w:val="auto"/>
        </w:rPr>
      </w:pPr>
    </w:p>
    <w:p>
      <w:pPr>
        <w:sectPr>
          <w:pgSz w:w="11900" w:h="16838" w:orient="portrait"/>
          <w:cols w:equalWidth="0" w:num="2">
            <w:col w:w="740" w:space="220"/>
            <w:col w:w="9259"/>
          </w:cols>
          <w:pgMar w:left="240" w:top="649" w:right="1440" w:bottom="863"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16.1 Letter from Arthur Andersen LLP, dated December 22, 1999, regarding its concurrence with the Company's disclosure in this Report.</w:t>
      </w:r>
    </w:p>
    <w:p>
      <w:pPr>
        <w:sectPr>
          <w:pgSz w:w="11900" w:h="16838" w:orient="portrait"/>
          <w:cols w:equalWidth="0" w:num="2">
            <w:col w:w="1400" w:space="720"/>
            <w:col w:w="8099"/>
          </w:cols>
          <w:pgMar w:left="240" w:top="649" w:right="1440" w:bottom="863"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22,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Schultz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J. Schultz</w:t>
      </w:r>
    </w:p>
    <w:p>
      <w:pPr>
        <w:ind w:left="420"/>
        <w:spacing w:after="0" w:line="238" w:lineRule="auto"/>
        <w:rPr>
          <w:sz w:val="20"/>
          <w:szCs w:val="20"/>
          <w:color w:val="auto"/>
        </w:rPr>
      </w:pPr>
      <w:r>
        <w:rPr>
          <w:rFonts w:ascii="Courier New" w:cs="Courier New" w:eastAsia="Courier New" w:hAnsi="Courier New"/>
          <w:sz w:val="18"/>
          <w:szCs w:val="18"/>
          <w:color w:val="auto"/>
        </w:rPr>
        <w:t>Its: President and</w:t>
      </w:r>
    </w:p>
    <w:p>
      <w:pPr>
        <w:ind w:left="9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3500" w:space="720"/>
            <w:col w:w="5999"/>
          </w:cols>
          <w:pgMar w:left="240" w:top="717"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ARTHUR</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ANDERSEN</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22,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ectPr>
          <w:pgSz w:w="11900" w:h="16838" w:orient="portrait"/>
          <w:cols w:equalWidth="0" w:num="2">
            <w:col w:w="5300" w:space="720"/>
            <w:col w:w="4199"/>
          </w:cols>
          <w:pgMar w:left="240" w:top="541" w:right="1440" w:bottom="1440" w:gutter="0" w:footer="0" w:header="0"/>
          <w:type w:val="continuous"/>
        </w:sectPr>
      </w:pPr>
    </w:p>
    <w:p>
      <w:pPr>
        <w:spacing w:after="0" w:line="209" w:lineRule="exact"/>
        <w:rPr>
          <w:sz w:val="20"/>
          <w:szCs w:val="20"/>
          <w:color w:val="auto"/>
        </w:rPr>
      </w:pPr>
    </w:p>
    <w:p>
      <w:pPr>
        <w:ind w:right="1720"/>
        <w:spacing w:after="0" w:line="237" w:lineRule="auto"/>
        <w:rPr>
          <w:sz w:val="20"/>
          <w:szCs w:val="20"/>
          <w:color w:val="auto"/>
        </w:rPr>
      </w:pPr>
      <w:r>
        <w:rPr>
          <w:rFonts w:ascii="Courier New" w:cs="Courier New" w:eastAsia="Courier New" w:hAnsi="Courier New"/>
          <w:sz w:val="18"/>
          <w:szCs w:val="18"/>
          <w:color w:val="auto"/>
        </w:rPr>
        <w:t>Office of the Chief Accountant Securities and Exchange Commission 450 Fifth Street, NW Washington, DC 20549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225 Franklin Street</w:t>
      </w:r>
    </w:p>
    <w:p>
      <w:pPr>
        <w:spacing w:after="0" w:line="238" w:lineRule="auto"/>
        <w:rPr>
          <w:sz w:val="20"/>
          <w:szCs w:val="20"/>
          <w:color w:val="auto"/>
        </w:rPr>
      </w:pPr>
      <w:r>
        <w:rPr>
          <w:rFonts w:ascii="Courier New" w:cs="Courier New" w:eastAsia="Courier New" w:hAnsi="Courier New"/>
          <w:sz w:val="18"/>
          <w:szCs w:val="18"/>
          <w:color w:val="auto"/>
        </w:rPr>
        <w:t>Boston, MA 02110-2812</w:t>
      </w:r>
    </w:p>
    <w:p>
      <w:pPr>
        <w:spacing w:after="0"/>
        <w:rPr>
          <w:sz w:val="20"/>
          <w:szCs w:val="20"/>
          <w:color w:val="auto"/>
        </w:rPr>
      </w:pPr>
      <w:r>
        <w:rPr>
          <w:rFonts w:ascii="Courier New" w:cs="Courier New" w:eastAsia="Courier New" w:hAnsi="Courier New"/>
          <w:sz w:val="18"/>
          <w:szCs w:val="18"/>
          <w:color w:val="auto"/>
        </w:rPr>
        <w:t>617 330 4000</w:t>
      </w:r>
    </w:p>
    <w:p>
      <w:pPr>
        <w:spacing w:after="0" w:line="401" w:lineRule="exact"/>
        <w:rPr>
          <w:sz w:val="20"/>
          <w:szCs w:val="20"/>
          <w:color w:val="auto"/>
        </w:rPr>
      </w:pPr>
    </w:p>
    <w:p>
      <w:pPr>
        <w:sectPr>
          <w:pgSz w:w="11900" w:h="16838" w:orient="portrait"/>
          <w:cols w:equalWidth="0" w:num="2">
            <w:col w:w="5300" w:space="720"/>
            <w:col w:w="4199"/>
          </w:cols>
          <w:pgMar w:left="240" w:top="541"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We have read the third paragraph of Item 4 included in the Form 8-K dated December 22, 1999 of Designs, Inc. to be filed with the Securities and Exchange Commission and are in agreement with the statements contained therein.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Kenneth R. Rogers, Jr., Senior Vice President, Designs, Inc.</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2020-02-22T17:54:27Z</dcterms:created>
  <dcterms:modified xsi:type="dcterms:W3CDTF">2020-02-22T17:54:27Z</dcterms:modified>
</cp:coreProperties>
</file>