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679"/>
        <w:spacing w:after="0"/>
        <w:rPr>
          <w:sz w:val="20"/>
          <w:szCs w:val="20"/>
          <w:color w:val="auto"/>
        </w:rPr>
      </w:pPr>
      <w:r>
        <w:rPr>
          <w:rFonts w:ascii="Courier New" w:cs="Courier New" w:eastAsia="Courier New" w:hAnsi="Courier New"/>
          <w:sz w:val="18"/>
          <w:szCs w:val="18"/>
          <w:color w:val="auto"/>
        </w:rPr>
        <w:t>UNITED STATES</w:t>
      </w:r>
    </w:p>
    <w:p>
      <w:pPr>
        <w:jc w:val="center"/>
        <w:ind w:right="177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13G</w:t>
      </w:r>
    </w:p>
    <w:p>
      <w:pPr>
        <w:jc w:val="center"/>
        <w:ind w:right="1779"/>
        <w:spacing w:after="0" w:line="238" w:lineRule="auto"/>
        <w:rPr>
          <w:sz w:val="20"/>
          <w:szCs w:val="20"/>
          <w:color w:val="auto"/>
        </w:rPr>
      </w:pPr>
      <w:r>
        <w:rPr>
          <w:rFonts w:ascii="Courier New" w:cs="Courier New" w:eastAsia="Courier New" w:hAnsi="Courier New"/>
          <w:sz w:val="18"/>
          <w:szCs w:val="18"/>
          <w:color w:val="auto"/>
        </w:rPr>
        <w:t>(Rule 13d-102)</w:t>
      </w:r>
    </w:p>
    <w:p>
      <w:pPr>
        <w:spacing w:after="0" w:line="207" w:lineRule="exact"/>
        <w:rPr>
          <w:sz w:val="24"/>
          <w:szCs w:val="24"/>
          <w:color w:val="auto"/>
        </w:rPr>
      </w:pPr>
    </w:p>
    <w:p>
      <w:pPr>
        <w:jc w:val="center"/>
        <w:ind w:right="1679"/>
        <w:spacing w:after="0" w:line="236" w:lineRule="auto"/>
        <w:rPr>
          <w:sz w:val="20"/>
          <w:szCs w:val="20"/>
          <w:color w:val="auto"/>
        </w:rPr>
      </w:pPr>
      <w:r>
        <w:rPr>
          <w:rFonts w:ascii="Courier New" w:cs="Courier New" w:eastAsia="Courier New" w:hAnsi="Courier New"/>
          <w:sz w:val="18"/>
          <w:szCs w:val="18"/>
          <w:color w:val="auto"/>
        </w:rPr>
        <w:t>INFORMATION TO BE INCLUDED IN STATEMENTS FILED PURSUANT TO RULES 13d-1(b), (c) AND (d) AND AMENDMENTS THERETO FILED PURSUANT TO RULE 13d-2(b)</w:t>
      </w:r>
    </w:p>
    <w:p>
      <w:pPr>
        <w:spacing w:after="0" w:line="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(Amendment No. 2)*</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Casual Male Retail Group, Inc.</w:t>
      </w:r>
    </w:p>
    <w:p>
      <w:pPr>
        <w:jc w:val="center"/>
        <w:ind w:right="1779"/>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ind w:left="2220"/>
        <w:spacing w:after="0"/>
        <w:rPr>
          <w:sz w:val="20"/>
          <w:szCs w:val="20"/>
          <w:color w:val="auto"/>
        </w:rPr>
      </w:pPr>
      <w:r>
        <w:rPr>
          <w:rFonts w:ascii="Courier New" w:cs="Courier New" w:eastAsia="Courier New" w:hAnsi="Courier New"/>
          <w:sz w:val="18"/>
          <w:szCs w:val="18"/>
          <w:color w:val="auto"/>
        </w:rPr>
        <w:t>Common Stock, $0.01 par value per share</w:t>
      </w:r>
    </w:p>
    <w:p>
      <w:pPr>
        <w:ind w:left="2640"/>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148711104</w:t>
      </w:r>
    </w:p>
    <w:p>
      <w:pPr>
        <w:ind w:left="348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July 18, 2007</w:t>
      </w:r>
    </w:p>
    <w:p>
      <w:pPr>
        <w:jc w:val="center"/>
        <w:ind w:right="1679"/>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7" w:lineRule="exact"/>
        <w:rPr>
          <w:sz w:val="24"/>
          <w:szCs w:val="24"/>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3" w:lineRule="exact"/>
        <w:rPr>
          <w:sz w:val="24"/>
          <w:szCs w:val="24"/>
          <w:color w:val="auto"/>
        </w:rPr>
      </w:pPr>
    </w:p>
    <w:p>
      <w:pPr>
        <w:ind w:left="640"/>
        <w:spacing w:after="0"/>
        <w:rPr>
          <w:sz w:val="20"/>
          <w:szCs w:val="20"/>
          <w:color w:val="auto"/>
        </w:rPr>
      </w:pPr>
      <w:r>
        <w:rPr>
          <w:rFonts w:ascii="Courier New" w:cs="Courier New" w:eastAsia="Courier New" w:hAnsi="Courier New"/>
          <w:sz w:val="18"/>
          <w:szCs w:val="18"/>
          <w:color w:val="auto"/>
        </w:rPr>
        <w:t>|X| Rule 13d-1(b)</w:t>
      </w:r>
    </w:p>
    <w:p>
      <w:pPr>
        <w:spacing w:after="0" w:line="201" w:lineRule="exact"/>
        <w:rPr>
          <w:sz w:val="24"/>
          <w:szCs w:val="24"/>
          <w:color w:val="auto"/>
        </w:rPr>
      </w:pPr>
    </w:p>
    <w:p>
      <w:pPr>
        <w:ind w:left="640"/>
        <w:spacing w:after="0"/>
        <w:rPr>
          <w:sz w:val="20"/>
          <w:szCs w:val="20"/>
          <w:color w:val="auto"/>
        </w:rPr>
      </w:pPr>
      <w:r>
        <w:rPr>
          <w:rFonts w:ascii="Courier New" w:cs="Courier New" w:eastAsia="Courier New" w:hAnsi="Courier New"/>
          <w:sz w:val="18"/>
          <w:szCs w:val="18"/>
          <w:color w:val="auto"/>
        </w:rPr>
        <w:t>|_| Rule 13d-1(c)</w:t>
      </w:r>
    </w:p>
    <w:p>
      <w:pPr>
        <w:spacing w:after="0" w:line="201" w:lineRule="exact"/>
        <w:rPr>
          <w:sz w:val="24"/>
          <w:szCs w:val="24"/>
          <w:color w:val="auto"/>
        </w:rPr>
      </w:pPr>
    </w:p>
    <w:p>
      <w:pPr>
        <w:ind w:left="640"/>
        <w:spacing w:after="0"/>
        <w:rPr>
          <w:sz w:val="20"/>
          <w:szCs w:val="20"/>
          <w:color w:val="auto"/>
        </w:rPr>
      </w:pPr>
      <w:r>
        <w:rPr>
          <w:rFonts w:ascii="Courier New" w:cs="Courier New" w:eastAsia="Courier New" w:hAnsi="Courier New"/>
          <w:sz w:val="18"/>
          <w:szCs w:val="18"/>
          <w:color w:val="auto"/>
        </w:rPr>
        <w:t>|_| Rule 13d-1(d)</w:t>
      </w:r>
    </w:p>
    <w:p>
      <w:pPr>
        <w:spacing w:after="0" w:line="207"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ind w:right="1779"/>
        <w:spacing w:after="0" w:line="275"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357"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5120" w:type="dxa"/>
            <w:vAlign w:val="bottom"/>
            <w:gridSpan w:val="2"/>
          </w:tcPr>
          <w:p>
            <w:pPr>
              <w:spacing w:after="0"/>
              <w:rPr>
                <w:sz w:val="20"/>
                <w:szCs w:val="20"/>
                <w:color w:val="auto"/>
              </w:rPr>
            </w:pPr>
            <w:r>
              <w:rPr>
                <w:rFonts w:ascii="Courier New" w:cs="Courier New" w:eastAsia="Courier New" w:hAnsi="Courier New"/>
                <w:sz w:val="18"/>
                <w:szCs w:val="18"/>
                <w:color w:val="auto"/>
                <w:w w:val="98"/>
              </w:rPr>
              <w:t>- ----------------------------------------------</w:t>
            </w:r>
          </w:p>
        </w:tc>
        <w:tc>
          <w:tcPr>
            <w:tcW w:w="35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r>
      <w:tr>
        <w:trPr>
          <w:trHeight w:val="203"/>
        </w:trPr>
        <w:tc>
          <w:tcPr>
            <w:tcW w:w="51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CUSIP No. 148711104</w:t>
            </w:r>
          </w:p>
        </w:tc>
        <w:tc>
          <w:tcPr>
            <w:tcW w:w="3520" w:type="dxa"/>
            <w:vAlign w:val="bottom"/>
          </w:tcPr>
          <w:p>
            <w:pPr>
              <w:jc w:val="right"/>
              <w:ind w:right="952"/>
              <w:spacing w:after="0" w:line="203" w:lineRule="exact"/>
              <w:rPr>
                <w:sz w:val="20"/>
                <w:szCs w:val="20"/>
                <w:color w:val="auto"/>
              </w:rPr>
            </w:pPr>
            <w:r>
              <w:rPr>
                <w:rFonts w:ascii="Courier New" w:cs="Courier New" w:eastAsia="Courier New" w:hAnsi="Courier New"/>
                <w:sz w:val="18"/>
                <w:szCs w:val="18"/>
                <w:color w:val="auto"/>
                <w:w w:val="99"/>
              </w:rPr>
              <w:t>13G   Page 2 of 3 Pages</w:t>
            </w:r>
          </w:p>
        </w:tc>
      </w:tr>
      <w:tr>
        <w:trPr>
          <w:trHeight w:val="203"/>
        </w:trPr>
        <w:tc>
          <w:tcPr>
            <w:tcW w:w="16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4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8"/>
              </w:rPr>
              <w:t>----------------------------------------------</w:t>
            </w:r>
          </w:p>
        </w:tc>
        <w:tc>
          <w:tcPr>
            <w:tcW w:w="3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160" w:type="dxa"/>
            <w:vAlign w:val="bottom"/>
          </w:tcPr>
          <w:p>
            <w:pPr>
              <w:spacing w:after="0"/>
              <w:rPr>
                <w:sz w:val="20"/>
                <w:szCs w:val="20"/>
                <w:color w:val="auto"/>
              </w:rPr>
            </w:pPr>
            <w:r>
              <w:rPr>
                <w:rFonts w:ascii="Courier New" w:cs="Courier New" w:eastAsia="Courier New" w:hAnsi="Courier New"/>
                <w:sz w:val="18"/>
                <w:szCs w:val="18"/>
                <w:color w:val="auto"/>
              </w:rPr>
              <w:t>-</w:t>
            </w:r>
          </w:p>
        </w:tc>
        <w:tc>
          <w:tcPr>
            <w:tcW w:w="848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7"/>
              </w:rPr>
              <w:t>--------------------------------------------------------------------------------</w:t>
            </w:r>
          </w:p>
        </w:tc>
      </w:tr>
    </w:tbl>
    <w:p>
      <w:pPr>
        <w:ind w:left="860" w:hanging="852"/>
        <w:spacing w:after="0" w:line="238" w:lineRule="auto"/>
        <w:tabs>
          <w:tab w:leader="none" w:pos="8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spacing w:after="0" w:line="4" w:lineRule="exact"/>
        <w:rPr>
          <w:rFonts w:ascii="Courier New" w:cs="Courier New" w:eastAsia="Courier New" w:hAnsi="Courier New"/>
          <w:sz w:val="18"/>
          <w:szCs w:val="18"/>
          <w:color w:val="auto"/>
        </w:rPr>
      </w:pPr>
    </w:p>
    <w:p>
      <w:pPr>
        <w:ind w:left="860" w:right="3159"/>
        <w:spacing w:after="0" w:line="35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NOS. OF ABOVE PERSONS (ENTITIES ONLY) Chilton Investment Company, LLC</w:t>
      </w:r>
    </w:p>
    <w:p>
      <w:pPr>
        <w:ind w:left="860"/>
        <w:spacing w:after="0" w:line="234" w:lineRule="auto"/>
        <w:rPr>
          <w:sz w:val="20"/>
          <w:szCs w:val="20"/>
          <w:color w:val="auto"/>
        </w:rPr>
      </w:pPr>
      <w:r>
        <w:rPr>
          <w:rFonts w:ascii="Courier New" w:cs="Courier New" w:eastAsia="Courier New" w:hAnsi="Courier New"/>
          <w:sz w:val="18"/>
          <w:szCs w:val="18"/>
          <w:color w:val="auto"/>
        </w:rPr>
        <w:t>87-0742367</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ind w:left="860" w:hanging="852"/>
        <w:spacing w:after="0"/>
        <w:tabs>
          <w:tab w:leader="none" w:pos="8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 Instructions)</w:t>
      </w:r>
    </w:p>
    <w:p>
      <w:pPr>
        <w:ind w:left="8120" w:hanging="422"/>
        <w:spacing w:after="0" w:line="238" w:lineRule="auto"/>
        <w:tabs>
          <w:tab w:leader="none" w:pos="8120"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p>
    <w:p>
      <w:pPr>
        <w:ind w:left="8120" w:hanging="422"/>
        <w:spacing w:after="0" w:line="238" w:lineRule="auto"/>
        <w:tabs>
          <w:tab w:leader="none" w:pos="8120"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 --------------------------------------------------------------------------------</w:t>
      </w:r>
    </w:p>
    <w:p>
      <w:pPr>
        <w:spacing w:after="0" w:line="16" w:lineRule="exact"/>
        <w:rPr>
          <w:rFonts w:ascii="Courier New" w:cs="Courier New" w:eastAsia="Courier New" w:hAnsi="Courier New"/>
          <w:sz w:val="18"/>
          <w:szCs w:val="18"/>
          <w:color w:val="auto"/>
        </w:rPr>
      </w:pPr>
    </w:p>
    <w:p>
      <w:pPr>
        <w:ind w:left="960" w:hanging="952"/>
        <w:spacing w:after="0" w:line="238" w:lineRule="auto"/>
        <w:tabs>
          <w:tab w:leader="none" w:pos="9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sz w:val="24"/>
          <w:szCs w:val="24"/>
          <w:color w:val="auto"/>
        </w:rPr>
      </w:pPr>
    </w:p>
    <w:p>
      <w:pPr>
        <w:spacing w:after="0" w:line="210"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ind w:left="860" w:hanging="852"/>
        <w:spacing w:after="0"/>
        <w:tabs>
          <w:tab w:leader="none" w:pos="8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State of Delaware</w:t>
      </w:r>
    </w:p>
    <w:p>
      <w:pPr>
        <w:spacing w:after="0" w:line="4" w:lineRule="exact"/>
        <w:rPr>
          <w:sz w:val="24"/>
          <w:szCs w:val="24"/>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640" w:hanging="841"/>
        <w:spacing w:after="0" w:line="238" w:lineRule="auto"/>
        <w:tabs>
          <w:tab w:leader="none" w:pos="2640"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w:t>
      </w:r>
    </w:p>
    <w:p>
      <w:pPr>
        <w:spacing w:after="0" w:line="202" w:lineRule="exact"/>
        <w:rPr>
          <w:sz w:val="24"/>
          <w:szCs w:val="24"/>
          <w:color w:val="auto"/>
        </w:rPr>
      </w:pPr>
    </w:p>
    <w:tbl>
      <w:tblPr>
        <w:tblLayout w:type="fixed"/>
        <w:tblInd w:w="120" w:type="dxa"/>
        <w:tblCellMar>
          <w:top w:w="0" w:type="dxa"/>
          <w:left w:w="0" w:type="dxa"/>
          <w:bottom w:w="0" w:type="dxa"/>
          <w:right w:w="0" w:type="dxa"/>
        </w:tblCellMar>
      </w:tblPr>
      <w:tr>
        <w:trPr>
          <w:trHeight w:val="204"/>
        </w:trPr>
        <w:tc>
          <w:tcPr>
            <w:tcW w:w="1460" w:type="dxa"/>
            <w:vAlign w:val="bottom"/>
          </w:tcPr>
          <w:p>
            <w:pPr>
              <w:ind w:left="200"/>
              <w:spacing w:after="0"/>
              <w:rPr>
                <w:sz w:val="20"/>
                <w:szCs w:val="20"/>
                <w:color w:val="auto"/>
              </w:rPr>
            </w:pPr>
            <w:r>
              <w:rPr>
                <w:rFonts w:ascii="Courier New" w:cs="Courier New" w:eastAsia="Courier New" w:hAnsi="Courier New"/>
                <w:sz w:val="18"/>
                <w:szCs w:val="18"/>
                <w:color w:val="auto"/>
              </w:rPr>
              <w:t>NUMBER OF</w:t>
            </w:r>
          </w:p>
        </w:tc>
        <w:tc>
          <w:tcPr>
            <w:tcW w:w="1060" w:type="dxa"/>
            <w:vAlign w:val="bottom"/>
          </w:tcPr>
          <w:p>
            <w:pPr>
              <w:spacing w:after="0"/>
              <w:rPr>
                <w:sz w:val="17"/>
                <w:szCs w:val="17"/>
                <w:color w:val="auto"/>
              </w:rPr>
            </w:pPr>
          </w:p>
        </w:tc>
        <w:tc>
          <w:tcPr>
            <w:tcW w:w="2320" w:type="dxa"/>
            <w:vAlign w:val="bottom"/>
          </w:tcPr>
          <w:p>
            <w:pPr>
              <w:spacing w:after="0"/>
              <w:rPr>
                <w:sz w:val="20"/>
                <w:szCs w:val="20"/>
                <w:color w:val="auto"/>
              </w:rPr>
            </w:pPr>
            <w:r>
              <w:rPr>
                <w:rFonts w:ascii="Courier New" w:cs="Courier New" w:eastAsia="Courier New" w:hAnsi="Courier New"/>
                <w:sz w:val="18"/>
                <w:szCs w:val="18"/>
                <w:color w:val="auto"/>
              </w:rPr>
              <w:t>8,019,940</w:t>
            </w:r>
          </w:p>
        </w:tc>
      </w:tr>
      <w:tr>
        <w:trPr>
          <w:trHeight w:val="203"/>
        </w:trPr>
        <w:tc>
          <w:tcPr>
            <w:tcW w:w="146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8"/>
              </w:rPr>
              <w:t>SHARES</w:t>
            </w:r>
          </w:p>
        </w:tc>
        <w:tc>
          <w:tcPr>
            <w:tcW w:w="3380" w:type="dxa"/>
            <w:vAlign w:val="bottom"/>
            <w:gridSpan w:val="2"/>
          </w:tcPr>
          <w:p>
            <w:pPr>
              <w:ind w:left="220"/>
              <w:spacing w:after="0"/>
              <w:rPr>
                <w:sz w:val="20"/>
                <w:szCs w:val="20"/>
                <w:color w:val="auto"/>
              </w:rPr>
            </w:pPr>
            <w:r>
              <w:rPr>
                <w:rFonts w:ascii="Courier New" w:cs="Courier New" w:eastAsia="Courier New" w:hAnsi="Courier New"/>
                <w:sz w:val="11"/>
                <w:szCs w:val="11"/>
                <w:color w:val="auto"/>
                <w:w w:val="75"/>
              </w:rPr>
              <w:t>---------------------------------------------------------------</w:t>
            </w:r>
          </w:p>
        </w:tc>
      </w:tr>
      <w:tr>
        <w:trPr>
          <w:trHeight w:val="203"/>
        </w:trPr>
        <w:tc>
          <w:tcPr>
            <w:tcW w:w="146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1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6.</w:t>
            </w:r>
          </w:p>
        </w:tc>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46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106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146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7"/>
              </w:rPr>
              <w:t>EACH</w:t>
            </w:r>
          </w:p>
        </w:tc>
        <w:tc>
          <w:tcPr>
            <w:tcW w:w="1060" w:type="dxa"/>
            <w:vAlign w:val="bottom"/>
          </w:tcPr>
          <w:p>
            <w:pPr>
              <w:spacing w:after="0"/>
              <w:rPr>
                <w:sz w:val="17"/>
                <w:szCs w:val="17"/>
                <w:color w:val="auto"/>
              </w:rPr>
            </w:pPr>
          </w:p>
        </w:tc>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46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REPORTING</w:t>
            </w:r>
          </w:p>
        </w:tc>
        <w:tc>
          <w:tcPr>
            <w:tcW w:w="3380" w:type="dxa"/>
            <w:vAlign w:val="bottom"/>
            <w:gridSpan w:val="2"/>
          </w:tcPr>
          <w:p>
            <w:pPr>
              <w:ind w:left="220"/>
              <w:spacing w:after="0"/>
              <w:rPr>
                <w:sz w:val="20"/>
                <w:szCs w:val="20"/>
                <w:color w:val="auto"/>
              </w:rPr>
            </w:pPr>
            <w:r>
              <w:rPr>
                <w:rFonts w:ascii="Courier New" w:cs="Courier New" w:eastAsia="Courier New" w:hAnsi="Courier New"/>
                <w:sz w:val="11"/>
                <w:szCs w:val="11"/>
                <w:color w:val="auto"/>
                <w:w w:val="75"/>
              </w:rPr>
              <w:t>---------------------------------------------------------------</w:t>
            </w:r>
          </w:p>
        </w:tc>
      </w:tr>
      <w:tr>
        <w:trPr>
          <w:trHeight w:val="203"/>
        </w:trPr>
        <w:tc>
          <w:tcPr>
            <w:tcW w:w="146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8"/>
              </w:rPr>
              <w:t>PERSON</w:t>
            </w:r>
          </w:p>
        </w:tc>
        <w:tc>
          <w:tcPr>
            <w:tcW w:w="1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7.</w:t>
            </w:r>
          </w:p>
        </w:tc>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SOLE DISPOSITIVE POWER</w:t>
            </w:r>
          </w:p>
        </w:tc>
      </w:tr>
      <w:tr>
        <w:trPr>
          <w:trHeight w:val="203"/>
        </w:trPr>
        <w:tc>
          <w:tcPr>
            <w:tcW w:w="146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7"/>
              </w:rPr>
              <w:t>WITH</w:t>
            </w:r>
          </w:p>
        </w:tc>
        <w:tc>
          <w:tcPr>
            <w:tcW w:w="1060" w:type="dxa"/>
            <w:vAlign w:val="bottom"/>
          </w:tcPr>
          <w:p>
            <w:pPr>
              <w:spacing w:after="0"/>
              <w:rPr>
                <w:sz w:val="17"/>
                <w:szCs w:val="17"/>
                <w:color w:val="auto"/>
              </w:rPr>
            </w:pPr>
          </w:p>
        </w:tc>
        <w:tc>
          <w:tcPr>
            <w:tcW w:w="2320" w:type="dxa"/>
            <w:vAlign w:val="bottom"/>
          </w:tcPr>
          <w:p>
            <w:pPr>
              <w:spacing w:after="0"/>
              <w:rPr>
                <w:sz w:val="17"/>
                <w:szCs w:val="17"/>
                <w:color w:val="auto"/>
              </w:rPr>
            </w:pPr>
          </w:p>
        </w:tc>
      </w:tr>
    </w:tbl>
    <w:p>
      <w:pPr>
        <w:ind w:left="2640"/>
        <w:spacing w:after="0" w:line="238" w:lineRule="auto"/>
        <w:rPr>
          <w:sz w:val="20"/>
          <w:szCs w:val="20"/>
          <w:color w:val="auto"/>
        </w:rPr>
      </w:pPr>
      <w:r>
        <w:rPr>
          <w:rFonts w:ascii="Courier New" w:cs="Courier New" w:eastAsia="Courier New" w:hAnsi="Courier New"/>
          <w:sz w:val="18"/>
          <w:szCs w:val="18"/>
          <w:color w:val="auto"/>
        </w:rPr>
        <w:t>8,019,940</w:t>
      </w:r>
    </w:p>
    <w:p>
      <w:pPr>
        <w:ind w:left="1800"/>
        <w:spacing w:after="0"/>
        <w:rPr>
          <w:sz w:val="20"/>
          <w:szCs w:val="20"/>
          <w:color w:val="auto"/>
        </w:rPr>
      </w:pPr>
      <w:r>
        <w:rPr>
          <w:rFonts w:ascii="Courier New" w:cs="Courier New" w:eastAsia="Courier New" w:hAnsi="Courier New"/>
          <w:sz w:val="18"/>
          <w:szCs w:val="18"/>
          <w:color w:val="auto"/>
        </w:rPr>
        <w:t>---------------------------------------------------------------</w:t>
      </w:r>
    </w:p>
    <w:p>
      <w:pPr>
        <w:sectPr>
          <w:pgSz w:w="11900" w:h="16838" w:orient="portrait"/>
          <w:cols w:equalWidth="0" w:num="1">
            <w:col w:w="10219"/>
          </w:cols>
          <w:pgMar w:left="240" w:top="244" w:right="1440" w:bottom="0" w:gutter="0" w:footer="0" w:header="0"/>
        </w:sectPr>
      </w:pPr>
    </w:p>
    <w:bookmarkStart w:id="1" w:name="page2"/>
    <w:bookmarkEnd w:id="1"/>
    <w:p>
      <w:pPr>
        <w:ind w:left="2640" w:right="5059" w:hanging="841"/>
        <w:spacing w:after="0" w:line="357" w:lineRule="auto"/>
        <w:tabs>
          <w:tab w:leader="none" w:pos="2640"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0</w:t>
      </w:r>
    </w:p>
    <w:p>
      <w:pPr>
        <w:spacing w:after="0" w:line="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860" w:hanging="852"/>
        <w:spacing w:after="0"/>
        <w:tabs>
          <w:tab w:leader="none" w:pos="8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8,019,940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860" w:hanging="852"/>
        <w:spacing w:after="0"/>
        <w:tabs>
          <w:tab w:leader="none" w:pos="8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 (See</w:t>
      </w:r>
    </w:p>
    <w:p>
      <w:pPr>
        <w:ind w:left="860"/>
        <w:spacing w:after="0" w:line="238" w:lineRule="auto"/>
        <w:tabs>
          <w:tab w:leader="none" w:pos="8100" w:val="left"/>
        </w:tabs>
        <w:rPr>
          <w:sz w:val="20"/>
          <w:szCs w:val="20"/>
          <w:color w:val="auto"/>
        </w:rPr>
      </w:pPr>
      <w:r>
        <w:rPr>
          <w:rFonts w:ascii="Courier New" w:cs="Courier New" w:eastAsia="Courier New" w:hAnsi="Courier New"/>
          <w:sz w:val="18"/>
          <w:szCs w:val="18"/>
          <w:color w:val="auto"/>
        </w:rPr>
        <w:t>Instructions)</w:t>
      </w:r>
      <w:r>
        <w:rPr>
          <w:sz w:val="20"/>
          <w:szCs w:val="20"/>
          <w:color w:val="auto"/>
        </w:rPr>
        <w:tab/>
      </w:r>
      <w:r>
        <w:rPr>
          <w:rFonts w:ascii="Courier New" w:cs="Courier New" w:eastAsia="Courier New" w:hAnsi="Courier New"/>
          <w:sz w:val="18"/>
          <w:szCs w:val="18"/>
          <w:color w:val="auto"/>
        </w:rPr>
        <w:t>|_|</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860" w:hanging="852"/>
        <w:spacing w:after="0"/>
        <w:tabs>
          <w:tab w:leader="none" w:pos="8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19.3%</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860" w:hanging="852"/>
        <w:spacing w:after="0"/>
        <w:tabs>
          <w:tab w:leader="none" w:pos="8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(See Instructions)</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IA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142" w:right="1440"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CUSIP No. 148711104</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13G</w:t>
      </w:r>
    </w:p>
    <w:p>
      <w:pPr>
        <w:spacing w:after="0" w:line="20" w:lineRule="exact"/>
        <w:rPr>
          <w:sz w:val="20"/>
          <w:szCs w:val="20"/>
          <w:color w:val="auto"/>
        </w:rPr>
      </w:pPr>
      <w:r>
        <w:rPr>
          <w:sz w:val="20"/>
          <w:szCs w:val="20"/>
          <w:color w:val="auto"/>
        </w:rPr>
        <w:br w:type="column"/>
      </w:r>
    </w:p>
    <w:p>
      <w:pPr>
        <w:ind w:left="2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3 of 3 Pages</w:t>
      </w:r>
    </w:p>
    <w:p>
      <w:pPr>
        <w:spacing w:after="0" w:line="4"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3">
            <w:col w:w="5060" w:space="100"/>
            <w:col w:w="320" w:space="320"/>
            <w:col w:w="4419"/>
          </w:cols>
          <w:pgMar w:left="240" w:top="723" w:right="1440" w:bottom="1440" w:gutter="0" w:footer="0" w:header="0"/>
        </w:sectPr>
      </w:pPr>
    </w:p>
    <w:p>
      <w:pPr>
        <w:spacing w:after="0" w:line="24"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Pursuant to Rule 13d-2(b) of Regulation 13D-G under the Securities Exchange Act of 1934, as amended, the Schedule 13G initially filed on November 10, 2005 by Chilton Investment Company, LLC (the "Reporting Person") with respect to the Common Stock, $0.01 par value (the "Common Stock"), of Casual Male Retail Group, Inc., a Delaware corporation (the "Schedule 13G"), as amended by Amendment No. 1 to the Schedule 13G filed on February 14, 2006, replaced by the Schedule 13D filed on May 9, 2006, as amended by Amendment No.1 to the 13D filed on June 9, 2006, Amendment No. 2 to the 13D filed on June 29, 2006, Amendment No. 3 to the 13D filed on April 13, 2006 and Amendment No. 4 to the 13D filed on July 19, 2007, is hereby replaced by this Amendment No. 2 to the Schedule 13G to report a change in the information reported in the Schedule 13G. The Schedule 13G is hereby amended as follows: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is hereby amended and restated in its entirety to read:</w:t>
      </w:r>
    </w:p>
    <w:p>
      <w:pPr>
        <w:spacing w:after="0" w:line="201"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1" w:lineRule="exact"/>
        <w:rPr>
          <w:sz w:val="20"/>
          <w:szCs w:val="20"/>
          <w:color w:val="auto"/>
        </w:rPr>
      </w:pPr>
    </w:p>
    <w:p>
      <w:pPr>
        <w:ind w:left="2540" w:hanging="636"/>
        <w:spacing w:after="0"/>
        <w:tabs>
          <w:tab w:leader="none" w:pos="25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8,019,940 shares</w:t>
      </w:r>
    </w:p>
    <w:p>
      <w:pPr>
        <w:spacing w:after="0" w:line="201" w:lineRule="exact"/>
        <w:rPr>
          <w:rFonts w:ascii="Courier New" w:cs="Courier New" w:eastAsia="Courier New" w:hAnsi="Courier New"/>
          <w:sz w:val="18"/>
          <w:szCs w:val="18"/>
          <w:color w:val="auto"/>
        </w:rPr>
      </w:pPr>
    </w:p>
    <w:p>
      <w:pPr>
        <w:ind w:left="2540" w:hanging="636"/>
        <w:spacing w:after="0"/>
        <w:tabs>
          <w:tab w:leader="none" w:pos="25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19.3%</w:t>
      </w:r>
    </w:p>
    <w:p>
      <w:pPr>
        <w:spacing w:after="0" w:line="201" w:lineRule="exact"/>
        <w:rPr>
          <w:rFonts w:ascii="Courier New" w:cs="Courier New" w:eastAsia="Courier New" w:hAnsi="Courier New"/>
          <w:sz w:val="18"/>
          <w:szCs w:val="18"/>
          <w:color w:val="auto"/>
        </w:rPr>
      </w:pPr>
    </w:p>
    <w:p>
      <w:pPr>
        <w:ind w:left="2540" w:hanging="636"/>
        <w:spacing w:after="0"/>
        <w:tabs>
          <w:tab w:leader="none" w:pos="25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the person has:</w:t>
      </w:r>
    </w:p>
    <w:p>
      <w:pPr>
        <w:spacing w:after="0" w:line="206" w:lineRule="exact"/>
        <w:rPr>
          <w:rFonts w:ascii="Courier New" w:cs="Courier New" w:eastAsia="Courier New" w:hAnsi="Courier New"/>
          <w:sz w:val="18"/>
          <w:szCs w:val="18"/>
          <w:color w:val="auto"/>
        </w:rPr>
      </w:pPr>
    </w:p>
    <w:p>
      <w:pPr>
        <w:ind w:left="3160" w:right="2739" w:hanging="624"/>
        <w:spacing w:after="0" w:line="235" w:lineRule="auto"/>
        <w:tabs>
          <w:tab w:leader="none" w:pos="3160"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8,019,940</w:t>
      </w:r>
    </w:p>
    <w:p>
      <w:pPr>
        <w:spacing w:after="0" w:line="1" w:lineRule="exact"/>
        <w:rPr>
          <w:rFonts w:ascii="Courier New" w:cs="Courier New" w:eastAsia="Courier New" w:hAnsi="Courier New"/>
          <w:sz w:val="18"/>
          <w:szCs w:val="18"/>
          <w:color w:val="auto"/>
        </w:rPr>
      </w:pPr>
    </w:p>
    <w:p>
      <w:pPr>
        <w:ind w:left="3160" w:hanging="624"/>
        <w:spacing w:after="0" w:line="238" w:lineRule="auto"/>
        <w:tabs>
          <w:tab w:leader="none" w:pos="3160"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0</w:t>
      </w:r>
    </w:p>
    <w:p>
      <w:pPr>
        <w:spacing w:after="0" w:line="4" w:lineRule="exact"/>
        <w:rPr>
          <w:rFonts w:ascii="Courier New" w:cs="Courier New" w:eastAsia="Courier New" w:hAnsi="Courier New"/>
          <w:sz w:val="18"/>
          <w:szCs w:val="18"/>
          <w:color w:val="auto"/>
        </w:rPr>
      </w:pPr>
    </w:p>
    <w:p>
      <w:pPr>
        <w:ind w:left="3160" w:right="1779" w:hanging="624"/>
        <w:spacing w:after="0" w:line="235" w:lineRule="auto"/>
        <w:tabs>
          <w:tab w:leader="none" w:pos="3160"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8,019,940</w:t>
      </w:r>
    </w:p>
    <w:p>
      <w:pPr>
        <w:spacing w:after="0" w:line="5" w:lineRule="exact"/>
        <w:rPr>
          <w:rFonts w:ascii="Courier New" w:cs="Courier New" w:eastAsia="Courier New" w:hAnsi="Courier New"/>
          <w:sz w:val="18"/>
          <w:szCs w:val="18"/>
          <w:color w:val="auto"/>
        </w:rPr>
      </w:pPr>
    </w:p>
    <w:p>
      <w:pPr>
        <w:ind w:left="3160" w:right="2839" w:hanging="624"/>
        <w:spacing w:after="0" w:line="235" w:lineRule="auto"/>
        <w:tabs>
          <w:tab w:leader="none" w:pos="3160"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0</w:t>
      </w:r>
    </w:p>
    <w:p>
      <w:pPr>
        <w:spacing w:after="0" w:line="203"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jc w:val="both"/>
        <w:ind w:right="1779" w:firstLine="1264"/>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July 20, 2007</w:t>
      </w:r>
    </w:p>
    <w:p>
      <w:pPr>
        <w:spacing w:after="0" w:line="200" w:lineRule="exact"/>
        <w:rPr>
          <w:sz w:val="20"/>
          <w:szCs w:val="20"/>
          <w:color w:val="auto"/>
        </w:rPr>
      </w:pPr>
    </w:p>
    <w:p>
      <w:pPr>
        <w:spacing w:after="0" w:line="204"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Chilton Investment Company, LLC</w:t>
      </w:r>
    </w:p>
    <w:p>
      <w:pPr>
        <w:spacing w:after="0" w:line="200" w:lineRule="exact"/>
        <w:rPr>
          <w:sz w:val="20"/>
          <w:szCs w:val="20"/>
          <w:color w:val="auto"/>
        </w:rPr>
      </w:pPr>
    </w:p>
    <w:p>
      <w:pPr>
        <w:spacing w:after="0" w:line="204" w:lineRule="exact"/>
        <w:rPr>
          <w:sz w:val="20"/>
          <w:szCs w:val="20"/>
          <w:color w:val="auto"/>
        </w:rPr>
      </w:pPr>
    </w:p>
    <w:p>
      <w:pPr>
        <w:ind w:left="4640"/>
        <w:spacing w:after="0"/>
        <w:tabs>
          <w:tab w:leader="none" w:pos="526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 Norman B. Champ III</w:t>
      </w:r>
    </w:p>
    <w:p>
      <w:pPr>
        <w:spacing w:after="0" w:line="4" w:lineRule="exact"/>
        <w:rPr>
          <w:sz w:val="20"/>
          <w:szCs w:val="20"/>
          <w:color w:val="auto"/>
        </w:rPr>
      </w:pPr>
    </w:p>
    <w:p>
      <w:pPr>
        <w:ind w:left="496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960"/>
        <w:spacing w:after="0"/>
        <w:tabs>
          <w:tab w:leader="none" w:pos="568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Norman B. Champ III</w:t>
      </w:r>
    </w:p>
    <w:p>
      <w:pPr>
        <w:ind w:left="4960"/>
        <w:spacing w:after="0" w:line="238" w:lineRule="auto"/>
        <w:rPr>
          <w:sz w:val="20"/>
          <w:szCs w:val="20"/>
          <w:color w:val="auto"/>
        </w:rPr>
      </w:pPr>
      <w:r>
        <w:rPr>
          <w:rFonts w:ascii="Courier New" w:cs="Courier New" w:eastAsia="Courier New" w:hAnsi="Courier New"/>
          <w:sz w:val="18"/>
          <w:szCs w:val="18"/>
          <w:color w:val="auto"/>
        </w:rPr>
        <w:t>Title: Executive Vice President</w:t>
      </w:r>
    </w:p>
    <w:sectPr>
      <w:pgSz w:w="11900" w:h="16838" w:orient="portrait"/>
      <w:cols w:equalWidth="0" w:num="1">
        <w:col w:w="10219"/>
      </w:cols>
      <w:pgMar w:left="240" w:top="723"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decimal"/>
      <w:start w:val="1"/>
    </w:lvl>
  </w:abstractNum>
  <w:abstractNum w:abstractNumId="1">
    <w:nsid w:val="507ED7AB"/>
    <w:multiLevelType w:val="hybridMultilevel"/>
    <w:lvl w:ilvl="0">
      <w:lvlJc w:val="left"/>
      <w:lvlText w:val="%1."/>
      <w:numFmt w:val="decimal"/>
      <w:start w:val="2"/>
    </w:lvl>
    <w:lvl w:ilvl="1">
      <w:lvlJc w:val="left"/>
      <w:lvlText w:val="(%2)"/>
      <w:numFmt w:val="lowerLetter"/>
      <w:start w:val="1"/>
    </w:lvl>
  </w:abstractNum>
  <w:abstractNum w:abstractNumId="2">
    <w:nsid w:val="2EB141F2"/>
    <w:multiLevelType w:val="hybridMultilevel"/>
    <w:lvl w:ilvl="0">
      <w:lvlJc w:val="left"/>
      <w:lvlText w:val="%1."/>
      <w:numFmt w:val="decimal"/>
      <w:start w:val="4"/>
    </w:lvl>
  </w:abstractNum>
  <w:abstractNum w:abstractNumId="3">
    <w:nsid w:val="41B71EFB"/>
    <w:multiLevelType w:val="hybridMultilevel"/>
    <w:lvl w:ilvl="0">
      <w:lvlJc w:val="left"/>
      <w:lvlText w:val="-"/>
      <w:numFmt w:val="bullet"/>
      <w:start w:val="1"/>
    </w:lvl>
    <w:lvl w:ilvl="1">
      <w:lvlJc w:val="left"/>
      <w:lvlText w:val="%2."/>
      <w:numFmt w:val="decimal"/>
      <w:start w:val="5"/>
    </w:lvl>
  </w:abstractNum>
  <w:abstractNum w:abstractNumId="4">
    <w:nsid w:val="79E2A9E3"/>
    <w:multiLevelType w:val="hybridMultilevel"/>
    <w:lvl w:ilvl="0">
      <w:lvlJc w:val="left"/>
      <w:lvlText w:val="-"/>
      <w:numFmt w:val="bullet"/>
      <w:start w:val="1"/>
    </w:lvl>
    <w:lvl w:ilvl="1">
      <w:lvlJc w:val="left"/>
      <w:lvlText w:val="%2."/>
      <w:numFmt w:val="decimal"/>
      <w:start w:val="8"/>
    </w:lvl>
  </w:abstractNum>
  <w:abstractNum w:abstractNumId="5">
    <w:nsid w:val="7545E146"/>
    <w:multiLevelType w:val="hybridMultilevel"/>
    <w:lvl w:ilvl="0">
      <w:lvlJc w:val="left"/>
      <w:lvlText w:val="%1."/>
      <w:numFmt w:val="decimal"/>
      <w:start w:val="9"/>
    </w:lvl>
  </w:abstractNum>
  <w:abstractNum w:abstractNumId="6">
    <w:nsid w:val="515F007C"/>
    <w:multiLevelType w:val="hybridMultilevel"/>
    <w:lvl w:ilvl="0">
      <w:lvlJc w:val="left"/>
      <w:lvlText w:val="%1."/>
      <w:numFmt w:val="decimal"/>
      <w:start w:val="10"/>
    </w:lvl>
  </w:abstractNum>
  <w:abstractNum w:abstractNumId="7">
    <w:nsid w:val="5BD062C2"/>
    <w:multiLevelType w:val="hybridMultilevel"/>
    <w:lvl w:ilvl="0">
      <w:lvlJc w:val="left"/>
      <w:lvlText w:val="%1."/>
      <w:numFmt w:val="decimal"/>
      <w:start w:val="11"/>
    </w:lvl>
  </w:abstractNum>
  <w:abstractNum w:abstractNumId="8">
    <w:nsid w:val="12200854"/>
    <w:multiLevelType w:val="hybridMultilevel"/>
    <w:lvl w:ilvl="0">
      <w:lvlJc w:val="left"/>
      <w:lvlText w:val="%1."/>
      <w:numFmt w:val="decimal"/>
      <w:start w:val="12"/>
    </w:lvl>
  </w:abstractNum>
  <w:abstractNum w:abstractNumId="9">
    <w:nsid w:val="4DB127F8"/>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2019-12-20T00:49:32Z</dcterms:created>
  <dcterms:modified xsi:type="dcterms:W3CDTF">2019-12-20T00:49:32Z</dcterms:modified>
</cp:coreProperties>
</file>